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黑体" w:eastAsia="黑体"/>
          <w:color w:val="auto"/>
          <w:sz w:val="44"/>
          <w:szCs w:val="48"/>
          <w:highlight w:val="none"/>
        </w:rPr>
      </w:pPr>
      <w:bookmarkStart w:id="0" w:name="_Toc114052410"/>
      <w:bookmarkStart w:id="1" w:name="_Toc286386830"/>
      <w:bookmarkStart w:id="2" w:name="_Toc114052336"/>
      <w:r>
        <w:rPr>
          <w:rFonts w:hint="eastAsia" w:ascii="黑体" w:eastAsia="黑体"/>
          <w:color w:val="auto"/>
          <w:sz w:val="44"/>
          <w:szCs w:val="48"/>
          <w:highlight w:val="none"/>
        </w:rPr>
        <w:t>南宁轨道交通集团有限责任公司</w:t>
      </w:r>
    </w:p>
    <w:p>
      <w:pPr>
        <w:spacing w:after="120"/>
        <w:jc w:val="center"/>
        <w:rPr>
          <w:rFonts w:ascii="黑体" w:eastAsia="黑体"/>
          <w:color w:val="auto"/>
          <w:sz w:val="44"/>
          <w:szCs w:val="48"/>
          <w:highlight w:val="none"/>
        </w:rPr>
      </w:pPr>
      <w:r>
        <w:rPr>
          <w:rFonts w:hint="eastAsia" w:ascii="黑体" w:eastAsia="黑体"/>
          <w:color w:val="auto"/>
          <w:sz w:val="44"/>
          <w:szCs w:val="48"/>
          <w:highlight w:val="none"/>
        </w:rPr>
        <w:t>运营分公司2018年</w:t>
      </w:r>
      <w:r>
        <w:rPr>
          <w:rFonts w:hint="eastAsia" w:ascii="黑体" w:eastAsia="黑体"/>
          <w:color w:val="auto"/>
          <w:sz w:val="44"/>
          <w:szCs w:val="48"/>
          <w:highlight w:val="none"/>
          <w:lang w:eastAsia="zh-CN"/>
        </w:rPr>
        <w:t>设备维修耗材</w:t>
      </w:r>
      <w:r>
        <w:rPr>
          <w:rFonts w:hint="eastAsia" w:ascii="黑体" w:eastAsia="黑体"/>
          <w:color w:val="auto"/>
          <w:sz w:val="44"/>
          <w:szCs w:val="48"/>
          <w:highlight w:val="none"/>
        </w:rPr>
        <w:t>采购项目</w:t>
      </w:r>
    </w:p>
    <w:p>
      <w:pPr>
        <w:spacing w:after="120"/>
        <w:jc w:val="center"/>
        <w:rPr>
          <w:rFonts w:ascii="黑体" w:eastAsia="黑体"/>
          <w:color w:val="auto"/>
          <w:sz w:val="36"/>
          <w:szCs w:val="36"/>
          <w:highlight w:val="none"/>
        </w:rPr>
      </w:pPr>
      <w:r>
        <w:rPr>
          <w:rFonts w:hint="eastAsia" w:ascii="黑体" w:eastAsia="黑体"/>
          <w:color w:val="auto"/>
          <w:sz w:val="36"/>
          <w:szCs w:val="36"/>
          <w:highlight w:val="none"/>
        </w:rPr>
        <w:t>（项目编号:</w:t>
      </w:r>
      <w:r>
        <w:rPr>
          <w:rFonts w:hint="eastAsia" w:eastAsia="黑体"/>
          <w:color w:val="auto"/>
          <w:sz w:val="36"/>
          <w:szCs w:val="36"/>
          <w:highlight w:val="none"/>
          <w:lang w:eastAsia="zh-CN"/>
        </w:rPr>
        <w:t>YY1/2/3-BX-HC-2018031</w:t>
      </w:r>
      <w:r>
        <w:rPr>
          <w:rFonts w:hint="eastAsia" w:ascii="黑体" w:eastAsia="黑体"/>
          <w:color w:val="auto"/>
          <w:sz w:val="36"/>
          <w:szCs w:val="36"/>
          <w:highlight w:val="none"/>
        </w:rPr>
        <w:t>）</w:t>
      </w:r>
    </w:p>
    <w:p>
      <w:pPr>
        <w:spacing w:after="120"/>
        <w:jc w:val="center"/>
        <w:rPr>
          <w:rFonts w:ascii="黑体" w:eastAsia="黑体"/>
          <w:color w:val="auto"/>
          <w:sz w:val="36"/>
          <w:szCs w:val="44"/>
          <w:highlight w:val="none"/>
        </w:rPr>
      </w:pPr>
    </w:p>
    <w:p>
      <w:pPr>
        <w:spacing w:after="120"/>
        <w:jc w:val="center"/>
        <w:rPr>
          <w:rFonts w:eastAsia="黑体"/>
          <w:b/>
          <w:color w:val="auto"/>
          <w:sz w:val="52"/>
          <w:szCs w:val="52"/>
          <w:highlight w:val="none"/>
        </w:rPr>
      </w:pPr>
    </w:p>
    <w:p>
      <w:pPr>
        <w:spacing w:after="120"/>
        <w:jc w:val="center"/>
        <w:rPr>
          <w:rFonts w:eastAsia="黑体"/>
          <w:b/>
          <w:color w:val="auto"/>
          <w:sz w:val="52"/>
          <w:szCs w:val="52"/>
          <w:highlight w:val="none"/>
        </w:rPr>
      </w:pPr>
      <w:r>
        <w:rPr>
          <w:rFonts w:hint="eastAsia" w:eastAsia="黑体"/>
          <w:b/>
          <w:color w:val="auto"/>
          <w:sz w:val="52"/>
          <w:szCs w:val="52"/>
          <w:highlight w:val="none"/>
        </w:rPr>
        <w:t>比</w:t>
      </w:r>
    </w:p>
    <w:p>
      <w:pPr>
        <w:spacing w:after="120"/>
        <w:jc w:val="center"/>
        <w:rPr>
          <w:rFonts w:eastAsia="黑体"/>
          <w:b/>
          <w:color w:val="auto"/>
          <w:sz w:val="52"/>
          <w:szCs w:val="52"/>
          <w:highlight w:val="none"/>
        </w:rPr>
      </w:pPr>
      <w:r>
        <w:rPr>
          <w:rFonts w:hint="eastAsia" w:eastAsia="黑体"/>
          <w:b/>
          <w:color w:val="auto"/>
          <w:sz w:val="52"/>
          <w:szCs w:val="52"/>
          <w:highlight w:val="none"/>
        </w:rPr>
        <w:t>选</w:t>
      </w:r>
    </w:p>
    <w:p>
      <w:pPr>
        <w:spacing w:after="120"/>
        <w:jc w:val="center"/>
        <w:rPr>
          <w:rFonts w:eastAsia="黑体"/>
          <w:b/>
          <w:color w:val="auto"/>
          <w:sz w:val="52"/>
          <w:szCs w:val="52"/>
          <w:highlight w:val="none"/>
        </w:rPr>
      </w:pPr>
      <w:r>
        <w:rPr>
          <w:rFonts w:eastAsia="黑体"/>
          <w:b/>
          <w:color w:val="auto"/>
          <w:sz w:val="52"/>
          <w:szCs w:val="52"/>
          <w:highlight w:val="none"/>
        </w:rPr>
        <w:t>文</w:t>
      </w:r>
    </w:p>
    <w:p>
      <w:pPr>
        <w:spacing w:after="120"/>
        <w:jc w:val="center"/>
        <w:rPr>
          <w:rFonts w:eastAsia="黑体"/>
          <w:b/>
          <w:color w:val="auto"/>
          <w:sz w:val="52"/>
          <w:szCs w:val="52"/>
          <w:highlight w:val="none"/>
        </w:rPr>
      </w:pPr>
      <w:r>
        <w:rPr>
          <w:rFonts w:eastAsia="黑体"/>
          <w:b/>
          <w:color w:val="auto"/>
          <w:sz w:val="52"/>
          <w:szCs w:val="52"/>
          <w:highlight w:val="none"/>
        </w:rPr>
        <w:t>件</w:t>
      </w: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jc w:val="center"/>
        <w:rPr>
          <w:rFonts w:ascii="宋体"/>
          <w:b/>
          <w:color w:val="auto"/>
          <w:sz w:val="52"/>
          <w:szCs w:val="20"/>
          <w:highlight w:val="none"/>
        </w:rPr>
      </w:pPr>
      <w:r>
        <w:rPr>
          <w:rFonts w:hint="eastAsia" w:ascii="宋体" w:hAnsi="宋体"/>
          <w:b/>
          <w:color w:val="auto"/>
          <w:sz w:val="52"/>
          <w:highlight w:val="none"/>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color w:val="auto"/>
          <w:sz w:val="52"/>
          <w:szCs w:val="20"/>
          <w:highlight w:val="none"/>
        </w:rPr>
      </w:pPr>
    </w:p>
    <w:p>
      <w:pPr>
        <w:spacing w:line="360" w:lineRule="exact"/>
        <w:jc w:val="center"/>
        <w:rPr>
          <w:rFonts w:ascii="宋体"/>
          <w:b/>
          <w:color w:val="auto"/>
          <w:sz w:val="52"/>
          <w:szCs w:val="20"/>
          <w:highlight w:val="none"/>
        </w:rPr>
      </w:pPr>
    </w:p>
    <w:p>
      <w:pPr>
        <w:spacing w:line="360" w:lineRule="exact"/>
        <w:ind w:left="630" w:leftChars="300"/>
        <w:rPr>
          <w:color w:val="auto"/>
          <w:sz w:val="28"/>
          <w:szCs w:val="28"/>
          <w:highlight w:val="none"/>
        </w:rPr>
      </w:pPr>
    </w:p>
    <w:p>
      <w:pPr>
        <w:spacing w:line="360" w:lineRule="exact"/>
        <w:rPr>
          <w:rFonts w:ascii="黑体" w:eastAsia="黑体"/>
          <w:color w:val="auto"/>
          <w:sz w:val="28"/>
          <w:szCs w:val="28"/>
          <w:highlight w:val="none"/>
        </w:rPr>
      </w:pPr>
    </w:p>
    <w:p>
      <w:pPr>
        <w:ind w:left="630" w:leftChars="300" w:firstLine="218" w:firstLineChars="77"/>
        <w:jc w:val="left"/>
        <w:rPr>
          <w:rFonts w:ascii="黑体" w:eastAsia="黑体"/>
          <w:color w:val="auto"/>
          <w:sz w:val="28"/>
          <w:szCs w:val="28"/>
          <w:highlight w:val="none"/>
        </w:rPr>
      </w:pPr>
      <w:r>
        <w:rPr>
          <w:rFonts w:hint="eastAsia" w:ascii="黑体" w:eastAsia="黑体"/>
          <w:color w:val="auto"/>
          <w:spacing w:val="12"/>
          <w:w w:val="93"/>
          <w:kern w:val="0"/>
          <w:sz w:val="28"/>
          <w:szCs w:val="28"/>
          <w:highlight w:val="none"/>
        </w:rPr>
        <w:t>比选发起</w:t>
      </w:r>
      <w:r>
        <w:rPr>
          <w:rFonts w:hint="eastAsia" w:ascii="黑体" w:eastAsia="黑体"/>
          <w:color w:val="auto"/>
          <w:spacing w:val="1"/>
          <w:w w:val="93"/>
          <w:kern w:val="0"/>
          <w:sz w:val="28"/>
          <w:szCs w:val="28"/>
          <w:highlight w:val="none"/>
        </w:rPr>
        <w:t>人</w:t>
      </w:r>
      <w:r>
        <w:rPr>
          <w:rFonts w:hint="eastAsia" w:ascii="黑体" w:eastAsia="黑体"/>
          <w:color w:val="auto"/>
          <w:sz w:val="28"/>
          <w:szCs w:val="28"/>
          <w:highlight w:val="none"/>
        </w:rPr>
        <w:t>：南宁轨道交通集团有限责任公司运营分公司</w:t>
      </w:r>
    </w:p>
    <w:p>
      <w:pPr>
        <w:ind w:left="630" w:leftChars="300" w:firstLine="219" w:firstLineChars="59"/>
        <w:jc w:val="left"/>
        <w:rPr>
          <w:rFonts w:ascii="黑体" w:eastAsia="黑体"/>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1134" w:left="1134" w:header="454" w:footer="567" w:gutter="0"/>
          <w:pgNumType w:start="1"/>
          <w:cols w:space="425" w:num="1"/>
          <w:titlePg/>
          <w:docGrid w:linePitch="326" w:charSpace="0"/>
        </w:sectPr>
      </w:pPr>
      <w:r>
        <w:rPr>
          <w:rFonts w:hint="eastAsia" w:ascii="黑体" w:eastAsia="黑体"/>
          <w:color w:val="auto"/>
          <w:spacing w:val="46"/>
          <w:kern w:val="0"/>
          <w:sz w:val="28"/>
          <w:szCs w:val="28"/>
          <w:highlight w:val="none"/>
          <w:fitText w:val="1400" w:id="0"/>
        </w:rPr>
        <w:t>编制时</w:t>
      </w:r>
      <w:r>
        <w:rPr>
          <w:rFonts w:hint="eastAsia" w:ascii="黑体" w:eastAsia="黑体"/>
          <w:color w:val="auto"/>
          <w:spacing w:val="2"/>
          <w:kern w:val="0"/>
          <w:sz w:val="28"/>
          <w:szCs w:val="28"/>
          <w:highlight w:val="none"/>
          <w:fitText w:val="1400" w:id="0"/>
        </w:rPr>
        <w:t>间</w:t>
      </w:r>
      <w:r>
        <w:rPr>
          <w:rFonts w:hint="eastAsia" w:ascii="黑体" w:eastAsia="黑体"/>
          <w:color w:val="auto"/>
          <w:sz w:val="28"/>
          <w:szCs w:val="28"/>
          <w:highlight w:val="none"/>
        </w:rPr>
        <w:t>：</w:t>
      </w:r>
      <w:r>
        <w:rPr>
          <w:rFonts w:ascii="黑体" w:eastAsia="黑体"/>
          <w:color w:val="auto"/>
          <w:sz w:val="28"/>
          <w:szCs w:val="28"/>
          <w:highlight w:val="none"/>
          <w:u w:val="single"/>
        </w:rPr>
        <w:t>201</w:t>
      </w:r>
      <w:r>
        <w:rPr>
          <w:rFonts w:hint="eastAsia" w:ascii="黑体" w:eastAsia="黑体"/>
          <w:color w:val="auto"/>
          <w:sz w:val="28"/>
          <w:szCs w:val="28"/>
          <w:highlight w:val="none"/>
          <w:u w:val="single"/>
        </w:rPr>
        <w:t>8</w:t>
      </w:r>
      <w:r>
        <w:rPr>
          <w:rFonts w:hint="eastAsia" w:ascii="黑体" w:eastAsia="黑体"/>
          <w:color w:val="auto"/>
          <w:sz w:val="28"/>
          <w:szCs w:val="28"/>
          <w:highlight w:val="none"/>
        </w:rPr>
        <w:t>年</w:t>
      </w:r>
      <w:r>
        <w:rPr>
          <w:rFonts w:hint="eastAsia" w:ascii="黑体" w:eastAsia="黑体"/>
          <w:color w:val="auto"/>
          <w:sz w:val="28"/>
          <w:szCs w:val="28"/>
          <w:highlight w:val="none"/>
          <w:u w:val="single"/>
        </w:rPr>
        <w:t xml:space="preserve"> </w:t>
      </w:r>
      <w:r>
        <w:rPr>
          <w:rFonts w:hint="eastAsia" w:ascii="黑体" w:eastAsia="黑体"/>
          <w:color w:val="auto"/>
          <w:sz w:val="28"/>
          <w:szCs w:val="28"/>
          <w:highlight w:val="none"/>
          <w:u w:val="single"/>
          <w:lang w:val="en-US" w:eastAsia="zh-CN"/>
        </w:rPr>
        <w:t>8</w:t>
      </w:r>
      <w:r>
        <w:rPr>
          <w:rFonts w:hint="eastAsia" w:ascii="黑体" w:eastAsia="黑体"/>
          <w:color w:val="auto"/>
          <w:sz w:val="28"/>
          <w:szCs w:val="28"/>
          <w:highlight w:val="none"/>
        </w:rPr>
        <w:t>月</w:t>
      </w:r>
      <w:r>
        <w:rPr>
          <w:rFonts w:hint="eastAsia" w:ascii="黑体" w:eastAsia="黑体"/>
          <w:color w:val="auto"/>
          <w:sz w:val="28"/>
          <w:szCs w:val="28"/>
          <w:highlight w:val="none"/>
          <w:lang w:val="en-US" w:eastAsia="zh-CN"/>
        </w:rPr>
        <w:t>27</w:t>
      </w:r>
      <w:r>
        <w:rPr>
          <w:rFonts w:hint="eastAsia" w:ascii="黑体" w:eastAsia="黑体"/>
          <w:color w:val="auto"/>
          <w:sz w:val="28"/>
          <w:szCs w:val="28"/>
          <w:highlight w:val="none"/>
        </w:rPr>
        <w:t>日</w:t>
      </w:r>
    </w:p>
    <w:p>
      <w:pPr>
        <w:jc w:val="center"/>
        <w:rPr>
          <w:b/>
          <w:color w:val="auto"/>
          <w:sz w:val="32"/>
          <w:highlight w:val="none"/>
        </w:rPr>
      </w:pPr>
    </w:p>
    <w:p>
      <w:pPr>
        <w:jc w:val="center"/>
        <w:rPr>
          <w:b/>
          <w:color w:val="auto"/>
          <w:sz w:val="32"/>
          <w:highlight w:val="none"/>
        </w:rPr>
      </w:pPr>
      <w:r>
        <w:rPr>
          <w:rFonts w:hint="eastAsia"/>
          <w:b/>
          <w:color w:val="auto"/>
          <w:sz w:val="32"/>
          <w:highlight w:val="none"/>
        </w:rPr>
        <w:t>目　录</w:t>
      </w:r>
    </w:p>
    <w:p>
      <w:pPr>
        <w:pStyle w:val="27"/>
        <w:tabs>
          <w:tab w:val="right" w:leader="dot" w:pos="9921"/>
        </w:tabs>
        <w:rPr>
          <w:color w:val="auto"/>
          <w:highlight w:val="none"/>
        </w:rPr>
      </w:pPr>
      <w:r>
        <w:rPr>
          <w:rFonts w:ascii="宋体" w:hAnsi="宋体"/>
          <w:bCs w:val="0"/>
          <w:i/>
          <w:iCs/>
          <w:color w:val="auto"/>
          <w:sz w:val="36"/>
          <w:szCs w:val="28"/>
          <w:highlight w:val="none"/>
        </w:rPr>
        <w:fldChar w:fldCharType="begin"/>
      </w:r>
      <w:r>
        <w:rPr>
          <w:rFonts w:ascii="宋体" w:hAnsi="宋体"/>
          <w:bCs w:val="0"/>
          <w:i/>
          <w:iCs/>
          <w:color w:val="auto"/>
          <w:sz w:val="36"/>
          <w:szCs w:val="28"/>
          <w:highlight w:val="none"/>
        </w:rPr>
        <w:instrText xml:space="preserve"> TOC \o "1-2" \h \z \u </w:instrText>
      </w:r>
      <w:r>
        <w:rPr>
          <w:rFonts w:ascii="宋体" w:hAnsi="宋体"/>
          <w:bCs w:val="0"/>
          <w:i/>
          <w:iCs/>
          <w:color w:val="auto"/>
          <w:sz w:val="36"/>
          <w:szCs w:val="28"/>
          <w:highlight w:val="none"/>
        </w:rPr>
        <w:fldChar w:fldCharType="separate"/>
      </w:r>
      <w:r>
        <w:rPr>
          <w:color w:val="auto"/>
          <w:highlight w:val="none"/>
        </w:rPr>
        <w:fldChar w:fldCharType="begin"/>
      </w:r>
      <w:r>
        <w:rPr>
          <w:color w:val="auto"/>
          <w:highlight w:val="none"/>
        </w:rPr>
        <w:instrText xml:space="preserve"> HYPERLINK \l "_Toc27377" </w:instrText>
      </w:r>
      <w:r>
        <w:rPr>
          <w:color w:val="auto"/>
          <w:highlight w:val="none"/>
        </w:rPr>
        <w:fldChar w:fldCharType="separate"/>
      </w:r>
      <w:r>
        <w:rPr>
          <w:rFonts w:hint="eastAsia"/>
          <w:color w:val="auto"/>
          <w:highlight w:val="none"/>
        </w:rPr>
        <w:t>第一章. 比选公告</w:t>
      </w:r>
      <w:r>
        <w:rPr>
          <w:color w:val="auto"/>
          <w:highlight w:val="none"/>
        </w:rPr>
        <w:tab/>
      </w:r>
      <w:r>
        <w:rPr>
          <w:color w:val="auto"/>
          <w:highlight w:val="none"/>
        </w:rPr>
        <w:fldChar w:fldCharType="begin"/>
      </w:r>
      <w:r>
        <w:rPr>
          <w:color w:val="auto"/>
          <w:highlight w:val="none"/>
        </w:rPr>
        <w:instrText xml:space="preserve"> PAGEREF _Toc27377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right" w:leader="dot" w:pos="9921"/>
        </w:tabs>
        <w:rPr>
          <w:color w:val="auto"/>
          <w:highlight w:val="none"/>
        </w:rPr>
      </w:pPr>
      <w:r>
        <w:rPr>
          <w:color w:val="auto"/>
          <w:highlight w:val="none"/>
        </w:rPr>
        <w:fldChar w:fldCharType="begin"/>
      </w:r>
      <w:r>
        <w:rPr>
          <w:color w:val="auto"/>
          <w:highlight w:val="none"/>
        </w:rPr>
        <w:instrText xml:space="preserve"> HYPERLINK \l "_Toc30859" </w:instrText>
      </w:r>
      <w:r>
        <w:rPr>
          <w:color w:val="auto"/>
          <w:highlight w:val="none"/>
        </w:rPr>
        <w:fldChar w:fldCharType="separate"/>
      </w:r>
      <w:r>
        <w:rPr>
          <w:rFonts w:hint="eastAsia"/>
          <w:color w:val="auto"/>
          <w:highlight w:val="none"/>
        </w:rPr>
        <w:t>第二章. 比选须知</w:t>
      </w:r>
      <w:r>
        <w:rPr>
          <w:color w:val="auto"/>
          <w:highlight w:val="none"/>
        </w:rPr>
        <w:tab/>
      </w:r>
      <w:r>
        <w:rPr>
          <w:color w:val="auto"/>
          <w:highlight w:val="none"/>
        </w:rPr>
        <w:fldChar w:fldCharType="begin"/>
      </w:r>
      <w:r>
        <w:rPr>
          <w:color w:val="auto"/>
          <w:highlight w:val="none"/>
        </w:rPr>
        <w:instrText xml:space="preserve"> PAGEREF _Toc30859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"_Toc9597" </w:instrText>
      </w:r>
      <w:r>
        <w:rPr>
          <w:color w:val="auto"/>
          <w:highlight w:val="none"/>
        </w:rPr>
        <w:fldChar w:fldCharType="separate"/>
      </w:r>
      <w:r>
        <w:rPr>
          <w:rFonts w:hint="eastAsia"/>
          <w:color w:val="auto"/>
          <w:highlight w:val="none"/>
        </w:rPr>
        <w:t>前附表</w:t>
      </w:r>
      <w:r>
        <w:rPr>
          <w:color w:val="auto"/>
          <w:highlight w:val="none"/>
        </w:rPr>
        <w:tab/>
      </w:r>
      <w:r>
        <w:rPr>
          <w:color w:val="auto"/>
          <w:highlight w:val="none"/>
        </w:rPr>
        <w:fldChar w:fldCharType="begin"/>
      </w:r>
      <w:r>
        <w:rPr>
          <w:color w:val="auto"/>
          <w:highlight w:val="none"/>
        </w:rPr>
        <w:instrText xml:space="preserve"> PAGEREF _Toc9597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"_Toc22232" </w:instrText>
      </w:r>
      <w:r>
        <w:rPr>
          <w:color w:val="auto"/>
          <w:highlight w:val="none"/>
        </w:rPr>
        <w:fldChar w:fldCharType="separate"/>
      </w:r>
      <w:r>
        <w:rPr>
          <w:rFonts w:asciiTheme="majorEastAsia" w:hAnsiTheme="majorEastAsia" w:eastAsiaTheme="majorEastAsia"/>
          <w:color w:val="auto"/>
          <w:szCs w:val="24"/>
          <w:highlight w:val="none"/>
        </w:rPr>
        <w:t xml:space="preserve">一、 </w:t>
      </w:r>
      <w:r>
        <w:rPr>
          <w:rFonts w:hint="eastAsia" w:asciiTheme="majorEastAsia" w:hAnsiTheme="majorEastAsia" w:eastAsiaTheme="majorEastAsia"/>
          <w:color w:val="auto"/>
          <w:szCs w:val="24"/>
          <w:highlight w:val="none"/>
        </w:rPr>
        <w:t>总  则</w:t>
      </w:r>
      <w:r>
        <w:rPr>
          <w:color w:val="auto"/>
          <w:highlight w:val="none"/>
        </w:rPr>
        <w:tab/>
      </w:r>
      <w:r>
        <w:rPr>
          <w:color w:val="auto"/>
          <w:highlight w:val="none"/>
        </w:rPr>
        <w:fldChar w:fldCharType="begin"/>
      </w:r>
      <w:r>
        <w:rPr>
          <w:color w:val="auto"/>
          <w:highlight w:val="none"/>
        </w:rPr>
        <w:instrText xml:space="preserve"> PAGEREF _Toc22232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"_Toc11748" </w:instrText>
      </w:r>
      <w:r>
        <w:rPr>
          <w:color w:val="auto"/>
          <w:highlight w:val="none"/>
        </w:rPr>
        <w:fldChar w:fldCharType="separate"/>
      </w:r>
      <w:r>
        <w:rPr>
          <w:rFonts w:asciiTheme="majorEastAsia" w:hAnsiTheme="majorEastAsia" w:eastAsiaTheme="majorEastAsia"/>
          <w:color w:val="auto"/>
          <w:szCs w:val="24"/>
          <w:highlight w:val="none"/>
        </w:rPr>
        <w:t xml:space="preserve">二、 </w:t>
      </w:r>
      <w:r>
        <w:rPr>
          <w:rFonts w:hint="eastAsia" w:asciiTheme="majorEastAsia" w:hAnsiTheme="majorEastAsia" w:eastAsiaTheme="majorEastAsia"/>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_Toc11748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"_Toc27738" </w:instrText>
      </w:r>
      <w:r>
        <w:rPr>
          <w:color w:val="auto"/>
          <w:highlight w:val="none"/>
        </w:rPr>
        <w:fldChar w:fldCharType="separate"/>
      </w:r>
      <w:r>
        <w:rPr>
          <w:rFonts w:asciiTheme="majorEastAsia" w:hAnsiTheme="majorEastAsia" w:eastAsiaTheme="majorEastAsia"/>
          <w:color w:val="auto"/>
          <w:szCs w:val="24"/>
          <w:highlight w:val="none"/>
        </w:rPr>
        <w:t xml:space="preserve">三、 </w:t>
      </w:r>
      <w:r>
        <w:rPr>
          <w:rFonts w:hint="eastAsia" w:asciiTheme="majorEastAsia" w:hAnsiTheme="majorEastAsia" w:eastAsiaTheme="majorEastAsia"/>
          <w:color w:val="auto"/>
          <w:szCs w:val="24"/>
          <w:highlight w:val="none"/>
        </w:rPr>
        <w:t>申请比选报价说明</w:t>
      </w:r>
      <w:r>
        <w:rPr>
          <w:color w:val="auto"/>
          <w:highlight w:val="none"/>
        </w:rPr>
        <w:tab/>
      </w:r>
      <w:r>
        <w:rPr>
          <w:color w:val="auto"/>
          <w:highlight w:val="none"/>
        </w:rPr>
        <w:fldChar w:fldCharType="begin"/>
      </w:r>
      <w:r>
        <w:rPr>
          <w:color w:val="auto"/>
          <w:highlight w:val="none"/>
        </w:rPr>
        <w:instrText xml:space="preserve"> PAGEREF _Toc27738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"_Toc5976" </w:instrText>
      </w:r>
      <w:r>
        <w:rPr>
          <w:color w:val="auto"/>
          <w:highlight w:val="none"/>
        </w:rPr>
        <w:fldChar w:fldCharType="separate"/>
      </w:r>
      <w:r>
        <w:rPr>
          <w:rFonts w:asciiTheme="majorEastAsia" w:hAnsiTheme="majorEastAsia" w:eastAsiaTheme="majorEastAsia"/>
          <w:color w:val="auto"/>
          <w:szCs w:val="24"/>
          <w:highlight w:val="none"/>
        </w:rPr>
        <w:t xml:space="preserve">四、 </w:t>
      </w:r>
      <w:r>
        <w:rPr>
          <w:rFonts w:hint="eastAsia" w:asciiTheme="majorEastAsia" w:hAnsiTheme="majorEastAsia" w:eastAsiaTheme="majorEastAsia"/>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_Toc5976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"_Toc4012" </w:instrText>
      </w:r>
      <w:r>
        <w:rPr>
          <w:color w:val="auto"/>
          <w:highlight w:val="none"/>
        </w:rPr>
        <w:fldChar w:fldCharType="separate"/>
      </w:r>
      <w:r>
        <w:rPr>
          <w:rFonts w:asciiTheme="majorEastAsia" w:hAnsiTheme="majorEastAsia" w:eastAsiaTheme="majorEastAsia"/>
          <w:color w:val="auto"/>
          <w:szCs w:val="24"/>
          <w:highlight w:val="none"/>
        </w:rPr>
        <w:t xml:space="preserve">五、 </w:t>
      </w:r>
      <w:r>
        <w:rPr>
          <w:rFonts w:hint="eastAsia" w:asciiTheme="majorEastAsia" w:hAnsiTheme="majorEastAsia" w:eastAsiaTheme="majorEastAsia"/>
          <w:color w:val="auto"/>
          <w:szCs w:val="24"/>
          <w:highlight w:val="none"/>
        </w:rPr>
        <w:t>比选申请文件的递交</w:t>
      </w:r>
      <w:r>
        <w:rPr>
          <w:color w:val="auto"/>
          <w:highlight w:val="none"/>
        </w:rPr>
        <w:tab/>
      </w:r>
      <w:r>
        <w:rPr>
          <w:color w:val="auto"/>
          <w:highlight w:val="none"/>
        </w:rPr>
        <w:fldChar w:fldCharType="begin"/>
      </w:r>
      <w:r>
        <w:rPr>
          <w:color w:val="auto"/>
          <w:highlight w:val="none"/>
        </w:rPr>
        <w:instrText xml:space="preserve"> PAGEREF _Toc4012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"_Toc30067" </w:instrText>
      </w:r>
      <w:r>
        <w:rPr>
          <w:color w:val="auto"/>
          <w:highlight w:val="none"/>
        </w:rPr>
        <w:fldChar w:fldCharType="separate"/>
      </w:r>
      <w:r>
        <w:rPr>
          <w:rFonts w:asciiTheme="majorEastAsia" w:hAnsiTheme="majorEastAsia" w:eastAsiaTheme="majorEastAsia"/>
          <w:color w:val="auto"/>
          <w:szCs w:val="24"/>
          <w:highlight w:val="none"/>
        </w:rPr>
        <w:t xml:space="preserve">六、 </w:t>
      </w:r>
      <w:r>
        <w:rPr>
          <w:rFonts w:hint="eastAsia" w:asciiTheme="majorEastAsia" w:hAnsiTheme="majorEastAsia" w:eastAsiaTheme="majorEastAsia"/>
          <w:color w:val="auto"/>
          <w:szCs w:val="24"/>
          <w:highlight w:val="none"/>
        </w:rPr>
        <w:t>评　审</w:t>
      </w:r>
      <w:r>
        <w:rPr>
          <w:color w:val="auto"/>
          <w:highlight w:val="none"/>
        </w:rPr>
        <w:tab/>
      </w:r>
      <w:r>
        <w:rPr>
          <w:color w:val="auto"/>
          <w:highlight w:val="none"/>
        </w:rPr>
        <w:fldChar w:fldCharType="begin"/>
      </w:r>
      <w:r>
        <w:rPr>
          <w:color w:val="auto"/>
          <w:highlight w:val="none"/>
        </w:rPr>
        <w:instrText xml:space="preserve"> PAGEREF _Toc30067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"_Toc26564" </w:instrText>
      </w:r>
      <w:r>
        <w:rPr>
          <w:color w:val="auto"/>
          <w:highlight w:val="none"/>
        </w:rPr>
        <w:fldChar w:fldCharType="separate"/>
      </w:r>
      <w:r>
        <w:rPr>
          <w:rFonts w:asciiTheme="majorEastAsia" w:hAnsiTheme="majorEastAsia" w:eastAsiaTheme="majorEastAsia"/>
          <w:color w:val="auto"/>
          <w:szCs w:val="24"/>
          <w:highlight w:val="none"/>
        </w:rPr>
        <w:t xml:space="preserve">七、 </w:t>
      </w:r>
      <w:r>
        <w:rPr>
          <w:rFonts w:hint="eastAsia" w:asciiTheme="majorEastAsia" w:hAnsiTheme="majorEastAsia" w:eastAsiaTheme="majorEastAsia"/>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_Toc26564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7"/>
        <w:tabs>
          <w:tab w:val="right" w:leader="dot" w:pos="9921"/>
        </w:tabs>
        <w:rPr>
          <w:color w:val="auto"/>
          <w:highlight w:val="none"/>
        </w:rPr>
      </w:pPr>
      <w:r>
        <w:rPr>
          <w:color w:val="auto"/>
          <w:highlight w:val="none"/>
        </w:rPr>
        <w:fldChar w:fldCharType="begin"/>
      </w:r>
      <w:r>
        <w:rPr>
          <w:color w:val="auto"/>
          <w:highlight w:val="none"/>
        </w:rPr>
        <w:instrText xml:space="preserve"> HYPERLINK \l "_Toc13839" </w:instrText>
      </w:r>
      <w:r>
        <w:rPr>
          <w:color w:val="auto"/>
          <w:highlight w:val="none"/>
        </w:rPr>
        <w:fldChar w:fldCharType="separate"/>
      </w:r>
      <w:r>
        <w:rPr>
          <w:rFonts w:hint="eastAsia"/>
          <w:color w:val="auto"/>
          <w:highlight w:val="none"/>
        </w:rPr>
        <w:t>第三章. 技术及需求</w:t>
      </w:r>
      <w:r>
        <w:rPr>
          <w:color w:val="auto"/>
          <w:highlight w:val="none"/>
        </w:rPr>
        <w:tab/>
      </w:r>
      <w:r>
        <w:rPr>
          <w:color w:val="auto"/>
          <w:highlight w:val="none"/>
        </w:rPr>
        <w:fldChar w:fldCharType="begin"/>
      </w:r>
      <w:r>
        <w:rPr>
          <w:color w:val="auto"/>
          <w:highlight w:val="none"/>
        </w:rPr>
        <w:instrText xml:space="preserve"> PAGEREF _Toc13839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7"/>
        <w:tabs>
          <w:tab w:val="right" w:leader="dot" w:pos="9921"/>
        </w:tabs>
        <w:rPr>
          <w:color w:val="auto"/>
          <w:highlight w:val="none"/>
        </w:rPr>
      </w:pPr>
      <w:r>
        <w:rPr>
          <w:color w:val="auto"/>
          <w:highlight w:val="none"/>
        </w:rPr>
        <w:fldChar w:fldCharType="begin"/>
      </w:r>
      <w:r>
        <w:rPr>
          <w:color w:val="auto"/>
          <w:highlight w:val="none"/>
        </w:rPr>
        <w:instrText xml:space="preserve"> HYPERLINK \l "_Toc27366" </w:instrText>
      </w:r>
      <w:r>
        <w:rPr>
          <w:color w:val="auto"/>
          <w:highlight w:val="none"/>
        </w:rPr>
        <w:fldChar w:fldCharType="separate"/>
      </w:r>
      <w:r>
        <w:rPr>
          <w:rFonts w:hint="eastAsia"/>
          <w:color w:val="auto"/>
          <w:highlight w:val="none"/>
        </w:rPr>
        <w:t>第四章. 评审细则</w:t>
      </w:r>
      <w:r>
        <w:rPr>
          <w:color w:val="auto"/>
          <w:highlight w:val="none"/>
        </w:rPr>
        <w:tab/>
      </w:r>
      <w:r>
        <w:rPr>
          <w:color w:val="auto"/>
          <w:highlight w:val="none"/>
        </w:rPr>
        <w:fldChar w:fldCharType="begin"/>
      </w:r>
      <w:r>
        <w:rPr>
          <w:color w:val="auto"/>
          <w:highlight w:val="none"/>
        </w:rPr>
        <w:instrText xml:space="preserve"> PAGEREF _Toc27366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7"/>
        <w:tabs>
          <w:tab w:val="right" w:leader="dot" w:pos="9921"/>
        </w:tabs>
        <w:rPr>
          <w:color w:val="auto"/>
          <w:highlight w:val="none"/>
        </w:rPr>
      </w:pPr>
      <w:r>
        <w:rPr>
          <w:color w:val="auto"/>
          <w:highlight w:val="none"/>
        </w:rPr>
        <w:fldChar w:fldCharType="begin"/>
      </w:r>
      <w:r>
        <w:rPr>
          <w:color w:val="auto"/>
          <w:highlight w:val="none"/>
        </w:rPr>
        <w:instrText xml:space="preserve"> HYPERLINK \l "_Toc32488" </w:instrText>
      </w:r>
      <w:r>
        <w:rPr>
          <w:color w:val="auto"/>
          <w:highlight w:val="none"/>
        </w:rPr>
        <w:fldChar w:fldCharType="separate"/>
      </w:r>
      <w:r>
        <w:rPr>
          <w:rFonts w:hint="eastAsia"/>
          <w:color w:val="auto"/>
          <w:highlight w:val="none"/>
        </w:rPr>
        <w:t>第五章. 合同正文（格式）</w:t>
      </w:r>
      <w:r>
        <w:rPr>
          <w:color w:val="auto"/>
          <w:highlight w:val="none"/>
        </w:rPr>
        <w:tab/>
      </w:r>
      <w:r>
        <w:rPr>
          <w:color w:val="auto"/>
          <w:highlight w:val="none"/>
        </w:rPr>
        <w:fldChar w:fldCharType="begin"/>
      </w:r>
      <w:r>
        <w:rPr>
          <w:color w:val="auto"/>
          <w:highlight w:val="none"/>
        </w:rPr>
        <w:instrText xml:space="preserve"> PAGEREF _Toc32488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"_Toc13887" </w:instrText>
      </w:r>
      <w:r>
        <w:rPr>
          <w:color w:val="auto"/>
          <w:highlight w:val="none"/>
        </w:rPr>
        <w:fldChar w:fldCharType="separate"/>
      </w:r>
      <w:r>
        <w:rPr>
          <w:color w:val="auto"/>
          <w:highlight w:val="none"/>
        </w:rPr>
        <w:t xml:space="preserve">1. </w:t>
      </w:r>
      <w:r>
        <w:rPr>
          <w:rFonts w:hint="eastAsia"/>
          <w:color w:val="auto"/>
          <w:highlight w:val="none"/>
        </w:rPr>
        <w:t>定义和法律</w:t>
      </w:r>
      <w:r>
        <w:rPr>
          <w:color w:val="auto"/>
          <w:highlight w:val="none"/>
        </w:rPr>
        <w:tab/>
      </w:r>
      <w:r>
        <w:rPr>
          <w:color w:val="auto"/>
          <w:highlight w:val="none"/>
        </w:rPr>
        <w:fldChar w:fldCharType="begin"/>
      </w:r>
      <w:r>
        <w:rPr>
          <w:color w:val="auto"/>
          <w:highlight w:val="none"/>
        </w:rPr>
        <w:instrText xml:space="preserve"> PAGEREF _Toc13887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"_Toc21840" </w:instrText>
      </w:r>
      <w:r>
        <w:rPr>
          <w:color w:val="auto"/>
          <w:highlight w:val="none"/>
        </w:rPr>
        <w:fldChar w:fldCharType="separate"/>
      </w:r>
      <w:r>
        <w:rPr>
          <w:color w:val="auto"/>
          <w:highlight w:val="none"/>
        </w:rPr>
        <w:t xml:space="preserve">2. </w:t>
      </w:r>
      <w:r>
        <w:rPr>
          <w:rFonts w:hint="eastAsia"/>
          <w:color w:val="auto"/>
          <w:highlight w:val="none"/>
        </w:rPr>
        <w:t>合同标的</w:t>
      </w:r>
      <w:r>
        <w:rPr>
          <w:color w:val="auto"/>
          <w:highlight w:val="none"/>
        </w:rPr>
        <w:tab/>
      </w:r>
      <w:r>
        <w:rPr>
          <w:color w:val="auto"/>
          <w:highlight w:val="none"/>
        </w:rPr>
        <w:fldChar w:fldCharType="begin"/>
      </w:r>
      <w:r>
        <w:rPr>
          <w:color w:val="auto"/>
          <w:highlight w:val="none"/>
        </w:rPr>
        <w:instrText xml:space="preserve"> PAGEREF _Toc21840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"_Toc2893" </w:instrText>
      </w:r>
      <w:r>
        <w:rPr>
          <w:color w:val="auto"/>
          <w:highlight w:val="none"/>
        </w:rPr>
        <w:fldChar w:fldCharType="separate"/>
      </w:r>
      <w:r>
        <w:rPr>
          <w:color w:val="auto"/>
          <w:highlight w:val="none"/>
        </w:rPr>
        <w:t xml:space="preserve">3. </w:t>
      </w:r>
      <w:r>
        <w:rPr>
          <w:rFonts w:hint="eastAsia"/>
          <w:color w:val="auto"/>
          <w:highlight w:val="none"/>
        </w:rPr>
        <w:t>合同价格</w:t>
      </w:r>
      <w:r>
        <w:rPr>
          <w:color w:val="auto"/>
          <w:highlight w:val="none"/>
        </w:rPr>
        <w:tab/>
      </w:r>
      <w:r>
        <w:rPr>
          <w:color w:val="auto"/>
          <w:highlight w:val="none"/>
        </w:rPr>
        <w:fldChar w:fldCharType="begin"/>
      </w:r>
      <w:r>
        <w:rPr>
          <w:color w:val="auto"/>
          <w:highlight w:val="none"/>
        </w:rPr>
        <w:instrText xml:space="preserve"> PAGEREF _Toc2893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"_Toc18553" </w:instrText>
      </w:r>
      <w:r>
        <w:rPr>
          <w:color w:val="auto"/>
          <w:highlight w:val="none"/>
        </w:rPr>
        <w:fldChar w:fldCharType="separate"/>
      </w:r>
      <w:r>
        <w:rPr>
          <w:color w:val="auto"/>
          <w:highlight w:val="none"/>
        </w:rPr>
        <w:t xml:space="preserve">4. </w:t>
      </w:r>
      <w:r>
        <w:rPr>
          <w:rFonts w:hint="eastAsia"/>
          <w:color w:val="auto"/>
          <w:highlight w:val="none"/>
        </w:rPr>
        <w:t>交货</w:t>
      </w:r>
      <w:r>
        <w:rPr>
          <w:color w:val="auto"/>
          <w:highlight w:val="none"/>
        </w:rPr>
        <w:tab/>
      </w:r>
      <w:r>
        <w:rPr>
          <w:color w:val="auto"/>
          <w:highlight w:val="none"/>
        </w:rPr>
        <w:fldChar w:fldCharType="begin"/>
      </w:r>
      <w:r>
        <w:rPr>
          <w:color w:val="auto"/>
          <w:highlight w:val="none"/>
        </w:rPr>
        <w:instrText xml:space="preserve"> PAGEREF _Toc18553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"_Toc27000" </w:instrText>
      </w:r>
      <w:r>
        <w:rPr>
          <w:color w:val="auto"/>
          <w:highlight w:val="none"/>
        </w:rPr>
        <w:fldChar w:fldCharType="separate"/>
      </w:r>
      <w:r>
        <w:rPr>
          <w:color w:val="auto"/>
          <w:highlight w:val="none"/>
        </w:rPr>
        <w:t xml:space="preserve">5. </w:t>
      </w:r>
      <w:r>
        <w:rPr>
          <w:rFonts w:hint="eastAsia"/>
          <w:color w:val="auto"/>
          <w:highlight w:val="none"/>
        </w:rPr>
        <w:t>合同文件和资料</w:t>
      </w:r>
      <w:r>
        <w:rPr>
          <w:color w:val="auto"/>
          <w:highlight w:val="none"/>
        </w:rPr>
        <w:tab/>
      </w:r>
      <w:r>
        <w:rPr>
          <w:color w:val="auto"/>
          <w:highlight w:val="none"/>
        </w:rPr>
        <w:fldChar w:fldCharType="begin"/>
      </w:r>
      <w:r>
        <w:rPr>
          <w:color w:val="auto"/>
          <w:highlight w:val="none"/>
        </w:rPr>
        <w:instrText xml:space="preserve"> PAGEREF _Toc27000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"_Toc23335" </w:instrText>
      </w:r>
      <w:r>
        <w:rPr>
          <w:color w:val="auto"/>
          <w:highlight w:val="none"/>
        </w:rPr>
        <w:fldChar w:fldCharType="separate"/>
      </w:r>
      <w:r>
        <w:rPr>
          <w:color w:val="auto"/>
          <w:highlight w:val="none"/>
        </w:rPr>
        <w:t xml:space="preserve">6. </w:t>
      </w:r>
      <w:r>
        <w:rPr>
          <w:rFonts w:hint="eastAsia"/>
          <w:color w:val="auto"/>
          <w:highlight w:val="none"/>
        </w:rPr>
        <w:t>知识产权</w:t>
      </w:r>
      <w:r>
        <w:rPr>
          <w:color w:val="auto"/>
          <w:highlight w:val="none"/>
        </w:rPr>
        <w:tab/>
      </w:r>
      <w:r>
        <w:rPr>
          <w:color w:val="auto"/>
          <w:highlight w:val="none"/>
        </w:rPr>
        <w:fldChar w:fldCharType="begin"/>
      </w:r>
      <w:r>
        <w:rPr>
          <w:color w:val="auto"/>
          <w:highlight w:val="none"/>
        </w:rPr>
        <w:instrText xml:space="preserve"> PAGEREF _Toc23335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"_Toc11658" </w:instrText>
      </w:r>
      <w:r>
        <w:rPr>
          <w:color w:val="auto"/>
          <w:highlight w:val="none"/>
        </w:rPr>
        <w:fldChar w:fldCharType="separate"/>
      </w:r>
      <w:r>
        <w:rPr>
          <w:color w:val="auto"/>
          <w:highlight w:val="none"/>
        </w:rPr>
        <w:t xml:space="preserve">7. </w:t>
      </w:r>
      <w:r>
        <w:rPr>
          <w:rFonts w:hint="eastAsia"/>
          <w:color w:val="auto"/>
          <w:highlight w:val="none"/>
        </w:rPr>
        <w:t>履约保证金</w:t>
      </w:r>
      <w:r>
        <w:rPr>
          <w:color w:val="auto"/>
          <w:highlight w:val="none"/>
        </w:rPr>
        <w:tab/>
      </w:r>
      <w:r>
        <w:rPr>
          <w:color w:val="auto"/>
          <w:highlight w:val="none"/>
        </w:rPr>
        <w:fldChar w:fldCharType="begin"/>
      </w:r>
      <w:r>
        <w:rPr>
          <w:color w:val="auto"/>
          <w:highlight w:val="none"/>
        </w:rPr>
        <w:instrText xml:space="preserve"> PAGEREF _Toc11658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"_Toc4031" </w:instrText>
      </w:r>
      <w:r>
        <w:rPr>
          <w:color w:val="auto"/>
          <w:highlight w:val="none"/>
        </w:rPr>
        <w:fldChar w:fldCharType="separate"/>
      </w:r>
      <w:r>
        <w:rPr>
          <w:color w:val="auto"/>
          <w:highlight w:val="none"/>
        </w:rPr>
        <w:t xml:space="preserve">8. </w:t>
      </w:r>
      <w:r>
        <w:rPr>
          <w:rFonts w:hint="eastAsia"/>
          <w:color w:val="auto"/>
          <w:highlight w:val="none"/>
        </w:rPr>
        <w:t>包装</w:t>
      </w:r>
      <w:r>
        <w:rPr>
          <w:color w:val="auto"/>
          <w:highlight w:val="none"/>
        </w:rPr>
        <w:tab/>
      </w:r>
      <w:r>
        <w:rPr>
          <w:color w:val="auto"/>
          <w:highlight w:val="none"/>
        </w:rPr>
        <w:fldChar w:fldCharType="begin"/>
      </w:r>
      <w:r>
        <w:rPr>
          <w:color w:val="auto"/>
          <w:highlight w:val="none"/>
        </w:rPr>
        <w:instrText xml:space="preserve"> PAGEREF _Toc4031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"_Toc11762" </w:instrText>
      </w:r>
      <w:r>
        <w:rPr>
          <w:color w:val="auto"/>
          <w:highlight w:val="none"/>
        </w:rPr>
        <w:fldChar w:fldCharType="separate"/>
      </w:r>
      <w:r>
        <w:rPr>
          <w:color w:val="auto"/>
          <w:highlight w:val="none"/>
        </w:rPr>
        <w:t xml:space="preserve">9. </w:t>
      </w:r>
      <w:r>
        <w:rPr>
          <w:rFonts w:hint="eastAsia"/>
          <w:color w:val="auto"/>
          <w:highlight w:val="none"/>
        </w:rPr>
        <w:t>验收</w:t>
      </w:r>
      <w:r>
        <w:rPr>
          <w:color w:val="auto"/>
          <w:highlight w:val="none"/>
        </w:rPr>
        <w:tab/>
      </w:r>
      <w:r>
        <w:rPr>
          <w:color w:val="auto"/>
          <w:highlight w:val="none"/>
        </w:rPr>
        <w:fldChar w:fldCharType="begin"/>
      </w:r>
      <w:r>
        <w:rPr>
          <w:color w:val="auto"/>
          <w:highlight w:val="none"/>
        </w:rPr>
        <w:instrText xml:space="preserve"> PAGEREF _Toc11762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"_Toc21014" </w:instrText>
      </w:r>
      <w:r>
        <w:rPr>
          <w:color w:val="auto"/>
          <w:highlight w:val="none"/>
        </w:rPr>
        <w:fldChar w:fldCharType="separate"/>
      </w:r>
      <w:r>
        <w:rPr>
          <w:color w:val="auto"/>
          <w:highlight w:val="none"/>
        </w:rPr>
        <w:t xml:space="preserve">10. </w:t>
      </w:r>
      <w:r>
        <w:rPr>
          <w:rFonts w:hint="eastAsia"/>
          <w:color w:val="auto"/>
          <w:highlight w:val="none"/>
        </w:rPr>
        <w:t>质量标准、质保期和质保服务</w:t>
      </w:r>
      <w:r>
        <w:rPr>
          <w:color w:val="auto"/>
          <w:highlight w:val="none"/>
        </w:rPr>
        <w:tab/>
      </w:r>
      <w:r>
        <w:rPr>
          <w:color w:val="auto"/>
          <w:highlight w:val="none"/>
        </w:rPr>
        <w:fldChar w:fldCharType="begin"/>
      </w:r>
      <w:r>
        <w:rPr>
          <w:color w:val="auto"/>
          <w:highlight w:val="none"/>
        </w:rPr>
        <w:instrText xml:space="preserve"> PAGEREF _Toc21014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"_Toc16871" </w:instrText>
      </w:r>
      <w:r>
        <w:rPr>
          <w:color w:val="auto"/>
          <w:highlight w:val="none"/>
        </w:rPr>
        <w:fldChar w:fldCharType="separate"/>
      </w:r>
      <w:r>
        <w:rPr>
          <w:color w:val="auto"/>
          <w:highlight w:val="none"/>
        </w:rPr>
        <w:t xml:space="preserve">11. </w:t>
      </w:r>
      <w:r>
        <w:rPr>
          <w:rFonts w:hint="eastAsia"/>
          <w:color w:val="auto"/>
          <w:highlight w:val="none"/>
        </w:rPr>
        <w:t>所有权与风险转移</w:t>
      </w:r>
      <w:r>
        <w:rPr>
          <w:color w:val="auto"/>
          <w:highlight w:val="none"/>
        </w:rPr>
        <w:tab/>
      </w:r>
      <w:r>
        <w:rPr>
          <w:color w:val="auto"/>
          <w:highlight w:val="none"/>
        </w:rPr>
        <w:fldChar w:fldCharType="begin"/>
      </w:r>
      <w:r>
        <w:rPr>
          <w:color w:val="auto"/>
          <w:highlight w:val="none"/>
        </w:rPr>
        <w:instrText xml:space="preserve"> PAGEREF _Toc16871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"_Toc5226" </w:instrText>
      </w:r>
      <w:r>
        <w:rPr>
          <w:color w:val="auto"/>
          <w:highlight w:val="none"/>
        </w:rPr>
        <w:fldChar w:fldCharType="separate"/>
      </w:r>
      <w:r>
        <w:rPr>
          <w:color w:val="auto"/>
          <w:highlight w:val="none"/>
        </w:rPr>
        <w:t xml:space="preserve">12. </w:t>
      </w:r>
      <w:r>
        <w:rPr>
          <w:rFonts w:hint="eastAsia"/>
          <w:color w:val="auto"/>
          <w:highlight w:val="none"/>
        </w:rPr>
        <w:t>付款</w:t>
      </w:r>
      <w:r>
        <w:rPr>
          <w:color w:val="auto"/>
          <w:highlight w:val="none"/>
        </w:rPr>
        <w:tab/>
      </w:r>
      <w:r>
        <w:rPr>
          <w:color w:val="auto"/>
          <w:highlight w:val="none"/>
        </w:rPr>
        <w:fldChar w:fldCharType="begin"/>
      </w:r>
      <w:r>
        <w:rPr>
          <w:color w:val="auto"/>
          <w:highlight w:val="none"/>
        </w:rPr>
        <w:instrText xml:space="preserve"> PAGEREF _Toc5226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"_Toc21231" </w:instrText>
      </w:r>
      <w:r>
        <w:rPr>
          <w:color w:val="auto"/>
          <w:highlight w:val="none"/>
        </w:rPr>
        <w:fldChar w:fldCharType="separate"/>
      </w:r>
      <w:r>
        <w:rPr>
          <w:color w:val="auto"/>
          <w:highlight w:val="none"/>
        </w:rPr>
        <w:t xml:space="preserve">13. </w:t>
      </w:r>
      <w:r>
        <w:rPr>
          <w:rFonts w:hint="eastAsia"/>
          <w:color w:val="auto"/>
          <w:highlight w:val="none"/>
        </w:rPr>
        <w:t>违约责任</w:t>
      </w:r>
      <w:r>
        <w:rPr>
          <w:color w:val="auto"/>
          <w:highlight w:val="none"/>
        </w:rPr>
        <w:tab/>
      </w:r>
      <w:r>
        <w:rPr>
          <w:color w:val="auto"/>
          <w:highlight w:val="none"/>
        </w:rPr>
        <w:fldChar w:fldCharType="begin"/>
      </w:r>
      <w:r>
        <w:rPr>
          <w:color w:val="auto"/>
          <w:highlight w:val="none"/>
        </w:rPr>
        <w:instrText xml:space="preserve"> PAGEREF _Toc21231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"_Toc24935" </w:instrText>
      </w:r>
      <w:r>
        <w:rPr>
          <w:color w:val="auto"/>
          <w:highlight w:val="none"/>
        </w:rPr>
        <w:fldChar w:fldCharType="separate"/>
      </w:r>
      <w:r>
        <w:rPr>
          <w:color w:val="auto"/>
          <w:highlight w:val="none"/>
        </w:rPr>
        <w:t xml:space="preserve">14. </w:t>
      </w:r>
      <w:r>
        <w:rPr>
          <w:rFonts w:hint="eastAsia"/>
          <w:color w:val="auto"/>
          <w:highlight w:val="none"/>
        </w:rPr>
        <w:t>不可抗力</w:t>
      </w:r>
      <w:r>
        <w:rPr>
          <w:color w:val="auto"/>
          <w:highlight w:val="none"/>
        </w:rPr>
        <w:tab/>
      </w:r>
      <w:r>
        <w:rPr>
          <w:color w:val="auto"/>
          <w:highlight w:val="none"/>
        </w:rPr>
        <w:fldChar w:fldCharType="begin"/>
      </w:r>
      <w:r>
        <w:rPr>
          <w:color w:val="auto"/>
          <w:highlight w:val="none"/>
        </w:rPr>
        <w:instrText xml:space="preserve"> PAGEREF _Toc24935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"_Toc21334" </w:instrText>
      </w:r>
      <w:r>
        <w:rPr>
          <w:color w:val="auto"/>
          <w:highlight w:val="none"/>
        </w:rPr>
        <w:fldChar w:fldCharType="separate"/>
      </w:r>
      <w:r>
        <w:rPr>
          <w:color w:val="auto"/>
          <w:highlight w:val="none"/>
        </w:rPr>
        <w:t xml:space="preserve">15. </w:t>
      </w:r>
      <w:r>
        <w:rPr>
          <w:rFonts w:hint="eastAsia"/>
          <w:color w:val="auto"/>
          <w:highlight w:val="none"/>
        </w:rPr>
        <w:t>税费</w:t>
      </w:r>
      <w:r>
        <w:rPr>
          <w:color w:val="auto"/>
          <w:highlight w:val="none"/>
        </w:rPr>
        <w:tab/>
      </w:r>
      <w:r>
        <w:rPr>
          <w:color w:val="auto"/>
          <w:highlight w:val="none"/>
        </w:rPr>
        <w:fldChar w:fldCharType="begin"/>
      </w:r>
      <w:r>
        <w:rPr>
          <w:color w:val="auto"/>
          <w:highlight w:val="none"/>
        </w:rPr>
        <w:instrText xml:space="preserve"> PAGEREF _Toc21334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"_Toc29490" </w:instrText>
      </w:r>
      <w:r>
        <w:rPr>
          <w:color w:val="auto"/>
          <w:highlight w:val="none"/>
        </w:rPr>
        <w:fldChar w:fldCharType="separate"/>
      </w:r>
      <w:r>
        <w:rPr>
          <w:color w:val="auto"/>
          <w:highlight w:val="none"/>
        </w:rPr>
        <w:t xml:space="preserve">16. </w:t>
      </w:r>
      <w:r>
        <w:rPr>
          <w:rFonts w:hint="eastAsia"/>
          <w:color w:val="auto"/>
          <w:highlight w:val="none"/>
        </w:rPr>
        <w:t>变更指示</w:t>
      </w:r>
      <w:r>
        <w:rPr>
          <w:color w:val="auto"/>
          <w:highlight w:val="none"/>
        </w:rPr>
        <w:tab/>
      </w:r>
      <w:r>
        <w:rPr>
          <w:color w:val="auto"/>
          <w:highlight w:val="none"/>
        </w:rPr>
        <w:fldChar w:fldCharType="begin"/>
      </w:r>
      <w:r>
        <w:rPr>
          <w:color w:val="auto"/>
          <w:highlight w:val="none"/>
        </w:rPr>
        <w:instrText xml:space="preserve"> PAGEREF _Toc29490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"_Toc2451" </w:instrText>
      </w:r>
      <w:r>
        <w:rPr>
          <w:color w:val="auto"/>
          <w:highlight w:val="none"/>
        </w:rPr>
        <w:fldChar w:fldCharType="separate"/>
      </w:r>
      <w:r>
        <w:rPr>
          <w:color w:val="auto"/>
          <w:highlight w:val="none"/>
        </w:rPr>
        <w:t xml:space="preserve">17. </w:t>
      </w:r>
      <w:r>
        <w:rPr>
          <w:rFonts w:hint="eastAsia"/>
          <w:color w:val="auto"/>
          <w:highlight w:val="none"/>
        </w:rPr>
        <w:t>转让和分包</w:t>
      </w:r>
      <w:r>
        <w:rPr>
          <w:color w:val="auto"/>
          <w:highlight w:val="none"/>
        </w:rPr>
        <w:tab/>
      </w:r>
      <w:r>
        <w:rPr>
          <w:color w:val="auto"/>
          <w:highlight w:val="none"/>
        </w:rPr>
        <w:fldChar w:fldCharType="begin"/>
      </w:r>
      <w:r>
        <w:rPr>
          <w:color w:val="auto"/>
          <w:highlight w:val="none"/>
        </w:rPr>
        <w:instrText xml:space="preserve"> PAGEREF _Toc2451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"_Toc8129" </w:instrText>
      </w:r>
      <w:r>
        <w:rPr>
          <w:color w:val="auto"/>
          <w:highlight w:val="none"/>
        </w:rPr>
        <w:fldChar w:fldCharType="separate"/>
      </w:r>
      <w:r>
        <w:rPr>
          <w:color w:val="auto"/>
          <w:highlight w:val="none"/>
        </w:rPr>
        <w:t xml:space="preserve">18. </w:t>
      </w:r>
      <w:r>
        <w:rPr>
          <w:rFonts w:hint="eastAsia"/>
          <w:color w:val="auto"/>
          <w:highlight w:val="none"/>
        </w:rPr>
        <w:t>争端处理</w:t>
      </w:r>
      <w:r>
        <w:rPr>
          <w:color w:val="auto"/>
          <w:highlight w:val="none"/>
        </w:rPr>
        <w:tab/>
      </w:r>
      <w:r>
        <w:rPr>
          <w:color w:val="auto"/>
          <w:highlight w:val="none"/>
        </w:rPr>
        <w:fldChar w:fldCharType="begin"/>
      </w:r>
      <w:r>
        <w:rPr>
          <w:color w:val="auto"/>
          <w:highlight w:val="none"/>
        </w:rPr>
        <w:instrText xml:space="preserve"> PAGEREF _Toc8129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"_Toc24501" </w:instrText>
      </w:r>
      <w:r>
        <w:rPr>
          <w:color w:val="auto"/>
          <w:highlight w:val="none"/>
        </w:rPr>
        <w:fldChar w:fldCharType="separate"/>
      </w:r>
      <w:r>
        <w:rPr>
          <w:color w:val="auto"/>
          <w:highlight w:val="none"/>
        </w:rPr>
        <w:t xml:space="preserve">19. </w:t>
      </w:r>
      <w:r>
        <w:rPr>
          <w:rFonts w:hint="eastAsia"/>
          <w:color w:val="auto"/>
          <w:highlight w:val="none"/>
        </w:rPr>
        <w:t>合同生效及其它</w:t>
      </w:r>
      <w:r>
        <w:rPr>
          <w:color w:val="auto"/>
          <w:highlight w:val="none"/>
        </w:rPr>
        <w:tab/>
      </w:r>
      <w:r>
        <w:rPr>
          <w:color w:val="auto"/>
          <w:highlight w:val="none"/>
        </w:rPr>
        <w:fldChar w:fldCharType="begin"/>
      </w:r>
      <w:r>
        <w:rPr>
          <w:color w:val="auto"/>
          <w:highlight w:val="none"/>
        </w:rPr>
        <w:instrText xml:space="preserve"> PAGEREF _Toc24501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"_Toc11537" </w:instrText>
      </w:r>
      <w:r>
        <w:rPr>
          <w:color w:val="auto"/>
          <w:highlight w:val="none"/>
        </w:rPr>
        <w:fldChar w:fldCharType="separate"/>
      </w:r>
      <w:r>
        <w:rPr>
          <w:rFonts w:hint="eastAsia"/>
          <w:color w:val="auto"/>
          <w:highlight w:val="none"/>
        </w:rPr>
        <w:t>廉 政 合 同</w:t>
      </w:r>
      <w:r>
        <w:rPr>
          <w:color w:val="auto"/>
          <w:highlight w:val="none"/>
        </w:rPr>
        <w:tab/>
      </w:r>
      <w:r>
        <w:rPr>
          <w:color w:val="auto"/>
          <w:highlight w:val="none"/>
        </w:rPr>
        <w:fldChar w:fldCharType="begin"/>
      </w:r>
      <w:r>
        <w:rPr>
          <w:color w:val="auto"/>
          <w:highlight w:val="none"/>
        </w:rPr>
        <w:instrText xml:space="preserve"> PAGEREF _Toc11537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"_Toc8007" </w:instrText>
      </w:r>
      <w:r>
        <w:rPr>
          <w:color w:val="auto"/>
          <w:highlight w:val="none"/>
        </w:rPr>
        <w:fldChar w:fldCharType="separate"/>
      </w:r>
      <w:r>
        <w:rPr>
          <w:rFonts w:hint="eastAsia"/>
          <w:color w:val="auto"/>
          <w:highlight w:val="none"/>
        </w:rPr>
        <w:t>三方协议</w:t>
      </w:r>
      <w:r>
        <w:rPr>
          <w:color w:val="auto"/>
          <w:highlight w:val="none"/>
        </w:rPr>
        <w:tab/>
      </w:r>
      <w:r>
        <w:rPr>
          <w:color w:val="auto"/>
          <w:highlight w:val="none"/>
        </w:rPr>
        <w:fldChar w:fldCharType="begin"/>
      </w:r>
      <w:r>
        <w:rPr>
          <w:color w:val="auto"/>
          <w:highlight w:val="none"/>
        </w:rPr>
        <w:instrText xml:space="preserve"> PAGEREF _Toc8007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7"/>
        <w:tabs>
          <w:tab w:val="right" w:leader="dot" w:pos="9921"/>
        </w:tabs>
        <w:rPr>
          <w:color w:val="auto"/>
          <w:highlight w:val="none"/>
        </w:rPr>
      </w:pPr>
      <w:r>
        <w:rPr>
          <w:color w:val="auto"/>
          <w:highlight w:val="none"/>
        </w:rPr>
        <w:fldChar w:fldCharType="begin"/>
      </w:r>
      <w:r>
        <w:rPr>
          <w:color w:val="auto"/>
          <w:highlight w:val="none"/>
        </w:rPr>
        <w:instrText xml:space="preserve"> HYPERLINK \l "_Toc10664" </w:instrText>
      </w:r>
      <w:r>
        <w:rPr>
          <w:color w:val="auto"/>
          <w:highlight w:val="none"/>
        </w:rPr>
        <w:fldChar w:fldCharType="separate"/>
      </w:r>
      <w:r>
        <w:rPr>
          <w:rFonts w:hint="eastAsia"/>
          <w:color w:val="auto"/>
          <w:highlight w:val="none"/>
        </w:rPr>
        <w:t>第六章. 比选申请文件（格式）</w:t>
      </w:r>
      <w:r>
        <w:rPr>
          <w:color w:val="auto"/>
          <w:highlight w:val="none"/>
        </w:rPr>
        <w:tab/>
      </w:r>
      <w:r>
        <w:rPr>
          <w:color w:val="auto"/>
          <w:highlight w:val="none"/>
        </w:rPr>
        <w:fldChar w:fldCharType="begin"/>
      </w:r>
      <w:r>
        <w:rPr>
          <w:color w:val="auto"/>
          <w:highlight w:val="none"/>
        </w:rPr>
        <w:instrText xml:space="preserve"> PAGEREF _Toc10664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"_Toc27678" </w:instrText>
      </w:r>
      <w:r>
        <w:rPr>
          <w:color w:val="auto"/>
          <w:highlight w:val="none"/>
        </w:rPr>
        <w:fldChar w:fldCharType="separate"/>
      </w:r>
      <w:r>
        <w:rPr>
          <w:rFonts w:hint="eastAsia"/>
          <w:color w:val="auto"/>
          <w:highlight w:val="none"/>
        </w:rPr>
        <w:t>资格审查部分</w:t>
      </w:r>
      <w:r>
        <w:rPr>
          <w:color w:val="auto"/>
          <w:highlight w:val="none"/>
        </w:rPr>
        <w:tab/>
      </w:r>
      <w:r>
        <w:rPr>
          <w:color w:val="auto"/>
          <w:highlight w:val="none"/>
        </w:rPr>
        <w:fldChar w:fldCharType="begin"/>
      </w:r>
      <w:r>
        <w:rPr>
          <w:color w:val="auto"/>
          <w:highlight w:val="none"/>
        </w:rPr>
        <w:instrText xml:space="preserve"> PAGEREF _Toc27678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"_Toc18416" </w:instrText>
      </w:r>
      <w:r>
        <w:rPr>
          <w:color w:val="auto"/>
          <w:highlight w:val="none"/>
        </w:rPr>
        <w:fldChar w:fldCharType="separate"/>
      </w:r>
      <w:r>
        <w:rPr>
          <w:rFonts w:hint="eastAsia"/>
          <w:color w:val="auto"/>
          <w:highlight w:val="none"/>
        </w:rPr>
        <w:t>技术部分</w:t>
      </w:r>
      <w:r>
        <w:rPr>
          <w:color w:val="auto"/>
          <w:highlight w:val="none"/>
        </w:rPr>
        <w:tab/>
      </w:r>
      <w:r>
        <w:rPr>
          <w:color w:val="auto"/>
          <w:highlight w:val="none"/>
        </w:rPr>
        <w:fldChar w:fldCharType="begin"/>
      </w:r>
      <w:r>
        <w:rPr>
          <w:color w:val="auto"/>
          <w:highlight w:val="none"/>
        </w:rPr>
        <w:instrText xml:space="preserve"> PAGEREF _Toc18416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31"/>
        <w:tabs>
          <w:tab w:val="right" w:leader="dot" w:pos="9921"/>
        </w:tabs>
        <w:rPr>
          <w:color w:val="auto"/>
          <w:highlight w:val="none"/>
        </w:rPr>
      </w:pPr>
      <w:r>
        <w:rPr>
          <w:color w:val="auto"/>
          <w:highlight w:val="none"/>
        </w:rPr>
        <w:fldChar w:fldCharType="begin"/>
      </w:r>
      <w:r>
        <w:rPr>
          <w:color w:val="auto"/>
          <w:highlight w:val="none"/>
        </w:rPr>
        <w:instrText xml:space="preserve"> HYPERLINK \l "_Toc4875" </w:instrText>
      </w:r>
      <w:r>
        <w:rPr>
          <w:color w:val="auto"/>
          <w:highlight w:val="none"/>
        </w:rPr>
        <w:fldChar w:fldCharType="separate"/>
      </w:r>
      <w:r>
        <w:rPr>
          <w:rFonts w:hint="eastAsia"/>
          <w:color w:val="auto"/>
          <w:highlight w:val="none"/>
        </w:rPr>
        <w:t>商务部分</w:t>
      </w:r>
      <w:r>
        <w:rPr>
          <w:color w:val="auto"/>
          <w:highlight w:val="none"/>
        </w:rPr>
        <w:tab/>
      </w:r>
      <w:r>
        <w:rPr>
          <w:color w:val="auto"/>
          <w:highlight w:val="none"/>
        </w:rPr>
        <w:fldChar w:fldCharType="begin"/>
      </w:r>
      <w:r>
        <w:rPr>
          <w:color w:val="auto"/>
          <w:highlight w:val="none"/>
        </w:rPr>
        <w:instrText xml:space="preserve"> PAGEREF _Toc4875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widowControl/>
        <w:spacing w:before="240" w:beforeLines="100"/>
        <w:jc w:val="left"/>
        <w:rPr>
          <w:rFonts w:ascii="宋体" w:hAnsi="宋体" w:cs="Arial"/>
          <w:bCs/>
          <w:color w:val="auto"/>
          <w:sz w:val="28"/>
          <w:szCs w:val="28"/>
          <w:highlight w:val="none"/>
        </w:rPr>
      </w:pPr>
      <w:r>
        <w:rPr>
          <w:rFonts w:ascii="宋体" w:hAnsi="宋体" w:cstheme="minorHAnsi"/>
          <w:bCs/>
          <w:i/>
          <w:iCs/>
          <w:color w:val="auto"/>
          <w:szCs w:val="28"/>
          <w:highlight w:val="none"/>
        </w:rPr>
        <w:fldChar w:fldCharType="end"/>
      </w:r>
      <w:r>
        <w:rPr>
          <w:rFonts w:ascii="宋体" w:hAnsi="宋体"/>
          <w:bCs/>
          <w:color w:val="auto"/>
          <w:szCs w:val="28"/>
          <w:highlight w:val="none"/>
        </w:rPr>
        <w:br w:type="page"/>
      </w:r>
    </w:p>
    <w:bookmarkEnd w:id="0"/>
    <w:bookmarkEnd w:id="1"/>
    <w:bookmarkEnd w:id="2"/>
    <w:p>
      <w:pPr>
        <w:pStyle w:val="33"/>
        <w:numPr>
          <w:ilvl w:val="0"/>
          <w:numId w:val="2"/>
        </w:numPr>
        <w:spacing w:before="100" w:beforeAutospacing="1" w:after="0"/>
        <w:rPr>
          <w:color w:val="auto"/>
          <w:sz w:val="24"/>
          <w:highlight w:val="none"/>
        </w:rPr>
      </w:pPr>
      <w:bookmarkStart w:id="3" w:name="_Toc27377"/>
      <w:bookmarkStart w:id="4" w:name="_Toc114052411"/>
      <w:bookmarkStart w:id="5" w:name="_Toc286386831"/>
      <w:bookmarkStart w:id="6" w:name="_Toc437544675"/>
      <w:bookmarkStart w:id="7" w:name="_Toc114052337"/>
      <w:bookmarkStart w:id="8" w:name="_Toc437544520"/>
      <w:bookmarkStart w:id="9" w:name="_Toc392862473"/>
      <w:r>
        <w:rPr>
          <w:rFonts w:hint="eastAsia"/>
          <w:color w:val="auto"/>
          <w:sz w:val="24"/>
          <w:highlight w:val="none"/>
        </w:rPr>
        <w:t>比选公告</w:t>
      </w:r>
      <w:bookmarkEnd w:id="3"/>
    </w:p>
    <w:p>
      <w:pPr>
        <w:spacing w:before="120" w:beforeLines="50"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南宁轨道交通集团有限责任公司运营分公司需采购</w:t>
      </w:r>
      <w:r>
        <w:rPr>
          <w:rFonts w:hint="eastAsia" w:cs="宋体" w:asciiTheme="minorEastAsia" w:hAnsiTheme="minorEastAsia"/>
          <w:color w:val="auto"/>
          <w:kern w:val="0"/>
          <w:sz w:val="24"/>
          <w:szCs w:val="24"/>
          <w:highlight w:val="none"/>
          <w:lang w:eastAsia="zh-CN"/>
        </w:rPr>
        <w:t>设备维修耗材</w:t>
      </w:r>
      <w:r>
        <w:rPr>
          <w:rFonts w:hint="eastAsia" w:cs="宋体" w:asciiTheme="minorEastAsia" w:hAnsiTheme="minorEastAsia"/>
          <w:color w:val="auto"/>
          <w:kern w:val="0"/>
          <w:sz w:val="24"/>
          <w:szCs w:val="24"/>
          <w:highlight w:val="none"/>
        </w:rPr>
        <w:t>一批，现邀请符合条件的供应商参加；比选发起人为南宁轨道交通集团有限责任公司运营分公司。</w:t>
      </w:r>
    </w:p>
    <w:p>
      <w:pPr>
        <w:pStyle w:val="47"/>
        <w:numPr>
          <w:ilvl w:val="0"/>
          <w:numId w:val="3"/>
        </w:numPr>
        <w:spacing w:before="120"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项目简况</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项目名称：南宁轨道交通集团有限责任公司运营分公司2018年</w:t>
      </w:r>
      <w:r>
        <w:rPr>
          <w:rFonts w:hint="eastAsia" w:cs="宋体" w:asciiTheme="minorEastAsia" w:hAnsiTheme="minorEastAsia"/>
          <w:color w:val="auto"/>
          <w:kern w:val="0"/>
          <w:sz w:val="24"/>
          <w:szCs w:val="24"/>
          <w:highlight w:val="none"/>
          <w:lang w:eastAsia="zh-CN"/>
        </w:rPr>
        <w:t>设备维修耗材</w:t>
      </w:r>
      <w:r>
        <w:rPr>
          <w:rFonts w:hint="eastAsia" w:cs="宋体" w:asciiTheme="minorEastAsia" w:hAnsiTheme="minorEastAsia"/>
          <w:color w:val="auto"/>
          <w:kern w:val="0"/>
          <w:sz w:val="24"/>
          <w:szCs w:val="24"/>
          <w:highlight w:val="none"/>
        </w:rPr>
        <w:t>采购项目。</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项目编号：</w:t>
      </w:r>
      <w:r>
        <w:rPr>
          <w:rFonts w:hint="eastAsia" w:cs="宋体" w:asciiTheme="minorEastAsia" w:hAnsiTheme="minorEastAsia"/>
          <w:color w:val="auto"/>
          <w:kern w:val="0"/>
          <w:sz w:val="24"/>
          <w:szCs w:val="24"/>
          <w:highlight w:val="none"/>
          <w:lang w:eastAsia="zh-CN"/>
        </w:rPr>
        <w:t>YY1/2/3-BX-HC-2018031</w:t>
      </w:r>
      <w:r>
        <w:rPr>
          <w:rFonts w:hint="eastAsia" w:cs="宋体" w:asciiTheme="minorEastAsia" w:hAnsiTheme="minorEastAsia"/>
          <w:color w:val="auto"/>
          <w:kern w:val="0"/>
          <w:sz w:val="24"/>
          <w:szCs w:val="24"/>
          <w:highlight w:val="none"/>
        </w:rPr>
        <w:t>。</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项目内容：本项目的供货及相关服务，如：</w:t>
      </w:r>
      <w:r>
        <w:rPr>
          <w:rFonts w:hint="eastAsia" w:cs="宋体" w:asciiTheme="minorEastAsia" w:hAnsiTheme="minorEastAsia"/>
          <w:color w:val="auto"/>
          <w:kern w:val="0"/>
          <w:sz w:val="24"/>
          <w:szCs w:val="24"/>
          <w:highlight w:val="none"/>
          <w:lang w:eastAsia="zh-CN"/>
        </w:rPr>
        <w:t>磁棒</w:t>
      </w:r>
      <w:r>
        <w:rPr>
          <w:rFonts w:hint="eastAsia"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lang w:eastAsia="zh-CN"/>
        </w:rPr>
        <w:t>阀门、轴承</w:t>
      </w:r>
      <w:r>
        <w:rPr>
          <w:rFonts w:hint="eastAsia" w:cs="宋体" w:asciiTheme="minorEastAsia" w:hAnsiTheme="minorEastAsia"/>
          <w:color w:val="auto"/>
          <w:kern w:val="0"/>
          <w:sz w:val="24"/>
          <w:szCs w:val="24"/>
          <w:highlight w:val="none"/>
        </w:rPr>
        <w:t>等。</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项目上限控制价：人民币</w:t>
      </w:r>
      <w:r>
        <w:rPr>
          <w:rFonts w:hint="eastAsia" w:cs="宋体" w:asciiTheme="minorEastAsia" w:hAnsiTheme="minorEastAsia"/>
          <w:color w:val="auto"/>
          <w:kern w:val="0"/>
          <w:sz w:val="24"/>
          <w:szCs w:val="24"/>
          <w:highlight w:val="none"/>
          <w:lang w:val="en-US" w:eastAsia="zh-CN"/>
        </w:rPr>
        <w:t>83.7万元。</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交货期限：</w:t>
      </w:r>
      <w:r>
        <w:rPr>
          <w:rFonts w:hint="eastAsia" w:cs="宋体" w:asciiTheme="minorEastAsia" w:hAnsiTheme="minorEastAsia"/>
          <w:color w:val="auto"/>
          <w:kern w:val="0"/>
          <w:sz w:val="24"/>
          <w:szCs w:val="24"/>
          <w:highlight w:val="none"/>
          <w:lang w:val="en-US" w:eastAsia="zh-CN"/>
        </w:rPr>
        <w:t>40</w:t>
      </w:r>
      <w:r>
        <w:rPr>
          <w:rFonts w:hint="eastAsia" w:cs="宋体" w:asciiTheme="minorEastAsia" w:hAnsiTheme="minorEastAsia"/>
          <w:color w:val="auto"/>
          <w:kern w:val="0"/>
          <w:sz w:val="24"/>
          <w:szCs w:val="24"/>
          <w:highlight w:val="none"/>
        </w:rPr>
        <w:t>天（中选通知书发出后，按交货通知交货）。</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本项目设有比选保证金、履约保证金、质保金，不设预付款。</w:t>
      </w:r>
    </w:p>
    <w:p>
      <w:pPr>
        <w:pStyle w:val="47"/>
        <w:numPr>
          <w:ilvl w:val="1"/>
          <w:numId w:val="4"/>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lang w:eastAsia="zh-CN"/>
        </w:rPr>
        <w:t>拟采用的采购方式：比选</w:t>
      </w:r>
      <w:r>
        <w:rPr>
          <w:rFonts w:hint="eastAsia" w:cs="宋体" w:asciiTheme="minorEastAsia" w:hAnsiTheme="minorEastAsia"/>
          <w:color w:val="auto"/>
          <w:kern w:val="0"/>
          <w:sz w:val="24"/>
          <w:szCs w:val="24"/>
          <w:highlight w:val="none"/>
        </w:rPr>
        <w:t>。</w:t>
      </w:r>
    </w:p>
    <w:p>
      <w:pPr>
        <w:pStyle w:val="47"/>
        <w:numPr>
          <w:ilvl w:val="0"/>
          <w:numId w:val="3"/>
        </w:numPr>
        <w:spacing w:before="120"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供应商资格要求</w:t>
      </w:r>
    </w:p>
    <w:p>
      <w:pPr>
        <w:pStyle w:val="47"/>
        <w:numPr>
          <w:ilvl w:val="0"/>
          <w:numId w:val="5"/>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具有国内独立法人资格的制造商或代理商，营业执照经营范围包括：</w:t>
      </w:r>
      <w:r>
        <w:rPr>
          <w:rFonts w:hint="eastAsia" w:ascii="宋体" w:hAnsi="宋体" w:cs="宋体"/>
          <w:color w:val="auto"/>
          <w:kern w:val="0"/>
          <w:sz w:val="24"/>
          <w:szCs w:val="24"/>
          <w:highlight w:val="none"/>
        </w:rPr>
        <w:t>①</w:t>
      </w:r>
      <w:r>
        <w:rPr>
          <w:rFonts w:hint="eastAsia" w:ascii="宋体" w:hAnsi="宋体" w:cs="宋体"/>
          <w:color w:val="auto"/>
          <w:kern w:val="0"/>
          <w:sz w:val="24"/>
          <w:szCs w:val="24"/>
          <w:highlight w:val="none"/>
          <w:lang w:eastAsia="zh-CN"/>
        </w:rPr>
        <w:t>机械设备</w:t>
      </w:r>
      <w:r>
        <w:rPr>
          <w:rFonts w:hint="eastAsia" w:ascii="宋体" w:hAnsi="宋体" w:cs="宋体"/>
          <w:color w:val="auto"/>
          <w:kern w:val="0"/>
          <w:sz w:val="24"/>
          <w:szCs w:val="24"/>
          <w:highlight w:val="none"/>
          <w:lang w:val="en-US" w:eastAsia="zh-CN"/>
        </w:rPr>
        <w:t xml:space="preserve"> 或 </w:t>
      </w:r>
      <w:r>
        <w:rPr>
          <w:rFonts w:hint="eastAsia" w:ascii="宋体" w:hAnsi="宋体" w:cs="宋体"/>
          <w:color w:val="auto"/>
          <w:kern w:val="0"/>
          <w:sz w:val="24"/>
          <w:szCs w:val="24"/>
          <w:highlight w:val="none"/>
        </w:rPr>
        <w:t>②</w:t>
      </w:r>
      <w:r>
        <w:rPr>
          <w:rFonts w:hint="eastAsia" w:ascii="宋体" w:hAnsi="宋体" w:cs="宋体"/>
          <w:color w:val="auto"/>
          <w:kern w:val="0"/>
          <w:sz w:val="24"/>
          <w:szCs w:val="24"/>
          <w:highlight w:val="none"/>
          <w:lang w:eastAsia="zh-CN"/>
        </w:rPr>
        <w:t>五金交电（或五金机电）</w:t>
      </w:r>
      <w:r>
        <w:rPr>
          <w:rFonts w:hint="eastAsia" w:ascii="宋体" w:hAnsi="宋体" w:cs="宋体"/>
          <w:color w:val="auto"/>
          <w:kern w:val="0"/>
          <w:sz w:val="24"/>
          <w:szCs w:val="24"/>
          <w:highlight w:val="none"/>
          <w:lang w:val="en-US" w:eastAsia="zh-CN"/>
        </w:rPr>
        <w:t xml:space="preserve"> 或 </w:t>
      </w:r>
      <w:r>
        <w:rPr>
          <w:rFonts w:hint="eastAsia" w:ascii="宋体" w:hAnsi="宋体" w:cs="宋体"/>
          <w:color w:val="auto"/>
          <w:kern w:val="0"/>
          <w:sz w:val="24"/>
          <w:szCs w:val="24"/>
          <w:highlight w:val="none"/>
        </w:rPr>
        <w:t>③</w:t>
      </w:r>
      <w:r>
        <w:rPr>
          <w:rFonts w:hint="eastAsia" w:ascii="宋体" w:hAnsi="宋体" w:cs="宋体"/>
          <w:color w:val="auto"/>
          <w:kern w:val="0"/>
          <w:sz w:val="24"/>
          <w:szCs w:val="24"/>
          <w:highlight w:val="none"/>
          <w:lang w:eastAsia="zh-CN"/>
        </w:rPr>
        <w:t>金属材料等类似经营范围</w:t>
      </w:r>
      <w:r>
        <w:rPr>
          <w:rFonts w:hint="eastAsia" w:cs="宋体" w:asciiTheme="minorEastAsia" w:hAnsiTheme="minorEastAsia"/>
          <w:color w:val="auto"/>
          <w:kern w:val="0"/>
          <w:sz w:val="24"/>
          <w:szCs w:val="24"/>
          <w:highlight w:val="none"/>
        </w:rPr>
        <w:t>。</w:t>
      </w:r>
    </w:p>
    <w:p>
      <w:pPr>
        <w:pStyle w:val="47"/>
        <w:numPr>
          <w:ilvl w:val="0"/>
          <w:numId w:val="5"/>
        </w:numPr>
        <w:spacing w:after="120" w:afterLines="50"/>
        <w:ind w:left="480" w:hanging="480" w:hanging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本次比选不接受联合体报价；母、子公司只允许其中一家公司参与比选申请，同一法人代表，只接受一家参与比选申请。</w:t>
      </w:r>
    </w:p>
    <w:p>
      <w:pPr>
        <w:pStyle w:val="47"/>
        <w:numPr>
          <w:ilvl w:val="0"/>
          <w:numId w:val="3"/>
        </w:numPr>
        <w:spacing w:before="120"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报名方式及时间</w:t>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请有意参与的供应商填写报名申请函(附件1</w:t>
      </w:r>
      <w:r>
        <w:rPr>
          <w:rFonts w:cs="宋体" w:asciiTheme="minorEastAsia" w:hAnsiTheme="minorEastAsia"/>
          <w:color w:val="auto"/>
          <w:kern w:val="0"/>
          <w:sz w:val="24"/>
          <w:szCs w:val="24"/>
          <w:highlight w:val="none"/>
        </w:rPr>
        <w:t>）</w:t>
      </w:r>
      <w:r>
        <w:rPr>
          <w:rFonts w:hint="eastAsia" w:cs="宋体" w:asciiTheme="minorEastAsia" w:hAnsiTheme="minorEastAsia"/>
          <w:color w:val="auto"/>
          <w:kern w:val="0"/>
          <w:sz w:val="24"/>
          <w:szCs w:val="24"/>
          <w:highlight w:val="none"/>
        </w:rPr>
        <w:t>，于</w:t>
      </w:r>
      <w:r>
        <w:rPr>
          <w:rFonts w:hint="eastAsia" w:cs="宋体" w:asciiTheme="minorEastAsia" w:hAnsiTheme="minorEastAsia"/>
          <w:color w:val="FF0000"/>
          <w:kern w:val="0"/>
          <w:sz w:val="24"/>
          <w:szCs w:val="24"/>
          <w:highlight w:val="none"/>
        </w:rPr>
        <w:t>2018年</w:t>
      </w:r>
      <w:r>
        <w:rPr>
          <w:rFonts w:hint="eastAsia" w:cs="宋体" w:asciiTheme="minorEastAsia" w:hAnsiTheme="minorEastAsia"/>
          <w:color w:val="FF0000"/>
          <w:kern w:val="0"/>
          <w:sz w:val="24"/>
          <w:szCs w:val="24"/>
          <w:highlight w:val="none"/>
          <w:lang w:val="en-US" w:eastAsia="zh-CN"/>
        </w:rPr>
        <w:t>8</w:t>
      </w:r>
      <w:r>
        <w:rPr>
          <w:rFonts w:hint="eastAsia" w:cs="宋体" w:asciiTheme="minorEastAsia" w:hAnsiTheme="minorEastAsia"/>
          <w:color w:val="FF0000"/>
          <w:kern w:val="0"/>
          <w:sz w:val="24"/>
          <w:szCs w:val="24"/>
          <w:highlight w:val="none"/>
        </w:rPr>
        <w:t>月</w:t>
      </w:r>
      <w:r>
        <w:rPr>
          <w:rFonts w:hint="eastAsia" w:cs="宋体" w:asciiTheme="minorEastAsia" w:hAnsiTheme="minorEastAsia"/>
          <w:color w:val="FF0000"/>
          <w:kern w:val="0"/>
          <w:sz w:val="24"/>
          <w:szCs w:val="24"/>
          <w:highlight w:val="none"/>
          <w:lang w:val="en-US" w:eastAsia="zh-CN"/>
        </w:rPr>
        <w:t>31</w:t>
      </w:r>
      <w:r>
        <w:rPr>
          <w:rFonts w:hint="eastAsia" w:cs="宋体" w:asciiTheme="minorEastAsia" w:hAnsiTheme="minorEastAsia"/>
          <w:color w:val="FF0000"/>
          <w:kern w:val="0"/>
          <w:sz w:val="24"/>
          <w:szCs w:val="24"/>
          <w:highlight w:val="none"/>
        </w:rPr>
        <w:t>日</w:t>
      </w:r>
      <w:r>
        <w:rPr>
          <w:rFonts w:hint="eastAsia" w:cs="宋体" w:asciiTheme="minorEastAsia" w:hAnsiTheme="minorEastAsia"/>
          <w:color w:val="FF0000"/>
          <w:kern w:val="0"/>
          <w:sz w:val="24"/>
          <w:szCs w:val="24"/>
          <w:highlight w:val="none"/>
          <w:lang w:val="en-US" w:eastAsia="zh-CN"/>
        </w:rPr>
        <w:t>18</w:t>
      </w:r>
      <w:r>
        <w:rPr>
          <w:rFonts w:hint="eastAsia" w:cs="宋体" w:asciiTheme="minorEastAsia" w:hAnsiTheme="minorEastAsia"/>
          <w:color w:val="FF0000"/>
          <w:kern w:val="0"/>
          <w:sz w:val="24"/>
          <w:szCs w:val="24"/>
          <w:highlight w:val="none"/>
        </w:rPr>
        <w:t>时</w:t>
      </w:r>
      <w:r>
        <w:rPr>
          <w:rFonts w:hint="eastAsia" w:cs="宋体" w:asciiTheme="minorEastAsia" w:hAnsiTheme="minorEastAsia"/>
          <w:color w:val="auto"/>
          <w:kern w:val="0"/>
          <w:sz w:val="24"/>
          <w:szCs w:val="24"/>
          <w:highlight w:val="none"/>
        </w:rPr>
        <w:t>前以书面形式（原件送达或扫描件</w:t>
      </w:r>
      <w:r>
        <w:rPr>
          <w:rFonts w:hint="eastAsia" w:cs="宋体" w:asciiTheme="minorEastAsia" w:hAnsiTheme="minorEastAsia"/>
          <w:color w:val="auto"/>
          <w:kern w:val="0"/>
          <w:sz w:val="24"/>
          <w:szCs w:val="24"/>
          <w:highlight w:val="none"/>
          <w:lang w:eastAsia="zh-CN"/>
        </w:rPr>
        <w:t>发至邮箱</w:t>
      </w:r>
      <w:r>
        <w:rPr>
          <w:rStyle w:val="37"/>
          <w:rFonts w:hint="eastAsia" w:cs="宋体" w:asciiTheme="minorEastAsia" w:hAnsiTheme="minorEastAsia"/>
          <w:color w:val="auto"/>
          <w:kern w:val="0"/>
          <w:sz w:val="24"/>
          <w:szCs w:val="24"/>
          <w:highlight w:val="none"/>
          <w:u w:val="none"/>
        </w:rPr>
        <w:t>hanzhuan2016@foxmail.com</w:t>
      </w:r>
      <w:r>
        <w:rPr>
          <w:rFonts w:hint="eastAsia" w:cs="宋体" w:asciiTheme="minorEastAsia" w:hAnsiTheme="minorEastAsia"/>
          <w:color w:val="auto"/>
          <w:kern w:val="0"/>
          <w:sz w:val="24"/>
          <w:szCs w:val="24"/>
          <w:highlight w:val="none"/>
        </w:rPr>
        <w:t>）提交比选发起人。</w:t>
      </w:r>
    </w:p>
    <w:p>
      <w:pPr>
        <w:pStyle w:val="47"/>
        <w:numPr>
          <w:ilvl w:val="0"/>
          <w:numId w:val="3"/>
        </w:numPr>
        <w:spacing w:before="120"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比选文件的获取</w:t>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网上自行下载。下载途径：南宁轨道交通集团有限责任公司官网(</w:t>
      </w:r>
      <w:r>
        <w:rPr>
          <w:rFonts w:cs="宋体" w:asciiTheme="minorEastAsia" w:hAnsiTheme="minorEastAsia"/>
          <w:color w:val="auto"/>
          <w:kern w:val="0"/>
          <w:sz w:val="24"/>
          <w:szCs w:val="24"/>
          <w:highlight w:val="none"/>
        </w:rPr>
        <w:t>http://www.nngdjt.com/</w:t>
      </w:r>
      <w:r>
        <w:rPr>
          <w:rFonts w:hint="eastAsia" w:cs="宋体" w:asciiTheme="minorEastAsia" w:hAnsiTheme="minorEastAsia"/>
          <w:color w:val="auto"/>
          <w:kern w:val="0"/>
          <w:sz w:val="24"/>
          <w:szCs w:val="24"/>
          <w:highlight w:val="none"/>
        </w:rPr>
        <w:t>)、中国e车网(</w:t>
      </w:r>
      <w:r>
        <w:rPr>
          <w:rFonts w:cs="宋体" w:asciiTheme="minorEastAsia" w:hAnsiTheme="minorEastAsia"/>
          <w:color w:val="auto"/>
          <w:kern w:val="0"/>
          <w:sz w:val="24"/>
          <w:szCs w:val="24"/>
          <w:highlight w:val="none"/>
        </w:rPr>
        <w:t>http://www.ecrrc.com/</w:t>
      </w:r>
      <w:r>
        <w:rPr>
          <w:rFonts w:hint="eastAsia" w:cs="宋体" w:asciiTheme="minorEastAsia" w:hAnsiTheme="minorEastAsia"/>
          <w:color w:val="auto"/>
          <w:kern w:val="0"/>
          <w:sz w:val="24"/>
          <w:szCs w:val="24"/>
          <w:highlight w:val="none"/>
        </w:rPr>
        <w:t>)。</w:t>
      </w:r>
    </w:p>
    <w:p>
      <w:pPr>
        <w:pStyle w:val="47"/>
        <w:numPr>
          <w:ilvl w:val="0"/>
          <w:numId w:val="3"/>
        </w:numPr>
        <w:spacing w:before="120" w:beforeLines="50"/>
        <w:ind w:left="482" w:hanging="482" w:hangingChars="200"/>
        <w:rPr>
          <w:rFonts w:ascii="宋体" w:hAnsi="宋体"/>
          <w:b/>
          <w:color w:val="auto"/>
          <w:sz w:val="24"/>
          <w:szCs w:val="24"/>
          <w:highlight w:val="none"/>
        </w:rPr>
      </w:pPr>
      <w:r>
        <w:rPr>
          <w:rFonts w:hint="eastAsia" w:ascii="宋体" w:hAnsi="宋体"/>
          <w:b/>
          <w:color w:val="auto"/>
          <w:sz w:val="24"/>
          <w:szCs w:val="24"/>
          <w:highlight w:val="none"/>
        </w:rPr>
        <w:t>比选发起人联系方式</w:t>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联系人：韩工，电话：0771-</w:t>
      </w:r>
      <w:r>
        <w:rPr>
          <w:rFonts w:cs="宋体" w:asciiTheme="minorEastAsia" w:hAnsiTheme="minorEastAsia"/>
          <w:color w:val="auto"/>
          <w:kern w:val="0"/>
          <w:sz w:val="24"/>
          <w:szCs w:val="24"/>
          <w:highlight w:val="none"/>
        </w:rPr>
        <w:t>2</w:t>
      </w:r>
      <w:r>
        <w:rPr>
          <w:rFonts w:hint="eastAsia" w:cs="宋体" w:asciiTheme="minorEastAsia" w:hAnsiTheme="minorEastAsia"/>
          <w:color w:val="auto"/>
          <w:kern w:val="0"/>
          <w:sz w:val="24"/>
          <w:szCs w:val="24"/>
          <w:highlight w:val="none"/>
        </w:rPr>
        <w:t>778325，电子邮箱：</w:t>
      </w:r>
      <w:r>
        <w:rPr>
          <w:color w:val="auto"/>
          <w:highlight w:val="none"/>
          <w:u w:val="none"/>
        </w:rPr>
        <w:fldChar w:fldCharType="begin"/>
      </w:r>
      <w:r>
        <w:rPr>
          <w:color w:val="auto"/>
          <w:highlight w:val="none"/>
          <w:u w:val="none"/>
        </w:rPr>
        <w:instrText xml:space="preserve"> HYPERLINK "mailto:hanzhuan2016@foxmail.com；" </w:instrText>
      </w:r>
      <w:r>
        <w:rPr>
          <w:color w:val="auto"/>
          <w:highlight w:val="none"/>
          <w:u w:val="none"/>
        </w:rPr>
        <w:fldChar w:fldCharType="separate"/>
      </w:r>
      <w:r>
        <w:rPr>
          <w:rStyle w:val="37"/>
          <w:rFonts w:hint="eastAsia" w:cs="宋体" w:asciiTheme="minorEastAsia" w:hAnsiTheme="minorEastAsia"/>
          <w:color w:val="auto"/>
          <w:kern w:val="0"/>
          <w:sz w:val="24"/>
          <w:szCs w:val="24"/>
          <w:highlight w:val="none"/>
          <w:u w:val="none"/>
        </w:rPr>
        <w:t>hanzhuan2016@foxmail.com；</w:t>
      </w:r>
      <w:r>
        <w:rPr>
          <w:rStyle w:val="37"/>
          <w:rFonts w:hint="eastAsia" w:cs="宋体" w:asciiTheme="minorEastAsia" w:hAnsiTheme="minorEastAsia"/>
          <w:color w:val="auto"/>
          <w:kern w:val="0"/>
          <w:sz w:val="24"/>
          <w:szCs w:val="24"/>
          <w:highlight w:val="none"/>
          <w:u w:val="none"/>
        </w:rPr>
        <w:fldChar w:fldCharType="end"/>
      </w:r>
    </w:p>
    <w:p>
      <w:pPr>
        <w:spacing w:after="120" w:afterLines="50"/>
        <w:ind w:firstLine="480" w:firstLineChars="200"/>
        <w:rPr>
          <w:rFonts w:cs="宋体" w:asciiTheme="minorEastAsia" w:hAnsiTheme="minorEastAsia"/>
          <w:color w:val="auto"/>
          <w:kern w:val="0"/>
          <w:sz w:val="24"/>
          <w:szCs w:val="24"/>
          <w:highlight w:val="none"/>
        </w:rPr>
      </w:pPr>
      <w:r>
        <w:rPr>
          <w:rFonts w:hint="eastAsia" w:cs="宋体" w:asciiTheme="minorEastAsia" w:hAnsiTheme="minorEastAsia"/>
          <w:color w:val="auto"/>
          <w:kern w:val="0"/>
          <w:sz w:val="24"/>
          <w:szCs w:val="24"/>
          <w:highlight w:val="none"/>
        </w:rPr>
        <w:t>地址：广西壮族自治区南宁市青秀区云景路83号南宁轨道交通1号线屯里车辆段 运营综合楼203室，邮编：530029。</w:t>
      </w:r>
    </w:p>
    <w:p>
      <w:pPr>
        <w:widowControl/>
        <w:jc w:val="left"/>
        <w:rPr>
          <w:rFonts w:cs="宋体" w:asciiTheme="minorEastAsia" w:hAnsiTheme="minorEastAsia"/>
          <w:color w:val="auto"/>
          <w:kern w:val="0"/>
          <w:sz w:val="24"/>
          <w:szCs w:val="24"/>
          <w:highlight w:val="none"/>
        </w:rPr>
      </w:pPr>
      <w:r>
        <w:rPr>
          <w:rFonts w:cs="宋体" w:asciiTheme="minorEastAsia" w:hAnsiTheme="minorEastAsia"/>
          <w:color w:val="auto"/>
          <w:kern w:val="0"/>
          <w:sz w:val="24"/>
          <w:szCs w:val="24"/>
          <w:highlight w:val="none"/>
        </w:rPr>
        <w:br w:type="page"/>
      </w:r>
      <w:bookmarkStart w:id="247" w:name="_GoBack"/>
      <w:bookmarkEnd w:id="247"/>
    </w:p>
    <w:p>
      <w:pPr>
        <w:pStyle w:val="33"/>
        <w:numPr>
          <w:ilvl w:val="0"/>
          <w:numId w:val="2"/>
        </w:numPr>
        <w:spacing w:before="100" w:beforeAutospacing="1" w:after="0"/>
        <w:rPr>
          <w:color w:val="auto"/>
          <w:sz w:val="24"/>
          <w:highlight w:val="none"/>
        </w:rPr>
      </w:pPr>
      <w:bookmarkStart w:id="10" w:name="_Toc30859"/>
      <w:r>
        <w:rPr>
          <w:rFonts w:hint="eastAsia"/>
          <w:color w:val="auto"/>
          <w:sz w:val="24"/>
          <w:highlight w:val="none"/>
        </w:rPr>
        <w:t>比选须知</w:t>
      </w:r>
      <w:bookmarkEnd w:id="4"/>
      <w:bookmarkEnd w:id="5"/>
      <w:bookmarkEnd w:id="6"/>
      <w:bookmarkEnd w:id="7"/>
      <w:bookmarkEnd w:id="8"/>
      <w:bookmarkEnd w:id="10"/>
    </w:p>
    <w:bookmarkEnd w:id="9"/>
    <w:p>
      <w:pPr>
        <w:pStyle w:val="3"/>
        <w:spacing w:before="0" w:after="0" w:line="240" w:lineRule="auto"/>
        <w:rPr>
          <w:color w:val="auto"/>
          <w:sz w:val="24"/>
          <w:highlight w:val="none"/>
        </w:rPr>
      </w:pPr>
      <w:bookmarkStart w:id="11" w:name="_Toc9597"/>
      <w:bookmarkStart w:id="12" w:name="_Ref483049734"/>
      <w:r>
        <w:rPr>
          <w:rFonts w:hint="eastAsia"/>
          <w:color w:val="auto"/>
          <w:sz w:val="24"/>
          <w:highlight w:val="none"/>
        </w:rPr>
        <w:t>前附表</w:t>
      </w:r>
      <w:bookmarkEnd w:id="11"/>
      <w:bookmarkEnd w:id="12"/>
    </w:p>
    <w:tbl>
      <w:tblPr>
        <w:tblStyle w:val="39"/>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76"/>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653" w:type="dxa"/>
            <w:shd w:val="clear" w:color="auto" w:fill="95DD9F"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序号</w:t>
            </w:r>
          </w:p>
        </w:tc>
        <w:tc>
          <w:tcPr>
            <w:tcW w:w="1376" w:type="dxa"/>
            <w:shd w:val="clear" w:color="auto" w:fill="95DD9F"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名称</w:t>
            </w:r>
          </w:p>
        </w:tc>
        <w:tc>
          <w:tcPr>
            <w:tcW w:w="7980" w:type="dxa"/>
            <w:shd w:val="clear" w:color="auto" w:fill="95DD9F" w:themeFill="background1" w:themeFillShade="D9"/>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１</w:t>
            </w:r>
          </w:p>
        </w:tc>
        <w:tc>
          <w:tcPr>
            <w:tcW w:w="1376" w:type="dxa"/>
            <w:shd w:val="clear" w:color="auto" w:fill="auto"/>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项目名称</w:t>
            </w:r>
          </w:p>
        </w:tc>
        <w:tc>
          <w:tcPr>
            <w:tcW w:w="7980" w:type="dxa"/>
            <w:vAlign w:val="center"/>
          </w:tcPr>
          <w:p>
            <w:pPr>
              <w:pStyle w:val="17"/>
              <w:spacing w:line="240" w:lineRule="exact"/>
              <w:ind w:firstLine="0"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南宁轨道交通集团有限责任公司运营分公司2018年</w:t>
            </w:r>
            <w:r>
              <w:rPr>
                <w:rFonts w:hint="eastAsia" w:ascii="宋体" w:hAnsi="宋体" w:eastAsia="宋体" w:cs="Times New Roman"/>
                <w:color w:val="auto"/>
                <w:sz w:val="21"/>
                <w:szCs w:val="21"/>
                <w:highlight w:val="none"/>
                <w:lang w:eastAsia="zh-CN"/>
              </w:rPr>
              <w:t>设备维修耗材</w:t>
            </w:r>
            <w:r>
              <w:rPr>
                <w:rFonts w:hint="eastAsia" w:ascii="宋体" w:hAnsi="宋体" w:eastAsia="宋体" w:cs="Times New Roman"/>
                <w:color w:val="auto"/>
                <w:sz w:val="21"/>
                <w:szCs w:val="21"/>
                <w:highlight w:val="none"/>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2</w:t>
            </w:r>
          </w:p>
        </w:tc>
        <w:tc>
          <w:tcPr>
            <w:tcW w:w="1376" w:type="dxa"/>
            <w:shd w:val="clear" w:color="auto" w:fill="auto"/>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项目编号</w:t>
            </w:r>
          </w:p>
        </w:tc>
        <w:tc>
          <w:tcPr>
            <w:tcW w:w="7980" w:type="dxa"/>
            <w:vAlign w:val="center"/>
          </w:tcPr>
          <w:p>
            <w:pPr>
              <w:spacing w:line="240" w:lineRule="exac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YY1/2/3-BX-HC-2018031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3</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项目内容</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本项目的供货及相关服务，如：</w:t>
            </w:r>
            <w:r>
              <w:rPr>
                <w:rFonts w:hint="eastAsia" w:ascii="宋体" w:hAnsi="宋体"/>
                <w:color w:val="auto"/>
                <w:szCs w:val="21"/>
                <w:highlight w:val="none"/>
                <w:lang w:eastAsia="zh-CN"/>
              </w:rPr>
              <w:t>磁棒</w:t>
            </w:r>
            <w:r>
              <w:rPr>
                <w:rFonts w:hint="eastAsia" w:ascii="宋体" w:hAnsi="宋体"/>
                <w:color w:val="auto"/>
                <w:szCs w:val="21"/>
                <w:highlight w:val="none"/>
              </w:rPr>
              <w:t>、</w:t>
            </w:r>
            <w:r>
              <w:rPr>
                <w:rFonts w:hint="eastAsia" w:ascii="宋体" w:hAnsi="宋体"/>
                <w:color w:val="auto"/>
                <w:szCs w:val="21"/>
                <w:highlight w:val="none"/>
                <w:lang w:eastAsia="zh-CN"/>
              </w:rPr>
              <w:t>阀门、轴承</w:t>
            </w:r>
            <w:r>
              <w:rPr>
                <w:rFonts w:hint="eastAsia" w:ascii="宋体" w:hAnsi="宋体"/>
                <w:color w:val="auto"/>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4</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交货期限</w:t>
            </w:r>
          </w:p>
        </w:tc>
        <w:tc>
          <w:tcPr>
            <w:tcW w:w="7980" w:type="dxa"/>
            <w:vAlign w:val="center"/>
          </w:tcPr>
          <w:p>
            <w:pPr>
              <w:rPr>
                <w:rFonts w:ascii="宋体" w:hAnsi="宋体"/>
                <w:color w:val="auto"/>
                <w:szCs w:val="21"/>
                <w:highlight w:val="none"/>
              </w:rPr>
            </w:pPr>
            <w:r>
              <w:rPr>
                <w:rFonts w:hint="eastAsia"/>
                <w:color w:val="auto"/>
                <w:highlight w:val="none"/>
                <w:lang w:val="en-US" w:eastAsia="zh-CN"/>
              </w:rPr>
              <w:t>4</w:t>
            </w:r>
            <w:r>
              <w:rPr>
                <w:rFonts w:hint="eastAsia"/>
                <w:color w:val="auto"/>
                <w:highlight w:val="none"/>
              </w:rPr>
              <w:t>0天（中选通知书发出后，按交货通知交货）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5</w:t>
            </w:r>
          </w:p>
        </w:tc>
        <w:tc>
          <w:tcPr>
            <w:tcW w:w="1376"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上限控制价</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人民币</w:t>
            </w:r>
            <w:r>
              <w:rPr>
                <w:rFonts w:hint="eastAsia" w:ascii="宋体" w:hAnsi="宋体"/>
                <w:color w:val="auto"/>
                <w:szCs w:val="21"/>
                <w:highlight w:val="none"/>
                <w:lang w:val="en-US" w:eastAsia="zh-CN"/>
              </w:rPr>
              <w:t>83.7</w:t>
            </w:r>
            <w:r>
              <w:rPr>
                <w:rFonts w:hint="eastAsia" w:ascii="宋体" w:hAnsi="宋体"/>
                <w:color w:val="auto"/>
                <w:szCs w:val="21"/>
                <w:highlight w:val="none"/>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6</w:t>
            </w:r>
          </w:p>
        </w:tc>
        <w:tc>
          <w:tcPr>
            <w:tcW w:w="1376" w:type="dxa"/>
            <w:vAlign w:val="center"/>
          </w:tcPr>
          <w:p>
            <w:pPr>
              <w:pStyle w:val="47"/>
              <w:spacing w:before="120" w:beforeLines="50"/>
              <w:ind w:firstLine="0" w:firstLineChars="0"/>
              <w:rPr>
                <w:rFonts w:ascii="宋体" w:hAnsi="宋体"/>
                <w:color w:val="auto"/>
                <w:szCs w:val="21"/>
                <w:highlight w:val="none"/>
              </w:rPr>
            </w:pPr>
            <w:r>
              <w:rPr>
                <w:rFonts w:hint="eastAsia" w:ascii="宋体" w:hAnsi="宋体"/>
                <w:color w:val="auto"/>
                <w:szCs w:val="21"/>
                <w:highlight w:val="none"/>
              </w:rPr>
              <w:t>供应商资格要求</w:t>
            </w:r>
          </w:p>
        </w:tc>
        <w:tc>
          <w:tcPr>
            <w:tcW w:w="7980" w:type="dxa"/>
            <w:vAlign w:val="center"/>
          </w:tcPr>
          <w:p>
            <w:pPr>
              <w:pStyle w:val="47"/>
              <w:numPr>
                <w:ilvl w:val="0"/>
                <w:numId w:val="6"/>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具有国内独立法人资格的制造商或代理商，营业执照经营范围包括：①</w:t>
            </w:r>
            <w:r>
              <w:rPr>
                <w:rFonts w:hint="eastAsia" w:ascii="宋体" w:hAnsi="宋体"/>
                <w:color w:val="auto"/>
                <w:szCs w:val="21"/>
                <w:highlight w:val="none"/>
                <w:lang w:eastAsia="zh-CN"/>
              </w:rPr>
              <w:t>机械设备</w:t>
            </w:r>
            <w:r>
              <w:rPr>
                <w:rFonts w:hint="eastAsia" w:ascii="宋体" w:hAnsi="宋体"/>
                <w:color w:val="auto"/>
                <w:szCs w:val="21"/>
                <w:highlight w:val="none"/>
                <w:lang w:val="en-US" w:eastAsia="zh-CN"/>
              </w:rPr>
              <w:t xml:space="preserve"> 或 </w:t>
            </w:r>
            <w:r>
              <w:rPr>
                <w:rFonts w:hint="eastAsia" w:ascii="宋体" w:hAnsi="宋体"/>
                <w:color w:val="auto"/>
                <w:szCs w:val="21"/>
                <w:highlight w:val="none"/>
              </w:rPr>
              <w:t>②</w:t>
            </w:r>
            <w:r>
              <w:rPr>
                <w:rFonts w:hint="eastAsia" w:ascii="宋体" w:hAnsi="宋体"/>
                <w:color w:val="auto"/>
                <w:szCs w:val="21"/>
                <w:highlight w:val="none"/>
                <w:lang w:eastAsia="zh-CN"/>
              </w:rPr>
              <w:t>五金交电（或五金机电）</w:t>
            </w:r>
            <w:r>
              <w:rPr>
                <w:rFonts w:hint="eastAsia" w:ascii="宋体" w:hAnsi="宋体"/>
                <w:color w:val="auto"/>
                <w:szCs w:val="21"/>
                <w:highlight w:val="none"/>
                <w:lang w:val="en-US" w:eastAsia="zh-CN"/>
              </w:rPr>
              <w:t xml:space="preserve"> 或 </w:t>
            </w:r>
            <w:r>
              <w:rPr>
                <w:rFonts w:hint="eastAsia" w:ascii="宋体" w:hAnsi="宋体"/>
                <w:color w:val="auto"/>
                <w:szCs w:val="21"/>
                <w:highlight w:val="none"/>
              </w:rPr>
              <w:t>③</w:t>
            </w:r>
            <w:r>
              <w:rPr>
                <w:rFonts w:hint="eastAsia" w:ascii="宋体" w:hAnsi="宋体"/>
                <w:color w:val="auto"/>
                <w:szCs w:val="21"/>
                <w:highlight w:val="none"/>
                <w:lang w:eastAsia="zh-CN"/>
              </w:rPr>
              <w:t>金属材料等类似经营范围</w:t>
            </w:r>
            <w:r>
              <w:rPr>
                <w:rFonts w:hint="eastAsia" w:ascii="宋体" w:hAnsi="宋体"/>
                <w:color w:val="auto"/>
                <w:szCs w:val="21"/>
                <w:highlight w:val="none"/>
              </w:rPr>
              <w:t>。</w:t>
            </w:r>
          </w:p>
          <w:p>
            <w:pPr>
              <w:pStyle w:val="47"/>
              <w:numPr>
                <w:ilvl w:val="0"/>
                <w:numId w:val="6"/>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7</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报价</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8</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比选有效期 </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120天（从比选截止日期算起）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9</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比选申请文件份数 </w:t>
            </w:r>
          </w:p>
        </w:tc>
        <w:tc>
          <w:tcPr>
            <w:tcW w:w="7980" w:type="dxa"/>
            <w:vAlign w:val="center"/>
          </w:tcPr>
          <w:p>
            <w:pPr>
              <w:spacing w:line="240" w:lineRule="exact"/>
              <w:rPr>
                <w:rFonts w:ascii="宋体" w:hAnsi="宋体"/>
                <w:color w:val="auto"/>
                <w:szCs w:val="21"/>
                <w:highlight w:val="none"/>
              </w:rPr>
            </w:pPr>
            <w:r>
              <w:rPr>
                <w:rFonts w:hint="eastAsia" w:ascii="宋体" w:hAnsi="宋体"/>
                <w:color w:val="auto"/>
                <w:szCs w:val="21"/>
                <w:highlight w:val="none"/>
              </w:rPr>
              <w:t xml:space="preserve">纸质版壹正肆副共五份；电子版一式两份（WORD或EXCEL格式一份，盖章后的PDF格式扫描件一份，存于同一个U盘内）。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10</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比选申请文件递交时间、地点</w:t>
            </w:r>
          </w:p>
        </w:tc>
        <w:tc>
          <w:tcPr>
            <w:tcW w:w="7980" w:type="dxa"/>
            <w:vAlign w:val="center"/>
          </w:tcPr>
          <w:p>
            <w:pPr>
              <w:pStyle w:val="47"/>
              <w:numPr>
                <w:ilvl w:val="0"/>
                <w:numId w:val="7"/>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时间：</w:t>
            </w:r>
            <w:r>
              <w:rPr>
                <w:rFonts w:hint="eastAsia" w:ascii="宋体" w:hAnsi="宋体"/>
                <w:color w:val="FF0000"/>
                <w:szCs w:val="21"/>
                <w:highlight w:val="yellow"/>
              </w:rPr>
              <w:t>2018年</w:t>
            </w:r>
            <w:r>
              <w:rPr>
                <w:rFonts w:hint="eastAsia" w:ascii="宋体" w:hAnsi="宋体"/>
                <w:color w:val="FF0000"/>
                <w:szCs w:val="21"/>
                <w:highlight w:val="yellow"/>
                <w:lang w:val="en-US" w:eastAsia="zh-CN"/>
              </w:rPr>
              <w:t>9</w:t>
            </w:r>
            <w:r>
              <w:rPr>
                <w:rFonts w:hint="eastAsia" w:ascii="宋体" w:hAnsi="宋体"/>
                <w:color w:val="FF0000"/>
                <w:szCs w:val="21"/>
                <w:highlight w:val="yellow"/>
              </w:rPr>
              <w:t>月</w:t>
            </w:r>
            <w:r>
              <w:rPr>
                <w:rFonts w:hint="eastAsia" w:ascii="宋体" w:hAnsi="宋体"/>
                <w:color w:val="FF0000"/>
                <w:szCs w:val="21"/>
                <w:highlight w:val="yellow"/>
                <w:lang w:val="en-US" w:eastAsia="zh-CN"/>
              </w:rPr>
              <w:t>13</w:t>
            </w:r>
            <w:r>
              <w:rPr>
                <w:rFonts w:hint="eastAsia" w:ascii="宋体" w:hAnsi="宋体"/>
                <w:color w:val="FF0000"/>
                <w:szCs w:val="21"/>
                <w:highlight w:val="yellow"/>
              </w:rPr>
              <w:t>日</w:t>
            </w:r>
            <w:r>
              <w:rPr>
                <w:rFonts w:hint="eastAsia" w:ascii="宋体" w:hAnsi="宋体"/>
                <w:color w:val="FF0000"/>
                <w:szCs w:val="21"/>
                <w:highlight w:val="yellow"/>
                <w:lang w:eastAsia="zh-CN"/>
              </w:rPr>
              <w:t>上午</w:t>
            </w:r>
            <w:r>
              <w:rPr>
                <w:rFonts w:hint="eastAsia" w:ascii="宋体" w:hAnsi="宋体"/>
                <w:color w:val="FF0000"/>
                <w:szCs w:val="21"/>
                <w:highlight w:val="yellow"/>
                <w:lang w:val="en-US" w:eastAsia="zh-CN"/>
              </w:rPr>
              <w:t>8</w:t>
            </w:r>
            <w:r>
              <w:rPr>
                <w:rFonts w:hint="eastAsia" w:ascii="宋体" w:hAnsi="宋体"/>
                <w:color w:val="FF0000"/>
                <w:szCs w:val="21"/>
                <w:highlight w:val="yellow"/>
              </w:rPr>
              <w:t>:</w:t>
            </w:r>
            <w:r>
              <w:rPr>
                <w:rFonts w:hint="eastAsia" w:ascii="宋体" w:hAnsi="宋体"/>
                <w:color w:val="FF0000"/>
                <w:szCs w:val="21"/>
                <w:highlight w:val="yellow"/>
                <w:lang w:val="en-US" w:eastAsia="zh-CN"/>
              </w:rPr>
              <w:t>3</w:t>
            </w:r>
            <w:r>
              <w:rPr>
                <w:rFonts w:hint="eastAsia" w:ascii="宋体" w:hAnsi="宋体"/>
                <w:color w:val="FF0000"/>
                <w:szCs w:val="21"/>
                <w:highlight w:val="yellow"/>
              </w:rPr>
              <w:t>0-</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w:t>
            </w:r>
            <w:r>
              <w:rPr>
                <w:rFonts w:hint="eastAsia" w:ascii="宋体" w:hAnsi="宋体"/>
                <w:color w:val="FF0000"/>
                <w:szCs w:val="21"/>
                <w:highlight w:val="yellow"/>
              </w:rPr>
              <w:t>0</w:t>
            </w:r>
          </w:p>
          <w:p>
            <w:pPr>
              <w:pStyle w:val="47"/>
              <w:numPr>
                <w:ilvl w:val="0"/>
                <w:numId w:val="7"/>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地点：广西壮族自治区南宁市青秀区云景路69号南宁轨道大厦A2楼105室。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11</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比选时间</w:t>
            </w:r>
          </w:p>
          <w:p>
            <w:pPr>
              <w:spacing w:line="240" w:lineRule="exact"/>
              <w:jc w:val="center"/>
              <w:rPr>
                <w:rFonts w:ascii="宋体" w:hAnsi="宋体"/>
                <w:color w:val="auto"/>
                <w:szCs w:val="21"/>
                <w:highlight w:val="none"/>
              </w:rPr>
            </w:pPr>
            <w:r>
              <w:rPr>
                <w:rFonts w:hint="eastAsia" w:ascii="宋体" w:hAnsi="宋体"/>
                <w:color w:val="auto"/>
                <w:szCs w:val="21"/>
                <w:highlight w:val="none"/>
              </w:rPr>
              <w:t xml:space="preserve">及地点 </w:t>
            </w:r>
          </w:p>
        </w:tc>
        <w:tc>
          <w:tcPr>
            <w:tcW w:w="7980" w:type="dxa"/>
            <w:vAlign w:val="center"/>
          </w:tcPr>
          <w:p>
            <w:pPr>
              <w:pStyle w:val="47"/>
              <w:numPr>
                <w:ilvl w:val="0"/>
                <w:numId w:val="8"/>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时间：</w:t>
            </w:r>
            <w:r>
              <w:rPr>
                <w:rFonts w:hint="eastAsia" w:ascii="宋体" w:hAnsi="宋体"/>
                <w:color w:val="FF0000"/>
                <w:szCs w:val="21"/>
                <w:highlight w:val="yellow"/>
              </w:rPr>
              <w:t>2018年</w:t>
            </w:r>
            <w:r>
              <w:rPr>
                <w:rFonts w:hint="eastAsia" w:ascii="宋体" w:hAnsi="宋体"/>
                <w:color w:val="FF0000"/>
                <w:szCs w:val="21"/>
                <w:highlight w:val="yellow"/>
                <w:lang w:val="en-US" w:eastAsia="zh-CN"/>
              </w:rPr>
              <w:t>9</w:t>
            </w:r>
            <w:r>
              <w:rPr>
                <w:rFonts w:hint="eastAsia" w:ascii="宋体" w:hAnsi="宋体"/>
                <w:color w:val="FF0000"/>
                <w:szCs w:val="21"/>
                <w:highlight w:val="yellow"/>
              </w:rPr>
              <w:t>月</w:t>
            </w:r>
            <w:r>
              <w:rPr>
                <w:rFonts w:hint="eastAsia" w:ascii="宋体" w:hAnsi="宋体"/>
                <w:color w:val="FF0000"/>
                <w:szCs w:val="21"/>
                <w:highlight w:val="yellow"/>
                <w:lang w:val="en-US" w:eastAsia="zh-CN"/>
              </w:rPr>
              <w:t>13</w:t>
            </w:r>
            <w:r>
              <w:rPr>
                <w:rFonts w:hint="eastAsia" w:ascii="宋体" w:hAnsi="宋体"/>
                <w:color w:val="FF0000"/>
                <w:szCs w:val="21"/>
                <w:highlight w:val="yellow"/>
              </w:rPr>
              <w:t>日</w:t>
            </w:r>
            <w:r>
              <w:rPr>
                <w:rFonts w:hint="eastAsia" w:ascii="宋体" w:hAnsi="宋体"/>
                <w:color w:val="FF0000"/>
                <w:szCs w:val="21"/>
                <w:highlight w:val="yellow"/>
                <w:lang w:eastAsia="zh-CN"/>
              </w:rPr>
              <w:t>上午</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w:t>
            </w:r>
            <w:r>
              <w:rPr>
                <w:rFonts w:hint="eastAsia" w:ascii="宋体" w:hAnsi="宋体"/>
                <w:color w:val="FF0000"/>
                <w:szCs w:val="21"/>
                <w:highlight w:val="yellow"/>
              </w:rPr>
              <w:t>0</w:t>
            </w:r>
          </w:p>
          <w:p>
            <w:pPr>
              <w:pStyle w:val="47"/>
              <w:numPr>
                <w:ilvl w:val="0"/>
                <w:numId w:val="8"/>
              </w:numPr>
              <w:spacing w:before="120" w:beforeLines="50"/>
              <w:ind w:firstLineChars="0"/>
              <w:rPr>
                <w:rFonts w:ascii="宋体" w:hAnsi="宋体"/>
                <w:color w:val="auto"/>
                <w:szCs w:val="21"/>
                <w:highlight w:val="none"/>
              </w:rPr>
            </w:pPr>
            <w:r>
              <w:rPr>
                <w:rFonts w:hint="eastAsia" w:ascii="宋体" w:hAnsi="宋体"/>
                <w:color w:val="auto"/>
                <w:szCs w:val="21"/>
                <w:highlight w:val="none"/>
              </w:rPr>
              <w:t>地点：广西壮族自治区南宁市青秀区云景路69号南宁轨道大厦A2楼104室。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12</w:t>
            </w:r>
          </w:p>
        </w:tc>
        <w:tc>
          <w:tcPr>
            <w:tcW w:w="1376"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比选文件答疑</w:t>
            </w:r>
          </w:p>
        </w:tc>
        <w:tc>
          <w:tcPr>
            <w:tcW w:w="7980" w:type="dxa"/>
            <w:vAlign w:val="center"/>
          </w:tcPr>
          <w:p>
            <w:pPr>
              <w:pStyle w:val="47"/>
              <w:numPr>
                <w:ilvl w:val="0"/>
                <w:numId w:val="9"/>
              </w:numPr>
              <w:spacing w:before="120" w:beforeLines="50"/>
              <w:ind w:left="0" w:firstLine="0" w:firstLineChars="0"/>
              <w:rPr>
                <w:rFonts w:ascii="宋体" w:hAnsi="宋体"/>
                <w:color w:val="auto"/>
                <w:szCs w:val="21"/>
                <w:highlight w:val="none"/>
              </w:rPr>
            </w:pPr>
            <w:r>
              <w:rPr>
                <w:rFonts w:ascii="宋体" w:hAnsi="宋体"/>
                <w:color w:val="auto"/>
                <w:szCs w:val="21"/>
                <w:highlight w:val="none"/>
              </w:rPr>
              <w:t>提出问题的截止时间：</w:t>
            </w:r>
            <w:r>
              <w:rPr>
                <w:rFonts w:hint="eastAsia" w:ascii="宋体" w:hAnsi="宋体"/>
                <w:color w:val="FF0000"/>
                <w:szCs w:val="21"/>
                <w:highlight w:val="none"/>
              </w:rPr>
              <w:t>2018</w:t>
            </w:r>
            <w:r>
              <w:rPr>
                <w:rFonts w:ascii="宋体" w:hAnsi="宋体"/>
                <w:color w:val="FF0000"/>
                <w:szCs w:val="21"/>
                <w:highlight w:val="none"/>
              </w:rPr>
              <w:t>年</w:t>
            </w:r>
            <w:r>
              <w:rPr>
                <w:rFonts w:hint="eastAsia" w:ascii="宋体" w:hAnsi="宋体"/>
                <w:color w:val="FF0000"/>
                <w:szCs w:val="21"/>
                <w:highlight w:val="none"/>
                <w:lang w:val="en-US" w:eastAsia="zh-CN"/>
              </w:rPr>
              <w:t>9</w:t>
            </w:r>
            <w:r>
              <w:rPr>
                <w:rFonts w:ascii="宋体" w:hAnsi="宋体"/>
                <w:color w:val="FF0000"/>
                <w:szCs w:val="21"/>
                <w:highlight w:val="none"/>
              </w:rPr>
              <w:t>月</w:t>
            </w:r>
            <w:r>
              <w:rPr>
                <w:rFonts w:hint="eastAsia" w:ascii="宋体" w:hAnsi="宋体"/>
                <w:color w:val="FF0000"/>
                <w:szCs w:val="21"/>
                <w:highlight w:val="none"/>
                <w:lang w:val="en-US" w:eastAsia="zh-CN"/>
              </w:rPr>
              <w:t>3</w:t>
            </w:r>
            <w:r>
              <w:rPr>
                <w:rFonts w:ascii="宋体" w:hAnsi="宋体"/>
                <w:color w:val="FF0000"/>
                <w:szCs w:val="21"/>
                <w:highlight w:val="none"/>
              </w:rPr>
              <w:t>日</w:t>
            </w:r>
            <w:r>
              <w:rPr>
                <w:rFonts w:hint="eastAsia" w:ascii="宋体" w:hAnsi="宋体"/>
                <w:color w:val="FF0000"/>
                <w:szCs w:val="21"/>
                <w:highlight w:val="none"/>
                <w:lang w:eastAsia="zh-CN"/>
              </w:rPr>
              <w:t>下午</w:t>
            </w:r>
            <w:r>
              <w:rPr>
                <w:rFonts w:hint="eastAsia" w:ascii="宋体" w:hAnsi="宋体"/>
                <w:color w:val="FF0000"/>
                <w:szCs w:val="21"/>
                <w:highlight w:val="none"/>
              </w:rPr>
              <w:t>18:00</w:t>
            </w:r>
            <w:r>
              <w:rPr>
                <w:rFonts w:hint="eastAsia" w:ascii="宋体" w:hAnsi="宋体"/>
                <w:color w:val="auto"/>
                <w:szCs w:val="21"/>
                <w:highlight w:val="none"/>
              </w:rPr>
              <w:t>；</w:t>
            </w:r>
          </w:p>
          <w:p>
            <w:pPr>
              <w:pStyle w:val="47"/>
              <w:numPr>
                <w:ilvl w:val="0"/>
                <w:numId w:val="9"/>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提出问题的方式：书面为准（加盖法人单位公章，电子扫描件有效）；</w:t>
            </w:r>
          </w:p>
          <w:p>
            <w:pPr>
              <w:pStyle w:val="47"/>
              <w:numPr>
                <w:ilvl w:val="0"/>
                <w:numId w:val="9"/>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书面</w:t>
            </w:r>
            <w:r>
              <w:rPr>
                <w:rFonts w:ascii="宋体" w:hAnsi="宋体"/>
                <w:color w:val="auto"/>
                <w:szCs w:val="21"/>
                <w:highlight w:val="none"/>
              </w:rPr>
              <w:t>澄清的时间：</w:t>
            </w:r>
            <w:r>
              <w:rPr>
                <w:rFonts w:hint="eastAsia" w:ascii="宋体" w:hAnsi="宋体"/>
                <w:color w:val="FF0000"/>
                <w:szCs w:val="21"/>
                <w:highlight w:val="none"/>
              </w:rPr>
              <w:t>2018</w:t>
            </w:r>
            <w:r>
              <w:rPr>
                <w:rFonts w:ascii="宋体" w:hAnsi="宋体"/>
                <w:color w:val="FF0000"/>
                <w:szCs w:val="21"/>
                <w:highlight w:val="none"/>
              </w:rPr>
              <w:t>年</w:t>
            </w:r>
            <w:r>
              <w:rPr>
                <w:rFonts w:hint="eastAsia" w:ascii="宋体" w:hAnsi="宋体"/>
                <w:color w:val="FF0000"/>
                <w:szCs w:val="21"/>
                <w:highlight w:val="none"/>
                <w:lang w:val="en-US" w:eastAsia="zh-CN"/>
              </w:rPr>
              <w:t>9</w:t>
            </w:r>
            <w:r>
              <w:rPr>
                <w:rFonts w:ascii="宋体" w:hAnsi="宋体"/>
                <w:color w:val="FF0000"/>
                <w:szCs w:val="21"/>
                <w:highlight w:val="none"/>
              </w:rPr>
              <w:t>月</w:t>
            </w:r>
            <w:r>
              <w:rPr>
                <w:rFonts w:hint="eastAsia" w:ascii="宋体" w:hAnsi="宋体"/>
                <w:color w:val="FF0000"/>
                <w:szCs w:val="21"/>
                <w:highlight w:val="none"/>
                <w:lang w:val="en-US" w:eastAsia="zh-CN"/>
              </w:rPr>
              <w:t>7</w:t>
            </w:r>
            <w:r>
              <w:rPr>
                <w:rFonts w:ascii="宋体" w:hAnsi="宋体"/>
                <w:color w:val="FF0000"/>
                <w:szCs w:val="21"/>
                <w:highlight w:val="none"/>
              </w:rPr>
              <w:t>日</w:t>
            </w:r>
            <w:r>
              <w:rPr>
                <w:rFonts w:hint="eastAsia" w:ascii="宋体" w:hAnsi="宋体"/>
                <w:color w:val="FF0000"/>
                <w:szCs w:val="21"/>
                <w:highlight w:val="none"/>
                <w:lang w:eastAsia="zh-CN"/>
              </w:rPr>
              <w:t>下午</w:t>
            </w:r>
            <w:r>
              <w:rPr>
                <w:rFonts w:hint="eastAsia" w:ascii="宋体" w:hAnsi="宋体"/>
                <w:color w:val="FF0000"/>
                <w:szCs w:val="21"/>
                <w:highlight w:val="none"/>
              </w:rPr>
              <w:t>18:00</w:t>
            </w:r>
            <w:r>
              <w:rPr>
                <w:rFonts w:ascii="宋体" w:hAnsi="宋体"/>
                <w:color w:val="FF0000"/>
                <w:szCs w:val="21"/>
                <w:highlight w:val="none"/>
              </w:rPr>
              <w:t>前</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13</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比选保证金</w:t>
            </w:r>
          </w:p>
        </w:tc>
        <w:tc>
          <w:tcPr>
            <w:tcW w:w="7980" w:type="dxa"/>
            <w:vAlign w:val="center"/>
          </w:tcPr>
          <w:p>
            <w:pPr>
              <w:pStyle w:val="47"/>
              <w:numPr>
                <w:ilvl w:val="0"/>
                <w:numId w:val="10"/>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缴纳金额：人民币1.5万元整；</w:t>
            </w:r>
          </w:p>
          <w:p>
            <w:pPr>
              <w:pStyle w:val="47"/>
              <w:numPr>
                <w:ilvl w:val="0"/>
                <w:numId w:val="10"/>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缴纳时间：</w:t>
            </w:r>
            <w:r>
              <w:rPr>
                <w:rFonts w:hint="eastAsia" w:ascii="宋体" w:hAnsi="宋体"/>
                <w:color w:val="FF0000"/>
                <w:szCs w:val="21"/>
                <w:highlight w:val="yellow"/>
              </w:rPr>
              <w:t>2018年</w:t>
            </w:r>
            <w:r>
              <w:rPr>
                <w:rFonts w:hint="eastAsia" w:ascii="宋体" w:hAnsi="宋体"/>
                <w:color w:val="FF0000"/>
                <w:szCs w:val="21"/>
                <w:highlight w:val="yellow"/>
                <w:lang w:val="en-US" w:eastAsia="zh-CN"/>
              </w:rPr>
              <w:t>9</w:t>
            </w:r>
            <w:r>
              <w:rPr>
                <w:rFonts w:hint="eastAsia" w:ascii="宋体" w:hAnsi="宋体"/>
                <w:color w:val="FF0000"/>
                <w:szCs w:val="21"/>
                <w:highlight w:val="yellow"/>
              </w:rPr>
              <w:t>月</w:t>
            </w:r>
            <w:r>
              <w:rPr>
                <w:rFonts w:hint="eastAsia" w:ascii="宋体" w:hAnsi="宋体"/>
                <w:color w:val="FF0000"/>
                <w:szCs w:val="21"/>
                <w:highlight w:val="yellow"/>
                <w:lang w:val="en-US" w:eastAsia="zh-CN"/>
              </w:rPr>
              <w:t>13</w:t>
            </w:r>
            <w:r>
              <w:rPr>
                <w:rFonts w:hint="eastAsia" w:ascii="宋体" w:hAnsi="宋体"/>
                <w:color w:val="FF0000"/>
                <w:szCs w:val="21"/>
                <w:highlight w:val="yellow"/>
              </w:rPr>
              <w:t>日</w:t>
            </w:r>
            <w:r>
              <w:rPr>
                <w:rFonts w:hint="eastAsia" w:ascii="宋体" w:hAnsi="宋体"/>
                <w:color w:val="FF0000"/>
                <w:szCs w:val="21"/>
                <w:highlight w:val="yellow"/>
                <w:lang w:eastAsia="zh-CN"/>
              </w:rPr>
              <w:t>上午</w:t>
            </w:r>
            <w:r>
              <w:rPr>
                <w:rFonts w:hint="eastAsia" w:ascii="宋体" w:hAnsi="宋体"/>
                <w:color w:val="FF0000"/>
                <w:szCs w:val="21"/>
                <w:highlight w:val="yellow"/>
                <w:lang w:val="en-US" w:eastAsia="zh-CN"/>
              </w:rPr>
              <w:t>9</w:t>
            </w:r>
            <w:r>
              <w:rPr>
                <w:rFonts w:hint="eastAsia" w:ascii="宋体" w:hAnsi="宋体"/>
                <w:color w:val="FF0000"/>
                <w:szCs w:val="21"/>
                <w:highlight w:val="yellow"/>
              </w:rPr>
              <w:t>:</w:t>
            </w:r>
            <w:r>
              <w:rPr>
                <w:rFonts w:hint="eastAsia" w:ascii="宋体" w:hAnsi="宋体"/>
                <w:color w:val="FF0000"/>
                <w:szCs w:val="21"/>
                <w:highlight w:val="yellow"/>
                <w:lang w:val="en-US" w:eastAsia="zh-CN"/>
              </w:rPr>
              <w:t>0</w:t>
            </w:r>
            <w:r>
              <w:rPr>
                <w:rFonts w:hint="eastAsia" w:ascii="宋体" w:hAnsi="宋体"/>
                <w:color w:val="FF0000"/>
                <w:szCs w:val="21"/>
                <w:highlight w:val="yellow"/>
              </w:rPr>
              <w:t>0前</w:t>
            </w:r>
            <w:r>
              <w:rPr>
                <w:rFonts w:hint="eastAsia" w:ascii="宋体" w:hAnsi="宋体"/>
                <w:color w:val="auto"/>
                <w:szCs w:val="21"/>
                <w:highlight w:val="none"/>
              </w:rPr>
              <w:t>；</w:t>
            </w:r>
          </w:p>
          <w:p>
            <w:pPr>
              <w:pStyle w:val="47"/>
              <w:numPr>
                <w:ilvl w:val="0"/>
                <w:numId w:val="10"/>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其他规定：见本章第</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REF _Ref462914355 \n \h</w:instrText>
            </w:r>
            <w:r>
              <w:rPr>
                <w:rFonts w:ascii="宋体" w:hAnsi="宋体"/>
                <w:color w:val="auto"/>
                <w:szCs w:val="21"/>
                <w:highlight w:val="none"/>
              </w:rPr>
              <w:instrText xml:space="preserve">  \* MERGEFORMAT </w:instrText>
            </w:r>
            <w:r>
              <w:rPr>
                <w:rFonts w:ascii="宋体" w:hAnsi="宋体"/>
                <w:color w:val="auto"/>
                <w:szCs w:val="21"/>
                <w:highlight w:val="none"/>
              </w:rPr>
              <w:fldChar w:fldCharType="separate"/>
            </w:r>
            <w:r>
              <w:rPr>
                <w:rFonts w:ascii="宋体" w:hAnsi="宋体"/>
                <w:color w:val="auto"/>
                <w:szCs w:val="21"/>
                <w:highlight w:val="none"/>
              </w:rPr>
              <w:t>11</w:t>
            </w:r>
            <w:r>
              <w:rPr>
                <w:rFonts w:ascii="宋体" w:hAnsi="宋体"/>
                <w:color w:val="auto"/>
                <w:szCs w:val="21"/>
                <w:highlight w:val="none"/>
              </w:rPr>
              <w:fldChar w:fldCharType="end"/>
            </w:r>
            <w:r>
              <w:rPr>
                <w:rFonts w:hint="eastAsia" w:ascii="宋体" w:hAnsi="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14</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履约保证金</w:t>
            </w:r>
          </w:p>
        </w:tc>
        <w:tc>
          <w:tcPr>
            <w:tcW w:w="7980" w:type="dxa"/>
            <w:vAlign w:val="center"/>
          </w:tcPr>
          <w:p>
            <w:pPr>
              <w:pStyle w:val="47"/>
              <w:numPr>
                <w:ilvl w:val="0"/>
                <w:numId w:val="11"/>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缴纳</w:t>
            </w:r>
            <w:r>
              <w:rPr>
                <w:rFonts w:ascii="宋体" w:hAnsi="宋体"/>
                <w:color w:val="auto"/>
                <w:szCs w:val="21"/>
                <w:highlight w:val="none"/>
              </w:rPr>
              <w:t>金额：签约合同</w:t>
            </w:r>
            <w:r>
              <w:rPr>
                <w:rFonts w:hint="eastAsia" w:ascii="宋体" w:hAnsi="宋体"/>
                <w:color w:val="auto"/>
                <w:szCs w:val="21"/>
                <w:highlight w:val="none"/>
              </w:rPr>
              <w:t>总价格</w:t>
            </w:r>
            <w:r>
              <w:rPr>
                <w:rFonts w:ascii="宋体" w:hAnsi="宋体"/>
                <w:color w:val="auto"/>
                <w:szCs w:val="21"/>
                <w:highlight w:val="none"/>
              </w:rPr>
              <w:t>的</w:t>
            </w: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四舍五入，精确到元</w:t>
            </w:r>
            <w:r>
              <w:rPr>
                <w:rFonts w:ascii="宋体" w:hAnsi="宋体"/>
                <w:color w:val="auto"/>
                <w:szCs w:val="21"/>
                <w:highlight w:val="none"/>
              </w:rPr>
              <w:t>）</w:t>
            </w:r>
            <w:r>
              <w:rPr>
                <w:rFonts w:hint="eastAsia" w:ascii="宋体" w:hAnsi="宋体"/>
                <w:color w:val="auto"/>
                <w:szCs w:val="21"/>
                <w:highlight w:val="none"/>
              </w:rPr>
              <w:t>；</w:t>
            </w:r>
          </w:p>
          <w:p>
            <w:pPr>
              <w:pStyle w:val="47"/>
              <w:numPr>
                <w:ilvl w:val="0"/>
                <w:numId w:val="11"/>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缴纳时间：中选通知书发出之日起30日内，签订合同前足额缴纳，如中选人未能按约定时间足额缴纳，视为自动放弃中选资格；</w:t>
            </w:r>
          </w:p>
          <w:p>
            <w:pPr>
              <w:pStyle w:val="47"/>
              <w:numPr>
                <w:ilvl w:val="0"/>
                <w:numId w:val="11"/>
              </w:numPr>
              <w:spacing w:before="120" w:beforeLines="50"/>
              <w:ind w:left="0" w:firstLine="0" w:firstLineChars="0"/>
              <w:rPr>
                <w:rFonts w:ascii="宋体" w:hAnsi="宋体"/>
                <w:color w:val="auto"/>
                <w:szCs w:val="21"/>
                <w:highlight w:val="none"/>
              </w:rPr>
            </w:pPr>
            <w:r>
              <w:rPr>
                <w:rFonts w:hint="eastAsia" w:ascii="宋体" w:hAnsi="宋体"/>
                <w:color w:val="auto"/>
                <w:szCs w:val="21"/>
                <w:highlight w:val="none"/>
              </w:rPr>
              <w:t>其他规定：见</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REF _Ref488050446 \r \h</w:instrText>
            </w:r>
            <w:r>
              <w:rPr>
                <w:rFonts w:ascii="宋体" w:hAnsi="宋体"/>
                <w:color w:val="auto"/>
                <w:szCs w:val="21"/>
                <w:highlight w:val="none"/>
              </w:rPr>
              <w:instrText xml:space="preserve">  \* MERGEFORMAT </w:instrText>
            </w:r>
            <w:r>
              <w:rPr>
                <w:rFonts w:ascii="宋体" w:hAnsi="宋体"/>
                <w:color w:val="auto"/>
                <w:szCs w:val="21"/>
                <w:highlight w:val="none"/>
              </w:rPr>
              <w:fldChar w:fldCharType="separate"/>
            </w:r>
            <w:r>
              <w:rPr>
                <w:rFonts w:hint="eastAsia" w:ascii="宋体" w:hAnsi="宋体"/>
                <w:color w:val="auto"/>
                <w:szCs w:val="21"/>
                <w:highlight w:val="none"/>
              </w:rPr>
              <w:t>第五章</w:t>
            </w:r>
            <w:r>
              <w:rPr>
                <w:rFonts w:ascii="宋体" w:hAnsi="宋体"/>
                <w:color w:val="auto"/>
                <w:szCs w:val="21"/>
                <w:highlight w:val="none"/>
              </w:rPr>
              <w:t>.　</w:t>
            </w:r>
            <w:r>
              <w:rPr>
                <w:rFonts w:ascii="宋体" w:hAnsi="宋体"/>
                <w:color w:val="auto"/>
                <w:szCs w:val="21"/>
                <w:highlight w:val="none"/>
              </w:rPr>
              <w:fldChar w:fldCharType="end"/>
            </w:r>
            <w:r>
              <w:rPr>
                <w:rFonts w:hint="eastAsia" w:ascii="宋体" w:hAnsi="宋体"/>
                <w:color w:val="auto"/>
                <w:szCs w:val="21"/>
                <w:highlight w:val="none"/>
              </w:rPr>
              <w:t>第</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REF _Ref462914568 \n \h</w:instrText>
            </w:r>
            <w:r>
              <w:rPr>
                <w:rFonts w:ascii="宋体" w:hAnsi="宋体"/>
                <w:color w:val="auto"/>
                <w:szCs w:val="21"/>
                <w:highlight w:val="none"/>
              </w:rPr>
              <w:instrText xml:space="preserve">  \* MERGEFORMAT </w:instrText>
            </w:r>
            <w:r>
              <w:rPr>
                <w:rFonts w:ascii="宋体" w:hAnsi="宋体"/>
                <w:color w:val="auto"/>
                <w:szCs w:val="21"/>
                <w:highlight w:val="none"/>
              </w:rPr>
              <w:fldChar w:fldCharType="separate"/>
            </w:r>
            <w:r>
              <w:rPr>
                <w:rFonts w:ascii="宋体" w:hAnsi="宋体"/>
                <w:color w:val="auto"/>
                <w:szCs w:val="21"/>
                <w:highlight w:val="none"/>
              </w:rPr>
              <w:t>7</w:t>
            </w:r>
            <w:r>
              <w:rPr>
                <w:rFonts w:ascii="宋体" w:hAnsi="宋体"/>
                <w:color w:val="auto"/>
                <w:szCs w:val="21"/>
                <w:highlight w:val="none"/>
              </w:rPr>
              <w:fldChar w:fldCharType="end"/>
            </w:r>
            <w:r>
              <w:rPr>
                <w:rFonts w:hint="eastAsia" w:ascii="宋体" w:hAnsi="宋体"/>
                <w:color w:val="auto"/>
                <w:szCs w:val="21"/>
                <w:highlight w:val="none"/>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color w:val="auto"/>
                <w:szCs w:val="21"/>
                <w:highlight w:val="none"/>
              </w:rPr>
            </w:pPr>
            <w:r>
              <w:rPr>
                <w:rFonts w:hint="eastAsia" w:ascii="宋体" w:hAnsi="宋体"/>
                <w:color w:val="auto"/>
                <w:szCs w:val="21"/>
                <w:highlight w:val="none"/>
              </w:rPr>
              <w:t>15</w:t>
            </w:r>
          </w:p>
        </w:tc>
        <w:tc>
          <w:tcPr>
            <w:tcW w:w="1376" w:type="dxa"/>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评比办法</w:t>
            </w:r>
          </w:p>
        </w:tc>
        <w:tc>
          <w:tcPr>
            <w:tcW w:w="7980" w:type="dxa"/>
            <w:vAlign w:val="center"/>
          </w:tcPr>
          <w:p>
            <w:pPr>
              <w:rPr>
                <w:rFonts w:ascii="宋体" w:hAnsi="宋体"/>
                <w:color w:val="auto"/>
                <w:szCs w:val="21"/>
                <w:highlight w:val="none"/>
              </w:rPr>
            </w:pPr>
            <w:r>
              <w:rPr>
                <w:rFonts w:hint="eastAsia" w:ascii="宋体" w:hAnsi="宋体"/>
                <w:color w:val="auto"/>
                <w:szCs w:val="21"/>
                <w:highlight w:val="none"/>
              </w:rPr>
              <w:t>评审小组对通过资格、技术及商务评审的比选申请人的总价</w:t>
            </w:r>
            <w:r>
              <w:rPr>
                <w:rFonts w:hint="eastAsia" w:ascii="宋体" w:hAnsi="宋体"/>
                <w:color w:val="auto"/>
                <w:szCs w:val="21"/>
                <w:highlight w:val="none"/>
                <w:lang w:eastAsia="zh-CN"/>
              </w:rPr>
              <w:t>（即不含税总价，下同）</w:t>
            </w:r>
            <w:r>
              <w:rPr>
                <w:rFonts w:hint="eastAsia" w:ascii="宋体" w:hAnsi="宋体"/>
                <w:color w:val="auto"/>
                <w:szCs w:val="21"/>
                <w:highlight w:val="none"/>
              </w:rPr>
              <w:t>由低到高进行排序，总价最低的排名第一（总价相同时，交货期较短者排名在前；交货期也相同时，质保期较长者排名在前；质保期也相同时，性能参数较优者排名在前），以此类推，评审小组推荐排名第一的为中选供应商。</w:t>
            </w:r>
          </w:p>
        </w:tc>
      </w:tr>
    </w:tbl>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3" w:name="_Toc114052413"/>
      <w:bookmarkStart w:id="14" w:name="_Toc22232"/>
      <w:bookmarkStart w:id="15" w:name="_Toc286386833"/>
      <w:bookmarkStart w:id="16" w:name="_Toc437544676"/>
      <w:bookmarkStart w:id="17" w:name="_Toc114052339"/>
      <w:bookmarkStart w:id="18" w:name="_Toc437544521"/>
      <w:r>
        <w:rPr>
          <w:rFonts w:hint="eastAsia" w:asciiTheme="majorEastAsia" w:hAnsiTheme="majorEastAsia" w:eastAsiaTheme="majorEastAsia"/>
          <w:color w:val="auto"/>
          <w:sz w:val="24"/>
          <w:szCs w:val="24"/>
          <w:highlight w:val="none"/>
        </w:rPr>
        <w:t>总  则</w:t>
      </w:r>
      <w:bookmarkEnd w:id="13"/>
      <w:bookmarkEnd w:id="14"/>
      <w:bookmarkEnd w:id="15"/>
      <w:bookmarkEnd w:id="16"/>
      <w:bookmarkEnd w:id="17"/>
      <w:bookmarkEnd w:id="18"/>
    </w:p>
    <w:p>
      <w:pPr>
        <w:pStyle w:val="4"/>
        <w:numPr>
          <w:ilvl w:val="0"/>
          <w:numId w:val="13"/>
        </w:numPr>
        <w:spacing w:before="120" w:beforeLines="50" w:after="0" w:line="240" w:lineRule="auto"/>
        <w:ind w:left="0" w:firstLine="0"/>
        <w:rPr>
          <w:color w:val="auto"/>
          <w:sz w:val="24"/>
          <w:highlight w:val="none"/>
        </w:rPr>
      </w:pPr>
      <w:bookmarkStart w:id="19" w:name="_Toc114052342"/>
      <w:bookmarkStart w:id="20" w:name="_Toc286386836"/>
      <w:bookmarkStart w:id="21" w:name="_Toc392862477"/>
      <w:bookmarkStart w:id="22" w:name="_Toc114052416"/>
      <w:r>
        <w:rPr>
          <w:rFonts w:hint="eastAsia"/>
          <w:color w:val="auto"/>
          <w:sz w:val="24"/>
          <w:highlight w:val="none"/>
        </w:rPr>
        <w:t>项目说明</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项目说明见比选须知前附表（以下称“前附表”）所述。</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本项目按照国家有关的法律、法规，按公开公平公正原则通过比选择优选定供应商。</w:t>
      </w:r>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资格与合格条件的要求</w:t>
      </w:r>
      <w:bookmarkEnd w:id="19"/>
      <w:bookmarkEnd w:id="20"/>
      <w:bookmarkEnd w:id="21"/>
      <w:bookmarkEnd w:id="22"/>
    </w:p>
    <w:p>
      <w:pPr>
        <w:pStyle w:val="47"/>
        <w:ind w:firstLine="480"/>
        <w:rPr>
          <w:color w:val="auto"/>
          <w:sz w:val="24"/>
          <w:szCs w:val="24"/>
          <w:highlight w:val="none"/>
        </w:rPr>
      </w:pPr>
      <w:r>
        <w:rPr>
          <w:rFonts w:hint="eastAsia"/>
          <w:color w:val="auto"/>
          <w:sz w:val="24"/>
          <w:szCs w:val="24"/>
          <w:highlight w:val="none"/>
        </w:rPr>
        <w:t>比选申请人必须具有前附表第6条相应的资质和条件要求。</w:t>
      </w:r>
      <w:bookmarkStart w:id="23" w:name="_Toc392862478"/>
      <w:bookmarkStart w:id="24" w:name="_Toc114052343"/>
      <w:bookmarkStart w:id="25" w:name="_Toc114052417"/>
      <w:bookmarkStart w:id="26" w:name="_Toc286386837"/>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申请比选费用</w:t>
      </w:r>
      <w:bookmarkEnd w:id="23"/>
      <w:bookmarkEnd w:id="24"/>
      <w:bookmarkEnd w:id="25"/>
      <w:bookmarkEnd w:id="26"/>
    </w:p>
    <w:p>
      <w:pPr>
        <w:pStyle w:val="47"/>
        <w:ind w:firstLine="480"/>
        <w:rPr>
          <w:color w:val="auto"/>
          <w:sz w:val="24"/>
          <w:szCs w:val="24"/>
          <w:highlight w:val="none"/>
        </w:rPr>
      </w:pPr>
      <w:r>
        <w:rPr>
          <w:rFonts w:hint="eastAsia"/>
          <w:color w:val="auto"/>
          <w:sz w:val="24"/>
          <w:szCs w:val="24"/>
          <w:highlight w:val="none"/>
        </w:rPr>
        <w:t>比选申请人应承担其编制、递交文件所涉及的一切费用。无论评审结果如何，比选发起人对上述费用不承担任何责任。</w:t>
      </w:r>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27" w:name="_Toc114052344"/>
      <w:bookmarkStart w:id="28" w:name="_Toc437544522"/>
      <w:bookmarkStart w:id="29" w:name="_Toc437544677"/>
      <w:bookmarkStart w:id="30" w:name="_Toc114052418"/>
      <w:bookmarkStart w:id="31" w:name="_Toc286386838"/>
      <w:bookmarkStart w:id="32" w:name="_Toc11748"/>
      <w:r>
        <w:rPr>
          <w:rFonts w:hint="eastAsia" w:asciiTheme="majorEastAsia" w:hAnsiTheme="majorEastAsia" w:eastAsiaTheme="majorEastAsia"/>
          <w:color w:val="auto"/>
          <w:sz w:val="24"/>
          <w:szCs w:val="24"/>
          <w:highlight w:val="none"/>
        </w:rPr>
        <w:t>比选文件</w:t>
      </w:r>
      <w:bookmarkEnd w:id="27"/>
      <w:bookmarkEnd w:id="28"/>
      <w:bookmarkEnd w:id="29"/>
      <w:bookmarkEnd w:id="30"/>
      <w:bookmarkEnd w:id="31"/>
      <w:bookmarkEnd w:id="32"/>
      <w:bookmarkStart w:id="33" w:name="_Toc392862480"/>
      <w:bookmarkStart w:id="34" w:name="_Toc114052345"/>
      <w:bookmarkStart w:id="35" w:name="_Toc114052419"/>
      <w:bookmarkStart w:id="36" w:name="_Toc286386839"/>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比选文件的组成</w:t>
      </w:r>
      <w:bookmarkEnd w:id="33"/>
      <w:bookmarkEnd w:id="34"/>
      <w:bookmarkEnd w:id="35"/>
      <w:bookmarkEnd w:id="36"/>
    </w:p>
    <w:p>
      <w:pPr>
        <w:pStyle w:val="47"/>
        <w:spacing w:after="120" w:afterLines="50"/>
        <w:ind w:firstLine="480"/>
        <w:rPr>
          <w:color w:val="auto"/>
          <w:sz w:val="24"/>
          <w:szCs w:val="24"/>
          <w:highlight w:val="none"/>
        </w:rPr>
      </w:pPr>
      <w:r>
        <w:rPr>
          <w:rFonts w:hint="eastAsia"/>
          <w:color w:val="auto"/>
          <w:sz w:val="24"/>
          <w:szCs w:val="24"/>
          <w:highlight w:val="none"/>
        </w:rPr>
        <w:t>比选文件包括比选公告、比选须知、技术及需求、评审细则、合同条款（格式）、比选申请文件（格式）。</w:t>
      </w:r>
    </w:p>
    <w:p>
      <w:pPr>
        <w:pStyle w:val="4"/>
        <w:numPr>
          <w:ilvl w:val="0"/>
          <w:numId w:val="13"/>
        </w:numPr>
        <w:spacing w:before="120" w:beforeLines="50" w:after="0" w:line="240" w:lineRule="auto"/>
        <w:ind w:left="0" w:firstLine="0"/>
        <w:rPr>
          <w:color w:val="auto"/>
          <w:sz w:val="24"/>
          <w:highlight w:val="none"/>
        </w:rPr>
      </w:pPr>
      <w:bookmarkStart w:id="37" w:name="_Toc114052420"/>
      <w:bookmarkStart w:id="38" w:name="_Toc286386840"/>
      <w:bookmarkStart w:id="39" w:name="_Toc114052346"/>
      <w:bookmarkStart w:id="40" w:name="_Toc392862481"/>
      <w:r>
        <w:rPr>
          <w:rFonts w:hint="eastAsia"/>
          <w:color w:val="auto"/>
          <w:sz w:val="24"/>
          <w:highlight w:val="none"/>
        </w:rPr>
        <w:t>比选文件的解释</w:t>
      </w:r>
      <w:bookmarkEnd w:id="37"/>
      <w:bookmarkEnd w:id="38"/>
      <w:bookmarkEnd w:id="39"/>
      <w:bookmarkEnd w:id="40"/>
    </w:p>
    <w:p>
      <w:pPr>
        <w:pStyle w:val="47"/>
        <w:spacing w:after="120" w:afterLines="50"/>
        <w:ind w:firstLine="480"/>
        <w:rPr>
          <w:color w:val="auto"/>
          <w:sz w:val="24"/>
          <w:szCs w:val="24"/>
          <w:highlight w:val="none"/>
        </w:rPr>
      </w:pPr>
      <w:r>
        <w:rPr>
          <w:rFonts w:hint="eastAsia"/>
          <w:color w:val="auto"/>
          <w:sz w:val="24"/>
          <w:szCs w:val="24"/>
          <w:highlight w:val="none"/>
        </w:rPr>
        <w:t>比选发起人向比选申请人提供的有关本项目的资料和数据，是比选发起人现有的能为比选申请人所利用的资料；比选发起人对比选申请人由此而做出的推论、理解和结论概不负责。</w:t>
      </w:r>
    </w:p>
    <w:p>
      <w:pPr>
        <w:pStyle w:val="4"/>
        <w:numPr>
          <w:ilvl w:val="0"/>
          <w:numId w:val="13"/>
        </w:numPr>
        <w:spacing w:before="120" w:beforeLines="50" w:after="0" w:line="240" w:lineRule="auto"/>
        <w:ind w:left="0" w:firstLine="0"/>
        <w:rPr>
          <w:color w:val="auto"/>
          <w:sz w:val="24"/>
          <w:highlight w:val="none"/>
        </w:rPr>
      </w:pPr>
      <w:bookmarkStart w:id="41" w:name="_Toc286386841"/>
      <w:bookmarkStart w:id="42" w:name="_Toc392862482"/>
      <w:bookmarkStart w:id="43" w:name="_Toc114052347"/>
      <w:bookmarkStart w:id="44" w:name="_Toc114052421"/>
      <w:r>
        <w:rPr>
          <w:rFonts w:hint="eastAsia"/>
          <w:color w:val="auto"/>
          <w:sz w:val="24"/>
          <w:highlight w:val="none"/>
        </w:rPr>
        <w:t>比选文件的</w:t>
      </w:r>
      <w:bookmarkEnd w:id="41"/>
      <w:bookmarkEnd w:id="42"/>
      <w:bookmarkEnd w:id="43"/>
      <w:bookmarkEnd w:id="44"/>
      <w:r>
        <w:rPr>
          <w:rFonts w:hint="eastAsia"/>
          <w:color w:val="auto"/>
          <w:sz w:val="24"/>
          <w:highlight w:val="none"/>
        </w:rPr>
        <w:t>答疑</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比选申请人可提出与比选有关的任何问题并按前附表第12条之规定通知比选发起人。</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若</w:t>
      </w:r>
      <w:r>
        <w:rPr>
          <w:rFonts w:ascii="宋体" w:hAnsi="宋体"/>
          <w:color w:val="auto"/>
          <w:sz w:val="24"/>
          <w:highlight w:val="none"/>
        </w:rPr>
        <w:fldChar w:fldCharType="begin"/>
      </w:r>
      <w:r>
        <w:rPr>
          <w:rFonts w:ascii="宋体" w:hAnsi="宋体"/>
          <w:color w:val="auto"/>
          <w:sz w:val="24"/>
          <w:highlight w:val="none"/>
        </w:rPr>
        <w:instrText xml:space="preserve"> </w:instrText>
      </w:r>
      <w:r>
        <w:rPr>
          <w:rFonts w:hint="eastAsia" w:ascii="宋体" w:hAnsi="宋体"/>
          <w:color w:val="auto"/>
          <w:sz w:val="24"/>
          <w:highlight w:val="none"/>
        </w:rPr>
        <w:instrText xml:space="preserve">REF _Ref488050650 \r \h</w:instrText>
      </w:r>
      <w:r>
        <w:rPr>
          <w:rFonts w:ascii="宋体" w:hAnsi="宋体"/>
          <w:color w:val="auto"/>
          <w:sz w:val="24"/>
          <w:highlight w:val="none"/>
        </w:rPr>
        <w:instrText xml:space="preserve">  \* MERGEFORMAT </w:instrText>
      </w:r>
      <w:r>
        <w:rPr>
          <w:rFonts w:ascii="宋体" w:hAnsi="宋体"/>
          <w:color w:val="auto"/>
          <w:sz w:val="24"/>
          <w:highlight w:val="none"/>
        </w:rPr>
        <w:fldChar w:fldCharType="separate"/>
      </w:r>
      <w:r>
        <w:rPr>
          <w:rFonts w:hint="eastAsia" w:ascii="宋体" w:hAnsi="宋体"/>
          <w:color w:val="auto"/>
          <w:sz w:val="24"/>
          <w:highlight w:val="none"/>
        </w:rPr>
        <w:t>第三章</w:t>
      </w:r>
      <w:r>
        <w:rPr>
          <w:rFonts w:ascii="宋体" w:hAnsi="宋体"/>
          <w:color w:val="auto"/>
          <w:sz w:val="24"/>
          <w:highlight w:val="none"/>
        </w:rPr>
        <w:t>.　</w:t>
      </w:r>
      <w:r>
        <w:rPr>
          <w:rFonts w:ascii="宋体" w:hAnsi="宋体"/>
          <w:color w:val="auto"/>
          <w:sz w:val="24"/>
          <w:highlight w:val="none"/>
        </w:rPr>
        <w:fldChar w:fldCharType="end"/>
      </w:r>
      <w:r>
        <w:rPr>
          <w:rFonts w:hint="eastAsia" w:ascii="宋体" w:hAnsi="宋体"/>
          <w:color w:val="auto"/>
          <w:sz w:val="24"/>
          <w:highlight w:val="none"/>
        </w:rPr>
        <w:t>“技术需求及数量表”中所列的货物已停产或者淘汰的，以及规格型号不清的请比选申请人提出书面修改意见，提供并标明符合技术参数要求的产品品牌及型号。</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比选发起人通过“比选补遗文件”将答疑及修改内容在前附表规定的时间内以书面行式（电子扫描件有效）发给所有通过报名预审的比选申请人，并作为比选文件的组成部分。</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比选发起人只回答与比选文件内容有关的问题，并有权对任何无关的问题不作回答。</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比选补遗文件包括所有问题和答复，但不指明澄清问题的来源。</w:t>
      </w:r>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45" w:name="_Toc27738"/>
      <w:bookmarkStart w:id="46" w:name="_Toc114052348"/>
      <w:bookmarkStart w:id="47" w:name="_Toc286386842"/>
      <w:bookmarkStart w:id="48" w:name="_Toc437544523"/>
      <w:bookmarkStart w:id="49" w:name="_Toc437544678"/>
      <w:bookmarkStart w:id="50" w:name="_Toc114052422"/>
      <w:r>
        <w:rPr>
          <w:rFonts w:hint="eastAsia" w:asciiTheme="majorEastAsia" w:hAnsiTheme="majorEastAsia" w:eastAsiaTheme="majorEastAsia"/>
          <w:color w:val="auto"/>
          <w:sz w:val="24"/>
          <w:szCs w:val="24"/>
          <w:highlight w:val="none"/>
        </w:rPr>
        <w:t>申请比选报价说明</w:t>
      </w:r>
      <w:bookmarkEnd w:id="45"/>
      <w:bookmarkEnd w:id="46"/>
      <w:bookmarkEnd w:id="47"/>
      <w:bookmarkEnd w:id="48"/>
      <w:bookmarkEnd w:id="49"/>
      <w:bookmarkEnd w:id="50"/>
      <w:bookmarkStart w:id="51" w:name="_Toc392862484"/>
      <w:bookmarkStart w:id="52" w:name="_Toc114052349"/>
      <w:bookmarkStart w:id="53" w:name="_Toc114052423"/>
      <w:bookmarkStart w:id="54" w:name="_Toc286386843"/>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申请比选报价</w:t>
      </w:r>
      <w:bookmarkEnd w:id="51"/>
      <w:bookmarkEnd w:id="52"/>
      <w:bookmarkEnd w:id="53"/>
      <w:bookmarkEnd w:id="54"/>
    </w:p>
    <w:p>
      <w:pPr>
        <w:pStyle w:val="47"/>
        <w:numPr>
          <w:ilvl w:val="1"/>
          <w:numId w:val="13"/>
        </w:numPr>
        <w:spacing w:after="120" w:afterLines="50"/>
        <w:ind w:left="480" w:hanging="480" w:hangingChars="200"/>
        <w:rPr>
          <w:rFonts w:ascii="宋体" w:hAnsi="宋体"/>
          <w:color w:val="auto"/>
          <w:sz w:val="24"/>
          <w:highlight w:val="none"/>
        </w:rPr>
      </w:pPr>
      <w:bookmarkStart w:id="55" w:name="_Ref483049668"/>
      <w:r>
        <w:rPr>
          <w:rFonts w:hint="eastAsia" w:ascii="宋体" w:hAnsi="宋体"/>
          <w:color w:val="auto"/>
          <w:sz w:val="24"/>
          <w:highlight w:val="none"/>
        </w:rPr>
        <w:t>比选申请人</w:t>
      </w:r>
      <w:r>
        <w:rPr>
          <w:rFonts w:hint="eastAsia" w:ascii="宋体" w:hAnsi="宋体"/>
          <w:b/>
          <w:color w:val="auto"/>
          <w:sz w:val="24"/>
          <w:highlight w:val="none"/>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pPr>
        <w:pStyle w:val="47"/>
        <w:numPr>
          <w:ilvl w:val="1"/>
          <w:numId w:val="13"/>
        </w:numPr>
        <w:spacing w:after="120" w:afterLines="50"/>
        <w:ind w:left="482" w:hanging="482" w:hangingChars="200"/>
        <w:rPr>
          <w:rFonts w:ascii="宋体" w:hAnsi="宋体"/>
          <w:color w:val="auto"/>
          <w:sz w:val="24"/>
          <w:highlight w:val="none"/>
        </w:rPr>
      </w:pPr>
      <w:r>
        <w:rPr>
          <w:rFonts w:hint="eastAsia" w:ascii="宋体" w:hAnsi="宋体"/>
          <w:b/>
          <w:color w:val="auto"/>
          <w:sz w:val="24"/>
          <w:highlight w:val="none"/>
        </w:rPr>
        <w:t>本项目报价应为确定性报价，不接受选择性报价，任何有选择性的报价将不予接受</w:t>
      </w:r>
      <w:r>
        <w:rPr>
          <w:rFonts w:hint="eastAsia" w:ascii="宋体" w:hAnsi="宋体"/>
          <w:color w:val="auto"/>
          <w:sz w:val="24"/>
          <w:highlight w:val="none"/>
        </w:rPr>
        <w:t>；在比选申请文件递交截止时间后，针对比选申请文件作出的任何修改将不予接受。</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比选申请人须按比选文件的要求进行报价，所报货物的规格参数及品牌等须符合比选文件要求，分项报价表的序号应与《技术需求及数量表》的序号一致。</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对原产地在中国境外的货物，必须是在中国海关完税的可合法销售的货物，并提供相应的完整的报关单。</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比选申请文件编制的依据：本比选文件。</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比选发起人对本项目的澄清说明，比选申请人应以澄清后的要求进行报价。</w:t>
      </w:r>
    </w:p>
    <w:p>
      <w:pPr>
        <w:pStyle w:val="47"/>
        <w:numPr>
          <w:ilvl w:val="1"/>
          <w:numId w:val="13"/>
        </w:numPr>
        <w:spacing w:after="120" w:afterLines="50"/>
        <w:ind w:firstLineChars="0"/>
        <w:rPr>
          <w:rFonts w:ascii="宋体" w:hAnsi="宋体"/>
          <w:color w:val="auto"/>
          <w:sz w:val="24"/>
          <w:highlight w:val="none"/>
        </w:rPr>
      </w:pPr>
      <w:r>
        <w:rPr>
          <w:rFonts w:hint="eastAsia" w:ascii="宋体" w:hAnsi="宋体"/>
          <w:b/>
          <w:color w:val="auto"/>
          <w:sz w:val="24"/>
          <w:highlight w:val="none"/>
        </w:rPr>
        <w:t>比选申请人的报价须包含项目总价(比选申请函)和分项报价表；缺少项目总价(比选申请函)或缺少分项报价表的，视为实质性不响应；</w:t>
      </w:r>
      <w:r>
        <w:rPr>
          <w:rFonts w:hint="eastAsia" w:ascii="宋体" w:hAnsi="宋体"/>
          <w:color w:val="auto"/>
          <w:sz w:val="24"/>
          <w:highlight w:val="none"/>
        </w:rPr>
        <w:t>分项报价表须包含货物单价、合价及总价，单项货物的单价×数量等于该项货物合价；全部货物合价之和等于项目总价。</w:t>
      </w:r>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56" w:name="_Toc5976"/>
      <w:bookmarkStart w:id="57" w:name="_Toc437544679"/>
      <w:bookmarkStart w:id="58" w:name="_Toc437544524"/>
      <w:bookmarkStart w:id="59" w:name="_Toc114052424"/>
      <w:bookmarkStart w:id="60" w:name="_Toc114052350"/>
      <w:bookmarkStart w:id="61" w:name="_Toc286386844"/>
      <w:r>
        <w:rPr>
          <w:rFonts w:hint="eastAsia" w:asciiTheme="majorEastAsia" w:hAnsiTheme="majorEastAsia" w:eastAsiaTheme="majorEastAsia"/>
          <w:color w:val="auto"/>
          <w:sz w:val="24"/>
          <w:szCs w:val="24"/>
          <w:highlight w:val="none"/>
        </w:rPr>
        <w:t>比选申请文件的编制</w:t>
      </w:r>
      <w:bookmarkEnd w:id="56"/>
      <w:bookmarkEnd w:id="57"/>
      <w:bookmarkEnd w:id="58"/>
      <w:bookmarkEnd w:id="59"/>
      <w:bookmarkEnd w:id="60"/>
      <w:bookmarkEnd w:id="61"/>
    </w:p>
    <w:p>
      <w:pPr>
        <w:pStyle w:val="4"/>
        <w:numPr>
          <w:ilvl w:val="0"/>
          <w:numId w:val="13"/>
        </w:numPr>
        <w:spacing w:before="120" w:beforeLines="50" w:after="0" w:line="240" w:lineRule="auto"/>
        <w:ind w:left="0" w:firstLine="0"/>
        <w:rPr>
          <w:color w:val="auto"/>
          <w:sz w:val="24"/>
          <w:highlight w:val="none"/>
        </w:rPr>
      </w:pPr>
      <w:bookmarkStart w:id="62" w:name="_Toc392862486"/>
      <w:bookmarkStart w:id="63" w:name="_Toc286386845"/>
      <w:r>
        <w:rPr>
          <w:rFonts w:hint="eastAsia"/>
          <w:color w:val="auto"/>
          <w:sz w:val="24"/>
          <w:highlight w:val="none"/>
        </w:rPr>
        <w:t>注意事项</w:t>
      </w:r>
      <w:bookmarkEnd w:id="62"/>
      <w:bookmarkEnd w:id="63"/>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比选文件提出的实质性要求和条件是指本项目所涉及的价格、服务、合同条款（格式）、性能参数，或评审小组认定的其他内容。</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比选申请文件等所有来往函电须统一使用中文(特别规定除外)。</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比选申请文件中使用的计量单位除比选文件有特殊规定外，一律使用法定计量单位。</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比选申请文件须按要求进行签字和盖章。</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比选申请文件纸质版包括：一份“正本”、四份“副本”，并标明“正本”和“副本”；正本与副本均应使用不能擦去的黑色墨水打印或书写，分别装订成册。</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pPr>
        <w:pStyle w:val="47"/>
        <w:numPr>
          <w:ilvl w:val="1"/>
          <w:numId w:val="13"/>
        </w:numPr>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比选申请文件电子版与纸质版内容不一致时，以纸质版为准；正本和副本不一致时，以正本为准。</w:t>
      </w:r>
    </w:p>
    <w:p>
      <w:pPr>
        <w:pStyle w:val="4"/>
        <w:numPr>
          <w:ilvl w:val="0"/>
          <w:numId w:val="13"/>
        </w:numPr>
        <w:spacing w:before="120" w:beforeLines="50" w:after="0" w:line="240" w:lineRule="auto"/>
        <w:ind w:left="0" w:firstLine="0"/>
        <w:rPr>
          <w:color w:val="auto"/>
          <w:sz w:val="24"/>
          <w:highlight w:val="none"/>
        </w:rPr>
      </w:pPr>
      <w:bookmarkStart w:id="64" w:name="_Ref464481847"/>
      <w:bookmarkStart w:id="65" w:name="_Toc392862487"/>
      <w:bookmarkStart w:id="66" w:name="_Ref464481848"/>
      <w:bookmarkStart w:id="67" w:name="_Toc114052352"/>
      <w:bookmarkStart w:id="68" w:name="_Toc114052426"/>
      <w:bookmarkStart w:id="69" w:name="_Toc286386846"/>
      <w:r>
        <w:rPr>
          <w:rFonts w:hint="eastAsia"/>
          <w:color w:val="auto"/>
          <w:sz w:val="24"/>
          <w:highlight w:val="none"/>
        </w:rPr>
        <w:t>比选申请文件的组成</w:t>
      </w:r>
      <w:bookmarkEnd w:id="64"/>
      <w:bookmarkEnd w:id="65"/>
      <w:bookmarkEnd w:id="66"/>
      <w:bookmarkEnd w:id="67"/>
      <w:bookmarkEnd w:id="68"/>
      <w:bookmarkEnd w:id="69"/>
    </w:p>
    <w:p>
      <w:pPr>
        <w:pStyle w:val="47"/>
        <w:numPr>
          <w:ilvl w:val="1"/>
          <w:numId w:val="13"/>
        </w:numPr>
        <w:spacing w:after="120" w:afterLines="50"/>
        <w:ind w:left="480" w:hanging="480" w:hangingChars="200"/>
        <w:rPr>
          <w:rFonts w:ascii="宋体" w:hAnsi="宋体"/>
          <w:color w:val="auto"/>
          <w:sz w:val="24"/>
          <w:highlight w:val="none"/>
        </w:rPr>
      </w:pPr>
      <w:bookmarkStart w:id="70" w:name="_Toc114052354"/>
      <w:r>
        <w:rPr>
          <w:rFonts w:ascii="宋体" w:hAnsi="宋体"/>
          <w:color w:val="auto"/>
          <w:sz w:val="24"/>
          <w:highlight w:val="none"/>
        </w:rPr>
        <w:t>比选申请文件由资格审查部分、</w:t>
      </w:r>
      <w:r>
        <w:rPr>
          <w:rFonts w:hint="eastAsia" w:ascii="宋体" w:hAnsi="宋体"/>
          <w:color w:val="auto"/>
          <w:sz w:val="24"/>
          <w:highlight w:val="none"/>
        </w:rPr>
        <w:t>技术部分、</w:t>
      </w:r>
      <w:r>
        <w:rPr>
          <w:rFonts w:ascii="宋体" w:hAnsi="宋体"/>
          <w:color w:val="auto"/>
          <w:sz w:val="24"/>
          <w:highlight w:val="none"/>
        </w:rPr>
        <w:t>商务部分</w:t>
      </w:r>
      <w:r>
        <w:rPr>
          <w:rFonts w:hint="eastAsia" w:ascii="宋体" w:hAnsi="宋体"/>
          <w:color w:val="auto"/>
          <w:sz w:val="24"/>
          <w:highlight w:val="none"/>
        </w:rPr>
        <w:t>三</w:t>
      </w:r>
      <w:r>
        <w:rPr>
          <w:rFonts w:ascii="宋体" w:hAnsi="宋体"/>
          <w:color w:val="auto"/>
          <w:sz w:val="24"/>
          <w:highlight w:val="none"/>
        </w:rPr>
        <w:t>部分组成。</w:t>
      </w:r>
    </w:p>
    <w:p>
      <w:pPr>
        <w:pStyle w:val="47"/>
        <w:numPr>
          <w:ilvl w:val="1"/>
          <w:numId w:val="13"/>
        </w:numPr>
        <w:spacing w:after="120" w:afterLines="50"/>
        <w:ind w:left="480" w:hanging="480" w:hangingChars="200"/>
        <w:rPr>
          <w:rFonts w:ascii="宋体" w:hAnsi="宋体"/>
          <w:color w:val="auto"/>
          <w:sz w:val="24"/>
          <w:highlight w:val="none"/>
        </w:rPr>
      </w:pPr>
      <w:bookmarkStart w:id="71" w:name="_Ref483054033"/>
      <w:r>
        <w:rPr>
          <w:rFonts w:hint="eastAsia" w:ascii="宋体" w:hAnsi="宋体"/>
          <w:color w:val="auto"/>
          <w:sz w:val="24"/>
          <w:highlight w:val="none"/>
        </w:rPr>
        <w:t>资格审查</w:t>
      </w:r>
      <w:r>
        <w:rPr>
          <w:rFonts w:ascii="宋体" w:hAnsi="宋体"/>
          <w:color w:val="auto"/>
          <w:sz w:val="24"/>
          <w:highlight w:val="none"/>
        </w:rPr>
        <w:t>部分主要包括下列内容：</w:t>
      </w:r>
      <w:bookmarkEnd w:id="71"/>
    </w:p>
    <w:p>
      <w:pPr>
        <w:pStyle w:val="47"/>
        <w:numPr>
          <w:ilvl w:val="2"/>
          <w:numId w:val="13"/>
        </w:numPr>
        <w:ind w:firstLineChars="0"/>
        <w:rPr>
          <w:rFonts w:ascii="宋体" w:hAnsi="宋体"/>
          <w:color w:val="auto"/>
          <w:sz w:val="24"/>
          <w:highlight w:val="none"/>
        </w:rPr>
      </w:pPr>
      <w:bookmarkStart w:id="72" w:name="_Ref483060579"/>
      <w:r>
        <w:rPr>
          <w:rFonts w:hint="eastAsia" w:ascii="宋体" w:hAnsi="宋体"/>
          <w:color w:val="auto"/>
          <w:sz w:val="24"/>
          <w:highlight w:val="none"/>
        </w:rPr>
        <w:t>比选保证金缴纳证明</w:t>
      </w:r>
      <w:r>
        <w:rPr>
          <w:rFonts w:hint="eastAsia" w:ascii="宋体" w:hAnsi="宋体"/>
          <w:color w:val="auto"/>
          <w:kern w:val="0"/>
          <w:sz w:val="24"/>
          <w:highlight w:val="none"/>
        </w:rPr>
        <w:t>（复印件，原件备查）</w:t>
      </w:r>
      <w:bookmarkEnd w:id="72"/>
    </w:p>
    <w:p>
      <w:pPr>
        <w:pStyle w:val="47"/>
        <w:numPr>
          <w:ilvl w:val="2"/>
          <w:numId w:val="13"/>
        </w:numPr>
        <w:ind w:firstLineChars="0"/>
        <w:rPr>
          <w:rFonts w:ascii="宋体" w:hAnsi="宋体"/>
          <w:color w:val="auto"/>
          <w:sz w:val="24"/>
          <w:highlight w:val="none"/>
        </w:rPr>
      </w:pPr>
      <w:bookmarkStart w:id="73" w:name="_Ref483060645"/>
      <w:r>
        <w:rPr>
          <w:rFonts w:hint="eastAsia" w:ascii="宋体" w:hAnsi="宋体"/>
          <w:color w:val="auto"/>
          <w:sz w:val="24"/>
          <w:highlight w:val="none"/>
        </w:rPr>
        <w:t>诚信声明（原件）</w:t>
      </w:r>
      <w:bookmarkEnd w:id="73"/>
    </w:p>
    <w:p>
      <w:pPr>
        <w:pStyle w:val="47"/>
        <w:numPr>
          <w:ilvl w:val="2"/>
          <w:numId w:val="13"/>
        </w:numPr>
        <w:ind w:firstLineChars="0"/>
        <w:rPr>
          <w:rFonts w:ascii="宋体" w:hAnsi="宋体"/>
          <w:color w:val="auto"/>
          <w:sz w:val="24"/>
          <w:highlight w:val="none"/>
        </w:rPr>
      </w:pPr>
      <w:bookmarkStart w:id="74" w:name="_Ref483060659"/>
      <w:r>
        <w:rPr>
          <w:rFonts w:hint="eastAsia" w:ascii="宋体" w:hAnsi="宋体"/>
          <w:color w:val="auto"/>
          <w:sz w:val="24"/>
          <w:highlight w:val="none"/>
        </w:rPr>
        <w:t>法定代表人资格证明书（原件）</w:t>
      </w:r>
      <w:bookmarkEnd w:id="74"/>
    </w:p>
    <w:p>
      <w:pPr>
        <w:pStyle w:val="47"/>
        <w:numPr>
          <w:ilvl w:val="2"/>
          <w:numId w:val="13"/>
        </w:numPr>
        <w:ind w:firstLineChars="0"/>
        <w:rPr>
          <w:rFonts w:ascii="宋体" w:hAnsi="宋体"/>
          <w:color w:val="auto"/>
          <w:sz w:val="24"/>
          <w:highlight w:val="none"/>
        </w:rPr>
      </w:pPr>
      <w:bookmarkStart w:id="75" w:name="_Ref483060669"/>
      <w:r>
        <w:rPr>
          <w:rFonts w:hint="eastAsia" w:ascii="宋体" w:hAnsi="宋体"/>
          <w:color w:val="auto"/>
          <w:sz w:val="24"/>
          <w:highlight w:val="none"/>
        </w:rPr>
        <w:t>授权委托书（原件）</w:t>
      </w:r>
      <w:bookmarkEnd w:id="75"/>
    </w:p>
    <w:p>
      <w:pPr>
        <w:pStyle w:val="47"/>
        <w:ind w:left="709" w:firstLine="0" w:firstLineChars="0"/>
        <w:rPr>
          <w:rFonts w:ascii="宋体" w:hAnsi="宋体"/>
          <w:color w:val="auto"/>
          <w:sz w:val="24"/>
          <w:highlight w:val="none"/>
        </w:rPr>
      </w:pPr>
      <w:r>
        <w:rPr>
          <w:rFonts w:hint="eastAsia" w:ascii="宋体" w:hAnsi="宋体"/>
          <w:color w:val="auto"/>
          <w:sz w:val="24"/>
          <w:highlight w:val="none"/>
        </w:rPr>
        <w:t>(由法定代表人参加</w:t>
      </w:r>
      <w:r>
        <w:rPr>
          <w:rFonts w:hint="eastAsia" w:ascii="宋体" w:hAnsi="宋体"/>
          <w:color w:val="auto"/>
          <w:kern w:val="0"/>
          <w:sz w:val="24"/>
          <w:highlight w:val="none"/>
        </w:rPr>
        <w:t>评审、签订合同及合同实施过程中的一切文件并处理与之有关的一切事务的，可不提供</w:t>
      </w:r>
      <w:r>
        <w:rPr>
          <w:rFonts w:hint="eastAsia" w:ascii="宋体" w:hAnsi="宋体"/>
          <w:color w:val="auto"/>
          <w:sz w:val="24"/>
          <w:highlight w:val="none"/>
        </w:rPr>
        <w:t>)</w:t>
      </w:r>
    </w:p>
    <w:p>
      <w:pPr>
        <w:pStyle w:val="47"/>
        <w:numPr>
          <w:ilvl w:val="2"/>
          <w:numId w:val="13"/>
        </w:numPr>
        <w:ind w:firstLineChars="0"/>
        <w:rPr>
          <w:rFonts w:ascii="宋体" w:hAnsi="宋体"/>
          <w:color w:val="auto"/>
          <w:sz w:val="24"/>
          <w:highlight w:val="none"/>
        </w:rPr>
      </w:pPr>
      <w:bookmarkStart w:id="76" w:name="_Ref483060679"/>
      <w:r>
        <w:rPr>
          <w:rFonts w:hint="eastAsia" w:ascii="宋体" w:hAnsi="宋体"/>
          <w:color w:val="auto"/>
          <w:sz w:val="24"/>
          <w:highlight w:val="none"/>
        </w:rPr>
        <w:t>营业执照副本（复印件，原件备查）</w:t>
      </w:r>
      <w:bookmarkEnd w:id="76"/>
    </w:p>
    <w:p>
      <w:pPr>
        <w:pStyle w:val="47"/>
        <w:numPr>
          <w:ilvl w:val="2"/>
          <w:numId w:val="13"/>
        </w:numPr>
        <w:ind w:firstLineChars="0"/>
        <w:rPr>
          <w:rFonts w:ascii="宋体" w:hAnsi="宋体"/>
          <w:color w:val="auto"/>
          <w:sz w:val="24"/>
          <w:highlight w:val="none"/>
        </w:rPr>
      </w:pPr>
      <w:bookmarkStart w:id="77" w:name="_Ref483060684"/>
      <w:r>
        <w:rPr>
          <w:rFonts w:hint="eastAsia" w:ascii="宋体" w:hAnsi="宋体"/>
          <w:color w:val="auto"/>
          <w:sz w:val="24"/>
          <w:highlight w:val="none"/>
        </w:rPr>
        <w:t>组织机构代码证（复印件，原件备查；已“三证合一”的可不提供）</w:t>
      </w:r>
      <w:bookmarkEnd w:id="77"/>
    </w:p>
    <w:p>
      <w:pPr>
        <w:pStyle w:val="47"/>
        <w:numPr>
          <w:ilvl w:val="2"/>
          <w:numId w:val="13"/>
        </w:numPr>
        <w:tabs>
          <w:tab w:val="left" w:pos="851"/>
        </w:tabs>
        <w:ind w:firstLineChars="0"/>
        <w:rPr>
          <w:rFonts w:ascii="宋体" w:hAnsi="宋体"/>
          <w:color w:val="auto"/>
          <w:sz w:val="24"/>
          <w:highlight w:val="none"/>
        </w:rPr>
      </w:pPr>
      <w:bookmarkStart w:id="78" w:name="_Ref483060704"/>
      <w:r>
        <w:rPr>
          <w:rFonts w:hint="eastAsia" w:ascii="宋体" w:hAnsi="宋体"/>
          <w:color w:val="auto"/>
          <w:sz w:val="24"/>
          <w:highlight w:val="none"/>
        </w:rPr>
        <w:t>保密承诺书（原件）</w:t>
      </w:r>
      <w:bookmarkEnd w:id="78"/>
    </w:p>
    <w:bookmarkEnd w:id="70"/>
    <w:p>
      <w:pPr>
        <w:pStyle w:val="47"/>
        <w:numPr>
          <w:ilvl w:val="1"/>
          <w:numId w:val="13"/>
        </w:numPr>
        <w:spacing w:before="120" w:beforeLines="50"/>
        <w:ind w:left="648" w:hanging="648" w:hangingChars="270"/>
        <w:rPr>
          <w:rFonts w:ascii="宋体" w:hAnsi="宋体"/>
          <w:color w:val="auto"/>
          <w:sz w:val="24"/>
          <w:highlight w:val="none"/>
        </w:rPr>
      </w:pPr>
      <w:r>
        <w:rPr>
          <w:rFonts w:hint="eastAsia" w:ascii="宋体" w:hAnsi="宋体"/>
          <w:color w:val="auto"/>
          <w:sz w:val="24"/>
          <w:highlight w:val="none"/>
        </w:rPr>
        <w:t>技术部分</w:t>
      </w:r>
      <w:r>
        <w:rPr>
          <w:rFonts w:ascii="宋体" w:hAnsi="宋体"/>
          <w:color w:val="auto"/>
          <w:sz w:val="24"/>
          <w:highlight w:val="none"/>
        </w:rPr>
        <w:t>主要包括下列内容：</w:t>
      </w:r>
    </w:p>
    <w:p>
      <w:pPr>
        <w:pStyle w:val="47"/>
        <w:numPr>
          <w:ilvl w:val="2"/>
          <w:numId w:val="13"/>
        </w:numPr>
        <w:ind w:firstLineChars="0"/>
        <w:rPr>
          <w:rFonts w:ascii="宋体" w:hAnsi="宋体"/>
          <w:color w:val="auto"/>
          <w:sz w:val="24"/>
          <w:highlight w:val="none"/>
        </w:rPr>
      </w:pPr>
      <w:bookmarkStart w:id="79" w:name="_Ref483062102"/>
      <w:r>
        <w:rPr>
          <w:rFonts w:hint="eastAsia" w:ascii="宋体" w:hAnsi="宋体"/>
          <w:color w:val="auto"/>
          <w:sz w:val="24"/>
          <w:highlight w:val="none"/>
        </w:rPr>
        <w:t>服务承诺书（包括如何组织送货，如何进行售后保障等；并明确到货日期和质保期）</w:t>
      </w:r>
      <w:bookmarkEnd w:id="79"/>
    </w:p>
    <w:p>
      <w:pPr>
        <w:pStyle w:val="47"/>
        <w:numPr>
          <w:ilvl w:val="2"/>
          <w:numId w:val="13"/>
        </w:numPr>
        <w:ind w:firstLineChars="0"/>
        <w:rPr>
          <w:rFonts w:ascii="宋体" w:hAnsi="宋体"/>
          <w:color w:val="auto"/>
          <w:sz w:val="24"/>
          <w:highlight w:val="none"/>
        </w:rPr>
      </w:pPr>
      <w:bookmarkStart w:id="80" w:name="_Ref483062107"/>
      <w:r>
        <w:rPr>
          <w:rFonts w:hint="eastAsia" w:ascii="宋体" w:hAnsi="宋体"/>
          <w:color w:val="auto"/>
          <w:sz w:val="24"/>
          <w:highlight w:val="none"/>
        </w:rPr>
        <w:t>技术需求偏离表(格式及要求等见附件3)</w:t>
      </w:r>
      <w:bookmarkEnd w:id="80"/>
    </w:p>
    <w:p>
      <w:pPr>
        <w:pStyle w:val="47"/>
        <w:numPr>
          <w:ilvl w:val="2"/>
          <w:numId w:val="13"/>
        </w:numPr>
        <w:ind w:firstLineChars="0"/>
        <w:rPr>
          <w:rFonts w:ascii="宋体" w:hAnsi="宋体"/>
          <w:color w:val="auto"/>
          <w:sz w:val="24"/>
          <w:highlight w:val="none"/>
        </w:rPr>
      </w:pPr>
      <w:bookmarkStart w:id="81" w:name="_Ref483061849"/>
      <w:r>
        <w:rPr>
          <w:rFonts w:hint="eastAsia" w:ascii="宋体" w:hAnsi="宋体"/>
          <w:color w:val="auto"/>
          <w:sz w:val="24"/>
          <w:highlight w:val="none"/>
        </w:rPr>
        <w:t>比选申请人认为有必要提供的其他材料或优惠条件（如有）</w:t>
      </w:r>
      <w:bookmarkEnd w:id="81"/>
    </w:p>
    <w:p>
      <w:pPr>
        <w:pStyle w:val="47"/>
        <w:numPr>
          <w:ilvl w:val="1"/>
          <w:numId w:val="13"/>
        </w:numPr>
        <w:spacing w:before="120" w:beforeLines="50"/>
        <w:ind w:left="648" w:hanging="648" w:hangingChars="270"/>
        <w:rPr>
          <w:rFonts w:ascii="宋体" w:hAnsi="宋体"/>
          <w:color w:val="auto"/>
          <w:sz w:val="24"/>
          <w:highlight w:val="none"/>
        </w:rPr>
      </w:pPr>
      <w:r>
        <w:rPr>
          <w:rFonts w:ascii="宋体" w:hAnsi="宋体"/>
          <w:color w:val="auto"/>
          <w:sz w:val="24"/>
          <w:highlight w:val="none"/>
        </w:rPr>
        <w:t>商务部分主要包括下列内容：</w:t>
      </w:r>
    </w:p>
    <w:p>
      <w:pPr>
        <w:pStyle w:val="47"/>
        <w:numPr>
          <w:ilvl w:val="2"/>
          <w:numId w:val="13"/>
        </w:numPr>
        <w:ind w:firstLineChars="0"/>
        <w:rPr>
          <w:rFonts w:ascii="宋体" w:hAnsi="宋体"/>
          <w:color w:val="auto"/>
          <w:sz w:val="24"/>
          <w:highlight w:val="none"/>
        </w:rPr>
      </w:pPr>
      <w:bookmarkStart w:id="82" w:name="_Ref483206692"/>
      <w:r>
        <w:rPr>
          <w:rFonts w:hint="eastAsia" w:ascii="宋体" w:hAnsi="宋体"/>
          <w:color w:val="auto"/>
          <w:sz w:val="24"/>
          <w:highlight w:val="none"/>
        </w:rPr>
        <w:t>比选申请函</w:t>
      </w:r>
      <w:bookmarkEnd w:id="82"/>
    </w:p>
    <w:p>
      <w:pPr>
        <w:pStyle w:val="47"/>
        <w:numPr>
          <w:ilvl w:val="2"/>
          <w:numId w:val="13"/>
        </w:numPr>
        <w:ind w:firstLineChars="0"/>
        <w:rPr>
          <w:rFonts w:ascii="宋体" w:hAnsi="宋体"/>
          <w:color w:val="auto"/>
          <w:sz w:val="24"/>
          <w:highlight w:val="none"/>
        </w:rPr>
      </w:pPr>
      <w:bookmarkStart w:id="83" w:name="_Ref483206548"/>
      <w:r>
        <w:rPr>
          <w:rFonts w:hint="eastAsia" w:ascii="宋体" w:hAnsi="宋体"/>
          <w:color w:val="auto"/>
          <w:sz w:val="24"/>
          <w:highlight w:val="none"/>
        </w:rPr>
        <w:t>分项报价表（格式及要求等见附件4）</w:t>
      </w:r>
      <w:bookmarkEnd w:id="83"/>
    </w:p>
    <w:p>
      <w:pPr>
        <w:pStyle w:val="47"/>
        <w:numPr>
          <w:ilvl w:val="1"/>
          <w:numId w:val="13"/>
        </w:numPr>
        <w:spacing w:before="120" w:beforeLines="50"/>
        <w:ind w:left="648" w:hanging="648" w:hangingChars="270"/>
        <w:rPr>
          <w:rFonts w:ascii="宋体" w:hAnsi="宋体"/>
          <w:color w:val="auto"/>
          <w:sz w:val="24"/>
          <w:highlight w:val="none"/>
        </w:rPr>
      </w:pPr>
      <w:r>
        <w:rPr>
          <w:rFonts w:hint="eastAsia" w:ascii="宋体" w:hAnsi="宋体"/>
          <w:color w:val="auto"/>
          <w:sz w:val="24"/>
          <w:highlight w:val="none"/>
        </w:rPr>
        <w:t>比选申请人按要求的格式和顺序另行编制比选申请文件，表格可以按同样格式扩展。</w:t>
      </w:r>
    </w:p>
    <w:p>
      <w:pPr>
        <w:pStyle w:val="4"/>
        <w:numPr>
          <w:ilvl w:val="0"/>
          <w:numId w:val="13"/>
        </w:numPr>
        <w:spacing w:before="120" w:beforeLines="50" w:after="0" w:line="240" w:lineRule="auto"/>
        <w:ind w:left="0" w:firstLine="0"/>
        <w:rPr>
          <w:color w:val="auto"/>
          <w:sz w:val="24"/>
          <w:highlight w:val="none"/>
        </w:rPr>
      </w:pPr>
      <w:bookmarkStart w:id="84" w:name="_Toc114052363"/>
      <w:bookmarkStart w:id="85" w:name="_Toc392862488"/>
      <w:bookmarkStart w:id="86" w:name="_Toc286386847"/>
      <w:bookmarkStart w:id="87" w:name="_Toc114052427"/>
      <w:r>
        <w:rPr>
          <w:rFonts w:hint="eastAsia"/>
          <w:color w:val="auto"/>
          <w:sz w:val="24"/>
          <w:highlight w:val="none"/>
        </w:rPr>
        <w:t>比选有效期</w:t>
      </w:r>
      <w:bookmarkEnd w:id="84"/>
      <w:bookmarkEnd w:id="85"/>
      <w:bookmarkEnd w:id="86"/>
      <w:bookmarkEnd w:id="87"/>
    </w:p>
    <w:p>
      <w:pPr>
        <w:pStyle w:val="47"/>
        <w:numPr>
          <w:ilvl w:val="1"/>
          <w:numId w:val="13"/>
        </w:numPr>
        <w:tabs>
          <w:tab w:val="left" w:pos="709"/>
        </w:tabs>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比选申请文件在前附表第8条所述时间内有效。</w:t>
      </w:r>
    </w:p>
    <w:p>
      <w:pPr>
        <w:pStyle w:val="47"/>
        <w:numPr>
          <w:ilvl w:val="1"/>
          <w:numId w:val="13"/>
        </w:numPr>
        <w:tabs>
          <w:tab w:val="left" w:pos="709"/>
        </w:tabs>
        <w:spacing w:after="120" w:afterLines="50"/>
        <w:ind w:left="480" w:hanging="480" w:hangingChars="200"/>
        <w:rPr>
          <w:rFonts w:ascii="宋体" w:hAnsi="宋体"/>
          <w:color w:val="auto"/>
          <w:sz w:val="24"/>
          <w:highlight w:val="none"/>
        </w:rPr>
      </w:pPr>
      <w:r>
        <w:rPr>
          <w:rFonts w:hint="eastAsia" w:ascii="宋体" w:hAnsi="宋体"/>
          <w:color w:val="auto"/>
          <w:sz w:val="24"/>
          <w:highlight w:val="none"/>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4"/>
        <w:numPr>
          <w:ilvl w:val="0"/>
          <w:numId w:val="13"/>
        </w:numPr>
        <w:spacing w:before="120" w:beforeLines="50" w:after="0" w:line="240" w:lineRule="auto"/>
        <w:ind w:left="0" w:firstLine="0"/>
        <w:rPr>
          <w:color w:val="auto"/>
          <w:sz w:val="24"/>
          <w:highlight w:val="none"/>
        </w:rPr>
      </w:pPr>
      <w:bookmarkStart w:id="88" w:name="_Ref462913188"/>
      <w:bookmarkStart w:id="89" w:name="_Toc286386848"/>
      <w:bookmarkStart w:id="90" w:name="_Toc114052428"/>
      <w:bookmarkStart w:id="91" w:name="_Ref462914355"/>
      <w:bookmarkStart w:id="92" w:name="_Toc392862489"/>
      <w:bookmarkStart w:id="93" w:name="_Toc114052364"/>
      <w:r>
        <w:rPr>
          <w:rFonts w:hint="eastAsia"/>
          <w:color w:val="auto"/>
          <w:sz w:val="24"/>
          <w:highlight w:val="none"/>
        </w:rPr>
        <w:t>比选保证金</w:t>
      </w:r>
      <w:bookmarkEnd w:id="88"/>
      <w:bookmarkEnd w:id="89"/>
      <w:bookmarkEnd w:id="90"/>
      <w:bookmarkEnd w:id="91"/>
      <w:bookmarkEnd w:id="92"/>
      <w:bookmarkEnd w:id="93"/>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缴纳方式：银行转账。</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确认方式：以比选申请人的转账回执单或比选发起人财务出具的收款证明为准(收款证明领取地址：南宁市青秀区云景路69号南宁轨道大厦A2楼807室，肖会计，电话0771-2332805；仅限工作日工作时间领取)</w:t>
      </w:r>
    </w:p>
    <w:p>
      <w:pPr>
        <w:pStyle w:val="47"/>
        <w:numPr>
          <w:ilvl w:val="1"/>
          <w:numId w:val="13"/>
        </w:numPr>
        <w:spacing w:before="120" w:beforeLines="50"/>
        <w:ind w:left="648" w:hanging="648" w:hangingChars="270"/>
        <w:rPr>
          <w:rFonts w:ascii="宋体" w:hAnsi="宋体"/>
          <w:color w:val="auto"/>
          <w:sz w:val="24"/>
          <w:highlight w:val="none"/>
        </w:rPr>
      </w:pPr>
      <w:r>
        <w:rPr>
          <w:rFonts w:hint="eastAsia" w:ascii="宋体" w:hAnsi="宋体"/>
          <w:color w:val="auto"/>
          <w:sz w:val="24"/>
          <w:highlight w:val="none"/>
        </w:rPr>
        <w:t>比选保证金、履约保证金收款</w:t>
      </w:r>
      <w:r>
        <w:rPr>
          <w:rFonts w:ascii="宋体" w:hAnsi="宋体"/>
          <w:color w:val="auto"/>
          <w:sz w:val="24"/>
          <w:highlight w:val="none"/>
        </w:rPr>
        <w:t>账户</w:t>
      </w:r>
      <w:r>
        <w:rPr>
          <w:rFonts w:hint="eastAsia" w:ascii="宋体" w:hAnsi="宋体"/>
          <w:color w:val="auto"/>
          <w:sz w:val="24"/>
          <w:highlight w:val="none"/>
        </w:rPr>
        <w:t>：</w:t>
      </w:r>
    </w:p>
    <w:tbl>
      <w:tblPr>
        <w:tblStyle w:val="39"/>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auto"/>
                <w:kern w:val="0"/>
                <w:sz w:val="24"/>
                <w:highlight w:val="none"/>
              </w:rPr>
            </w:pPr>
            <w:r>
              <w:rPr>
                <w:rFonts w:hint="eastAsia" w:ascii="宋体" w:hAnsi="宋体"/>
                <w:color w:val="auto"/>
                <w:kern w:val="0"/>
                <w:sz w:val="24"/>
                <w:highlight w:val="none"/>
              </w:rPr>
              <w:t>开户名称：</w:t>
            </w:r>
            <w:r>
              <w:rPr>
                <w:rFonts w:ascii="宋体" w:hAnsi="宋体"/>
                <w:color w:val="auto"/>
                <w:kern w:val="0"/>
                <w:sz w:val="24"/>
                <w:highlight w:val="none"/>
              </w:rPr>
              <w:t xml:space="preserve"> </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南宁轨道交通集团有限责任公司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auto"/>
                <w:kern w:val="0"/>
                <w:sz w:val="24"/>
                <w:highlight w:val="none"/>
              </w:rPr>
            </w:pPr>
            <w:r>
              <w:rPr>
                <w:rFonts w:hint="eastAsia" w:ascii="宋体" w:hAnsi="宋体"/>
                <w:color w:val="auto"/>
                <w:kern w:val="0"/>
                <w:sz w:val="24"/>
                <w:highlight w:val="none"/>
              </w:rPr>
              <w:t>开户银行：</w:t>
            </w:r>
            <w:r>
              <w:rPr>
                <w:rFonts w:ascii="宋体" w:hAnsi="宋体"/>
                <w:color w:val="auto"/>
                <w:kern w:val="0"/>
                <w:sz w:val="24"/>
                <w:highlight w:val="none"/>
              </w:rPr>
              <w:t xml:space="preserve"> </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建行南宁市青山路支行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color w:val="auto"/>
                <w:kern w:val="0"/>
                <w:sz w:val="24"/>
                <w:highlight w:val="none"/>
              </w:rPr>
            </w:pPr>
            <w:r>
              <w:rPr>
                <w:rFonts w:hint="eastAsia" w:ascii="宋体" w:hAnsi="宋体"/>
                <w:color w:val="auto"/>
                <w:kern w:val="0"/>
                <w:sz w:val="24"/>
                <w:highlight w:val="none"/>
              </w:rPr>
              <w:t>账    号：</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auto"/>
                <w:kern w:val="0"/>
                <w:sz w:val="24"/>
                <w:highlight w:val="none"/>
              </w:rPr>
            </w:pPr>
            <w:r>
              <w:rPr>
                <w:rFonts w:ascii="宋体" w:hAnsi="宋体"/>
                <w:color w:val="auto"/>
                <w:sz w:val="24"/>
                <w:szCs w:val="24"/>
                <w:highlight w:val="none"/>
              </w:rPr>
              <w:t>4500 1604 5560 5070 2020</w:t>
            </w:r>
          </w:p>
        </w:tc>
      </w:tr>
    </w:tbl>
    <w:p>
      <w:pPr>
        <w:pStyle w:val="47"/>
        <w:numPr>
          <w:ilvl w:val="1"/>
          <w:numId w:val="13"/>
        </w:numPr>
        <w:spacing w:before="120" w:beforeLines="50" w:after="120" w:afterLines="50"/>
        <w:ind w:left="600" w:hanging="600" w:hangingChars="250"/>
        <w:rPr>
          <w:rFonts w:ascii="宋体" w:hAnsi="宋体"/>
          <w:color w:val="auto"/>
          <w:sz w:val="24"/>
          <w:highlight w:val="none"/>
        </w:rPr>
      </w:pPr>
      <w:r>
        <w:rPr>
          <w:rFonts w:hint="eastAsia" w:ascii="宋体" w:hAnsi="宋体"/>
          <w:color w:val="auto"/>
          <w:sz w:val="24"/>
          <w:highlight w:val="none"/>
        </w:rPr>
        <w:t>退还：非中选人于本项目合同签订后5天内退还；</w:t>
      </w:r>
      <w:r>
        <w:rPr>
          <w:rFonts w:hint="eastAsia" w:ascii="宋体" w:hAnsi="宋体"/>
          <w:color w:val="auto"/>
          <w:kern w:val="0"/>
          <w:sz w:val="24"/>
          <w:highlight w:val="none"/>
        </w:rPr>
        <w:t>中选人的比选保证金自动转为履约保证金的一部分</w:t>
      </w:r>
      <w:r>
        <w:rPr>
          <w:rFonts w:hint="eastAsia" w:ascii="宋体" w:hAnsi="宋体"/>
          <w:color w:val="auto"/>
          <w:sz w:val="24"/>
          <w:highlight w:val="none"/>
        </w:rPr>
        <w:t>。</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比选申请人在缴纳比选保证金时，</w:t>
      </w:r>
      <w:r>
        <w:rPr>
          <w:rFonts w:hint="eastAsia" w:ascii="宋体" w:hAnsi="宋体"/>
          <w:b/>
          <w:color w:val="auto"/>
          <w:sz w:val="24"/>
          <w:highlight w:val="none"/>
        </w:rPr>
        <w:t>必须用比选申请人的公司账户进行银行转账，并在付款信息上注明参选项目名称、项目编号及用途等信息</w:t>
      </w:r>
      <w:r>
        <w:rPr>
          <w:rFonts w:hint="eastAsia" w:ascii="宋体" w:hAnsi="宋体"/>
          <w:color w:val="auto"/>
          <w:sz w:val="24"/>
          <w:highlight w:val="none"/>
        </w:rPr>
        <w:t>。</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比选申请人若未按本比选文件规定方式按时足额缴纳比选保证金，比选发起人有权拒绝其参与本次比选。</w:t>
      </w:r>
      <w:bookmarkStart w:id="94" w:name="_Toc114052367"/>
      <w:bookmarkStart w:id="95" w:name="_Toc114052431"/>
      <w:bookmarkStart w:id="96" w:name="_Toc286386851"/>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97" w:name="_Toc4012"/>
      <w:bookmarkStart w:id="98" w:name="_Toc437544680"/>
      <w:bookmarkStart w:id="99" w:name="_Toc437544525"/>
      <w:r>
        <w:rPr>
          <w:rFonts w:hint="eastAsia" w:asciiTheme="majorEastAsia" w:hAnsiTheme="majorEastAsia" w:eastAsiaTheme="majorEastAsia"/>
          <w:color w:val="auto"/>
          <w:sz w:val="24"/>
          <w:szCs w:val="24"/>
          <w:highlight w:val="none"/>
        </w:rPr>
        <w:t>比选申请文件的递交</w:t>
      </w:r>
      <w:bookmarkEnd w:id="94"/>
      <w:bookmarkEnd w:id="95"/>
      <w:bookmarkEnd w:id="96"/>
      <w:bookmarkEnd w:id="97"/>
      <w:bookmarkEnd w:id="98"/>
      <w:bookmarkEnd w:id="99"/>
    </w:p>
    <w:p>
      <w:pPr>
        <w:pStyle w:val="4"/>
        <w:numPr>
          <w:ilvl w:val="0"/>
          <w:numId w:val="13"/>
        </w:numPr>
        <w:spacing w:before="120" w:beforeLines="50" w:after="0" w:line="240" w:lineRule="auto"/>
        <w:ind w:left="0" w:firstLine="0"/>
        <w:rPr>
          <w:color w:val="auto"/>
          <w:sz w:val="24"/>
          <w:highlight w:val="none"/>
        </w:rPr>
      </w:pPr>
      <w:bookmarkStart w:id="100" w:name="_Toc114052368"/>
      <w:bookmarkStart w:id="101" w:name="_Toc286386852"/>
      <w:bookmarkStart w:id="102" w:name="_Toc392862493"/>
      <w:bookmarkStart w:id="103" w:name="_Ref464481866"/>
      <w:bookmarkStart w:id="104" w:name="_Toc114052432"/>
      <w:r>
        <w:rPr>
          <w:rFonts w:hint="eastAsia"/>
          <w:color w:val="auto"/>
          <w:sz w:val="24"/>
          <w:highlight w:val="none"/>
        </w:rPr>
        <w:t>装订及封装</w:t>
      </w:r>
      <w:bookmarkEnd w:id="100"/>
      <w:bookmarkEnd w:id="101"/>
      <w:bookmarkEnd w:id="102"/>
      <w:bookmarkEnd w:id="103"/>
      <w:bookmarkEnd w:id="104"/>
    </w:p>
    <w:p>
      <w:pPr>
        <w:pStyle w:val="47"/>
        <w:numPr>
          <w:ilvl w:val="1"/>
          <w:numId w:val="13"/>
        </w:numPr>
        <w:spacing w:after="120" w:afterLines="50"/>
        <w:ind w:left="600" w:hanging="600" w:hangingChars="250"/>
        <w:rPr>
          <w:rFonts w:ascii="宋体" w:hAnsi="宋体"/>
          <w:color w:val="auto"/>
          <w:sz w:val="24"/>
          <w:highlight w:val="none"/>
        </w:rPr>
      </w:pPr>
      <w:r>
        <w:rPr>
          <w:rFonts w:ascii="宋体" w:hAnsi="宋体"/>
          <w:color w:val="auto"/>
          <w:sz w:val="24"/>
          <w:highlight w:val="none"/>
        </w:rPr>
        <w:t>装订要求：</w:t>
      </w:r>
      <w:r>
        <w:rPr>
          <w:rFonts w:hint="eastAsia" w:ascii="宋体" w:hAnsi="宋体"/>
          <w:b/>
          <w:color w:val="auto"/>
          <w:sz w:val="24"/>
          <w:highlight w:val="none"/>
        </w:rPr>
        <w:t>比选申请文件必须用胶装的形式装订成册，不允许以订书针、活页夹、拉杆夹、打孔等非固定方式装订；</w:t>
      </w:r>
      <w:r>
        <w:rPr>
          <w:rFonts w:hint="eastAsia" w:ascii="宋体" w:hAnsi="宋体"/>
          <w:color w:val="auto"/>
          <w:sz w:val="24"/>
          <w:highlight w:val="none"/>
        </w:rPr>
        <w:t>其中的资格审查部分</w:t>
      </w:r>
      <w:r>
        <w:rPr>
          <w:rFonts w:ascii="宋体" w:hAnsi="宋体"/>
          <w:color w:val="auto"/>
          <w:sz w:val="24"/>
          <w:highlight w:val="none"/>
        </w:rPr>
        <w:t>、</w:t>
      </w:r>
      <w:r>
        <w:rPr>
          <w:rFonts w:hint="eastAsia" w:ascii="宋体" w:hAnsi="宋体"/>
          <w:color w:val="auto"/>
          <w:sz w:val="24"/>
          <w:highlight w:val="none"/>
        </w:rPr>
        <w:t>技术部分、</w:t>
      </w:r>
      <w:r>
        <w:rPr>
          <w:rFonts w:ascii="宋体" w:hAnsi="宋体"/>
          <w:color w:val="auto"/>
          <w:sz w:val="24"/>
          <w:highlight w:val="none"/>
        </w:rPr>
        <w:t>商务部分分开装订</w:t>
      </w:r>
      <w:r>
        <w:rPr>
          <w:rFonts w:hint="eastAsia" w:ascii="宋体" w:hAnsi="宋体"/>
          <w:color w:val="auto"/>
          <w:sz w:val="24"/>
          <w:highlight w:val="none"/>
        </w:rPr>
        <w:t>；各部分一正四副分开装订</w:t>
      </w:r>
      <w:r>
        <w:rPr>
          <w:rFonts w:ascii="宋体" w:hAnsi="宋体"/>
          <w:color w:val="auto"/>
          <w:sz w:val="24"/>
          <w:highlight w:val="none"/>
        </w:rPr>
        <w:t>。</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包封要求：资格审查部分纸质版、技术部分纸质版、电子版U盘密封于同一个密封袋，商务部分纸质版单独包封于另一个密封袋。每个密封袋均须在封面标注项目名称、项目编号、所装文件名称、比选申请人名称。</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密封袋均应加盖公章，若密封袋未加盖公章或破损严重，比选发起人将拒收。</w:t>
      </w:r>
    </w:p>
    <w:p>
      <w:pPr>
        <w:pStyle w:val="4"/>
        <w:numPr>
          <w:ilvl w:val="0"/>
          <w:numId w:val="13"/>
        </w:numPr>
        <w:spacing w:before="120" w:beforeLines="50" w:after="0" w:line="240" w:lineRule="auto"/>
        <w:ind w:left="0" w:firstLine="0"/>
        <w:rPr>
          <w:color w:val="auto"/>
          <w:sz w:val="24"/>
          <w:highlight w:val="none"/>
        </w:rPr>
      </w:pPr>
      <w:bookmarkStart w:id="105" w:name="_Toc114052433"/>
      <w:bookmarkStart w:id="106" w:name="_Toc114052369"/>
      <w:bookmarkStart w:id="107" w:name="_Toc392862494"/>
      <w:bookmarkStart w:id="108" w:name="_Toc286386853"/>
      <w:r>
        <w:rPr>
          <w:rFonts w:hint="eastAsia"/>
          <w:color w:val="auto"/>
          <w:sz w:val="24"/>
          <w:highlight w:val="none"/>
        </w:rPr>
        <w:t>递交</w:t>
      </w:r>
      <w:bookmarkEnd w:id="105"/>
      <w:bookmarkEnd w:id="106"/>
      <w:bookmarkEnd w:id="107"/>
      <w:bookmarkEnd w:id="108"/>
      <w:r>
        <w:rPr>
          <w:rFonts w:hint="eastAsia"/>
          <w:color w:val="auto"/>
          <w:sz w:val="24"/>
          <w:highlight w:val="none"/>
        </w:rPr>
        <w:t>的时间和地点</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比选申请文件须按前附表规定的时间和地址递交，比选发起人将拒收在递交时间截止以后送到的比选申请文件。</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比选发起人可以以补充通知方式，酌情延长递交比选申请文件的截止日期。在上述情况下，比选发起人与比选申请人在比选截止期以前拥有的全部权力、责任和义务，将适用于延长后新的递交文件截止日期。</w:t>
      </w:r>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09" w:name="_Toc437544526"/>
      <w:bookmarkStart w:id="110" w:name="_Toc437544681"/>
      <w:bookmarkStart w:id="111" w:name="_Toc30067"/>
      <w:r>
        <w:rPr>
          <w:rFonts w:hint="eastAsia" w:asciiTheme="majorEastAsia" w:hAnsiTheme="majorEastAsia" w:eastAsiaTheme="majorEastAsia"/>
          <w:color w:val="auto"/>
          <w:sz w:val="24"/>
          <w:szCs w:val="24"/>
          <w:highlight w:val="none"/>
        </w:rPr>
        <w:t>评　审</w:t>
      </w:r>
      <w:bookmarkEnd w:id="109"/>
      <w:bookmarkEnd w:id="110"/>
      <w:bookmarkEnd w:id="111"/>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评审程序</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比选发起人将于比选文件规定的时间和地点举行评审会议，参加评审的比选申请人法定代表人或授权委托代理人应携带有效证明材料签名报到，以证明其身份及出席评审会议。</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评审小组成员应当独立、客观、公正的履行职责，遵守职业道德，对所提出的评审意见承担个人责任；评审小组成员和监督、主持、记录人员应对整个评审活动保密。</w:t>
      </w:r>
    </w:p>
    <w:p>
      <w:pPr>
        <w:pStyle w:val="47"/>
        <w:numPr>
          <w:ilvl w:val="1"/>
          <w:numId w:val="13"/>
        </w:numPr>
        <w:spacing w:before="120" w:beforeLines="50"/>
        <w:ind w:left="648" w:hanging="648" w:hangingChars="270"/>
        <w:rPr>
          <w:rFonts w:ascii="宋体" w:hAnsi="宋体"/>
          <w:color w:val="auto"/>
          <w:sz w:val="24"/>
          <w:highlight w:val="none"/>
        </w:rPr>
      </w:pPr>
      <w:r>
        <w:rPr>
          <w:rFonts w:hint="eastAsia" w:ascii="宋体" w:hAnsi="宋体"/>
          <w:color w:val="auto"/>
          <w:sz w:val="24"/>
          <w:highlight w:val="none"/>
        </w:rPr>
        <w:t>评审会议程序：</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评审全过程由公司纪检监察部门监督。</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比选申请人法定代表人或授权委托代理人签名报到，并验证有效身份证明，各比选申请人交叉检验文件密封性。</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主持人宣布评审会议开始，各比选申请人候场。</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评审小组确认文件密封性及外包装签署是否正确，检验人员对结果签字确认。</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评审小组启封比选申请文件外包装和比选申请文件资格审查部分、技术部分。</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评审小组审验比选申请文件的资格审查部分，检查比选申请人提交的诚信声明、法定代表人资格证明书、授权委托书、营业执照副本等材料，进行资格审查。</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评审小组对通过资格审查的比选申请文件技术部分进行评审。</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评审小组启封并审查通过资格审查和技术审查的比选申请文件的商务部分。</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评审过程须做比选记录，评审委员、监督人、记录人等有关人员在比选记录表上签字确认，主持人宣读比选结果。</w:t>
      </w:r>
    </w:p>
    <w:p>
      <w:pPr>
        <w:pStyle w:val="47"/>
        <w:numPr>
          <w:ilvl w:val="2"/>
          <w:numId w:val="13"/>
        </w:numPr>
        <w:tabs>
          <w:tab w:val="left" w:pos="993"/>
        </w:tabs>
        <w:ind w:left="842" w:hanging="842" w:hangingChars="351"/>
        <w:rPr>
          <w:rFonts w:ascii="宋体" w:hAnsi="宋体"/>
          <w:color w:val="auto"/>
          <w:sz w:val="24"/>
          <w:highlight w:val="none"/>
        </w:rPr>
      </w:pPr>
      <w:r>
        <w:rPr>
          <w:rFonts w:hint="eastAsia" w:ascii="宋体" w:hAnsi="宋体"/>
          <w:color w:val="auto"/>
          <w:sz w:val="24"/>
          <w:highlight w:val="none"/>
        </w:rPr>
        <w:t>评审结束。</w:t>
      </w:r>
    </w:p>
    <w:p>
      <w:pPr>
        <w:pStyle w:val="4"/>
        <w:numPr>
          <w:ilvl w:val="0"/>
          <w:numId w:val="13"/>
        </w:numPr>
        <w:spacing w:before="120" w:beforeLines="50" w:after="0" w:line="240" w:lineRule="auto"/>
        <w:ind w:left="0" w:firstLine="0"/>
        <w:rPr>
          <w:color w:val="auto"/>
          <w:sz w:val="24"/>
          <w:highlight w:val="none"/>
        </w:rPr>
      </w:pPr>
      <w:bookmarkStart w:id="112" w:name="_Toc392862499"/>
      <w:r>
        <w:rPr>
          <w:rFonts w:hint="eastAsia"/>
          <w:color w:val="auto"/>
          <w:sz w:val="24"/>
          <w:highlight w:val="none"/>
        </w:rPr>
        <w:t>比选申请文件的澄清或说明</w:t>
      </w:r>
      <w:bookmarkEnd w:id="112"/>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评审小组将以书面形式要求比选申请人就其比选申请文件中含义不明确、同类问题表述不一致或有明显文字错误等的内容予以澄清或说明。</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比选申请人对要求澄清或说明的内容应在评审小组规定的时间内以书面形式予以澄清，该澄清或说明函应有法定代表人或其授权委托代理人的签名或盖公章。</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比选申请人的澄清或说明作为比选申请文件的组成部分。</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对比选申请文件的澄清或说明不得超出比选申请文件的范围或改变比选的实质内容。</w:t>
      </w:r>
    </w:p>
    <w:p>
      <w:pPr>
        <w:pStyle w:val="4"/>
        <w:numPr>
          <w:ilvl w:val="0"/>
          <w:numId w:val="13"/>
        </w:numPr>
        <w:spacing w:before="120" w:beforeLines="50" w:after="0" w:line="240" w:lineRule="auto"/>
        <w:ind w:left="0" w:firstLine="0"/>
        <w:rPr>
          <w:color w:val="auto"/>
          <w:sz w:val="24"/>
          <w:highlight w:val="none"/>
        </w:rPr>
      </w:pPr>
      <w:r>
        <w:rPr>
          <w:rFonts w:hint="eastAsia"/>
          <w:color w:val="auto"/>
          <w:sz w:val="24"/>
          <w:highlight w:val="none"/>
        </w:rPr>
        <w:t>出现下列情况之一，本次比选无效：</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在比选申请文件递交截止时间递交的供应商不满3家的。</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有效比选申请文件2家，且评审小组认为没有竞争力的。</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有效比选申请文件只有1家或0家的。</w:t>
      </w:r>
    </w:p>
    <w:p>
      <w:pPr>
        <w:pStyle w:val="4"/>
        <w:numPr>
          <w:ilvl w:val="0"/>
          <w:numId w:val="13"/>
        </w:numPr>
        <w:spacing w:before="120" w:beforeLines="50" w:after="0" w:line="240" w:lineRule="auto"/>
        <w:ind w:left="0" w:firstLine="0"/>
        <w:rPr>
          <w:color w:val="auto"/>
          <w:sz w:val="24"/>
          <w:highlight w:val="none"/>
        </w:rPr>
      </w:pPr>
      <w:bookmarkStart w:id="113" w:name="_Toc286386859"/>
      <w:bookmarkStart w:id="114" w:name="_Toc392862500"/>
      <w:bookmarkStart w:id="115" w:name="_Toc114052439"/>
      <w:bookmarkStart w:id="116" w:name="_Toc114052375"/>
      <w:r>
        <w:rPr>
          <w:rFonts w:hint="eastAsia"/>
          <w:color w:val="auto"/>
          <w:sz w:val="24"/>
          <w:highlight w:val="none"/>
        </w:rPr>
        <w:t>评审保密</w:t>
      </w:r>
      <w:bookmarkEnd w:id="113"/>
      <w:bookmarkEnd w:id="114"/>
      <w:bookmarkEnd w:id="115"/>
      <w:bookmarkEnd w:id="116"/>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评审小组成员、有关工作人员及其他知情人不得透露对比选申请文件的评审和比较、中选、候选供应商的推荐情况以及与评审有关的其他情况；</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比选申请人在评审过程中所进行的力图影响评审公正性的活动，都将被取消比选资格。</w:t>
      </w:r>
    </w:p>
    <w:p>
      <w:pPr>
        <w:pStyle w:val="4"/>
        <w:numPr>
          <w:ilvl w:val="0"/>
          <w:numId w:val="13"/>
        </w:numPr>
        <w:spacing w:before="120" w:beforeLines="50" w:after="0" w:line="240" w:lineRule="auto"/>
        <w:ind w:left="0" w:firstLine="0"/>
        <w:rPr>
          <w:color w:val="auto"/>
          <w:sz w:val="24"/>
          <w:highlight w:val="none"/>
        </w:rPr>
      </w:pPr>
      <w:bookmarkStart w:id="117" w:name="_Toc392862501"/>
      <w:r>
        <w:rPr>
          <w:rFonts w:hint="eastAsia"/>
          <w:color w:val="auto"/>
          <w:sz w:val="24"/>
          <w:highlight w:val="none"/>
        </w:rPr>
        <w:t>比选申请文件</w:t>
      </w:r>
      <w:bookmarkEnd w:id="117"/>
      <w:r>
        <w:rPr>
          <w:rFonts w:hint="eastAsia"/>
          <w:color w:val="auto"/>
          <w:sz w:val="24"/>
          <w:highlight w:val="none"/>
        </w:rPr>
        <w:t>评审</w:t>
      </w:r>
    </w:p>
    <w:p>
      <w:pPr>
        <w:pStyle w:val="47"/>
        <w:numPr>
          <w:ilvl w:val="1"/>
          <w:numId w:val="13"/>
        </w:numPr>
        <w:spacing w:after="120" w:afterLines="50"/>
        <w:ind w:left="600" w:hanging="600" w:hangingChars="250"/>
        <w:rPr>
          <w:rFonts w:ascii="宋体" w:hAnsi="宋体"/>
          <w:color w:val="auto"/>
          <w:sz w:val="24"/>
          <w:highlight w:val="none"/>
        </w:rPr>
      </w:pPr>
      <w:r>
        <w:rPr>
          <w:rFonts w:ascii="宋体" w:hAnsi="宋体"/>
          <w:color w:val="auto"/>
          <w:sz w:val="24"/>
          <w:highlight w:val="none"/>
        </w:rPr>
        <w:t>比选申请人资格审查</w:t>
      </w:r>
      <w:r>
        <w:rPr>
          <w:rFonts w:hint="eastAsia" w:ascii="宋体" w:hAnsi="宋体"/>
          <w:color w:val="auto"/>
          <w:sz w:val="24"/>
          <w:highlight w:val="none"/>
        </w:rPr>
        <w:t>：只有通过资格审查才能进入详评，所要提供的材料见本章第</w:t>
      </w:r>
      <w:r>
        <w:rPr>
          <w:rFonts w:ascii="宋体" w:hAnsi="宋体"/>
          <w:color w:val="auto"/>
          <w:sz w:val="24"/>
          <w:highlight w:val="none"/>
        </w:rPr>
        <w:fldChar w:fldCharType="begin"/>
      </w:r>
      <w:r>
        <w:rPr>
          <w:rFonts w:ascii="宋体" w:hAnsi="宋体"/>
          <w:color w:val="auto"/>
          <w:sz w:val="24"/>
          <w:highlight w:val="none"/>
        </w:rPr>
        <w:instrText xml:space="preserve"> </w:instrText>
      </w:r>
      <w:r>
        <w:rPr>
          <w:rFonts w:hint="eastAsia" w:ascii="宋体" w:hAnsi="宋体"/>
          <w:color w:val="auto"/>
          <w:sz w:val="24"/>
          <w:highlight w:val="none"/>
        </w:rPr>
        <w:instrText xml:space="preserve">REF _Ref483054033 \r \h</w:instrText>
      </w:r>
      <w:r>
        <w:rPr>
          <w:rFonts w:ascii="宋体" w:hAnsi="宋体"/>
          <w:color w:val="auto"/>
          <w:sz w:val="24"/>
          <w:highlight w:val="none"/>
        </w:rPr>
        <w:instrText xml:space="preserve">  \* MERGEFORMAT </w:instrText>
      </w:r>
      <w:r>
        <w:rPr>
          <w:rFonts w:ascii="宋体" w:hAnsi="宋体"/>
          <w:color w:val="auto"/>
          <w:sz w:val="24"/>
          <w:highlight w:val="none"/>
        </w:rPr>
        <w:fldChar w:fldCharType="separate"/>
      </w:r>
      <w:r>
        <w:rPr>
          <w:rFonts w:ascii="宋体" w:hAnsi="宋体"/>
          <w:color w:val="auto"/>
          <w:sz w:val="24"/>
          <w:highlight w:val="none"/>
        </w:rPr>
        <w:t>9.2</w:t>
      </w:r>
      <w:r>
        <w:rPr>
          <w:rFonts w:ascii="宋体" w:hAnsi="宋体"/>
          <w:color w:val="auto"/>
          <w:sz w:val="24"/>
          <w:highlight w:val="none"/>
        </w:rPr>
        <w:fldChar w:fldCharType="end"/>
      </w:r>
      <w:r>
        <w:rPr>
          <w:rFonts w:hint="eastAsia" w:ascii="宋体" w:hAnsi="宋体"/>
          <w:color w:val="auto"/>
          <w:sz w:val="24"/>
          <w:highlight w:val="none"/>
        </w:rPr>
        <w:t>条，资格审查资料有任何一项不合格者其资格审查视为不通过。</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比选申请文件符合性鉴定：比选申请文件应实质响应比选文件的要求，须与比选文件所有条款、条件和规定无明显差异或保留。评审小组对实质上不响应的比选申请文件予以拒绝。</w:t>
      </w:r>
    </w:p>
    <w:p>
      <w:pPr>
        <w:pStyle w:val="47"/>
        <w:numPr>
          <w:ilvl w:val="1"/>
          <w:numId w:val="13"/>
        </w:numPr>
        <w:spacing w:before="120" w:beforeLines="50"/>
        <w:ind w:left="651" w:hanging="651" w:hangingChars="270"/>
        <w:rPr>
          <w:rFonts w:ascii="宋体" w:hAnsi="宋体"/>
          <w:b/>
          <w:color w:val="auto"/>
          <w:sz w:val="24"/>
          <w:highlight w:val="none"/>
        </w:rPr>
      </w:pPr>
      <w:r>
        <w:rPr>
          <w:rFonts w:hint="eastAsia" w:ascii="宋体" w:hAnsi="宋体"/>
          <w:b/>
          <w:color w:val="auto"/>
          <w:sz w:val="24"/>
          <w:highlight w:val="none"/>
        </w:rPr>
        <w:t>比选申请人或其比选申请文件有下列情况之一，其比选申请文件将被视为无效：</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商务报价</w:t>
      </w:r>
      <w:r>
        <w:rPr>
          <w:rFonts w:hint="eastAsia" w:ascii="宋体" w:hAnsi="宋体"/>
          <w:color w:val="auto"/>
          <w:sz w:val="24"/>
          <w:highlight w:val="none"/>
          <w:lang w:eastAsia="zh-CN"/>
        </w:rPr>
        <w:t>价税合计</w:t>
      </w:r>
      <w:r>
        <w:rPr>
          <w:rFonts w:hint="eastAsia" w:ascii="宋体" w:hAnsi="宋体"/>
          <w:color w:val="auto"/>
          <w:sz w:val="24"/>
          <w:highlight w:val="none"/>
        </w:rPr>
        <w:t>超过上限控制价的；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比选申请人法定代表人或授权委托代理人未按时参加评审会议的；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不按本章第</w:t>
      </w:r>
      <w:r>
        <w:rPr>
          <w:rFonts w:ascii="宋体" w:hAnsi="宋体"/>
          <w:color w:val="auto"/>
          <w:sz w:val="24"/>
          <w:highlight w:val="none"/>
        </w:rPr>
        <w:fldChar w:fldCharType="begin"/>
      </w:r>
      <w:r>
        <w:rPr>
          <w:rFonts w:ascii="宋体" w:hAnsi="宋体"/>
          <w:color w:val="auto"/>
          <w:sz w:val="24"/>
          <w:highlight w:val="none"/>
        </w:rPr>
        <w:instrText xml:space="preserve"> </w:instrText>
      </w:r>
      <w:r>
        <w:rPr>
          <w:rFonts w:hint="eastAsia" w:ascii="宋体" w:hAnsi="宋体"/>
          <w:color w:val="auto"/>
          <w:sz w:val="24"/>
          <w:highlight w:val="none"/>
        </w:rPr>
        <w:instrText xml:space="preserve">REF _Ref464481847 \n \h</w:instrText>
      </w:r>
      <w:r>
        <w:rPr>
          <w:rFonts w:ascii="宋体" w:hAnsi="宋体"/>
          <w:color w:val="auto"/>
          <w:sz w:val="24"/>
          <w:highlight w:val="none"/>
        </w:rPr>
        <w:instrText xml:space="preserve">  \* MERGEFORMAT </w:instrText>
      </w:r>
      <w:r>
        <w:rPr>
          <w:rFonts w:ascii="宋体" w:hAnsi="宋体"/>
          <w:color w:val="auto"/>
          <w:sz w:val="24"/>
          <w:highlight w:val="none"/>
        </w:rPr>
        <w:fldChar w:fldCharType="separate"/>
      </w:r>
      <w:r>
        <w:rPr>
          <w:rFonts w:ascii="宋体" w:hAnsi="宋体"/>
          <w:color w:val="auto"/>
          <w:sz w:val="24"/>
          <w:highlight w:val="none"/>
        </w:rPr>
        <w:t>9</w:t>
      </w:r>
      <w:r>
        <w:rPr>
          <w:rFonts w:ascii="宋体" w:hAnsi="宋体"/>
          <w:color w:val="auto"/>
          <w:sz w:val="24"/>
          <w:highlight w:val="none"/>
        </w:rPr>
        <w:fldChar w:fldCharType="end"/>
      </w:r>
      <w:r>
        <w:rPr>
          <w:rFonts w:hint="eastAsia" w:ascii="宋体" w:hAnsi="宋体"/>
          <w:color w:val="auto"/>
          <w:sz w:val="24"/>
          <w:highlight w:val="none"/>
        </w:rPr>
        <w:t>条内容提供资料并装订在比选申请文件内的；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不按本章第</w:t>
      </w:r>
      <w:r>
        <w:rPr>
          <w:rFonts w:ascii="宋体" w:hAnsi="宋体"/>
          <w:color w:val="auto"/>
          <w:sz w:val="24"/>
          <w:highlight w:val="none"/>
        </w:rPr>
        <w:fldChar w:fldCharType="begin"/>
      </w:r>
      <w:r>
        <w:rPr>
          <w:rFonts w:ascii="宋体" w:hAnsi="宋体"/>
          <w:color w:val="auto"/>
          <w:sz w:val="24"/>
          <w:highlight w:val="none"/>
        </w:rPr>
        <w:instrText xml:space="preserve"> </w:instrText>
      </w:r>
      <w:r>
        <w:rPr>
          <w:rFonts w:hint="eastAsia" w:ascii="宋体" w:hAnsi="宋体"/>
          <w:color w:val="auto"/>
          <w:sz w:val="24"/>
          <w:highlight w:val="none"/>
        </w:rPr>
        <w:instrText xml:space="preserve">REF _Ref464481866 \n \h</w:instrText>
      </w:r>
      <w:r>
        <w:rPr>
          <w:rFonts w:ascii="宋体" w:hAnsi="宋体"/>
          <w:color w:val="auto"/>
          <w:sz w:val="24"/>
          <w:highlight w:val="none"/>
        </w:rPr>
        <w:instrText xml:space="preserve">  \* MERGEFORMAT </w:instrText>
      </w:r>
      <w:r>
        <w:rPr>
          <w:rFonts w:ascii="宋体" w:hAnsi="宋体"/>
          <w:color w:val="auto"/>
          <w:sz w:val="24"/>
          <w:highlight w:val="none"/>
        </w:rPr>
        <w:fldChar w:fldCharType="separate"/>
      </w:r>
      <w:r>
        <w:rPr>
          <w:rFonts w:ascii="宋体" w:hAnsi="宋体"/>
          <w:color w:val="auto"/>
          <w:sz w:val="24"/>
          <w:highlight w:val="none"/>
        </w:rPr>
        <w:t>12</w:t>
      </w:r>
      <w:r>
        <w:rPr>
          <w:rFonts w:ascii="宋体" w:hAnsi="宋体"/>
          <w:color w:val="auto"/>
          <w:sz w:val="24"/>
          <w:highlight w:val="none"/>
        </w:rPr>
        <w:fldChar w:fldCharType="end"/>
      </w:r>
      <w:r>
        <w:rPr>
          <w:rFonts w:hint="eastAsia" w:ascii="宋体" w:hAnsi="宋体"/>
          <w:color w:val="auto"/>
          <w:sz w:val="24"/>
          <w:highlight w:val="none"/>
        </w:rPr>
        <w:t>条要求装订、封装的；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由授权委托代理人签字或盖章，但未随比选申请文件提交有效</w:t>
      </w:r>
      <w:r>
        <w:rPr>
          <w:rFonts w:ascii="宋体" w:hAnsi="宋体"/>
          <w:color w:val="auto"/>
          <w:sz w:val="24"/>
          <w:highlight w:val="none"/>
        </w:rPr>
        <w:t>“</w:t>
      </w:r>
      <w:r>
        <w:rPr>
          <w:rFonts w:hint="eastAsia" w:ascii="宋体" w:hAnsi="宋体"/>
          <w:color w:val="auto"/>
          <w:sz w:val="24"/>
          <w:highlight w:val="none"/>
        </w:rPr>
        <w:t>授权委托书</w:t>
      </w:r>
      <w:r>
        <w:rPr>
          <w:rFonts w:ascii="宋体" w:hAnsi="宋体"/>
          <w:color w:val="auto"/>
          <w:sz w:val="24"/>
          <w:highlight w:val="none"/>
        </w:rPr>
        <w:t>”</w:t>
      </w:r>
      <w:r>
        <w:rPr>
          <w:rFonts w:hint="eastAsia" w:ascii="宋体" w:hAnsi="宋体"/>
          <w:color w:val="auto"/>
          <w:sz w:val="24"/>
          <w:highlight w:val="none"/>
        </w:rPr>
        <w:t>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比选申请文件的关键内容字迹模糊、辨认不清的；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比选申请文件内容不真实的；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更改《技术需求偏离表》中“性能参数要求(一)”、“参考品牌及型号(三)”所列内容的；</w:t>
      </w:r>
    </w:p>
    <w:p>
      <w:pPr>
        <w:pStyle w:val="47"/>
        <w:numPr>
          <w:ilvl w:val="2"/>
          <w:numId w:val="13"/>
        </w:numPr>
        <w:ind w:left="842" w:hanging="842" w:hangingChars="351"/>
        <w:rPr>
          <w:rFonts w:ascii="宋体" w:hAnsi="宋体"/>
          <w:color w:val="auto"/>
          <w:sz w:val="24"/>
          <w:highlight w:val="none"/>
        </w:rPr>
      </w:pPr>
      <w:r>
        <w:rPr>
          <w:rFonts w:hint="eastAsia" w:ascii="宋体" w:hAnsi="宋体"/>
          <w:color w:val="auto"/>
          <w:sz w:val="24"/>
          <w:highlight w:val="none"/>
        </w:rPr>
        <w:t>《技术需求偏离表》中的“供货性能参数(二)” 与《分项报价表》中的“供货性能参数②”、《技术需求偏离表》中的“供货品牌及型号(四)”与《分项报价表》中的“供货品牌及型号①”不一致的；</w:t>
      </w:r>
    </w:p>
    <w:p>
      <w:pPr>
        <w:pStyle w:val="47"/>
        <w:numPr>
          <w:ilvl w:val="2"/>
          <w:numId w:val="13"/>
        </w:numPr>
        <w:tabs>
          <w:tab w:val="left" w:pos="993"/>
        </w:tabs>
        <w:ind w:left="842" w:hanging="842" w:hangingChars="351"/>
        <w:rPr>
          <w:rFonts w:ascii="宋体" w:hAnsi="宋体"/>
          <w:color w:val="auto"/>
          <w:sz w:val="24"/>
          <w:highlight w:val="none"/>
        </w:rPr>
      </w:pPr>
      <w:r>
        <w:rPr>
          <w:rFonts w:hint="eastAsia" w:ascii="宋体" w:hAnsi="宋体"/>
          <w:color w:val="auto"/>
          <w:sz w:val="24"/>
          <w:highlight w:val="none"/>
        </w:rPr>
        <w:t>比选申请文件实质上不响应比选文件的要求的。</w:t>
      </w:r>
    </w:p>
    <w:p>
      <w:pPr>
        <w:pStyle w:val="47"/>
        <w:numPr>
          <w:ilvl w:val="1"/>
          <w:numId w:val="13"/>
        </w:numPr>
        <w:spacing w:before="120" w:beforeLines="50"/>
        <w:ind w:left="648" w:hanging="648" w:hangingChars="270"/>
        <w:rPr>
          <w:rFonts w:ascii="宋体" w:hAnsi="宋体"/>
          <w:color w:val="auto"/>
          <w:sz w:val="24"/>
          <w:highlight w:val="none"/>
        </w:rPr>
      </w:pPr>
      <w:r>
        <w:rPr>
          <w:rFonts w:hint="eastAsia" w:ascii="宋体" w:hAnsi="宋体"/>
          <w:color w:val="auto"/>
          <w:sz w:val="24"/>
          <w:highlight w:val="none"/>
        </w:rPr>
        <w:t>评审小组按</w:t>
      </w:r>
      <w:r>
        <w:rPr>
          <w:rFonts w:ascii="宋体" w:hAnsi="宋体"/>
          <w:color w:val="auto"/>
          <w:sz w:val="24"/>
          <w:highlight w:val="none"/>
        </w:rPr>
        <w:fldChar w:fldCharType="begin"/>
      </w:r>
      <w:r>
        <w:rPr>
          <w:rFonts w:ascii="宋体" w:hAnsi="宋体"/>
          <w:color w:val="auto"/>
          <w:sz w:val="24"/>
          <w:highlight w:val="none"/>
        </w:rPr>
        <w:instrText xml:space="preserve"> REF _Ref483054490 \h  \* MERGEFORMAT </w:instrText>
      </w:r>
      <w:r>
        <w:rPr>
          <w:rFonts w:ascii="宋体" w:hAnsi="宋体"/>
          <w:color w:val="auto"/>
          <w:sz w:val="24"/>
          <w:highlight w:val="none"/>
        </w:rPr>
        <w:fldChar w:fldCharType="separate"/>
      </w:r>
      <w:r>
        <w:rPr>
          <w:rFonts w:hint="eastAsia"/>
          <w:color w:val="auto"/>
          <w:sz w:val="24"/>
          <w:highlight w:val="none"/>
        </w:rPr>
        <w:t>评审细则</w:t>
      </w:r>
      <w:r>
        <w:rPr>
          <w:rFonts w:ascii="宋体" w:hAnsi="宋体"/>
          <w:color w:val="auto"/>
          <w:sz w:val="24"/>
          <w:highlight w:val="none"/>
        </w:rPr>
        <w:fldChar w:fldCharType="end"/>
      </w:r>
      <w:r>
        <w:rPr>
          <w:rFonts w:hint="eastAsia" w:ascii="宋体" w:hAnsi="宋体"/>
          <w:color w:val="auto"/>
          <w:sz w:val="24"/>
          <w:highlight w:val="none"/>
        </w:rPr>
        <w:t>等比选文件的规定进行评审，并推荐排名第一的比选申请人为第一中选人。</w:t>
      </w:r>
    </w:p>
    <w:p>
      <w:pPr>
        <w:pStyle w:val="4"/>
        <w:numPr>
          <w:ilvl w:val="0"/>
          <w:numId w:val="13"/>
        </w:numPr>
        <w:spacing w:before="120" w:beforeLines="50" w:after="0" w:line="240" w:lineRule="auto"/>
        <w:ind w:left="0" w:firstLine="0"/>
        <w:rPr>
          <w:color w:val="auto"/>
          <w:sz w:val="24"/>
          <w:highlight w:val="none"/>
        </w:rPr>
      </w:pPr>
      <w:bookmarkStart w:id="118" w:name="_Toc114052441"/>
      <w:bookmarkStart w:id="119" w:name="_Toc392862502"/>
      <w:bookmarkStart w:id="120" w:name="_Toc286386861"/>
      <w:bookmarkStart w:id="121" w:name="_Toc114052377"/>
      <w:r>
        <w:rPr>
          <w:rFonts w:hint="eastAsia"/>
          <w:color w:val="auto"/>
          <w:sz w:val="24"/>
          <w:highlight w:val="none"/>
        </w:rPr>
        <w:t>评审结果公示</w:t>
      </w:r>
      <w:bookmarkEnd w:id="118"/>
      <w:bookmarkEnd w:id="119"/>
      <w:bookmarkEnd w:id="120"/>
      <w:bookmarkEnd w:id="121"/>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在评审结束经比选发起人确认后，将在南宁轨道交通集团有限责任公司官方网站（www.nngdjt.com）以结果公示的形式通知各比选申请人评审结果。</w:t>
      </w:r>
    </w:p>
    <w:p>
      <w:pPr>
        <w:pStyle w:val="47"/>
        <w:numPr>
          <w:ilvl w:val="1"/>
          <w:numId w:val="13"/>
        </w:numPr>
        <w:spacing w:after="120" w:afterLines="50"/>
        <w:ind w:left="600" w:hanging="600" w:hangingChars="250"/>
        <w:rPr>
          <w:color w:val="auto"/>
          <w:sz w:val="24"/>
          <w:szCs w:val="24"/>
          <w:highlight w:val="none"/>
        </w:rPr>
      </w:pPr>
      <w:r>
        <w:rPr>
          <w:rFonts w:hint="eastAsia" w:ascii="宋体" w:hAnsi="宋体"/>
          <w:color w:val="auto"/>
          <w:sz w:val="24"/>
          <w:highlight w:val="none"/>
        </w:rPr>
        <w:t>比选申请人如对评审结果有异议，须按公示规定的时间和方式向比选发起人提出质疑；比选发起人在收到书面质疑后5个工作日内做出答复，但答复的内容不得涉及商业秘密。</w:t>
      </w:r>
      <w:bookmarkStart w:id="122" w:name="_Toc114052378"/>
      <w:bookmarkStart w:id="123" w:name="_Toc114052442"/>
      <w:bookmarkStart w:id="124" w:name="_Toc286386862"/>
    </w:p>
    <w:p>
      <w:pPr>
        <w:pStyle w:val="3"/>
        <w:numPr>
          <w:ilvl w:val="0"/>
          <w:numId w:val="12"/>
        </w:numPr>
        <w:spacing w:before="360" w:beforeLines="150" w:after="0" w:line="240" w:lineRule="auto"/>
        <w:ind w:left="0" w:firstLine="0"/>
        <w:jc w:val="center"/>
        <w:rPr>
          <w:rFonts w:asciiTheme="majorEastAsia" w:hAnsiTheme="majorEastAsia" w:eastAsiaTheme="majorEastAsia"/>
          <w:color w:val="auto"/>
          <w:sz w:val="24"/>
          <w:szCs w:val="24"/>
          <w:highlight w:val="none"/>
        </w:rPr>
      </w:pPr>
      <w:bookmarkStart w:id="125" w:name="_Toc26564"/>
      <w:bookmarkStart w:id="126" w:name="_Toc437544682"/>
      <w:bookmarkStart w:id="127" w:name="_Toc437544527"/>
      <w:r>
        <w:rPr>
          <w:rFonts w:hint="eastAsia" w:asciiTheme="majorEastAsia" w:hAnsiTheme="majorEastAsia" w:eastAsiaTheme="majorEastAsia"/>
          <w:color w:val="auto"/>
          <w:sz w:val="24"/>
          <w:szCs w:val="24"/>
          <w:highlight w:val="none"/>
        </w:rPr>
        <w:t>授予合同</w:t>
      </w:r>
      <w:bookmarkEnd w:id="122"/>
      <w:bookmarkEnd w:id="123"/>
      <w:bookmarkEnd w:id="124"/>
      <w:bookmarkEnd w:id="125"/>
      <w:bookmarkEnd w:id="126"/>
      <w:bookmarkEnd w:id="127"/>
    </w:p>
    <w:p>
      <w:pPr>
        <w:pStyle w:val="4"/>
        <w:numPr>
          <w:ilvl w:val="0"/>
          <w:numId w:val="13"/>
        </w:numPr>
        <w:spacing w:before="120" w:beforeLines="50" w:after="0" w:line="240" w:lineRule="auto"/>
        <w:ind w:left="0" w:firstLine="0"/>
        <w:rPr>
          <w:color w:val="auto"/>
          <w:sz w:val="24"/>
          <w:highlight w:val="none"/>
        </w:rPr>
      </w:pPr>
      <w:bookmarkStart w:id="128" w:name="_Toc114052443"/>
      <w:bookmarkStart w:id="129" w:name="_Toc286386863"/>
      <w:bookmarkStart w:id="130" w:name="_Toc392862504"/>
      <w:bookmarkStart w:id="131" w:name="_Toc114052379"/>
      <w:r>
        <w:rPr>
          <w:rFonts w:hint="eastAsia"/>
          <w:color w:val="auto"/>
          <w:sz w:val="24"/>
          <w:highlight w:val="none"/>
        </w:rPr>
        <w:t>中选通知书</w:t>
      </w:r>
      <w:bookmarkEnd w:id="128"/>
      <w:bookmarkEnd w:id="129"/>
      <w:bookmarkEnd w:id="130"/>
      <w:bookmarkEnd w:id="131"/>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比选结果公示期满后，比选发起人将向中选人发出中选通知书。</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比选发起人无义务向未中选的比选申请人解释未中选原因，不退还比选申请文件。</w:t>
      </w:r>
    </w:p>
    <w:p>
      <w:pPr>
        <w:pStyle w:val="47"/>
        <w:numPr>
          <w:ilvl w:val="1"/>
          <w:numId w:val="13"/>
        </w:numPr>
        <w:ind w:left="600" w:hanging="600" w:hangingChars="250"/>
        <w:rPr>
          <w:rFonts w:ascii="宋体" w:hAnsi="宋体"/>
          <w:color w:val="auto"/>
          <w:sz w:val="24"/>
          <w:highlight w:val="none"/>
        </w:rPr>
      </w:pPr>
      <w:r>
        <w:rPr>
          <w:rFonts w:hint="eastAsia" w:ascii="宋体" w:hAnsi="宋体"/>
          <w:color w:val="auto"/>
          <w:sz w:val="24"/>
          <w:highlight w:val="none"/>
        </w:rPr>
        <w:t>中选通知书为合同的组成部分。</w:t>
      </w:r>
    </w:p>
    <w:p>
      <w:pPr>
        <w:pStyle w:val="4"/>
        <w:numPr>
          <w:ilvl w:val="0"/>
          <w:numId w:val="13"/>
        </w:numPr>
        <w:spacing w:before="120" w:beforeLines="50" w:after="0" w:line="240" w:lineRule="auto"/>
        <w:ind w:left="0" w:firstLine="0"/>
        <w:rPr>
          <w:color w:val="auto"/>
          <w:sz w:val="24"/>
          <w:highlight w:val="none"/>
        </w:rPr>
      </w:pPr>
      <w:bookmarkStart w:id="132" w:name="_Toc286386864"/>
      <w:bookmarkStart w:id="133" w:name="_Toc392862505"/>
      <w:bookmarkStart w:id="134" w:name="_Toc114052444"/>
      <w:bookmarkStart w:id="135" w:name="_Toc114052380"/>
      <w:r>
        <w:rPr>
          <w:rFonts w:hint="eastAsia"/>
          <w:color w:val="auto"/>
          <w:sz w:val="24"/>
          <w:highlight w:val="none"/>
        </w:rPr>
        <w:t>合同的签署</w:t>
      </w:r>
      <w:bookmarkEnd w:id="132"/>
      <w:bookmarkEnd w:id="133"/>
      <w:bookmarkEnd w:id="134"/>
      <w:bookmarkEnd w:id="135"/>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中选人应按中选通知书的规定按时足额缴纳履约保证金，由法定代表人或授权委托代理人与比选发起人及时签订合同。</w:t>
      </w:r>
    </w:p>
    <w:p>
      <w:pPr>
        <w:pStyle w:val="47"/>
        <w:numPr>
          <w:ilvl w:val="1"/>
          <w:numId w:val="13"/>
        </w:numPr>
        <w:spacing w:after="120" w:afterLines="50"/>
        <w:ind w:left="602" w:hanging="602" w:hangingChars="250"/>
        <w:rPr>
          <w:rFonts w:ascii="宋体" w:hAnsi="宋体"/>
          <w:b/>
          <w:color w:val="auto"/>
          <w:sz w:val="24"/>
          <w:highlight w:val="none"/>
        </w:rPr>
      </w:pPr>
      <w:r>
        <w:rPr>
          <w:rFonts w:hint="eastAsia" w:ascii="宋体" w:hAnsi="宋体"/>
          <w:b/>
          <w:color w:val="auto"/>
          <w:sz w:val="24"/>
          <w:highlight w:val="none"/>
        </w:rPr>
        <w:t>如第一中选人因自身原因不能履约签订合同或履行合同的，比选发起人将取消其中选资格，比选保证金不予退还，并从后续排名中选候选人中依次向上递补确定中选人或重新比选确定中选人。</w:t>
      </w:r>
    </w:p>
    <w:p>
      <w:pPr>
        <w:pStyle w:val="47"/>
        <w:numPr>
          <w:ilvl w:val="1"/>
          <w:numId w:val="13"/>
        </w:numPr>
        <w:spacing w:after="120" w:afterLines="50"/>
        <w:ind w:left="602" w:hanging="602" w:hangingChars="250"/>
        <w:rPr>
          <w:rFonts w:ascii="宋体" w:hAnsi="宋体"/>
          <w:b/>
          <w:color w:val="auto"/>
          <w:sz w:val="24"/>
          <w:highlight w:val="none"/>
        </w:rPr>
      </w:pPr>
      <w:r>
        <w:rPr>
          <w:rFonts w:hint="eastAsia" w:ascii="宋体" w:hAnsi="宋体"/>
          <w:b/>
          <w:color w:val="auto"/>
          <w:sz w:val="24"/>
          <w:highlight w:val="none"/>
        </w:rPr>
        <w:t>比选发起人保留授予合同前调整比选结果的权力，包括重新选择中选方或进行重新采购。</w:t>
      </w:r>
    </w:p>
    <w:p>
      <w:pPr>
        <w:pStyle w:val="4"/>
        <w:numPr>
          <w:ilvl w:val="0"/>
          <w:numId w:val="13"/>
        </w:numPr>
        <w:spacing w:before="120" w:beforeLines="50" w:after="0" w:line="240" w:lineRule="auto"/>
        <w:ind w:left="0" w:firstLine="0"/>
        <w:rPr>
          <w:b w:val="0"/>
          <w:color w:val="auto"/>
          <w:sz w:val="24"/>
          <w:highlight w:val="none"/>
        </w:rPr>
      </w:pPr>
      <w:r>
        <w:rPr>
          <w:rFonts w:hint="eastAsia"/>
          <w:b w:val="0"/>
          <w:color w:val="auto"/>
          <w:sz w:val="24"/>
          <w:highlight w:val="none"/>
        </w:rPr>
        <w:t>根据本项目需要，履行本项目合同过程中所需的中选通知书、交货通知、原厂供货证明的内容及格式约定如下：</w:t>
      </w:r>
    </w:p>
    <w:p>
      <w:pPr>
        <w:widowControl/>
        <w:jc w:val="center"/>
        <w:rPr>
          <w:rFonts w:ascii="宋体" w:hAnsi="宋体"/>
          <w:color w:val="auto"/>
          <w:sz w:val="24"/>
          <w:highlight w:val="none"/>
        </w:rPr>
      </w:pPr>
      <w:r>
        <w:rPr>
          <w:rFonts w:ascii="宋体" w:hAnsi="宋体"/>
          <w:color w:val="auto"/>
          <w:sz w:val="24"/>
          <w:highlight w:val="none"/>
        </w:rPr>
        <w:br w:type="page"/>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中选通知书</w:t>
      </w:r>
    </w:p>
    <w:p>
      <w:pPr>
        <w:widowControl/>
        <w:jc w:val="center"/>
        <w:rPr>
          <w:rFonts w:ascii="宋体" w:hAnsi="宋体"/>
          <w:b/>
          <w:color w:val="auto"/>
          <w:sz w:val="24"/>
          <w:szCs w:val="24"/>
          <w:highlight w:val="none"/>
        </w:rPr>
      </w:pPr>
    </w:p>
    <w:p>
      <w:pPr>
        <w:widowControl/>
        <w:jc w:val="center"/>
        <w:rPr>
          <w:rFonts w:ascii="宋体" w:hAnsi="宋体"/>
          <w:b/>
          <w:color w:val="auto"/>
          <w:sz w:val="24"/>
          <w:szCs w:val="24"/>
          <w:highlight w:val="none"/>
        </w:rPr>
      </w:pPr>
      <w:r>
        <w:rPr>
          <w:rFonts w:hint="eastAsia" w:ascii="宋体" w:hAnsi="宋体"/>
          <w:b/>
          <w:color w:val="auto"/>
          <w:sz w:val="24"/>
          <w:szCs w:val="24"/>
          <w:highlight w:val="none"/>
        </w:rPr>
        <w:t>南宁轨道交通集团有限责任公司</w:t>
      </w:r>
    </w:p>
    <w:p>
      <w:pPr>
        <w:spacing w:line="360" w:lineRule="auto"/>
        <w:ind w:left="2"/>
        <w:jc w:val="center"/>
        <w:rPr>
          <w:rFonts w:ascii="宋体" w:hAnsi="宋体"/>
          <w:b/>
          <w:color w:val="auto"/>
          <w:sz w:val="24"/>
          <w:szCs w:val="24"/>
          <w:highlight w:val="none"/>
        </w:rPr>
      </w:pPr>
      <w:r>
        <w:rPr>
          <w:rFonts w:hint="eastAsia" w:ascii="宋体" w:hAnsi="宋体"/>
          <w:b/>
          <w:color w:val="auto"/>
          <w:sz w:val="24"/>
          <w:szCs w:val="24"/>
          <w:highlight w:val="none"/>
        </w:rPr>
        <w:t>运营分公司2018年</w:t>
      </w:r>
      <w:r>
        <w:rPr>
          <w:rFonts w:hint="eastAsia" w:ascii="宋体" w:hAnsi="宋体"/>
          <w:b/>
          <w:color w:val="auto"/>
          <w:sz w:val="24"/>
          <w:szCs w:val="24"/>
          <w:highlight w:val="none"/>
          <w:lang w:eastAsia="zh-CN"/>
        </w:rPr>
        <w:t>设备维修耗材</w:t>
      </w:r>
      <w:r>
        <w:rPr>
          <w:rFonts w:hint="eastAsia" w:ascii="宋体" w:hAnsi="宋体"/>
          <w:b/>
          <w:color w:val="auto"/>
          <w:sz w:val="24"/>
          <w:szCs w:val="24"/>
          <w:highlight w:val="none"/>
        </w:rPr>
        <w:t>采购项目中选通知书</w:t>
      </w:r>
    </w:p>
    <w:p>
      <w:pPr>
        <w:spacing w:before="240" w:beforeLines="100" w:line="360" w:lineRule="auto"/>
        <w:rPr>
          <w:rFonts w:ascii="宋体" w:hAnsi="宋体"/>
          <w:color w:val="auto"/>
          <w:sz w:val="24"/>
          <w:szCs w:val="24"/>
          <w:highlight w:val="none"/>
        </w:rPr>
      </w:pPr>
      <w:r>
        <w:rPr>
          <w:rFonts w:hint="eastAsia" w:ascii="宋体" w:hAnsi="宋体"/>
          <w:color w:val="auto"/>
          <w:sz w:val="24"/>
          <w:szCs w:val="24"/>
          <w:highlight w:val="none"/>
          <w:u w:val="single"/>
        </w:rPr>
        <w:t>×××××公司</w:t>
      </w:r>
      <w:r>
        <w:rPr>
          <w:rFonts w:hint="eastAsia" w:ascii="宋体" w:hAnsi="宋体"/>
          <w:color w:val="auto"/>
          <w:sz w:val="24"/>
          <w:szCs w:val="24"/>
          <w:highlight w:val="none"/>
        </w:rPr>
        <w:t>：</w:t>
      </w:r>
    </w:p>
    <w:p>
      <w:pPr>
        <w:spacing w:before="100" w:beforeAutospacing="1" w:after="100" w:afterAutospacing="1"/>
        <w:ind w:firstLine="480" w:firstLineChars="200"/>
        <w:rPr>
          <w:rFonts w:ascii="宋体" w:hAnsi="宋体"/>
          <w:color w:val="auto"/>
          <w:sz w:val="24"/>
          <w:szCs w:val="24"/>
          <w:highlight w:val="none"/>
        </w:rPr>
      </w:pPr>
      <w:r>
        <w:rPr>
          <w:rFonts w:hint="eastAsia" w:ascii="宋体" w:hAnsi="宋体"/>
          <w:color w:val="auto"/>
          <w:sz w:val="24"/>
          <w:szCs w:val="24"/>
          <w:highlight w:val="none"/>
        </w:rPr>
        <w:t>根据《南宁轨道交通集团有限责任公司运营分公司2018年</w:t>
      </w:r>
      <w:r>
        <w:rPr>
          <w:rFonts w:hint="eastAsia" w:ascii="宋体" w:hAnsi="宋体"/>
          <w:color w:val="auto"/>
          <w:sz w:val="24"/>
          <w:szCs w:val="24"/>
          <w:highlight w:val="none"/>
          <w:lang w:eastAsia="zh-CN"/>
        </w:rPr>
        <w:t>设备维修耗材</w:t>
      </w:r>
      <w:r>
        <w:rPr>
          <w:rFonts w:hint="eastAsia" w:ascii="宋体" w:hAnsi="宋体"/>
          <w:color w:val="auto"/>
          <w:sz w:val="24"/>
          <w:szCs w:val="24"/>
          <w:highlight w:val="none"/>
        </w:rPr>
        <w:t>采购项目比选公告》（项目编号:</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YY1/2/3-BX-HC-2018031</w:t>
      </w:r>
      <w:r>
        <w:rPr>
          <w:rFonts w:hint="eastAsia" w:ascii="宋体" w:hAnsi="宋体"/>
          <w:color w:val="auto"/>
          <w:sz w:val="24"/>
          <w:szCs w:val="24"/>
          <w:highlight w:val="none"/>
        </w:rPr>
        <w:t>）的要求，贵公司于2018年×月×日提交了比选申请文件，经评审</w:t>
      </w:r>
      <w:r>
        <w:rPr>
          <w:rFonts w:ascii="宋体" w:hAnsi="宋体"/>
          <w:color w:val="auto"/>
          <w:sz w:val="24"/>
          <w:szCs w:val="24"/>
          <w:highlight w:val="none"/>
        </w:rPr>
        <w:t>，</w:t>
      </w:r>
      <w:r>
        <w:rPr>
          <w:rFonts w:hint="eastAsia" w:ascii="宋体" w:hAnsi="宋体"/>
          <w:color w:val="auto"/>
          <w:sz w:val="24"/>
          <w:szCs w:val="24"/>
          <w:highlight w:val="none"/>
        </w:rPr>
        <w:t>贵公司以人民币</w:t>
      </w:r>
      <w:r>
        <w:rPr>
          <w:rFonts w:hint="eastAsia" w:ascii="宋体" w:hAnsi="宋体"/>
          <w:color w:val="auto"/>
          <w:sz w:val="24"/>
          <w:szCs w:val="24"/>
          <w:highlight w:val="none"/>
          <w:u w:val="single"/>
        </w:rPr>
        <w:t>×××元（￥      ）</w:t>
      </w:r>
      <w:r>
        <w:rPr>
          <w:rFonts w:hint="eastAsia" w:ascii="宋体" w:hAnsi="宋体"/>
          <w:color w:val="auto"/>
          <w:sz w:val="24"/>
          <w:szCs w:val="24"/>
          <w:highlight w:val="none"/>
        </w:rPr>
        <w:t>的价格中选！</w:t>
      </w:r>
    </w:p>
    <w:p>
      <w:pPr>
        <w:spacing w:before="100" w:beforeAutospacing="1" w:after="100" w:afterAutospacing="1"/>
        <w:ind w:firstLine="480" w:firstLineChars="200"/>
        <w:rPr>
          <w:rFonts w:ascii="宋体" w:hAnsi="宋体"/>
          <w:color w:val="auto"/>
          <w:sz w:val="24"/>
          <w:szCs w:val="24"/>
          <w:highlight w:val="none"/>
        </w:rPr>
      </w:pPr>
      <w:r>
        <w:rPr>
          <w:rFonts w:hint="eastAsia" w:ascii="宋体" w:hAnsi="宋体"/>
          <w:color w:val="auto"/>
          <w:sz w:val="24"/>
          <w:szCs w:val="24"/>
          <w:highlight w:val="none"/>
        </w:rPr>
        <w:t>我公司保留授予合同的权利及在授予合同时对货物数量和服务予以增加或减少或拆分的权利。</w:t>
      </w:r>
    </w:p>
    <w:p>
      <w:pPr>
        <w:spacing w:before="100" w:beforeAutospacing="1" w:after="100" w:afterAutospacing="1"/>
        <w:ind w:firstLine="480" w:firstLineChars="200"/>
        <w:rPr>
          <w:rFonts w:ascii="宋体" w:hAnsi="宋体"/>
          <w:color w:val="auto"/>
          <w:sz w:val="24"/>
          <w:szCs w:val="24"/>
          <w:highlight w:val="none"/>
        </w:rPr>
      </w:pPr>
      <w:r>
        <w:rPr>
          <w:rFonts w:hint="eastAsia" w:ascii="宋体" w:hAnsi="宋体"/>
          <w:color w:val="auto"/>
          <w:sz w:val="24"/>
          <w:szCs w:val="24"/>
          <w:highlight w:val="none"/>
        </w:rPr>
        <w:t>其他注意事项：</w:t>
      </w:r>
    </w:p>
    <w:p>
      <w:pPr>
        <w:pStyle w:val="47"/>
        <w:numPr>
          <w:ilvl w:val="0"/>
          <w:numId w:val="14"/>
        </w:numPr>
        <w:tabs>
          <w:tab w:val="left" w:pos="851"/>
          <w:tab w:val="left" w:pos="993"/>
          <w:tab w:val="left" w:pos="1276"/>
        </w:tabs>
        <w:spacing w:before="100" w:beforeAutospacing="1" w:after="120" w:afterLines="50"/>
        <w:ind w:left="0" w:firstLine="480"/>
        <w:rPr>
          <w:rFonts w:ascii="宋体" w:hAnsi="宋体"/>
          <w:color w:val="auto"/>
          <w:sz w:val="24"/>
          <w:szCs w:val="24"/>
          <w:highlight w:val="none"/>
        </w:rPr>
      </w:pPr>
      <w:r>
        <w:rPr>
          <w:rFonts w:ascii="宋体" w:hAnsi="宋体"/>
          <w:color w:val="auto"/>
          <w:sz w:val="24"/>
          <w:szCs w:val="24"/>
          <w:highlight w:val="none"/>
        </w:rPr>
        <w:t>请</w:t>
      </w:r>
      <w:r>
        <w:rPr>
          <w:rFonts w:hint="eastAsia" w:ascii="宋体" w:hAnsi="宋体"/>
          <w:color w:val="auto"/>
          <w:sz w:val="24"/>
          <w:szCs w:val="24"/>
          <w:highlight w:val="none"/>
        </w:rPr>
        <w:t>于本通知书发出后30日内，至广西壮族自治区南宁市青秀区云景路83号南宁轨道交通1号线屯里车辆段运营综合楼203室与本公司签订采购项目合同书。</w:t>
      </w:r>
    </w:p>
    <w:p>
      <w:pPr>
        <w:pStyle w:val="47"/>
        <w:numPr>
          <w:ilvl w:val="0"/>
          <w:numId w:val="14"/>
        </w:numPr>
        <w:tabs>
          <w:tab w:val="left" w:pos="851"/>
          <w:tab w:val="left" w:pos="993"/>
          <w:tab w:val="left" w:pos="1276"/>
        </w:tabs>
        <w:spacing w:before="100" w:beforeAutospacing="1" w:after="120" w:afterLines="50"/>
        <w:ind w:left="0" w:firstLine="480"/>
        <w:rPr>
          <w:rFonts w:ascii="宋体" w:hAnsi="宋体"/>
          <w:color w:val="auto"/>
          <w:sz w:val="24"/>
          <w:szCs w:val="24"/>
          <w:highlight w:val="none"/>
        </w:rPr>
      </w:pPr>
      <w:r>
        <w:rPr>
          <w:rFonts w:hint="eastAsia" w:ascii="宋体" w:hAnsi="宋体"/>
          <w:color w:val="auto"/>
          <w:sz w:val="24"/>
          <w:szCs w:val="24"/>
          <w:highlight w:val="none"/>
        </w:rPr>
        <w:t>签订合同前，须缴纳履约保证金人民币×××元整。已缴纳的比选保证金自动转为履约保证金的一部分，不足部分通过公司账户银行转账补足缴纳。</w:t>
      </w:r>
    </w:p>
    <w:p>
      <w:pPr>
        <w:pStyle w:val="47"/>
        <w:numPr>
          <w:ilvl w:val="0"/>
          <w:numId w:val="14"/>
        </w:numPr>
        <w:tabs>
          <w:tab w:val="left" w:pos="851"/>
          <w:tab w:val="left" w:pos="993"/>
          <w:tab w:val="left" w:pos="1276"/>
        </w:tabs>
        <w:spacing w:before="100" w:beforeAutospacing="1" w:after="120" w:afterLines="50"/>
        <w:ind w:left="0" w:firstLine="480"/>
        <w:rPr>
          <w:rFonts w:ascii="宋体" w:hAnsi="宋体"/>
          <w:color w:val="auto"/>
          <w:sz w:val="24"/>
          <w:szCs w:val="24"/>
          <w:highlight w:val="none"/>
        </w:rPr>
      </w:pPr>
      <w:r>
        <w:rPr>
          <w:rFonts w:hint="eastAsia" w:ascii="宋体" w:hAnsi="宋体"/>
          <w:color w:val="auto"/>
          <w:sz w:val="24"/>
          <w:szCs w:val="24"/>
          <w:highlight w:val="none"/>
        </w:rPr>
        <w:t>交货时间：本通知书发出后，按交货通知交货。</w:t>
      </w:r>
    </w:p>
    <w:p>
      <w:pPr>
        <w:spacing w:line="360" w:lineRule="auto"/>
        <w:ind w:left="2" w:firstLine="570"/>
        <w:rPr>
          <w:rFonts w:ascii="宋体" w:hAnsi="宋体"/>
          <w:color w:val="auto"/>
          <w:sz w:val="24"/>
          <w:szCs w:val="24"/>
          <w:highlight w:val="none"/>
        </w:rPr>
      </w:pPr>
    </w:p>
    <w:p>
      <w:pPr>
        <w:spacing w:line="360" w:lineRule="auto"/>
        <w:ind w:right="900"/>
        <w:jc w:val="right"/>
        <w:rPr>
          <w:rFonts w:ascii="宋体" w:hAnsi="宋体"/>
          <w:color w:val="auto"/>
          <w:sz w:val="24"/>
          <w:szCs w:val="24"/>
          <w:highlight w:val="none"/>
        </w:rPr>
      </w:pPr>
      <w:r>
        <w:rPr>
          <w:rFonts w:hint="eastAsia" w:ascii="宋体" w:hAnsi="宋体"/>
          <w:color w:val="auto"/>
          <w:sz w:val="24"/>
          <w:szCs w:val="24"/>
          <w:highlight w:val="none"/>
        </w:rPr>
        <w:t>南宁轨道交通集团有限责任公司(章)</w:t>
      </w:r>
    </w:p>
    <w:p>
      <w:pPr>
        <w:spacing w:line="360" w:lineRule="auto"/>
        <w:ind w:firstLine="6120" w:firstLineChars="2550"/>
        <w:rPr>
          <w:rFonts w:ascii="宋体" w:hAnsi="宋体"/>
          <w:color w:val="auto"/>
          <w:sz w:val="24"/>
          <w:szCs w:val="24"/>
          <w:highlight w:val="none"/>
        </w:rPr>
      </w:pPr>
      <w:r>
        <w:rPr>
          <w:rFonts w:hint="eastAsia" w:ascii="宋体" w:hAnsi="宋体"/>
          <w:color w:val="auto"/>
          <w:sz w:val="24"/>
          <w:szCs w:val="24"/>
          <w:highlight w:val="none"/>
        </w:rPr>
        <w:t>2018年×月×日</w:t>
      </w:r>
    </w:p>
    <w:p>
      <w:pPr>
        <w:widowControl/>
        <w:jc w:val="left"/>
        <w:rPr>
          <w:rFonts w:ascii="宋体" w:hAnsi="宋体"/>
          <w:color w:val="auto"/>
          <w:sz w:val="24"/>
          <w:szCs w:val="24"/>
          <w:highlight w:val="none"/>
        </w:rPr>
        <w:sectPr>
          <w:headerReference r:id="rId9" w:type="default"/>
          <w:footerReference r:id="rId10" w:type="default"/>
          <w:pgSz w:w="11906" w:h="16838"/>
          <w:pgMar w:top="1134" w:right="851" w:bottom="1134" w:left="1134" w:header="454" w:footer="567" w:gutter="0"/>
          <w:pgNumType w:chapStyle="1"/>
          <w:cols w:space="425" w:num="1"/>
          <w:docGrid w:linePitch="312" w:charSpace="0"/>
        </w:sectPr>
      </w:pPr>
      <w:r>
        <w:rPr>
          <w:rFonts w:ascii="宋体" w:hAnsi="宋体"/>
          <w:color w:val="auto"/>
          <w:sz w:val="24"/>
          <w:szCs w:val="24"/>
          <w:highlight w:val="none"/>
        </w:rPr>
        <w:br w:type="page"/>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交货通知</w:t>
      </w:r>
    </w:p>
    <w:tbl>
      <w:tblPr>
        <w:tblStyle w:val="40"/>
        <w:tblW w:w="857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7"/>
        <w:gridCol w:w="1418"/>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747" w:type="dxa"/>
            <w:vAlign w:val="center"/>
          </w:tcPr>
          <w:p>
            <w:pPr>
              <w:pStyle w:val="47"/>
              <w:widowControl/>
              <w:ind w:firstLine="0" w:firstLineChars="0"/>
              <w:jc w:val="right"/>
              <w:rPr>
                <w:rFonts w:ascii="宋体" w:hAnsi="宋体"/>
                <w:b/>
                <w:color w:val="auto"/>
                <w:sz w:val="24"/>
                <w:szCs w:val="24"/>
                <w:highlight w:val="none"/>
              </w:rPr>
            </w:pPr>
            <w:r>
              <w:rPr>
                <w:rFonts w:hint="eastAsia" w:ascii="宋体" w:hAnsi="宋体"/>
                <w:b/>
                <w:color w:val="auto"/>
                <w:sz w:val="24"/>
                <w:szCs w:val="24"/>
                <w:highlight w:val="none"/>
              </w:rPr>
              <w:t>运营分公司2018年</w:t>
            </w:r>
            <w:r>
              <w:rPr>
                <w:rFonts w:hint="eastAsia" w:ascii="宋体" w:hAnsi="宋体"/>
                <w:b/>
                <w:color w:val="auto"/>
                <w:sz w:val="24"/>
                <w:szCs w:val="24"/>
                <w:highlight w:val="none"/>
                <w:lang w:eastAsia="zh-CN"/>
              </w:rPr>
              <w:t>设备维修耗材</w:t>
            </w:r>
            <w:r>
              <w:rPr>
                <w:rFonts w:hint="eastAsia" w:ascii="宋体" w:hAnsi="宋体"/>
                <w:b/>
                <w:color w:val="auto"/>
                <w:sz w:val="24"/>
                <w:szCs w:val="24"/>
                <w:highlight w:val="none"/>
              </w:rPr>
              <w:t>采购项目第</w:t>
            </w:r>
            <w:r>
              <w:rPr>
                <w:rFonts w:hint="eastAsia" w:ascii="宋体" w:hAnsi="宋体"/>
                <w:color w:val="auto"/>
                <w:sz w:val="24"/>
                <w:szCs w:val="24"/>
                <w:highlight w:val="none"/>
                <w:u w:val="single"/>
              </w:rPr>
              <w:t>　</w:t>
            </w:r>
            <w:r>
              <w:rPr>
                <w:rFonts w:hint="eastAsia" w:ascii="宋体" w:hAnsi="宋体"/>
                <w:b/>
                <w:color w:val="auto"/>
                <w:sz w:val="24"/>
                <w:szCs w:val="24"/>
                <w:highlight w:val="none"/>
                <w:u w:val="single"/>
              </w:rPr>
              <w:t>×　</w:t>
            </w:r>
            <w:r>
              <w:rPr>
                <w:rFonts w:hint="eastAsia" w:ascii="宋体" w:hAnsi="宋体"/>
                <w:b/>
                <w:color w:val="auto"/>
                <w:sz w:val="24"/>
                <w:szCs w:val="24"/>
                <w:highlight w:val="none"/>
              </w:rPr>
              <w:t>批</w:t>
            </w:r>
          </w:p>
        </w:tc>
        <w:tc>
          <w:tcPr>
            <w:tcW w:w="1418" w:type="dxa"/>
            <w:vAlign w:val="center"/>
          </w:tcPr>
          <w:p>
            <w:pPr>
              <w:pStyle w:val="47"/>
              <w:widowControl/>
              <w:ind w:firstLine="0" w:firstLineChars="0"/>
              <w:jc w:val="center"/>
              <w:rPr>
                <w:rFonts w:ascii="宋体" w:hAnsi="宋体"/>
                <w:b/>
                <w:color w:val="auto"/>
                <w:sz w:val="24"/>
                <w:szCs w:val="24"/>
                <w:highlight w:val="none"/>
              </w:rPr>
            </w:pPr>
            <w:r>
              <w:rPr>
                <w:rFonts w:hint="eastAsia" w:ascii="宋体" w:hAnsi="宋体"/>
                <w:b/>
                <w:color w:val="auto"/>
                <w:sz w:val="24"/>
                <w:szCs w:val="24"/>
                <w:highlight w:val="none"/>
              </w:rPr>
              <w:t>交货通知</w:t>
            </w:r>
          </w:p>
          <w:p>
            <w:pPr>
              <w:pStyle w:val="47"/>
              <w:widowControl/>
              <w:ind w:firstLine="0" w:firstLineChars="0"/>
              <w:jc w:val="center"/>
              <w:rPr>
                <w:rFonts w:ascii="宋体" w:hAnsi="宋体"/>
                <w:b/>
                <w:color w:val="auto"/>
                <w:sz w:val="24"/>
                <w:szCs w:val="24"/>
                <w:highlight w:val="none"/>
              </w:rPr>
            </w:pPr>
            <w:r>
              <w:rPr>
                <w:rFonts w:hint="eastAsia" w:ascii="宋体" w:hAnsi="宋体"/>
                <w:b/>
                <w:color w:val="auto"/>
                <w:sz w:val="24"/>
                <w:szCs w:val="24"/>
                <w:highlight w:val="none"/>
              </w:rPr>
              <w:t>送货单</w:t>
            </w:r>
          </w:p>
        </w:tc>
        <w:tc>
          <w:tcPr>
            <w:tcW w:w="1414" w:type="dxa"/>
            <w:vAlign w:val="center"/>
          </w:tcPr>
          <w:p>
            <w:pPr>
              <w:pStyle w:val="47"/>
              <w:widowControl/>
              <w:ind w:firstLine="0" w:firstLineChars="0"/>
              <w:rPr>
                <w:rFonts w:ascii="宋体" w:hAnsi="宋体"/>
                <w:b/>
                <w:color w:val="auto"/>
                <w:sz w:val="24"/>
                <w:szCs w:val="24"/>
                <w:highlight w:val="none"/>
              </w:rPr>
            </w:pPr>
            <w:r>
              <w:rPr>
                <w:rFonts w:hint="eastAsia" w:ascii="宋体" w:hAnsi="宋体"/>
                <w:b/>
                <w:color w:val="auto"/>
                <w:sz w:val="24"/>
                <w:szCs w:val="24"/>
                <w:highlight w:val="none"/>
              </w:rPr>
              <w:t>（×号线）</w:t>
            </w:r>
          </w:p>
        </w:tc>
      </w:tr>
    </w:tbl>
    <w:p>
      <w:pPr>
        <w:rPr>
          <w:color w:val="auto"/>
          <w:highlight w:val="none"/>
          <w:lang w:val="zh-CN"/>
        </w:rPr>
      </w:pPr>
    </w:p>
    <w:tbl>
      <w:tblPr>
        <w:tblStyle w:val="40"/>
        <w:tblW w:w="14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30"/>
        <w:gridCol w:w="2597"/>
        <w:gridCol w:w="805"/>
        <w:gridCol w:w="1322"/>
        <w:gridCol w:w="1417"/>
        <w:gridCol w:w="1276"/>
        <w:gridCol w:w="1417"/>
        <w:gridCol w:w="156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557" w:type="dxa"/>
            <w:gridSpan w:val="10"/>
            <w:vAlign w:val="center"/>
          </w:tcPr>
          <w:p>
            <w:pPr>
              <w:widowControl/>
              <w:jc w:val="center"/>
              <w:rPr>
                <w:rFonts w:hint="eastAsia" w:eastAsia="宋体"/>
                <w:color w:val="auto"/>
                <w:sz w:val="24"/>
                <w:highlight w:val="none"/>
                <w:lang w:eastAsia="zh-CN"/>
              </w:rPr>
            </w:pPr>
            <w:r>
              <w:rPr>
                <w:rFonts w:hint="eastAsia"/>
                <w:color w:val="auto"/>
                <w:sz w:val="24"/>
                <w:highlight w:val="none"/>
              </w:rPr>
              <w:t>供应商（章）：　　　　　　　供应商联系人及电话：　　　　　　　项目编号：</w:t>
            </w:r>
            <w:r>
              <w:rPr>
                <w:rFonts w:hint="eastAsia"/>
                <w:color w:val="auto"/>
                <w:sz w:val="24"/>
                <w:highlight w:val="none"/>
                <w:lang w:eastAsia="zh-CN"/>
              </w:rPr>
              <w:t>YY1/2/3-BX-HC-2018031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color w:val="auto"/>
                <w:sz w:val="24"/>
                <w:highlight w:val="none"/>
              </w:rPr>
              <w:br w:type="page"/>
            </w:r>
            <w:r>
              <w:rPr>
                <w:rFonts w:hint="eastAsia"/>
                <w:color w:val="auto"/>
                <w:sz w:val="24"/>
                <w:highlight w:val="none"/>
              </w:rPr>
              <w:t>序号</w:t>
            </w:r>
          </w:p>
        </w:tc>
        <w:tc>
          <w:tcPr>
            <w:tcW w:w="1230" w:type="dxa"/>
            <w:vAlign w:val="center"/>
          </w:tcPr>
          <w:p>
            <w:pPr>
              <w:widowControl/>
              <w:jc w:val="center"/>
              <w:rPr>
                <w:color w:val="auto"/>
                <w:sz w:val="24"/>
                <w:highlight w:val="none"/>
              </w:rPr>
            </w:pPr>
            <w:r>
              <w:rPr>
                <w:rFonts w:hint="eastAsia"/>
                <w:color w:val="auto"/>
                <w:sz w:val="24"/>
                <w:highlight w:val="none"/>
              </w:rPr>
              <w:t>计划序号</w:t>
            </w:r>
          </w:p>
        </w:tc>
        <w:tc>
          <w:tcPr>
            <w:tcW w:w="2597" w:type="dxa"/>
            <w:vAlign w:val="center"/>
          </w:tcPr>
          <w:p>
            <w:pPr>
              <w:widowControl/>
              <w:jc w:val="center"/>
              <w:rPr>
                <w:color w:val="auto"/>
                <w:sz w:val="24"/>
                <w:highlight w:val="none"/>
              </w:rPr>
            </w:pPr>
            <w:r>
              <w:rPr>
                <w:rFonts w:hint="eastAsia"/>
                <w:color w:val="auto"/>
                <w:sz w:val="24"/>
                <w:highlight w:val="none"/>
              </w:rPr>
              <w:t>货物名称</w:t>
            </w:r>
          </w:p>
        </w:tc>
        <w:tc>
          <w:tcPr>
            <w:tcW w:w="805" w:type="dxa"/>
            <w:vAlign w:val="center"/>
          </w:tcPr>
          <w:p>
            <w:pPr>
              <w:widowControl/>
              <w:jc w:val="center"/>
              <w:rPr>
                <w:color w:val="auto"/>
                <w:sz w:val="24"/>
                <w:highlight w:val="none"/>
              </w:rPr>
            </w:pPr>
            <w:r>
              <w:rPr>
                <w:rFonts w:hint="eastAsia"/>
                <w:color w:val="auto"/>
                <w:sz w:val="24"/>
                <w:highlight w:val="none"/>
              </w:rPr>
              <w:t>单位</w:t>
            </w:r>
          </w:p>
        </w:tc>
        <w:tc>
          <w:tcPr>
            <w:tcW w:w="1322" w:type="dxa"/>
            <w:vAlign w:val="center"/>
          </w:tcPr>
          <w:p>
            <w:pPr>
              <w:widowControl/>
              <w:jc w:val="center"/>
              <w:rPr>
                <w:color w:val="auto"/>
                <w:sz w:val="24"/>
                <w:highlight w:val="none"/>
              </w:rPr>
            </w:pPr>
            <w:r>
              <w:rPr>
                <w:rFonts w:hint="eastAsia"/>
                <w:color w:val="auto"/>
                <w:sz w:val="24"/>
                <w:highlight w:val="none"/>
              </w:rPr>
              <w:t>合同数量</w:t>
            </w:r>
          </w:p>
        </w:tc>
        <w:tc>
          <w:tcPr>
            <w:tcW w:w="1417" w:type="dxa"/>
            <w:vAlign w:val="center"/>
          </w:tcPr>
          <w:p>
            <w:pPr>
              <w:widowControl/>
              <w:jc w:val="center"/>
              <w:rPr>
                <w:color w:val="auto"/>
                <w:sz w:val="24"/>
                <w:highlight w:val="none"/>
              </w:rPr>
            </w:pPr>
            <w:r>
              <w:rPr>
                <w:rFonts w:hint="eastAsia"/>
                <w:color w:val="auto"/>
                <w:sz w:val="24"/>
                <w:highlight w:val="none"/>
              </w:rPr>
              <w:t>送货数量</w:t>
            </w:r>
          </w:p>
        </w:tc>
        <w:tc>
          <w:tcPr>
            <w:tcW w:w="1276" w:type="dxa"/>
            <w:vAlign w:val="center"/>
          </w:tcPr>
          <w:p>
            <w:pPr>
              <w:widowControl/>
              <w:jc w:val="center"/>
              <w:rPr>
                <w:color w:val="auto"/>
                <w:sz w:val="24"/>
                <w:highlight w:val="none"/>
              </w:rPr>
            </w:pPr>
            <w:r>
              <w:rPr>
                <w:rFonts w:hint="eastAsia"/>
                <w:color w:val="auto"/>
                <w:sz w:val="24"/>
                <w:highlight w:val="none"/>
              </w:rPr>
              <w:t>实收数量</w:t>
            </w:r>
          </w:p>
        </w:tc>
        <w:tc>
          <w:tcPr>
            <w:tcW w:w="1417" w:type="dxa"/>
            <w:vAlign w:val="center"/>
          </w:tcPr>
          <w:p>
            <w:pPr>
              <w:widowControl/>
              <w:jc w:val="center"/>
              <w:rPr>
                <w:color w:val="auto"/>
                <w:sz w:val="24"/>
                <w:highlight w:val="none"/>
              </w:rPr>
            </w:pPr>
            <w:r>
              <w:rPr>
                <w:rFonts w:hint="eastAsia"/>
                <w:color w:val="auto"/>
                <w:sz w:val="24"/>
                <w:highlight w:val="none"/>
              </w:rPr>
              <w:t>交货日期</w:t>
            </w:r>
          </w:p>
        </w:tc>
        <w:tc>
          <w:tcPr>
            <w:tcW w:w="1560" w:type="dxa"/>
            <w:vAlign w:val="center"/>
          </w:tcPr>
          <w:p>
            <w:pPr>
              <w:widowControl/>
              <w:jc w:val="center"/>
              <w:rPr>
                <w:color w:val="auto"/>
                <w:sz w:val="24"/>
                <w:highlight w:val="none"/>
              </w:rPr>
            </w:pPr>
            <w:r>
              <w:rPr>
                <w:rFonts w:hint="eastAsia"/>
                <w:color w:val="auto"/>
                <w:sz w:val="24"/>
                <w:highlight w:val="none"/>
              </w:rPr>
              <w:t>交货地点</w:t>
            </w:r>
          </w:p>
        </w:tc>
        <w:tc>
          <w:tcPr>
            <w:tcW w:w="2230" w:type="dxa"/>
            <w:vAlign w:val="center"/>
          </w:tcPr>
          <w:p>
            <w:pPr>
              <w:widowControl/>
              <w:jc w:val="center"/>
              <w:rPr>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rFonts w:hint="eastAsia"/>
                <w:color w:val="auto"/>
                <w:sz w:val="24"/>
                <w:highlight w:val="none"/>
              </w:rPr>
              <w:t>1</w:t>
            </w:r>
          </w:p>
        </w:tc>
        <w:tc>
          <w:tcPr>
            <w:tcW w:w="1230" w:type="dxa"/>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vAlign w:val="center"/>
          </w:tcPr>
          <w:p>
            <w:pPr>
              <w:widowControl/>
              <w:jc w:val="center"/>
              <w:rPr>
                <w:color w:val="auto"/>
                <w:sz w:val="24"/>
                <w:highlight w:val="none"/>
              </w:rPr>
            </w:pPr>
          </w:p>
        </w:tc>
        <w:tc>
          <w:tcPr>
            <w:tcW w:w="1322"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276"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560" w:type="dxa"/>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03" w:type="dxa"/>
            <w:vAlign w:val="center"/>
          </w:tcPr>
          <w:p>
            <w:pPr>
              <w:widowControl/>
              <w:jc w:val="center"/>
              <w:rPr>
                <w:color w:val="auto"/>
                <w:sz w:val="24"/>
                <w:highlight w:val="none"/>
              </w:rPr>
            </w:pPr>
            <w:r>
              <w:rPr>
                <w:rFonts w:hint="eastAsia"/>
                <w:color w:val="auto"/>
                <w:sz w:val="24"/>
                <w:highlight w:val="none"/>
              </w:rPr>
              <w:t>2</w:t>
            </w:r>
          </w:p>
        </w:tc>
        <w:tc>
          <w:tcPr>
            <w:tcW w:w="1230" w:type="dxa"/>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vAlign w:val="center"/>
          </w:tcPr>
          <w:p>
            <w:pPr>
              <w:widowControl/>
              <w:jc w:val="center"/>
              <w:rPr>
                <w:color w:val="auto"/>
                <w:sz w:val="24"/>
                <w:highlight w:val="none"/>
              </w:rPr>
            </w:pPr>
          </w:p>
        </w:tc>
        <w:tc>
          <w:tcPr>
            <w:tcW w:w="1322"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276"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560" w:type="dxa"/>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rFonts w:hint="eastAsia"/>
                <w:color w:val="auto"/>
                <w:sz w:val="24"/>
                <w:highlight w:val="none"/>
              </w:rPr>
              <w:t>3</w:t>
            </w:r>
          </w:p>
        </w:tc>
        <w:tc>
          <w:tcPr>
            <w:tcW w:w="1230" w:type="dxa"/>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vAlign w:val="center"/>
          </w:tcPr>
          <w:p>
            <w:pPr>
              <w:widowControl/>
              <w:jc w:val="center"/>
              <w:rPr>
                <w:color w:val="auto"/>
                <w:sz w:val="24"/>
                <w:highlight w:val="none"/>
              </w:rPr>
            </w:pPr>
          </w:p>
        </w:tc>
        <w:tc>
          <w:tcPr>
            <w:tcW w:w="1322"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276"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560" w:type="dxa"/>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rFonts w:hint="eastAsia"/>
                <w:color w:val="auto"/>
                <w:sz w:val="24"/>
                <w:highlight w:val="none"/>
              </w:rPr>
              <w:t>4</w:t>
            </w:r>
          </w:p>
        </w:tc>
        <w:tc>
          <w:tcPr>
            <w:tcW w:w="1230" w:type="dxa"/>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vAlign w:val="center"/>
          </w:tcPr>
          <w:p>
            <w:pPr>
              <w:widowControl/>
              <w:jc w:val="center"/>
              <w:rPr>
                <w:color w:val="auto"/>
                <w:sz w:val="24"/>
                <w:highlight w:val="none"/>
              </w:rPr>
            </w:pPr>
          </w:p>
        </w:tc>
        <w:tc>
          <w:tcPr>
            <w:tcW w:w="1322"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276"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560" w:type="dxa"/>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rFonts w:hint="eastAsia"/>
                <w:color w:val="auto"/>
                <w:sz w:val="24"/>
                <w:highlight w:val="none"/>
              </w:rPr>
              <w:t>5</w:t>
            </w:r>
          </w:p>
        </w:tc>
        <w:tc>
          <w:tcPr>
            <w:tcW w:w="1230" w:type="dxa"/>
            <w:vAlign w:val="center"/>
          </w:tcPr>
          <w:p>
            <w:pPr>
              <w:widowControl/>
              <w:rPr>
                <w:color w:val="auto"/>
                <w:sz w:val="24"/>
                <w:highlight w:val="none"/>
              </w:rPr>
            </w:pPr>
          </w:p>
        </w:tc>
        <w:tc>
          <w:tcPr>
            <w:tcW w:w="2597" w:type="dxa"/>
            <w:vAlign w:val="center"/>
          </w:tcPr>
          <w:p>
            <w:pPr>
              <w:widowControl/>
              <w:rPr>
                <w:color w:val="auto"/>
                <w:sz w:val="24"/>
                <w:highlight w:val="none"/>
              </w:rPr>
            </w:pPr>
          </w:p>
        </w:tc>
        <w:tc>
          <w:tcPr>
            <w:tcW w:w="805" w:type="dxa"/>
            <w:vAlign w:val="center"/>
          </w:tcPr>
          <w:p>
            <w:pPr>
              <w:widowControl/>
              <w:jc w:val="center"/>
              <w:rPr>
                <w:color w:val="auto"/>
                <w:sz w:val="24"/>
                <w:highlight w:val="none"/>
              </w:rPr>
            </w:pPr>
          </w:p>
        </w:tc>
        <w:tc>
          <w:tcPr>
            <w:tcW w:w="1322"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276" w:type="dxa"/>
            <w:vAlign w:val="center"/>
          </w:tcPr>
          <w:p>
            <w:pPr>
              <w:widowControl/>
              <w:jc w:val="center"/>
              <w:rPr>
                <w:color w:val="auto"/>
                <w:sz w:val="24"/>
                <w:highlight w:val="none"/>
              </w:rPr>
            </w:pPr>
          </w:p>
        </w:tc>
        <w:tc>
          <w:tcPr>
            <w:tcW w:w="1417" w:type="dxa"/>
            <w:vAlign w:val="center"/>
          </w:tcPr>
          <w:p>
            <w:pPr>
              <w:widowControl/>
              <w:jc w:val="center"/>
              <w:rPr>
                <w:color w:val="auto"/>
                <w:sz w:val="24"/>
                <w:highlight w:val="none"/>
              </w:rPr>
            </w:pPr>
          </w:p>
        </w:tc>
        <w:tc>
          <w:tcPr>
            <w:tcW w:w="1560" w:type="dxa"/>
            <w:vAlign w:val="center"/>
          </w:tcPr>
          <w:p>
            <w:pPr>
              <w:widowControl/>
              <w:rPr>
                <w:color w:val="auto"/>
                <w:sz w:val="24"/>
                <w:highlight w:val="none"/>
              </w:rPr>
            </w:pPr>
          </w:p>
        </w:tc>
        <w:tc>
          <w:tcPr>
            <w:tcW w:w="2230" w:type="dxa"/>
            <w:vAlign w:val="center"/>
          </w:tcPr>
          <w:p>
            <w:pPr>
              <w:widowControl/>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335" w:type="dxa"/>
            <w:gridSpan w:val="4"/>
            <w:vAlign w:val="center"/>
          </w:tcPr>
          <w:p>
            <w:pPr>
              <w:widowControl/>
              <w:jc w:val="center"/>
              <w:rPr>
                <w:b/>
                <w:color w:val="auto"/>
                <w:sz w:val="24"/>
                <w:highlight w:val="none"/>
              </w:rPr>
            </w:pPr>
            <w:r>
              <w:rPr>
                <w:rFonts w:hint="eastAsia"/>
                <w:b/>
                <w:color w:val="auto"/>
                <w:sz w:val="24"/>
                <w:highlight w:val="none"/>
              </w:rPr>
              <w:t>合计</w:t>
            </w:r>
          </w:p>
        </w:tc>
        <w:tc>
          <w:tcPr>
            <w:tcW w:w="1322" w:type="dxa"/>
            <w:vAlign w:val="center"/>
          </w:tcPr>
          <w:p>
            <w:pPr>
              <w:widowControl/>
              <w:jc w:val="center"/>
              <w:rPr>
                <w:b/>
                <w:color w:val="auto"/>
                <w:sz w:val="24"/>
                <w:highlight w:val="none"/>
              </w:rPr>
            </w:pPr>
          </w:p>
        </w:tc>
        <w:tc>
          <w:tcPr>
            <w:tcW w:w="1417" w:type="dxa"/>
            <w:vAlign w:val="center"/>
          </w:tcPr>
          <w:p>
            <w:pPr>
              <w:widowControl/>
              <w:jc w:val="center"/>
              <w:rPr>
                <w:b/>
                <w:color w:val="auto"/>
                <w:sz w:val="24"/>
                <w:highlight w:val="none"/>
              </w:rPr>
            </w:pPr>
          </w:p>
        </w:tc>
        <w:tc>
          <w:tcPr>
            <w:tcW w:w="1276" w:type="dxa"/>
            <w:vAlign w:val="center"/>
          </w:tcPr>
          <w:p>
            <w:pPr>
              <w:widowControl/>
              <w:jc w:val="center"/>
              <w:rPr>
                <w:b/>
                <w:color w:val="auto"/>
                <w:sz w:val="24"/>
                <w:highlight w:val="none"/>
              </w:rPr>
            </w:pPr>
          </w:p>
        </w:tc>
        <w:tc>
          <w:tcPr>
            <w:tcW w:w="1417" w:type="dxa"/>
            <w:vAlign w:val="center"/>
          </w:tcPr>
          <w:p>
            <w:pPr>
              <w:widowControl/>
              <w:jc w:val="center"/>
              <w:rPr>
                <w:b/>
                <w:color w:val="auto"/>
                <w:sz w:val="24"/>
                <w:highlight w:val="none"/>
              </w:rPr>
            </w:pPr>
            <w:r>
              <w:rPr>
                <w:rFonts w:hint="eastAsia"/>
                <w:b/>
                <w:color w:val="auto"/>
                <w:sz w:val="24"/>
                <w:highlight w:val="none"/>
              </w:rPr>
              <w:t>/</w:t>
            </w:r>
          </w:p>
        </w:tc>
        <w:tc>
          <w:tcPr>
            <w:tcW w:w="1560" w:type="dxa"/>
            <w:vAlign w:val="center"/>
          </w:tcPr>
          <w:p>
            <w:pPr>
              <w:widowControl/>
              <w:jc w:val="center"/>
              <w:rPr>
                <w:b/>
                <w:color w:val="auto"/>
                <w:sz w:val="24"/>
                <w:highlight w:val="none"/>
              </w:rPr>
            </w:pPr>
            <w:r>
              <w:rPr>
                <w:rFonts w:hint="eastAsia"/>
                <w:b/>
                <w:color w:val="auto"/>
                <w:sz w:val="24"/>
                <w:highlight w:val="none"/>
              </w:rPr>
              <w:t>/</w:t>
            </w:r>
          </w:p>
        </w:tc>
        <w:tc>
          <w:tcPr>
            <w:tcW w:w="2230" w:type="dxa"/>
            <w:vAlign w:val="center"/>
          </w:tcPr>
          <w:p>
            <w:pPr>
              <w:widowControl/>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color w:val="auto"/>
                <w:sz w:val="24"/>
                <w:highlight w:val="none"/>
              </w:rPr>
            </w:pPr>
            <w:r>
              <w:rPr>
                <w:rFonts w:hint="eastAsia"/>
                <w:color w:val="auto"/>
                <w:sz w:val="24"/>
                <w:highlight w:val="none"/>
              </w:rPr>
              <w:t>注：</w:t>
            </w:r>
          </w:p>
        </w:tc>
        <w:tc>
          <w:tcPr>
            <w:tcW w:w="13854" w:type="dxa"/>
            <w:gridSpan w:val="9"/>
            <w:vAlign w:val="center"/>
          </w:tcPr>
          <w:p>
            <w:pPr>
              <w:widowControl/>
              <w:rPr>
                <w:color w:val="auto"/>
                <w:sz w:val="24"/>
                <w:highlight w:val="none"/>
              </w:rPr>
            </w:pPr>
            <w:r>
              <w:rPr>
                <w:rFonts w:hint="eastAsia"/>
                <w:color w:val="auto"/>
                <w:sz w:val="24"/>
                <w:highlight w:val="none"/>
              </w:rPr>
              <w:t>1.本通知送货时携带纸质版一式两份，仅做收货凭据，不做为验收合格和结算凭证。</w:t>
            </w:r>
          </w:p>
          <w:p>
            <w:pPr>
              <w:widowControl/>
              <w:rPr>
                <w:color w:val="auto"/>
                <w:sz w:val="24"/>
                <w:highlight w:val="none"/>
              </w:rPr>
            </w:pPr>
            <w:r>
              <w:rPr>
                <w:rFonts w:hint="eastAsia"/>
                <w:color w:val="auto"/>
                <w:sz w:val="24"/>
                <w:highlight w:val="none"/>
              </w:rPr>
              <w:t>2.实收数量栏不能留空，数量为“0”时用“/”表示；“合计”栏中的"实收数量"为必填项。</w:t>
            </w:r>
          </w:p>
          <w:p>
            <w:pPr>
              <w:widowControl/>
              <w:rPr>
                <w:color w:val="auto"/>
                <w:sz w:val="24"/>
                <w:highlight w:val="none"/>
              </w:rPr>
            </w:pPr>
            <w:r>
              <w:rPr>
                <w:rFonts w:hint="eastAsia"/>
                <w:color w:val="auto"/>
                <w:sz w:val="24"/>
                <w:highlight w:val="none"/>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557" w:type="dxa"/>
            <w:gridSpan w:val="10"/>
            <w:vAlign w:val="center"/>
          </w:tcPr>
          <w:p>
            <w:pPr>
              <w:widowControl/>
              <w:rPr>
                <w:color w:val="auto"/>
                <w:sz w:val="24"/>
                <w:highlight w:val="none"/>
              </w:rPr>
            </w:pPr>
            <w:r>
              <w:rPr>
                <w:rFonts w:hint="eastAsia"/>
                <w:color w:val="auto"/>
                <w:sz w:val="24"/>
                <w:highlight w:val="none"/>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557" w:type="dxa"/>
            <w:gridSpan w:val="10"/>
            <w:vAlign w:val="center"/>
          </w:tcPr>
          <w:p>
            <w:pPr>
              <w:widowControl/>
              <w:rPr>
                <w:color w:val="auto"/>
                <w:sz w:val="24"/>
                <w:highlight w:val="none"/>
              </w:rPr>
            </w:pPr>
            <w:r>
              <w:rPr>
                <w:rFonts w:hint="eastAsia"/>
                <w:color w:val="auto"/>
                <w:sz w:val="24"/>
                <w:highlight w:val="none"/>
              </w:rPr>
              <w:t>收货人（签名）：　　　　　　　　　　　　　　　　　　　　　　　　　收货时间：</w:t>
            </w:r>
          </w:p>
        </w:tc>
      </w:tr>
    </w:tbl>
    <w:p>
      <w:pPr>
        <w:pStyle w:val="47"/>
        <w:widowControl/>
        <w:ind w:left="425" w:firstLine="0" w:firstLineChars="0"/>
        <w:jc w:val="left"/>
        <w:rPr>
          <w:color w:val="auto"/>
          <w:sz w:val="24"/>
          <w:highlight w:val="none"/>
        </w:rPr>
      </w:pPr>
    </w:p>
    <w:p>
      <w:pPr>
        <w:pStyle w:val="47"/>
        <w:widowControl/>
        <w:ind w:left="425" w:firstLine="0" w:firstLineChars="0"/>
        <w:jc w:val="left"/>
        <w:rPr>
          <w:color w:val="auto"/>
          <w:sz w:val="24"/>
          <w:highlight w:val="none"/>
        </w:rPr>
      </w:pPr>
    </w:p>
    <w:p>
      <w:pPr>
        <w:pStyle w:val="47"/>
        <w:widowControl/>
        <w:ind w:left="425" w:firstLine="0" w:firstLineChars="0"/>
        <w:jc w:val="left"/>
        <w:rPr>
          <w:color w:val="auto"/>
          <w:sz w:val="24"/>
          <w:highlight w:val="none"/>
        </w:rPr>
      </w:pPr>
    </w:p>
    <w:p>
      <w:pPr>
        <w:ind w:right="902"/>
        <w:jc w:val="right"/>
        <w:rPr>
          <w:rFonts w:ascii="宋体" w:hAnsi="宋体"/>
          <w:color w:val="auto"/>
          <w:sz w:val="24"/>
          <w:szCs w:val="24"/>
          <w:highlight w:val="none"/>
        </w:rPr>
      </w:pPr>
      <w:r>
        <w:rPr>
          <w:rFonts w:hint="eastAsia" w:ascii="宋体" w:hAnsi="宋体"/>
          <w:color w:val="auto"/>
          <w:sz w:val="24"/>
          <w:szCs w:val="24"/>
          <w:highlight w:val="none"/>
        </w:rPr>
        <w:t>南宁轨道交通集团有限责任公司运营分公司物资部(章)</w:t>
      </w:r>
    </w:p>
    <w:p>
      <w:pPr>
        <w:pStyle w:val="47"/>
        <w:widowControl/>
        <w:spacing w:before="100" w:beforeAutospacing="1"/>
        <w:ind w:left="425" w:firstLine="0" w:firstLineChars="0"/>
        <w:jc w:val="center"/>
        <w:rPr>
          <w:color w:val="auto"/>
          <w:sz w:val="24"/>
          <w:highlight w:val="none"/>
        </w:rPr>
        <w:sectPr>
          <w:pgSz w:w="16838" w:h="11906" w:orient="landscape"/>
          <w:pgMar w:top="1134" w:right="1134" w:bottom="851" w:left="1134" w:header="454" w:footer="567" w:gutter="0"/>
          <w:pgNumType w:chapStyle="1"/>
          <w:cols w:space="425" w:num="1"/>
          <w:docGrid w:linePitch="312" w:charSpace="0"/>
        </w:sectPr>
      </w:pPr>
      <w:r>
        <w:rPr>
          <w:rFonts w:hint="eastAsia"/>
          <w:color w:val="auto"/>
          <w:sz w:val="24"/>
          <w:highlight w:val="none"/>
        </w:rPr>
        <w:t>　　　　　　　　　　　　　　　　　　　　　　　通知日期：2018年×月×日</w:t>
      </w:r>
    </w:p>
    <w:p>
      <w:pPr>
        <w:pStyle w:val="47"/>
        <w:numPr>
          <w:ilvl w:val="1"/>
          <w:numId w:val="13"/>
        </w:numPr>
        <w:spacing w:after="120" w:afterLines="50"/>
        <w:ind w:left="600" w:hanging="600" w:hangingChars="250"/>
        <w:rPr>
          <w:rFonts w:ascii="宋体" w:hAnsi="宋体"/>
          <w:color w:val="auto"/>
          <w:sz w:val="24"/>
          <w:highlight w:val="none"/>
        </w:rPr>
      </w:pPr>
      <w:r>
        <w:rPr>
          <w:rFonts w:hint="eastAsia" w:ascii="宋体" w:hAnsi="宋体"/>
          <w:color w:val="auto"/>
          <w:sz w:val="24"/>
          <w:highlight w:val="none"/>
        </w:rPr>
        <w:t>原厂供货证明</w:t>
      </w:r>
    </w:p>
    <w:p>
      <w:pPr>
        <w:pStyle w:val="4"/>
        <w:numPr>
          <w:ilvl w:val="0"/>
          <w:numId w:val="0"/>
        </w:numPr>
        <w:spacing w:before="100" w:beforeAutospacing="1" w:after="100" w:afterAutospacing="1" w:line="240" w:lineRule="auto"/>
        <w:jc w:val="center"/>
        <w:rPr>
          <w:color w:val="auto"/>
          <w:sz w:val="24"/>
          <w:highlight w:val="none"/>
        </w:rPr>
      </w:pPr>
      <w:r>
        <w:rPr>
          <w:rFonts w:hint="eastAsia"/>
          <w:color w:val="auto"/>
          <w:sz w:val="24"/>
          <w:highlight w:val="none"/>
        </w:rPr>
        <w:t>供货证明</w:t>
      </w:r>
    </w:p>
    <w:p>
      <w:pPr>
        <w:spacing w:before="120" w:beforeLines="5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spacing w:before="120" w:beforeLines="50" w:line="360" w:lineRule="auto"/>
        <w:ind w:firstLine="480" w:firstLineChars="200"/>
        <w:jc w:val="left"/>
        <w:rPr>
          <w:rFonts w:ascii="宋体" w:hAnsi="宋体"/>
          <w:color w:val="auto"/>
          <w:sz w:val="24"/>
          <w:highlight w:val="none"/>
        </w:rPr>
      </w:pPr>
      <w:r>
        <w:rPr>
          <w:rFonts w:hint="eastAsia" w:asciiTheme="minorEastAsia" w:hAnsiTheme="minorEastAsia" w:eastAsiaTheme="minorEastAsia"/>
          <w:color w:val="auto"/>
          <w:sz w:val="24"/>
          <w:szCs w:val="24"/>
          <w:highlight w:val="none"/>
        </w:rPr>
        <w:t>兹证明（单位）</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 在贵公司</w:t>
      </w:r>
      <w:r>
        <w:rPr>
          <w:rFonts w:hint="eastAsia" w:asciiTheme="minorEastAsia" w:hAnsiTheme="minorEastAsia" w:eastAsiaTheme="minorEastAsia"/>
          <w:color w:val="auto"/>
          <w:sz w:val="24"/>
          <w:szCs w:val="24"/>
          <w:highlight w:val="none"/>
          <w:u w:val="single"/>
        </w:rPr>
        <w:t>　运营分公司2018年</w:t>
      </w:r>
      <w:r>
        <w:rPr>
          <w:rFonts w:hint="eastAsia" w:asciiTheme="minorEastAsia" w:hAnsiTheme="minorEastAsia" w:eastAsiaTheme="minorEastAsia"/>
          <w:color w:val="auto"/>
          <w:sz w:val="24"/>
          <w:szCs w:val="24"/>
          <w:highlight w:val="none"/>
          <w:u w:val="single"/>
          <w:lang w:eastAsia="zh-CN"/>
        </w:rPr>
        <w:t>设备维修耗材</w:t>
      </w:r>
      <w:r>
        <w:rPr>
          <w:rFonts w:hint="eastAsia" w:asciiTheme="minorEastAsia" w:hAnsiTheme="minorEastAsia" w:eastAsiaTheme="minorEastAsia"/>
          <w:color w:val="auto"/>
          <w:sz w:val="24"/>
          <w:szCs w:val="24"/>
          <w:highlight w:val="none"/>
          <w:u w:val="single"/>
        </w:rPr>
        <w:t>　</w:t>
      </w:r>
      <w:r>
        <w:rPr>
          <w:rFonts w:hint="eastAsia" w:asciiTheme="minorEastAsia" w:hAnsiTheme="minorEastAsia" w:eastAsiaTheme="minorEastAsia"/>
          <w:color w:val="auto"/>
          <w:sz w:val="24"/>
          <w:szCs w:val="24"/>
          <w:highlight w:val="none"/>
        </w:rPr>
        <w:t>采购项目（项目编号：</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eastAsia="zh-CN"/>
        </w:rPr>
        <w:t>YY1/2/3-BX-HC-2018031</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）中，向贵方交付的以下货物为我公司生产(提供)：</w:t>
      </w:r>
    </w:p>
    <w:tbl>
      <w:tblPr>
        <w:tblStyle w:val="39"/>
        <w:tblpPr w:leftFromText="180" w:rightFromText="180" w:vertAnchor="page" w:horzAnchor="margin" w:tblpY="3741"/>
        <w:tblW w:w="9747" w:type="dxa"/>
        <w:tblInd w:w="0" w:type="dxa"/>
        <w:tblLayout w:type="fixed"/>
        <w:tblCellMar>
          <w:top w:w="0" w:type="dxa"/>
          <w:left w:w="108" w:type="dxa"/>
          <w:bottom w:w="0" w:type="dxa"/>
          <w:right w:w="108" w:type="dxa"/>
        </w:tblCellMar>
      </w:tblPr>
      <w:tblGrid>
        <w:gridCol w:w="708"/>
        <w:gridCol w:w="1164"/>
        <w:gridCol w:w="1414"/>
        <w:gridCol w:w="1391"/>
        <w:gridCol w:w="1432"/>
        <w:gridCol w:w="623"/>
        <w:gridCol w:w="1143"/>
        <w:gridCol w:w="1872"/>
      </w:tblGrid>
      <w:tr>
        <w:tblPrEx>
          <w:tblLayout w:type="fixed"/>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cs="宋体"/>
                <w:b/>
                <w:bCs/>
                <w:color w:val="auto"/>
                <w:kern w:val="0"/>
                <w:sz w:val="24"/>
                <w:szCs w:val="24"/>
                <w:highlight w:val="none"/>
              </w:rPr>
            </w:pPr>
            <w:bookmarkStart w:id="136" w:name="_Ref483050879"/>
            <w:bookmarkStart w:id="137" w:name="_Ref483051006"/>
            <w:bookmarkStart w:id="138" w:name="_Ref483051053"/>
            <w:bookmarkStart w:id="139" w:name="_Ref483050990"/>
            <w:bookmarkStart w:id="140" w:name="_Toc437544685"/>
            <w:bookmarkStart w:id="141" w:name="_Ref483050873"/>
            <w:bookmarkStart w:id="142" w:name="_Ref483205842"/>
            <w:bookmarkStart w:id="143" w:name="_Ref483050999"/>
            <w:bookmarkStart w:id="144" w:name="_Ref483050788"/>
            <w:bookmarkStart w:id="145" w:name="_Ref483050884"/>
            <w:bookmarkStart w:id="146" w:name="_Toc437544530"/>
            <w:bookmarkStart w:id="147" w:name="_Ref483205858"/>
            <w:r>
              <w:rPr>
                <w:rFonts w:hint="eastAsia" w:ascii="宋体" w:hAnsi="宋体" w:cs="宋体"/>
                <w:b/>
                <w:bCs/>
                <w:color w:val="auto"/>
                <w:kern w:val="0"/>
                <w:sz w:val="24"/>
                <w:szCs w:val="24"/>
                <w:highlight w:val="none"/>
              </w:rPr>
              <w:t>序号</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计划号</w:t>
            </w:r>
          </w:p>
        </w:tc>
        <w:tc>
          <w:tcPr>
            <w:tcW w:w="14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货物名称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品牌/生产厂</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规格型号/技术参数</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单位</w:t>
            </w:r>
          </w:p>
        </w:tc>
        <w:tc>
          <w:tcPr>
            <w:tcW w:w="11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1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备注</w:t>
            </w: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highlight w:val="none"/>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auto"/>
                <w:kern w:val="0"/>
                <w:sz w:val="24"/>
                <w:szCs w:val="24"/>
                <w:highlight w:val="none"/>
              </w:rPr>
            </w:pPr>
          </w:p>
        </w:tc>
      </w:tr>
      <w:tr>
        <w:tblPrEx>
          <w:tblLayout w:type="fixed"/>
          <w:tblCellMar>
            <w:top w:w="0" w:type="dxa"/>
            <w:left w:w="108" w:type="dxa"/>
            <w:bottom w:w="0" w:type="dxa"/>
            <w:right w:w="108" w:type="dxa"/>
          </w:tblCellMar>
        </w:tblPrEx>
        <w:trPr>
          <w:trHeight w:val="680" w:hRule="atLeast"/>
        </w:trPr>
        <w:tc>
          <w:tcPr>
            <w:tcW w:w="9747" w:type="dxa"/>
            <w:gridSpan w:val="8"/>
            <w:shd w:val="clear" w:color="auto" w:fill="auto"/>
            <w:vAlign w:val="bottom"/>
          </w:tcPr>
          <w:p>
            <w:pPr>
              <w:widowControl/>
              <w:spacing w:line="240" w:lineRule="exac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我单位联系信息：</w:t>
            </w:r>
          </w:p>
        </w:tc>
      </w:tr>
      <w:tr>
        <w:tblPrEx>
          <w:tblLayout w:type="fixed"/>
          <w:tblCellMar>
            <w:top w:w="0" w:type="dxa"/>
            <w:left w:w="108" w:type="dxa"/>
            <w:bottom w:w="0" w:type="dxa"/>
            <w:right w:w="108" w:type="dxa"/>
          </w:tblCellMar>
        </w:tblPrEx>
        <w:trPr>
          <w:trHeight w:val="440" w:hRule="atLeast"/>
        </w:trPr>
        <w:tc>
          <w:tcPr>
            <w:tcW w:w="9747" w:type="dxa"/>
            <w:gridSpan w:val="8"/>
            <w:shd w:val="clear" w:color="auto" w:fill="auto"/>
            <w:vAlign w:val="bottom"/>
          </w:tcPr>
          <w:p>
            <w:pPr>
              <w:widowControl/>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地址：　　　　　　　　　　　　　　　固定电话：</w:t>
            </w:r>
          </w:p>
        </w:tc>
      </w:tr>
      <w:tr>
        <w:tblPrEx>
          <w:tblLayout w:type="fixed"/>
          <w:tblCellMar>
            <w:top w:w="0" w:type="dxa"/>
            <w:left w:w="108" w:type="dxa"/>
            <w:bottom w:w="0" w:type="dxa"/>
            <w:right w:w="108" w:type="dxa"/>
          </w:tblCellMar>
        </w:tblPrEx>
        <w:trPr>
          <w:trHeight w:val="547" w:hRule="atLeast"/>
        </w:trPr>
        <w:tc>
          <w:tcPr>
            <w:tcW w:w="9747" w:type="dxa"/>
            <w:gridSpan w:val="8"/>
            <w:shd w:val="clear" w:color="auto" w:fill="auto"/>
            <w:vAlign w:val="bottom"/>
          </w:tcPr>
          <w:p>
            <w:pPr>
              <w:spacing w:before="120" w:beforeLines="50"/>
              <w:rPr>
                <w:rFonts w:ascii="宋体" w:hAnsi="宋体"/>
                <w:color w:val="auto"/>
                <w:sz w:val="24"/>
                <w:szCs w:val="24"/>
                <w:highlight w:val="none"/>
              </w:rPr>
            </w:pPr>
            <w:r>
              <w:rPr>
                <w:rFonts w:hint="eastAsia" w:ascii="宋体" w:hAnsi="宋体"/>
                <w:color w:val="auto"/>
                <w:sz w:val="24"/>
                <w:szCs w:val="24"/>
                <w:highlight w:val="none"/>
              </w:rPr>
              <w:t>联 系 人：                      　　部门及职务：</w:t>
            </w:r>
          </w:p>
        </w:tc>
      </w:tr>
      <w:tr>
        <w:tblPrEx>
          <w:tblLayout w:type="fixed"/>
          <w:tblCellMar>
            <w:top w:w="0" w:type="dxa"/>
            <w:left w:w="108" w:type="dxa"/>
            <w:bottom w:w="0" w:type="dxa"/>
            <w:right w:w="108" w:type="dxa"/>
          </w:tblCellMar>
        </w:tblPrEx>
        <w:trPr>
          <w:trHeight w:val="441" w:hRule="atLeast"/>
        </w:trPr>
        <w:tc>
          <w:tcPr>
            <w:tcW w:w="9747" w:type="dxa"/>
            <w:gridSpan w:val="8"/>
            <w:shd w:val="clear" w:color="auto" w:fill="auto"/>
            <w:vAlign w:val="bottom"/>
          </w:tcPr>
          <w:p>
            <w:pPr>
              <w:spacing w:before="120" w:beforeLines="50"/>
              <w:rPr>
                <w:rFonts w:ascii="宋体" w:hAnsi="宋体"/>
                <w:color w:val="auto"/>
                <w:sz w:val="24"/>
                <w:szCs w:val="24"/>
                <w:highlight w:val="none"/>
              </w:rPr>
            </w:pPr>
            <w:r>
              <w:rPr>
                <w:rFonts w:hint="eastAsia" w:ascii="宋体" w:hAnsi="宋体"/>
                <w:color w:val="auto"/>
                <w:sz w:val="24"/>
                <w:szCs w:val="24"/>
                <w:highlight w:val="none"/>
              </w:rPr>
              <w:t>联系电话（手机）：               　　其他联系方式：</w:t>
            </w:r>
          </w:p>
        </w:tc>
      </w:tr>
      <w:tr>
        <w:tblPrEx>
          <w:tblLayout w:type="fixed"/>
          <w:tblCellMar>
            <w:top w:w="0" w:type="dxa"/>
            <w:left w:w="108" w:type="dxa"/>
            <w:bottom w:w="0" w:type="dxa"/>
            <w:right w:w="108" w:type="dxa"/>
          </w:tblCellMar>
        </w:tblPrEx>
        <w:trPr>
          <w:trHeight w:val="1550" w:hRule="atLeast"/>
        </w:trPr>
        <w:tc>
          <w:tcPr>
            <w:tcW w:w="9747" w:type="dxa"/>
            <w:gridSpan w:val="8"/>
            <w:shd w:val="clear" w:color="auto" w:fill="auto"/>
            <w:vAlign w:val="center"/>
          </w:tcPr>
          <w:p>
            <w:pPr>
              <w:spacing w:before="120" w:beforeLines="50"/>
              <w:jc w:val="center"/>
              <w:rPr>
                <w:rFonts w:ascii="宋体" w:hAnsi="宋体"/>
                <w:color w:val="auto"/>
                <w:sz w:val="24"/>
                <w:szCs w:val="24"/>
                <w:highlight w:val="none"/>
              </w:rPr>
            </w:pPr>
            <w:r>
              <w:rPr>
                <w:rFonts w:hint="eastAsia" w:ascii="宋体" w:hAnsi="宋体"/>
                <w:color w:val="auto"/>
                <w:sz w:val="24"/>
                <w:szCs w:val="24"/>
                <w:highlight w:val="none"/>
              </w:rPr>
              <w:t>　　　　　单位：（公章）</w:t>
            </w:r>
          </w:p>
          <w:p>
            <w:pPr>
              <w:spacing w:before="120" w:beforeLines="50"/>
              <w:rPr>
                <w:rFonts w:ascii="宋体" w:hAnsi="宋体"/>
                <w:color w:val="auto"/>
                <w:sz w:val="24"/>
                <w:szCs w:val="24"/>
                <w:highlight w:val="none"/>
              </w:rPr>
            </w:pPr>
            <w:r>
              <w:rPr>
                <w:rFonts w:hint="eastAsia" w:ascii="宋体" w:hAnsi="宋体"/>
                <w:color w:val="auto"/>
                <w:sz w:val="24"/>
                <w:szCs w:val="24"/>
                <w:highlight w:val="none"/>
              </w:rPr>
              <w:t xml:space="preserve">                                  　　日期：</w:t>
            </w:r>
          </w:p>
        </w:tc>
      </w:tr>
    </w:tbl>
    <w:p>
      <w:pPr>
        <w:widowControl/>
        <w:jc w:val="left"/>
        <w:rPr>
          <w:rFonts w:ascii="Cambria" w:hAnsi="Cambria"/>
          <w:b/>
          <w:bCs/>
          <w:color w:val="auto"/>
          <w:sz w:val="24"/>
          <w:szCs w:val="32"/>
          <w:highlight w:val="none"/>
          <w:lang w:val="zh-CN"/>
        </w:rPr>
      </w:pPr>
      <w:r>
        <w:rPr>
          <w:rFonts w:ascii="Cambria" w:hAnsi="Cambria"/>
          <w:b/>
          <w:bCs/>
          <w:color w:val="auto"/>
          <w:sz w:val="24"/>
          <w:szCs w:val="32"/>
          <w:highlight w:val="none"/>
          <w:lang w:val="zh-CN"/>
        </w:rPr>
        <w:br w:type="page"/>
      </w:r>
    </w:p>
    <w:p>
      <w:pPr>
        <w:pStyle w:val="33"/>
        <w:numPr>
          <w:ilvl w:val="0"/>
          <w:numId w:val="2"/>
        </w:numPr>
        <w:spacing w:before="100" w:beforeAutospacing="1" w:after="0"/>
        <w:rPr>
          <w:color w:val="auto"/>
          <w:sz w:val="24"/>
          <w:highlight w:val="none"/>
        </w:rPr>
      </w:pPr>
      <w:bookmarkStart w:id="148" w:name="_Ref488050650"/>
      <w:bookmarkStart w:id="149" w:name="_Toc13839"/>
      <w:r>
        <w:rPr>
          <w:rFonts w:hint="eastAsia"/>
          <w:color w:val="auto"/>
          <w:sz w:val="24"/>
          <w:highlight w:val="none"/>
        </w:rPr>
        <w:t>技术及需求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spacing w:before="240" w:beforeLines="100"/>
        <w:rPr>
          <w:b/>
          <w:color w:val="auto"/>
          <w:sz w:val="24"/>
          <w:highlight w:val="none"/>
        </w:rPr>
      </w:pPr>
      <w:r>
        <w:rPr>
          <w:rFonts w:hint="eastAsia"/>
          <w:b/>
          <w:color w:val="auto"/>
          <w:sz w:val="24"/>
          <w:highlight w:val="none"/>
        </w:rPr>
        <w:t>具体需求数量及性能参数等详见附件2：《技术需求及数量表》</w:t>
      </w:r>
    </w:p>
    <w:p>
      <w:pPr>
        <w:ind w:left="482" w:hanging="482" w:hangingChars="200"/>
        <w:jc w:val="left"/>
        <w:rPr>
          <w:rFonts w:ascii="宋体" w:hAnsi="宋体"/>
          <w:b/>
          <w:color w:val="auto"/>
          <w:kern w:val="58"/>
          <w:sz w:val="24"/>
          <w:szCs w:val="20"/>
          <w:highlight w:val="none"/>
        </w:rPr>
      </w:pPr>
    </w:p>
    <w:p>
      <w:pPr>
        <w:ind w:left="482" w:hanging="482" w:hangingChars="200"/>
        <w:jc w:val="left"/>
        <w:rPr>
          <w:rFonts w:ascii="宋体" w:hAnsi="宋体"/>
          <w:b/>
          <w:color w:val="auto"/>
          <w:kern w:val="58"/>
          <w:sz w:val="24"/>
          <w:szCs w:val="20"/>
          <w:highlight w:val="none"/>
        </w:rPr>
      </w:pPr>
      <w:r>
        <w:rPr>
          <w:rFonts w:hint="eastAsia" w:ascii="宋体" w:hAnsi="宋体"/>
          <w:b/>
          <w:color w:val="auto"/>
          <w:kern w:val="58"/>
          <w:sz w:val="24"/>
          <w:szCs w:val="20"/>
          <w:highlight w:val="none"/>
        </w:rPr>
        <w:t>注</w:t>
      </w:r>
      <w:r>
        <w:rPr>
          <w:rFonts w:ascii="宋体" w:hAnsi="宋体"/>
          <w:b/>
          <w:color w:val="auto"/>
          <w:kern w:val="58"/>
          <w:sz w:val="24"/>
          <w:szCs w:val="20"/>
          <w:highlight w:val="none"/>
        </w:rPr>
        <w:t>：</w:t>
      </w:r>
    </w:p>
    <w:p>
      <w:pPr>
        <w:pStyle w:val="47"/>
        <w:numPr>
          <w:ilvl w:val="0"/>
          <w:numId w:val="15"/>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本项目货物的设计、制造必须符合中华人民共和国国家标准和相关行业标准及规定；这些标准必须是有关机构颁布的最新的标准；比选申请人应按国家规定提供相应的产品检验报告和合格证。</w:t>
      </w:r>
    </w:p>
    <w:p>
      <w:pPr>
        <w:pStyle w:val="47"/>
        <w:numPr>
          <w:ilvl w:val="0"/>
          <w:numId w:val="15"/>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比选发起人主动提出，比选发起人不接受任何形式的改装或定制类产品。</w:t>
      </w:r>
    </w:p>
    <w:p>
      <w:pPr>
        <w:pStyle w:val="47"/>
        <w:numPr>
          <w:ilvl w:val="0"/>
          <w:numId w:val="15"/>
        </w:numPr>
        <w:spacing w:before="120" w:beforeLines="50" w:line="360" w:lineRule="auto"/>
        <w:ind w:firstLineChars="0"/>
        <w:jc w:val="left"/>
        <w:rPr>
          <w:rFonts w:ascii="宋体" w:hAnsi="宋体"/>
          <w:color w:val="auto"/>
          <w:kern w:val="58"/>
          <w:sz w:val="24"/>
          <w:szCs w:val="20"/>
          <w:highlight w:val="none"/>
        </w:rPr>
      </w:pPr>
      <w:r>
        <w:rPr>
          <w:rFonts w:hint="eastAsia" w:ascii="宋体" w:hAnsi="宋体"/>
          <w:color w:val="auto"/>
          <w:kern w:val="58"/>
          <w:sz w:val="24"/>
          <w:szCs w:val="20"/>
          <w:highlight w:val="none"/>
        </w:rPr>
        <w:t>比选申请人所报货物的规格参数需与“技术需求及数量表”中的要求完全相符，所报货物的性能参数须等同于或优于“技术需求及数量表”中的要求，所报货物品牌须等同于或优于参考品牌。</w:t>
      </w:r>
    </w:p>
    <w:p>
      <w:pPr>
        <w:pStyle w:val="47"/>
        <w:numPr>
          <w:ilvl w:val="0"/>
          <w:numId w:val="15"/>
        </w:numPr>
        <w:spacing w:before="120" w:beforeLines="50" w:line="360" w:lineRule="auto"/>
        <w:ind w:firstLineChars="0"/>
        <w:jc w:val="left"/>
        <w:rPr>
          <w:rFonts w:hint="eastAsia" w:ascii="宋体" w:hAnsi="宋体" w:eastAsia="宋体"/>
          <w:color w:val="auto"/>
          <w:kern w:val="58"/>
          <w:sz w:val="24"/>
          <w:szCs w:val="20"/>
          <w:highlight w:val="none"/>
          <w:lang w:eastAsia="zh-CN"/>
        </w:rPr>
      </w:pPr>
      <w:r>
        <w:rPr>
          <w:rFonts w:hint="eastAsia" w:ascii="宋体" w:hAnsi="宋体"/>
          <w:color w:val="auto"/>
          <w:kern w:val="58"/>
          <w:sz w:val="24"/>
          <w:szCs w:val="20"/>
          <w:highlight w:val="none"/>
        </w:rPr>
        <w:t>如</w:t>
      </w:r>
      <w:r>
        <w:rPr>
          <w:rFonts w:hint="eastAsia" w:ascii="宋体" w:hAnsi="宋体"/>
          <w:color w:val="auto"/>
          <w:kern w:val="58"/>
          <w:sz w:val="24"/>
          <w:szCs w:val="20"/>
          <w:highlight w:val="none"/>
          <w:lang w:eastAsia="zh-CN"/>
        </w:rPr>
        <w:t>比选申请人</w:t>
      </w:r>
      <w:r>
        <w:rPr>
          <w:rFonts w:hint="eastAsia" w:ascii="宋体" w:hAnsi="宋体"/>
          <w:color w:val="auto"/>
          <w:kern w:val="58"/>
          <w:sz w:val="24"/>
          <w:szCs w:val="20"/>
          <w:highlight w:val="none"/>
        </w:rPr>
        <w:t>在比选申请文件</w:t>
      </w:r>
      <w:r>
        <w:rPr>
          <w:rFonts w:hint="eastAsia" w:ascii="宋体" w:hAnsi="宋体"/>
          <w:color w:val="auto"/>
          <w:kern w:val="58"/>
          <w:sz w:val="24"/>
          <w:szCs w:val="20"/>
          <w:highlight w:val="none"/>
          <w:lang w:eastAsia="zh-CN"/>
        </w:rPr>
        <w:t>中填报</w:t>
      </w:r>
      <w:r>
        <w:rPr>
          <w:rFonts w:hint="eastAsia" w:ascii="宋体" w:hAnsi="宋体"/>
          <w:color w:val="auto"/>
          <w:kern w:val="58"/>
          <w:sz w:val="24"/>
          <w:szCs w:val="20"/>
          <w:highlight w:val="none"/>
        </w:rPr>
        <w:t>的货物</w:t>
      </w:r>
      <w:r>
        <w:rPr>
          <w:rFonts w:hint="eastAsia" w:ascii="宋体" w:hAnsi="宋体"/>
          <w:color w:val="auto"/>
          <w:kern w:val="58"/>
          <w:sz w:val="24"/>
          <w:szCs w:val="20"/>
          <w:highlight w:val="none"/>
          <w:lang w:eastAsia="zh-CN"/>
        </w:rPr>
        <w:t>品牌</w:t>
      </w:r>
      <w:r>
        <w:rPr>
          <w:rFonts w:hint="eastAsia" w:ascii="宋体" w:hAnsi="宋体"/>
          <w:color w:val="auto"/>
          <w:kern w:val="58"/>
          <w:sz w:val="24"/>
          <w:szCs w:val="20"/>
          <w:highlight w:val="none"/>
        </w:rPr>
        <w:t>不是</w:t>
      </w:r>
      <w:r>
        <w:rPr>
          <w:rFonts w:hint="eastAsia" w:ascii="宋体" w:hAnsi="宋体"/>
          <w:color w:val="auto"/>
          <w:kern w:val="58"/>
          <w:sz w:val="24"/>
          <w:szCs w:val="20"/>
          <w:highlight w:val="none"/>
          <w:lang w:eastAsia="zh-CN"/>
        </w:rPr>
        <w:t>比选</w:t>
      </w:r>
      <w:r>
        <w:rPr>
          <w:rFonts w:hint="eastAsia" w:ascii="宋体" w:hAnsi="宋体"/>
          <w:color w:val="auto"/>
          <w:kern w:val="58"/>
          <w:sz w:val="24"/>
          <w:szCs w:val="20"/>
          <w:highlight w:val="none"/>
        </w:rPr>
        <w:t>文件中推荐的参考品牌的，</w:t>
      </w:r>
      <w:r>
        <w:rPr>
          <w:rFonts w:hint="eastAsia" w:ascii="宋体" w:hAnsi="宋体"/>
          <w:color w:val="auto"/>
          <w:kern w:val="58"/>
          <w:sz w:val="24"/>
          <w:szCs w:val="20"/>
          <w:highlight w:val="none"/>
          <w:lang w:eastAsia="zh-CN"/>
        </w:rPr>
        <w:t>中选</w:t>
      </w:r>
      <w:r>
        <w:rPr>
          <w:rFonts w:hint="eastAsia" w:ascii="宋体" w:hAnsi="宋体"/>
          <w:color w:val="auto"/>
          <w:kern w:val="58"/>
          <w:sz w:val="24"/>
          <w:szCs w:val="20"/>
          <w:highlight w:val="none"/>
        </w:rPr>
        <w:t>后</w:t>
      </w:r>
      <w:r>
        <w:rPr>
          <w:rFonts w:hint="eastAsia" w:ascii="宋体" w:hAnsi="宋体"/>
          <w:color w:val="auto"/>
          <w:kern w:val="58"/>
          <w:sz w:val="24"/>
          <w:szCs w:val="20"/>
          <w:highlight w:val="none"/>
          <w:lang w:eastAsia="zh-CN"/>
        </w:rPr>
        <w:t>比选发起人</w:t>
      </w:r>
      <w:r>
        <w:rPr>
          <w:rFonts w:hint="eastAsia" w:ascii="宋体" w:hAnsi="宋体"/>
          <w:color w:val="auto"/>
          <w:kern w:val="58"/>
          <w:sz w:val="24"/>
          <w:szCs w:val="20"/>
          <w:highlight w:val="none"/>
        </w:rPr>
        <w:t>在价格不变的基础上有权要求中</w:t>
      </w:r>
      <w:r>
        <w:rPr>
          <w:rFonts w:hint="eastAsia" w:ascii="宋体" w:hAnsi="宋体"/>
          <w:color w:val="auto"/>
          <w:kern w:val="58"/>
          <w:sz w:val="24"/>
          <w:szCs w:val="20"/>
          <w:highlight w:val="none"/>
          <w:lang w:eastAsia="zh-CN"/>
        </w:rPr>
        <w:t>选人</w:t>
      </w:r>
      <w:r>
        <w:rPr>
          <w:rFonts w:hint="eastAsia" w:ascii="宋体" w:hAnsi="宋体"/>
          <w:color w:val="auto"/>
          <w:kern w:val="58"/>
          <w:sz w:val="24"/>
          <w:szCs w:val="20"/>
          <w:highlight w:val="none"/>
        </w:rPr>
        <w:t>按</w:t>
      </w:r>
      <w:r>
        <w:rPr>
          <w:rFonts w:hint="eastAsia" w:ascii="宋体" w:hAnsi="宋体"/>
          <w:color w:val="auto"/>
          <w:kern w:val="58"/>
          <w:sz w:val="24"/>
          <w:szCs w:val="20"/>
          <w:highlight w:val="none"/>
          <w:lang w:eastAsia="zh-CN"/>
        </w:rPr>
        <w:t>比选</w:t>
      </w:r>
      <w:r>
        <w:rPr>
          <w:rFonts w:hint="eastAsia" w:ascii="宋体" w:hAnsi="宋体"/>
          <w:color w:val="auto"/>
          <w:kern w:val="58"/>
          <w:sz w:val="24"/>
          <w:szCs w:val="20"/>
          <w:highlight w:val="none"/>
        </w:rPr>
        <w:t>文件参考品牌供货；如中</w:t>
      </w:r>
      <w:r>
        <w:rPr>
          <w:rFonts w:hint="eastAsia" w:ascii="宋体" w:hAnsi="宋体"/>
          <w:color w:val="auto"/>
          <w:kern w:val="58"/>
          <w:sz w:val="24"/>
          <w:szCs w:val="20"/>
          <w:highlight w:val="none"/>
          <w:lang w:eastAsia="zh-CN"/>
        </w:rPr>
        <w:t>选人</w:t>
      </w:r>
      <w:r>
        <w:rPr>
          <w:rFonts w:hint="eastAsia" w:ascii="宋体" w:hAnsi="宋体"/>
          <w:color w:val="auto"/>
          <w:kern w:val="58"/>
          <w:sz w:val="24"/>
          <w:szCs w:val="20"/>
          <w:highlight w:val="none"/>
        </w:rPr>
        <w:t>供货货物质量不合格或提供假冒伪劣产品的，</w:t>
      </w:r>
      <w:r>
        <w:rPr>
          <w:rFonts w:hint="eastAsia" w:ascii="宋体" w:hAnsi="宋体"/>
          <w:color w:val="auto"/>
          <w:kern w:val="58"/>
          <w:sz w:val="24"/>
          <w:szCs w:val="20"/>
          <w:highlight w:val="none"/>
          <w:lang w:eastAsia="zh-CN"/>
        </w:rPr>
        <w:t>比选发起人</w:t>
      </w:r>
      <w:r>
        <w:rPr>
          <w:rFonts w:hint="eastAsia" w:ascii="宋体" w:hAnsi="宋体"/>
          <w:color w:val="auto"/>
          <w:kern w:val="58"/>
          <w:sz w:val="24"/>
          <w:szCs w:val="20"/>
          <w:highlight w:val="none"/>
        </w:rPr>
        <w:t>将依法追究其法律责任。</w:t>
      </w:r>
    </w:p>
    <w:p>
      <w:pPr>
        <w:pStyle w:val="47"/>
        <w:numPr>
          <w:ilvl w:val="0"/>
          <w:numId w:val="15"/>
        </w:numPr>
        <w:spacing w:before="120" w:beforeLines="50" w:line="360" w:lineRule="auto"/>
        <w:ind w:left="480" w:hanging="480" w:hangingChars="200"/>
        <w:jc w:val="left"/>
        <w:rPr>
          <w:rFonts w:ascii="宋体" w:hAnsi="宋体"/>
          <w:color w:val="auto"/>
          <w:kern w:val="58"/>
          <w:sz w:val="24"/>
          <w:szCs w:val="20"/>
          <w:highlight w:val="none"/>
        </w:rPr>
      </w:pPr>
      <w:r>
        <w:rPr>
          <w:rFonts w:hint="eastAsia" w:ascii="宋体" w:hAnsi="宋体"/>
          <w:color w:val="auto"/>
          <w:kern w:val="58"/>
          <w:sz w:val="24"/>
          <w:szCs w:val="20"/>
          <w:highlight w:val="none"/>
        </w:rPr>
        <w:t>本比选文件所使用的标准如与比选申请人所执行的标准发生矛盾时，按较高标准执行，同时比选申请人应在比选申请文件中加以注明，并附上引用较高标准造成成本及报价差异说明。</w:t>
      </w:r>
      <w:bookmarkStart w:id="150" w:name="_Toc392862508"/>
      <w:r>
        <w:rPr>
          <w:rFonts w:ascii="宋体" w:hAnsi="宋体"/>
          <w:b/>
          <w:color w:val="auto"/>
          <w:kern w:val="58"/>
          <w:sz w:val="24"/>
          <w:szCs w:val="20"/>
          <w:highlight w:val="none"/>
        </w:rPr>
        <w:br w:type="page"/>
      </w:r>
    </w:p>
    <w:p>
      <w:pPr>
        <w:pStyle w:val="33"/>
        <w:numPr>
          <w:ilvl w:val="0"/>
          <w:numId w:val="2"/>
        </w:numPr>
        <w:spacing w:before="100" w:beforeAutospacing="1" w:after="0"/>
        <w:rPr>
          <w:color w:val="auto"/>
          <w:sz w:val="24"/>
          <w:highlight w:val="none"/>
        </w:rPr>
      </w:pPr>
      <w:bookmarkStart w:id="151" w:name="_Toc437544686"/>
      <w:bookmarkStart w:id="152" w:name="_Ref483054481"/>
      <w:bookmarkStart w:id="153" w:name="_Toc437544531"/>
      <w:bookmarkStart w:id="154" w:name="_Ref483054490"/>
      <w:bookmarkStart w:id="155" w:name="_Toc27366"/>
      <w:r>
        <w:rPr>
          <w:rFonts w:hint="eastAsia"/>
          <w:color w:val="auto"/>
          <w:sz w:val="24"/>
          <w:highlight w:val="none"/>
        </w:rPr>
        <w:t>评审细则</w:t>
      </w:r>
      <w:bookmarkEnd w:id="150"/>
      <w:bookmarkEnd w:id="151"/>
      <w:bookmarkEnd w:id="152"/>
      <w:bookmarkEnd w:id="153"/>
      <w:bookmarkEnd w:id="154"/>
      <w:bookmarkEnd w:id="155"/>
    </w:p>
    <w:p>
      <w:pPr>
        <w:pStyle w:val="47"/>
        <w:numPr>
          <w:ilvl w:val="0"/>
          <w:numId w:val="16"/>
        </w:numPr>
        <w:autoSpaceDE w:val="0"/>
        <w:autoSpaceDN w:val="0"/>
        <w:adjustRightInd w:val="0"/>
        <w:spacing w:before="120" w:beforeLines="50" w:line="400" w:lineRule="exact"/>
        <w:ind w:firstLineChars="0"/>
        <w:rPr>
          <w:rFonts w:ascii="宋体" w:hAnsi="宋体"/>
          <w:color w:val="auto"/>
          <w:kern w:val="0"/>
          <w:sz w:val="24"/>
          <w:highlight w:val="none"/>
        </w:rPr>
      </w:pPr>
      <w:r>
        <w:rPr>
          <w:rFonts w:hint="eastAsia" w:ascii="宋体" w:hAnsi="宋体"/>
          <w:color w:val="auto"/>
          <w:kern w:val="0"/>
          <w:sz w:val="24"/>
          <w:highlight w:val="none"/>
        </w:rPr>
        <w:t>资格评审：评审小组按照比选文件的要求，对比选申请文件进行资格审查；只有通过资格审查的方可进入技术评审。</w:t>
      </w:r>
    </w:p>
    <w:p>
      <w:pPr>
        <w:pStyle w:val="47"/>
        <w:numPr>
          <w:ilvl w:val="0"/>
          <w:numId w:val="16"/>
        </w:numPr>
        <w:autoSpaceDE w:val="0"/>
        <w:autoSpaceDN w:val="0"/>
        <w:adjustRightInd w:val="0"/>
        <w:spacing w:before="120" w:beforeLines="50" w:line="400" w:lineRule="exact"/>
        <w:ind w:left="480" w:hanging="480" w:hangingChars="200"/>
        <w:rPr>
          <w:rFonts w:ascii="宋体" w:hAnsi="宋体"/>
          <w:color w:val="auto"/>
          <w:kern w:val="0"/>
          <w:sz w:val="24"/>
          <w:highlight w:val="none"/>
        </w:rPr>
      </w:pPr>
      <w:r>
        <w:rPr>
          <w:rFonts w:hint="eastAsia" w:ascii="宋体" w:hAnsi="宋体"/>
          <w:color w:val="auto"/>
          <w:kern w:val="0"/>
          <w:sz w:val="24"/>
          <w:highlight w:val="none"/>
        </w:rPr>
        <w:t>技术评审：评审小组按照比选文件的要求，对比选申请文件的技术内容进行评审；只有通过技术评审的方可进入商务评审。</w:t>
      </w:r>
    </w:p>
    <w:p>
      <w:pPr>
        <w:pStyle w:val="47"/>
        <w:numPr>
          <w:ilvl w:val="0"/>
          <w:numId w:val="16"/>
        </w:numPr>
        <w:autoSpaceDE w:val="0"/>
        <w:autoSpaceDN w:val="0"/>
        <w:adjustRightInd w:val="0"/>
        <w:spacing w:before="120" w:beforeLines="50" w:line="400" w:lineRule="exact"/>
        <w:ind w:firstLineChars="0"/>
        <w:rPr>
          <w:rFonts w:ascii="宋体" w:hAnsi="宋体"/>
          <w:color w:val="auto"/>
          <w:kern w:val="0"/>
          <w:sz w:val="24"/>
          <w:highlight w:val="none"/>
        </w:rPr>
      </w:pPr>
      <w:r>
        <w:rPr>
          <w:rFonts w:hint="eastAsia" w:ascii="宋体" w:hAnsi="宋体"/>
          <w:color w:val="auto"/>
          <w:kern w:val="0"/>
          <w:sz w:val="24"/>
          <w:highlight w:val="none"/>
        </w:rPr>
        <w:t>商务评审：商务评审以评审价格为依据，评审价格在比选申请文件《商务部分》报价（即“商务报价”）的基础上按下列规则修正。</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若</w:t>
      </w:r>
      <w:r>
        <w:rPr>
          <w:rFonts w:ascii="宋体" w:hAnsi="宋体"/>
          <w:color w:val="auto"/>
          <w:kern w:val="0"/>
          <w:sz w:val="24"/>
          <w:highlight w:val="none"/>
        </w:rPr>
        <w:t>数字表示的</w:t>
      </w:r>
      <w:r>
        <w:rPr>
          <w:rFonts w:hint="eastAsia" w:ascii="宋体" w:hAnsi="宋体"/>
          <w:color w:val="auto"/>
          <w:kern w:val="0"/>
          <w:sz w:val="24"/>
          <w:highlight w:val="none"/>
        </w:rPr>
        <w:t>数值与</w:t>
      </w:r>
      <w:r>
        <w:rPr>
          <w:rFonts w:ascii="宋体" w:hAnsi="宋体"/>
          <w:color w:val="auto"/>
          <w:kern w:val="0"/>
          <w:sz w:val="24"/>
          <w:highlight w:val="none"/>
        </w:rPr>
        <w:t>用文字表示的</w:t>
      </w:r>
      <w:r>
        <w:rPr>
          <w:rFonts w:hint="eastAsia" w:ascii="宋体" w:hAnsi="宋体"/>
          <w:color w:val="auto"/>
          <w:kern w:val="0"/>
          <w:sz w:val="24"/>
          <w:highlight w:val="none"/>
        </w:rPr>
        <w:t>数值</w:t>
      </w:r>
      <w:r>
        <w:rPr>
          <w:rFonts w:ascii="宋体" w:hAnsi="宋体"/>
          <w:color w:val="auto"/>
          <w:kern w:val="0"/>
          <w:sz w:val="24"/>
          <w:highlight w:val="none"/>
        </w:rPr>
        <w:t>不一致，以文字表示的</w:t>
      </w:r>
      <w:r>
        <w:rPr>
          <w:rFonts w:hint="eastAsia" w:ascii="宋体" w:hAnsi="宋体"/>
          <w:color w:val="auto"/>
          <w:kern w:val="0"/>
          <w:sz w:val="24"/>
          <w:highlight w:val="none"/>
        </w:rPr>
        <w:t>数值</w:t>
      </w:r>
      <w:r>
        <w:rPr>
          <w:rFonts w:ascii="宋体" w:hAnsi="宋体"/>
          <w:color w:val="auto"/>
          <w:kern w:val="0"/>
          <w:sz w:val="24"/>
          <w:highlight w:val="none"/>
        </w:rPr>
        <w:t>为准</w:t>
      </w:r>
      <w:r>
        <w:rPr>
          <w:rFonts w:hint="eastAsia" w:ascii="宋体" w:hAnsi="宋体"/>
          <w:color w:val="auto"/>
          <w:kern w:val="0"/>
          <w:sz w:val="24"/>
          <w:highlight w:val="none"/>
        </w:rPr>
        <w:t>；</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若</w:t>
      </w:r>
      <w:r>
        <w:rPr>
          <w:rFonts w:ascii="宋体" w:hAnsi="宋体"/>
          <w:color w:val="auto"/>
          <w:kern w:val="0"/>
          <w:sz w:val="24"/>
          <w:highlight w:val="none"/>
        </w:rPr>
        <w:t>单价与数量的乘积与合价不一致，以</w:t>
      </w:r>
      <w:r>
        <w:rPr>
          <w:rFonts w:hint="eastAsia" w:ascii="宋体" w:hAnsi="宋体"/>
          <w:color w:val="auto"/>
          <w:kern w:val="0"/>
          <w:sz w:val="24"/>
          <w:highlight w:val="none"/>
        </w:rPr>
        <w:t>单价为准修改</w:t>
      </w:r>
      <w:r>
        <w:rPr>
          <w:rFonts w:ascii="宋体" w:hAnsi="宋体"/>
          <w:color w:val="auto"/>
          <w:kern w:val="0"/>
          <w:sz w:val="24"/>
          <w:highlight w:val="none"/>
        </w:rPr>
        <w:t>合价</w:t>
      </w:r>
      <w:r>
        <w:rPr>
          <w:rFonts w:hint="eastAsia" w:ascii="宋体" w:hAnsi="宋体"/>
          <w:color w:val="auto"/>
          <w:kern w:val="0"/>
          <w:sz w:val="24"/>
          <w:highlight w:val="none"/>
        </w:rPr>
        <w:t>，但单价金额小数点有明显错误的除外</w:t>
      </w:r>
      <w:r>
        <w:rPr>
          <w:rFonts w:ascii="宋体" w:hAnsi="宋体"/>
          <w:color w:val="auto"/>
          <w:kern w:val="0"/>
          <w:sz w:val="24"/>
          <w:highlight w:val="none"/>
        </w:rPr>
        <w:t>；</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若以</w:t>
      </w:r>
      <w:r>
        <w:rPr>
          <w:rFonts w:ascii="宋体" w:hAnsi="宋体"/>
          <w:color w:val="auto"/>
          <w:kern w:val="0"/>
          <w:sz w:val="24"/>
          <w:highlight w:val="none"/>
        </w:rPr>
        <w:t>合价</w:t>
      </w:r>
      <w:r>
        <w:rPr>
          <w:rFonts w:hint="eastAsia" w:ascii="宋体" w:hAnsi="宋体"/>
          <w:color w:val="auto"/>
          <w:kern w:val="0"/>
          <w:sz w:val="24"/>
          <w:highlight w:val="none"/>
        </w:rPr>
        <w:t>计算的结果</w:t>
      </w:r>
      <w:r>
        <w:rPr>
          <w:rFonts w:ascii="宋体" w:hAnsi="宋体"/>
          <w:color w:val="auto"/>
          <w:kern w:val="0"/>
          <w:sz w:val="24"/>
          <w:highlight w:val="none"/>
        </w:rPr>
        <w:t>与</w:t>
      </w:r>
      <w:r>
        <w:rPr>
          <w:rFonts w:hint="eastAsia" w:ascii="宋体" w:hAnsi="宋体"/>
          <w:color w:val="auto"/>
          <w:kern w:val="0"/>
          <w:sz w:val="24"/>
          <w:highlight w:val="none"/>
        </w:rPr>
        <w:t>总价</w:t>
      </w:r>
      <w:r>
        <w:rPr>
          <w:rFonts w:ascii="宋体" w:hAnsi="宋体"/>
          <w:color w:val="auto"/>
          <w:kern w:val="0"/>
          <w:sz w:val="24"/>
          <w:highlight w:val="none"/>
        </w:rPr>
        <w:t>不一致，以</w:t>
      </w:r>
      <w:r>
        <w:rPr>
          <w:rFonts w:hint="eastAsia" w:ascii="宋体" w:hAnsi="宋体"/>
          <w:color w:val="auto"/>
          <w:kern w:val="0"/>
          <w:sz w:val="24"/>
          <w:highlight w:val="none"/>
        </w:rPr>
        <w:t>合价为准修改总价；</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漏项报价视为已包含在总价，不能修改单价、数量及合价等内容；</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修正后的总价若高于商务报价，则评审价以修正后的总价为准，中选价以商务报价为准；修正后的总价若低于商务报价，则评审价以商务报价为准，中选价以修正后的总价为准；</w:t>
      </w:r>
    </w:p>
    <w:p>
      <w:pPr>
        <w:pStyle w:val="47"/>
        <w:numPr>
          <w:ilvl w:val="1"/>
          <w:numId w:val="16"/>
        </w:numPr>
        <w:autoSpaceDE w:val="0"/>
        <w:autoSpaceDN w:val="0"/>
        <w:adjustRightInd w:val="0"/>
        <w:spacing w:before="120" w:beforeLines="50"/>
        <w:ind w:firstLineChars="0"/>
        <w:rPr>
          <w:rFonts w:ascii="宋体" w:hAnsi="宋体"/>
          <w:color w:val="auto"/>
          <w:kern w:val="0"/>
          <w:sz w:val="24"/>
          <w:highlight w:val="none"/>
        </w:rPr>
      </w:pPr>
      <w:r>
        <w:rPr>
          <w:rFonts w:hint="eastAsia" w:ascii="宋体" w:hAnsi="宋体"/>
          <w:color w:val="auto"/>
          <w:kern w:val="0"/>
          <w:sz w:val="24"/>
          <w:highlight w:val="none"/>
        </w:rPr>
        <w:t>比选申请人若不接受以上规则，则其商务报价按无效报价处理。</w:t>
      </w:r>
    </w:p>
    <w:p>
      <w:pPr>
        <w:pStyle w:val="47"/>
        <w:numPr>
          <w:ilvl w:val="0"/>
          <w:numId w:val="16"/>
        </w:numPr>
        <w:autoSpaceDE w:val="0"/>
        <w:autoSpaceDN w:val="0"/>
        <w:adjustRightInd w:val="0"/>
        <w:spacing w:before="120" w:beforeLines="50" w:line="400" w:lineRule="exact"/>
        <w:ind w:left="480" w:hanging="480" w:hangingChars="200"/>
        <w:rPr>
          <w:rFonts w:ascii="宋体" w:hAnsi="宋体"/>
          <w:color w:val="auto"/>
          <w:kern w:val="0"/>
          <w:sz w:val="24"/>
          <w:highlight w:val="none"/>
        </w:rPr>
      </w:pPr>
      <w:r>
        <w:rPr>
          <w:rFonts w:ascii="宋体" w:hAnsi="宋体"/>
          <w:color w:val="auto"/>
          <w:kern w:val="0"/>
          <w:sz w:val="24"/>
          <w:highlight w:val="none"/>
        </w:rPr>
        <w:t>评</w:t>
      </w:r>
      <w:r>
        <w:rPr>
          <w:rFonts w:hint="eastAsia" w:ascii="宋体" w:hAnsi="宋体"/>
          <w:color w:val="auto"/>
          <w:kern w:val="0"/>
          <w:sz w:val="24"/>
          <w:highlight w:val="none"/>
        </w:rPr>
        <w:t>审</w:t>
      </w:r>
      <w:r>
        <w:rPr>
          <w:rFonts w:ascii="宋体" w:hAnsi="宋体"/>
          <w:color w:val="auto"/>
          <w:kern w:val="0"/>
          <w:sz w:val="24"/>
          <w:highlight w:val="none"/>
        </w:rPr>
        <w:t>期间不接受任何</w:t>
      </w:r>
      <w:r>
        <w:rPr>
          <w:rFonts w:hint="eastAsia" w:ascii="宋体" w:hAnsi="宋体"/>
          <w:color w:val="auto"/>
          <w:kern w:val="0"/>
          <w:sz w:val="24"/>
          <w:highlight w:val="none"/>
        </w:rPr>
        <w:t>比选申请人</w:t>
      </w:r>
      <w:r>
        <w:rPr>
          <w:rFonts w:ascii="宋体" w:hAnsi="宋体"/>
          <w:color w:val="auto"/>
          <w:kern w:val="0"/>
          <w:sz w:val="24"/>
          <w:highlight w:val="none"/>
        </w:rPr>
        <w:t>主动提出的对单价、合价</w:t>
      </w:r>
      <w:r>
        <w:rPr>
          <w:rFonts w:hint="eastAsia" w:ascii="宋体" w:hAnsi="宋体"/>
          <w:color w:val="auto"/>
          <w:kern w:val="0"/>
          <w:sz w:val="24"/>
          <w:highlight w:val="none"/>
        </w:rPr>
        <w:t>及总价</w:t>
      </w:r>
      <w:r>
        <w:rPr>
          <w:rFonts w:ascii="宋体" w:hAnsi="宋体"/>
          <w:color w:val="auto"/>
          <w:kern w:val="0"/>
          <w:sz w:val="24"/>
          <w:highlight w:val="none"/>
        </w:rPr>
        <w:t>的</w:t>
      </w:r>
      <w:r>
        <w:rPr>
          <w:rFonts w:hint="eastAsia" w:ascii="宋体" w:hAnsi="宋体"/>
          <w:color w:val="auto"/>
          <w:kern w:val="0"/>
          <w:sz w:val="24"/>
          <w:highlight w:val="none"/>
        </w:rPr>
        <w:t>调</w:t>
      </w:r>
      <w:r>
        <w:rPr>
          <w:rFonts w:ascii="宋体" w:hAnsi="宋体"/>
          <w:color w:val="auto"/>
          <w:kern w:val="0"/>
          <w:sz w:val="24"/>
          <w:highlight w:val="none"/>
        </w:rPr>
        <w:t>整</w:t>
      </w:r>
      <w:r>
        <w:rPr>
          <w:rFonts w:hint="eastAsia" w:ascii="宋体" w:hAnsi="宋体"/>
          <w:color w:val="auto"/>
          <w:kern w:val="0"/>
          <w:sz w:val="24"/>
          <w:highlight w:val="none"/>
        </w:rPr>
        <w:t>。</w:t>
      </w:r>
    </w:p>
    <w:p>
      <w:pPr>
        <w:pStyle w:val="47"/>
        <w:numPr>
          <w:ilvl w:val="0"/>
          <w:numId w:val="16"/>
        </w:numPr>
        <w:autoSpaceDE w:val="0"/>
        <w:autoSpaceDN w:val="0"/>
        <w:adjustRightInd w:val="0"/>
        <w:spacing w:before="120" w:beforeLines="50" w:line="400" w:lineRule="exact"/>
        <w:ind w:left="480" w:hanging="480" w:hangingChars="200"/>
        <w:rPr>
          <w:rFonts w:ascii="宋体" w:hAnsi="宋体"/>
          <w:color w:val="auto"/>
          <w:kern w:val="0"/>
          <w:sz w:val="24"/>
          <w:highlight w:val="none"/>
        </w:rPr>
      </w:pPr>
      <w:r>
        <w:rPr>
          <w:rFonts w:hint="eastAsia" w:ascii="宋体" w:hAnsi="宋体"/>
          <w:color w:val="auto"/>
          <w:kern w:val="0"/>
          <w:sz w:val="24"/>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auto"/>
          <w:kern w:val="0"/>
          <w:sz w:val="24"/>
          <w:highlight w:val="none"/>
        </w:rPr>
        <w:t>对</w:t>
      </w:r>
      <w:r>
        <w:rPr>
          <w:rFonts w:hint="eastAsia" w:ascii="宋体" w:hAnsi="宋体"/>
          <w:color w:val="auto"/>
          <w:kern w:val="0"/>
          <w:sz w:val="24"/>
          <w:highlight w:val="none"/>
        </w:rPr>
        <w:t>比选申请人</w:t>
      </w:r>
      <w:r>
        <w:rPr>
          <w:rFonts w:ascii="宋体" w:hAnsi="宋体"/>
          <w:color w:val="auto"/>
          <w:kern w:val="0"/>
          <w:sz w:val="24"/>
          <w:highlight w:val="none"/>
        </w:rPr>
        <w:t>提交的澄清、说明或补正有疑问的，可以要求</w:t>
      </w:r>
      <w:r>
        <w:rPr>
          <w:rFonts w:hint="eastAsia" w:ascii="宋体" w:hAnsi="宋体"/>
          <w:color w:val="auto"/>
          <w:kern w:val="0"/>
          <w:sz w:val="24"/>
          <w:highlight w:val="none"/>
        </w:rPr>
        <w:t>比选申请人</w:t>
      </w:r>
      <w:r>
        <w:rPr>
          <w:rFonts w:ascii="宋体" w:hAnsi="宋体"/>
          <w:color w:val="auto"/>
          <w:kern w:val="0"/>
          <w:sz w:val="24"/>
          <w:highlight w:val="none"/>
        </w:rPr>
        <w:t>进一步澄清、说明或补正，直至满足</w:t>
      </w:r>
      <w:r>
        <w:rPr>
          <w:rFonts w:hint="eastAsia" w:ascii="宋体" w:hAnsi="宋体"/>
          <w:color w:val="auto"/>
          <w:kern w:val="0"/>
          <w:sz w:val="24"/>
          <w:highlight w:val="none"/>
        </w:rPr>
        <w:t>评审小组</w:t>
      </w:r>
      <w:r>
        <w:rPr>
          <w:rFonts w:ascii="宋体" w:hAnsi="宋体"/>
          <w:color w:val="auto"/>
          <w:kern w:val="0"/>
          <w:sz w:val="24"/>
          <w:highlight w:val="none"/>
        </w:rPr>
        <w:t>的要求。</w:t>
      </w:r>
      <w:r>
        <w:rPr>
          <w:rFonts w:hint="eastAsia" w:ascii="宋体" w:hAnsi="宋体"/>
          <w:color w:val="auto"/>
          <w:kern w:val="0"/>
          <w:sz w:val="24"/>
          <w:highlight w:val="none"/>
        </w:rPr>
        <w:t>如</w:t>
      </w:r>
      <w:r>
        <w:rPr>
          <w:rFonts w:ascii="宋体" w:hAnsi="宋体"/>
          <w:color w:val="auto"/>
          <w:kern w:val="0"/>
          <w:sz w:val="24"/>
          <w:highlight w:val="none"/>
        </w:rPr>
        <w:t>比选申请人拒绝接受</w:t>
      </w:r>
      <w:r>
        <w:rPr>
          <w:rFonts w:hint="eastAsia" w:ascii="宋体" w:hAnsi="宋体"/>
          <w:color w:val="auto"/>
          <w:kern w:val="0"/>
          <w:sz w:val="24"/>
          <w:highlight w:val="none"/>
        </w:rPr>
        <w:t>或不能在评审小组规定的时间内接受</w:t>
      </w:r>
      <w:r>
        <w:rPr>
          <w:rFonts w:ascii="宋体" w:hAnsi="宋体"/>
          <w:color w:val="auto"/>
          <w:kern w:val="0"/>
          <w:sz w:val="24"/>
          <w:highlight w:val="none"/>
        </w:rPr>
        <w:t>澄清、说明或补正，</w:t>
      </w:r>
      <w:r>
        <w:rPr>
          <w:rFonts w:hint="eastAsia" w:ascii="宋体" w:hAnsi="宋体"/>
          <w:color w:val="auto"/>
          <w:kern w:val="0"/>
          <w:sz w:val="24"/>
          <w:highlight w:val="none"/>
        </w:rPr>
        <w:t>由评审小组做出处理意见。</w:t>
      </w:r>
    </w:p>
    <w:p>
      <w:pPr>
        <w:pStyle w:val="47"/>
        <w:numPr>
          <w:ilvl w:val="0"/>
          <w:numId w:val="16"/>
        </w:numPr>
        <w:autoSpaceDE w:val="0"/>
        <w:autoSpaceDN w:val="0"/>
        <w:adjustRightInd w:val="0"/>
        <w:spacing w:before="120" w:beforeLines="50" w:line="400" w:lineRule="exact"/>
        <w:ind w:left="480" w:hanging="480" w:hangingChars="200"/>
        <w:rPr>
          <w:rFonts w:ascii="宋体" w:hAnsi="宋体"/>
          <w:color w:val="auto"/>
          <w:kern w:val="0"/>
          <w:sz w:val="24"/>
          <w:highlight w:val="none"/>
        </w:rPr>
      </w:pPr>
      <w:r>
        <w:rPr>
          <w:rFonts w:hint="eastAsia" w:ascii="宋体" w:hAnsi="宋体"/>
          <w:color w:val="auto"/>
          <w:kern w:val="0"/>
          <w:sz w:val="24"/>
          <w:highlight w:val="none"/>
        </w:rPr>
        <w:t>评比办法：评审小组对通过资格、技术及商务评审的比选申请人的</w:t>
      </w:r>
      <w:r>
        <w:rPr>
          <w:rFonts w:hint="eastAsia" w:ascii="宋体" w:hAnsi="宋体"/>
          <w:color w:val="auto"/>
          <w:szCs w:val="21"/>
          <w:highlight w:val="none"/>
        </w:rPr>
        <w:t>总价</w:t>
      </w:r>
      <w:r>
        <w:rPr>
          <w:rFonts w:hint="eastAsia" w:ascii="宋体" w:hAnsi="宋体"/>
          <w:color w:val="auto"/>
          <w:szCs w:val="21"/>
          <w:highlight w:val="none"/>
          <w:lang w:eastAsia="zh-CN"/>
        </w:rPr>
        <w:t>（即不含税总价，下同）</w:t>
      </w:r>
      <w:r>
        <w:rPr>
          <w:rFonts w:hint="eastAsia" w:ascii="宋体" w:hAnsi="宋体"/>
          <w:color w:val="auto"/>
          <w:kern w:val="0"/>
          <w:sz w:val="24"/>
          <w:highlight w:val="none"/>
        </w:rPr>
        <w:t>由低到高进行排序，总价最低的排名第一（总价相同时，交货期较短者排名在前；交货期也相同时，质保期较长者排名在前；质保期也相同时，性能参数较优者排名在前），以此类推，评审小组推荐排名第一的为中选供应商。</w:t>
      </w:r>
    </w:p>
    <w:p>
      <w:pPr>
        <w:pStyle w:val="47"/>
        <w:numPr>
          <w:ilvl w:val="0"/>
          <w:numId w:val="16"/>
        </w:numPr>
        <w:autoSpaceDE w:val="0"/>
        <w:autoSpaceDN w:val="0"/>
        <w:adjustRightInd w:val="0"/>
        <w:spacing w:before="120" w:beforeLines="50" w:line="400" w:lineRule="exact"/>
        <w:ind w:firstLineChars="0"/>
        <w:rPr>
          <w:rFonts w:ascii="宋体" w:hAnsi="宋体"/>
          <w:color w:val="auto"/>
          <w:kern w:val="0"/>
          <w:sz w:val="24"/>
          <w:highlight w:val="none"/>
        </w:rPr>
      </w:pPr>
      <w:r>
        <w:rPr>
          <w:rFonts w:hint="eastAsia" w:ascii="宋体" w:hAnsi="宋体"/>
          <w:color w:val="auto"/>
          <w:kern w:val="0"/>
          <w:sz w:val="24"/>
          <w:highlight w:val="none"/>
        </w:rPr>
        <w:t>其它未尽事宜，由评审小组审议确定；评审小组如意见不一致时，通过记名投票方式以少数服从多数原则确定。</w:t>
      </w:r>
    </w:p>
    <w:p>
      <w:pPr>
        <w:widowControl/>
        <w:jc w:val="left"/>
        <w:rPr>
          <w:rFonts w:ascii="宋体" w:hAnsi="宋体"/>
          <w:color w:val="auto"/>
          <w:sz w:val="24"/>
          <w:szCs w:val="24"/>
          <w:highlight w:val="none"/>
        </w:rPr>
        <w:sectPr>
          <w:pgSz w:w="11906" w:h="16838"/>
          <w:pgMar w:top="1134" w:right="851" w:bottom="1134" w:left="1134" w:header="454" w:footer="567" w:gutter="0"/>
          <w:pgNumType w:chapStyle="1"/>
          <w:cols w:space="425" w:num="1"/>
          <w:docGrid w:linePitch="312" w:charSpace="0"/>
        </w:sectPr>
      </w:pPr>
      <w:bookmarkStart w:id="156" w:name="_Toc392862509"/>
      <w:bookmarkStart w:id="157" w:name="_Toc437544687"/>
      <w:bookmarkStart w:id="158" w:name="_Toc437544532"/>
      <w:r>
        <w:rPr>
          <w:rFonts w:asciiTheme="majorEastAsia" w:hAnsiTheme="majorEastAsia" w:eastAsiaTheme="majorEastAsia"/>
          <w:color w:val="auto"/>
          <w:sz w:val="24"/>
          <w:highlight w:val="none"/>
        </w:rPr>
        <w:br w:type="page"/>
      </w:r>
    </w:p>
    <w:p>
      <w:pPr>
        <w:pStyle w:val="33"/>
        <w:numPr>
          <w:ilvl w:val="0"/>
          <w:numId w:val="2"/>
        </w:numPr>
        <w:spacing w:before="100" w:beforeAutospacing="1" w:after="0"/>
        <w:rPr>
          <w:color w:val="auto"/>
          <w:sz w:val="24"/>
          <w:highlight w:val="none"/>
        </w:rPr>
      </w:pPr>
      <w:bookmarkStart w:id="159" w:name="_Ref488050446"/>
      <w:bookmarkStart w:id="160" w:name="_Toc32488"/>
      <w:r>
        <w:rPr>
          <w:rFonts w:hint="eastAsia"/>
          <w:color w:val="auto"/>
          <w:sz w:val="24"/>
          <w:highlight w:val="none"/>
        </w:rPr>
        <w:t>合同正文（格式）</w:t>
      </w:r>
      <w:bookmarkEnd w:id="156"/>
      <w:bookmarkEnd w:id="157"/>
      <w:bookmarkEnd w:id="158"/>
      <w:bookmarkEnd w:id="159"/>
      <w:bookmarkEnd w:id="160"/>
    </w:p>
    <w:p>
      <w:pPr>
        <w:rPr>
          <w:color w:val="auto"/>
          <w:highlight w:val="none"/>
          <w:lang w:val="zh-CN"/>
        </w:rPr>
      </w:pPr>
    </w:p>
    <w:tbl>
      <w:tblPr>
        <w:tblStyle w:val="40"/>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bl>
    <w:p>
      <w:pPr>
        <w:pStyle w:val="3"/>
        <w:numPr>
          <w:ilvl w:val="0"/>
          <w:numId w:val="17"/>
        </w:numPr>
        <w:spacing w:before="240" w:beforeLines="100" w:after="120" w:afterLines="50" w:line="240" w:lineRule="auto"/>
        <w:ind w:left="0" w:firstLine="0"/>
        <w:rPr>
          <w:color w:val="auto"/>
          <w:sz w:val="24"/>
          <w:highlight w:val="none"/>
        </w:rPr>
      </w:pPr>
      <w:bookmarkStart w:id="161" w:name="_Toc369786982"/>
      <w:bookmarkStart w:id="162" w:name="_Toc437544533"/>
      <w:bookmarkStart w:id="163" w:name="_Toc13887"/>
      <w:r>
        <w:rPr>
          <w:rFonts w:hint="eastAsia"/>
          <w:color w:val="auto"/>
          <w:sz w:val="24"/>
          <w:highlight w:val="none"/>
        </w:rPr>
        <w:t>定义</w:t>
      </w:r>
      <w:bookmarkEnd w:id="161"/>
      <w:r>
        <w:rPr>
          <w:rFonts w:hint="eastAsia"/>
          <w:color w:val="auto"/>
          <w:sz w:val="24"/>
          <w:highlight w:val="none"/>
        </w:rPr>
        <w:t>和法律</w:t>
      </w:r>
      <w:bookmarkEnd w:id="162"/>
      <w:bookmarkEnd w:id="163"/>
    </w:p>
    <w:p>
      <w:pPr>
        <w:pStyle w:val="47"/>
        <w:numPr>
          <w:ilvl w:val="1"/>
          <w:numId w:val="18"/>
        </w:numPr>
        <w:spacing w:before="120" w:beforeLines="50" w:after="120" w:afterLines="50"/>
        <w:ind w:firstLineChars="0"/>
        <w:rPr>
          <w:color w:val="auto"/>
          <w:sz w:val="24"/>
          <w:highlight w:val="none"/>
        </w:rPr>
      </w:pPr>
      <w:r>
        <w:rPr>
          <w:rFonts w:hint="eastAsia"/>
          <w:color w:val="auto"/>
          <w:sz w:val="24"/>
          <w:highlight w:val="none"/>
        </w:rPr>
        <w:t>“合同”系指甲方和乙方已签署的协议，即由双方签订的合同格式中的文件，包括所有的附件、附录和组成合同部分的所有其它文件。</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“货物”系指乙方按合同要求，须向甲方提供的一切设备、机械、器具、耗材、备品备件、工具、手册及其它技术资料和其它材料等。</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“服务”系指合同规定乙方须承担与货物相关的服务，包括但不限于安装或安装指导、调试、技术协助、校准、培训以及其它乙方应承担的义务。</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“现场”系指合同项下货物仓储、存放、安装或安装指导、调试、运行的现场。</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“验收”系指甲方依据本合同规定接收货物所依据的程序和条件。</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“1号线”系指南宁轨道交通集团有限责任公司。</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“2号线”系指南宁轨道交通二号线建设有限公司。</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“3号线”系指南宁轨道交通三号线建设有限公司。</w:t>
      </w:r>
    </w:p>
    <w:p>
      <w:pPr>
        <w:pStyle w:val="47"/>
        <w:numPr>
          <w:ilvl w:val="1"/>
          <w:numId w:val="18"/>
        </w:numPr>
        <w:spacing w:before="120" w:beforeLines="50" w:after="120" w:afterLines="50"/>
        <w:ind w:left="600" w:hanging="600" w:hangingChars="250"/>
        <w:rPr>
          <w:color w:val="auto"/>
          <w:sz w:val="24"/>
          <w:highlight w:val="none"/>
        </w:rPr>
      </w:pPr>
      <w:r>
        <w:rPr>
          <w:rFonts w:hint="eastAsia"/>
          <w:color w:val="auto"/>
          <w:sz w:val="24"/>
          <w:highlight w:val="none"/>
        </w:rPr>
        <w:t>本合同适用的是中国的法律、法规，及部门规章、项目所在地的地方法规、地方规章。</w:t>
      </w:r>
    </w:p>
    <w:p>
      <w:pPr>
        <w:pStyle w:val="3"/>
        <w:numPr>
          <w:ilvl w:val="0"/>
          <w:numId w:val="17"/>
        </w:numPr>
        <w:spacing w:before="240" w:beforeLines="100" w:after="120" w:afterLines="50" w:line="240" w:lineRule="auto"/>
        <w:ind w:left="0" w:firstLine="0"/>
        <w:rPr>
          <w:color w:val="auto"/>
          <w:sz w:val="24"/>
          <w:highlight w:val="none"/>
        </w:rPr>
      </w:pPr>
      <w:bookmarkStart w:id="164" w:name="_Toc369786983"/>
      <w:bookmarkStart w:id="165" w:name="_Toc437544534"/>
      <w:bookmarkStart w:id="166" w:name="_Toc21840"/>
      <w:r>
        <w:rPr>
          <w:rFonts w:hint="eastAsia"/>
          <w:color w:val="auto"/>
          <w:sz w:val="24"/>
          <w:highlight w:val="none"/>
        </w:rPr>
        <w:t>合同标的</w:t>
      </w:r>
      <w:bookmarkEnd w:id="164"/>
      <w:bookmarkEnd w:id="165"/>
      <w:bookmarkEnd w:id="166"/>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本次合同的标的为南宁轨道交通集团有限公司运营分公司2018年</w:t>
      </w:r>
      <w:r>
        <w:rPr>
          <w:rFonts w:hint="eastAsia"/>
          <w:color w:val="auto"/>
          <w:sz w:val="24"/>
          <w:highlight w:val="none"/>
          <w:lang w:eastAsia="zh-CN"/>
        </w:rPr>
        <w:t>设备维修耗材</w:t>
      </w:r>
      <w:r>
        <w:rPr>
          <w:rFonts w:hint="eastAsia"/>
          <w:color w:val="auto"/>
          <w:sz w:val="24"/>
          <w:highlight w:val="none"/>
        </w:rPr>
        <w:t>采购项目的供货及质保期保障等相关服务，供货范围、数量及详细分项报价等见附件</w:t>
      </w:r>
      <w:r>
        <w:rPr>
          <w:rFonts w:hint="eastAsia" w:ascii="宋体" w:hAnsi="宋体"/>
          <w:color w:val="auto"/>
          <w:sz w:val="24"/>
          <w:highlight w:val="none"/>
        </w:rPr>
        <w:t>(一)</w:t>
      </w:r>
      <w:r>
        <w:rPr>
          <w:rFonts w:hint="eastAsia"/>
          <w:color w:val="auto"/>
          <w:sz w:val="24"/>
          <w:highlight w:val="none"/>
        </w:rPr>
        <w:t>：《分项报价表》。</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乙方提供的所有货物及服务内容必须完全满足合同的要求。</w:t>
      </w:r>
    </w:p>
    <w:p>
      <w:pPr>
        <w:pStyle w:val="3"/>
        <w:numPr>
          <w:ilvl w:val="0"/>
          <w:numId w:val="17"/>
        </w:numPr>
        <w:spacing w:before="240" w:beforeLines="100" w:after="120" w:afterLines="50" w:line="240" w:lineRule="auto"/>
        <w:ind w:left="0" w:firstLine="0"/>
        <w:rPr>
          <w:color w:val="auto"/>
          <w:sz w:val="24"/>
          <w:highlight w:val="none"/>
        </w:rPr>
      </w:pPr>
      <w:bookmarkStart w:id="167" w:name="_Toc437544535"/>
      <w:bookmarkStart w:id="168" w:name="_Toc369786984"/>
      <w:bookmarkStart w:id="169" w:name="_Toc2893"/>
      <w:r>
        <w:rPr>
          <w:rFonts w:hint="eastAsia"/>
          <w:color w:val="auto"/>
          <w:sz w:val="24"/>
          <w:highlight w:val="none"/>
        </w:rPr>
        <w:t>合同价格</w:t>
      </w:r>
      <w:bookmarkEnd w:id="167"/>
      <w:bookmarkEnd w:id="168"/>
      <w:bookmarkEnd w:id="169"/>
    </w:p>
    <w:p>
      <w:pPr>
        <w:pStyle w:val="47"/>
        <w:numPr>
          <w:ilvl w:val="1"/>
          <w:numId w:val="17"/>
        </w:numPr>
        <w:spacing w:before="120" w:beforeLines="50" w:after="120" w:afterLines="50"/>
        <w:ind w:firstLineChars="0"/>
        <w:rPr>
          <w:color w:val="auto"/>
          <w:sz w:val="24"/>
          <w:highlight w:val="none"/>
        </w:rPr>
      </w:pPr>
      <w:bookmarkStart w:id="170" w:name="_Toc437545048"/>
      <w:bookmarkEnd w:id="170"/>
      <w:bookmarkStart w:id="171" w:name="_Toc437544169"/>
      <w:bookmarkEnd w:id="171"/>
      <w:bookmarkStart w:id="172" w:name="_Toc437544536"/>
      <w:bookmarkEnd w:id="172"/>
      <w:bookmarkStart w:id="173" w:name="_Toc437544880"/>
      <w:bookmarkEnd w:id="173"/>
      <w:bookmarkStart w:id="174" w:name="_Toc437545089"/>
      <w:bookmarkEnd w:id="174"/>
      <w:bookmarkStart w:id="175" w:name="_Toc437544763"/>
      <w:bookmarkEnd w:id="175"/>
      <w:r>
        <w:rPr>
          <w:rFonts w:hint="eastAsia"/>
          <w:color w:val="auto"/>
          <w:sz w:val="24"/>
          <w:highlight w:val="none"/>
        </w:rPr>
        <w:t>本合同总价格为人民币：（大写）XXX 元（￥XXX.XX）。其中1号线货物总价格为人民币：（大写）XXX 元（￥XXX.XX）；2号线货物总价格为人民币：（大写）XXX 元（￥XXX.XX）；3号线货物总价格为人民币：（大写）XXX 元（￥XXX.XX）。</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本合同约定的货物单价为固定单价，在合同执行期间不受任何其他因素（汇率浮动、物价指数浮动、甲方调整采购数量等）影响。供货期内的报价有效期至交货后验收合格之日起1年内有效。</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质保期内进行维修或更换的备品备件均由乙方提供，费用已含入合同价格内。</w:t>
      </w:r>
    </w:p>
    <w:p>
      <w:pPr>
        <w:pStyle w:val="47"/>
        <w:numPr>
          <w:ilvl w:val="1"/>
          <w:numId w:val="17"/>
        </w:numPr>
        <w:spacing w:before="120" w:beforeLines="50" w:after="120" w:afterLines="50"/>
        <w:ind w:left="602" w:hanging="602" w:hangingChars="250"/>
        <w:rPr>
          <w:b/>
          <w:color w:val="auto"/>
          <w:sz w:val="24"/>
          <w:highlight w:val="none"/>
        </w:rPr>
      </w:pPr>
      <w:r>
        <w:rPr>
          <w:rFonts w:hint="eastAsia"/>
          <w:b/>
          <w:color w:val="auto"/>
          <w:sz w:val="24"/>
          <w:highlight w:val="none"/>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pPr>
        <w:pStyle w:val="3"/>
        <w:numPr>
          <w:ilvl w:val="0"/>
          <w:numId w:val="17"/>
        </w:numPr>
        <w:spacing w:before="240" w:beforeLines="100" w:after="120" w:afterLines="50" w:line="240" w:lineRule="auto"/>
        <w:ind w:left="0" w:firstLine="0"/>
        <w:rPr>
          <w:color w:val="auto"/>
          <w:sz w:val="24"/>
          <w:highlight w:val="none"/>
        </w:rPr>
      </w:pPr>
      <w:bookmarkStart w:id="176" w:name="_Toc18553"/>
      <w:bookmarkStart w:id="177" w:name="_Toc437544539"/>
      <w:bookmarkStart w:id="178" w:name="_Toc369786986"/>
      <w:r>
        <w:rPr>
          <w:rFonts w:hint="eastAsia"/>
          <w:color w:val="auto"/>
          <w:sz w:val="24"/>
          <w:highlight w:val="none"/>
        </w:rPr>
        <w:t>交货</w:t>
      </w:r>
      <w:bookmarkEnd w:id="176"/>
      <w:bookmarkEnd w:id="177"/>
      <w:bookmarkEnd w:id="178"/>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交货期：</w:t>
      </w:r>
      <w:r>
        <w:rPr>
          <w:rFonts w:hint="eastAsia"/>
          <w:color w:val="auto"/>
          <w:sz w:val="24"/>
          <w:highlight w:val="none"/>
          <w:lang w:val="en-US" w:eastAsia="zh-CN"/>
        </w:rPr>
        <w:t>40</w:t>
      </w:r>
      <w:r>
        <w:rPr>
          <w:rFonts w:hint="eastAsia"/>
          <w:color w:val="auto"/>
          <w:sz w:val="24"/>
          <w:highlight w:val="none"/>
        </w:rPr>
        <w:t>天（中选通知书发出后，按交货通知交货）。</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交货地点：甲方指定的仓储地点或现场存放点，存放点由甲方现场指定。乙方负责交货地点的卸货和现场存放点的就位。</w:t>
      </w:r>
    </w:p>
    <w:p>
      <w:pPr>
        <w:pStyle w:val="3"/>
        <w:numPr>
          <w:ilvl w:val="0"/>
          <w:numId w:val="17"/>
        </w:numPr>
        <w:spacing w:before="240" w:beforeLines="100" w:after="120" w:afterLines="50" w:line="240" w:lineRule="auto"/>
        <w:ind w:left="0" w:firstLine="0"/>
        <w:rPr>
          <w:color w:val="auto"/>
          <w:sz w:val="24"/>
          <w:highlight w:val="none"/>
        </w:rPr>
      </w:pPr>
      <w:bookmarkStart w:id="179" w:name="_Toc27000"/>
      <w:bookmarkStart w:id="180" w:name="_Toc437544540"/>
      <w:bookmarkStart w:id="181" w:name="_Toc369786987"/>
      <w:r>
        <w:rPr>
          <w:rFonts w:hint="eastAsia"/>
          <w:color w:val="auto"/>
          <w:sz w:val="24"/>
          <w:highlight w:val="none"/>
        </w:rPr>
        <w:t>合同文件和资料</w:t>
      </w:r>
      <w:bookmarkEnd w:id="179"/>
      <w:bookmarkEnd w:id="180"/>
      <w:bookmarkEnd w:id="181"/>
    </w:p>
    <w:p>
      <w:pPr>
        <w:pStyle w:val="47"/>
        <w:numPr>
          <w:ilvl w:val="1"/>
          <w:numId w:val="17"/>
        </w:numPr>
        <w:spacing w:before="120" w:beforeLines="50" w:after="120" w:afterLines="50"/>
        <w:ind w:firstLineChars="0"/>
        <w:rPr>
          <w:color w:val="auto"/>
          <w:sz w:val="24"/>
          <w:highlight w:val="none"/>
        </w:rPr>
      </w:pPr>
      <w:bookmarkStart w:id="182" w:name="_Ref462911623"/>
      <w:r>
        <w:rPr>
          <w:rFonts w:hint="eastAsia"/>
          <w:color w:val="auto"/>
          <w:sz w:val="24"/>
          <w:highlight w:val="none"/>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2"/>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未经甲方事先书面同意，除了履行本合同之外，乙方不应使用合同条款</w:t>
      </w:r>
      <w:r>
        <w:rPr>
          <w:color w:val="auto"/>
          <w:sz w:val="24"/>
          <w:highlight w:val="none"/>
        </w:rPr>
        <w:fldChar w:fldCharType="begin"/>
      </w:r>
      <w:r>
        <w:rPr>
          <w:color w:val="auto"/>
          <w:sz w:val="24"/>
          <w:highlight w:val="none"/>
        </w:rPr>
        <w:instrText xml:space="preserve"> </w:instrText>
      </w:r>
      <w:r>
        <w:rPr>
          <w:rFonts w:hint="eastAsia"/>
          <w:color w:val="auto"/>
          <w:sz w:val="24"/>
          <w:highlight w:val="none"/>
        </w:rPr>
        <w:instrText xml:space="preserve">REF _Ref462911623 \n \h</w:instrText>
      </w:r>
      <w:r>
        <w:rPr>
          <w:color w:val="auto"/>
          <w:sz w:val="24"/>
          <w:highlight w:val="none"/>
        </w:rPr>
        <w:instrText xml:space="preserve">  \* MERGEFORMAT </w:instrText>
      </w:r>
      <w:r>
        <w:rPr>
          <w:color w:val="auto"/>
          <w:sz w:val="24"/>
          <w:highlight w:val="none"/>
        </w:rPr>
        <w:fldChar w:fldCharType="separate"/>
      </w:r>
      <w:r>
        <w:rPr>
          <w:color w:val="auto"/>
          <w:sz w:val="24"/>
          <w:highlight w:val="none"/>
        </w:rPr>
        <w:t>5.1</w:t>
      </w:r>
      <w:r>
        <w:rPr>
          <w:color w:val="auto"/>
          <w:sz w:val="24"/>
          <w:highlight w:val="none"/>
        </w:rPr>
        <w:fldChar w:fldCharType="end"/>
      </w:r>
      <w:r>
        <w:rPr>
          <w:rFonts w:hint="eastAsia"/>
          <w:color w:val="auto"/>
          <w:sz w:val="24"/>
          <w:highlight w:val="none"/>
        </w:rPr>
        <w:t>条所列举的任何文件和资料。</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除了合同本身之外，合同条款</w:t>
      </w:r>
      <w:r>
        <w:rPr>
          <w:color w:val="auto"/>
          <w:sz w:val="24"/>
          <w:highlight w:val="none"/>
        </w:rPr>
        <w:fldChar w:fldCharType="begin"/>
      </w:r>
      <w:r>
        <w:rPr>
          <w:color w:val="auto"/>
          <w:sz w:val="24"/>
          <w:highlight w:val="none"/>
        </w:rPr>
        <w:instrText xml:space="preserve"> </w:instrText>
      </w:r>
      <w:r>
        <w:rPr>
          <w:rFonts w:hint="eastAsia"/>
          <w:color w:val="auto"/>
          <w:sz w:val="24"/>
          <w:highlight w:val="none"/>
        </w:rPr>
        <w:instrText xml:space="preserve">REF _Ref462911623 \r \h</w:instrText>
      </w:r>
      <w:r>
        <w:rPr>
          <w:color w:val="auto"/>
          <w:sz w:val="24"/>
          <w:highlight w:val="none"/>
        </w:rPr>
        <w:instrText xml:space="preserve">  \* MERGEFORMAT </w:instrText>
      </w:r>
      <w:r>
        <w:rPr>
          <w:color w:val="auto"/>
          <w:sz w:val="24"/>
          <w:highlight w:val="none"/>
        </w:rPr>
        <w:fldChar w:fldCharType="separate"/>
      </w:r>
      <w:r>
        <w:rPr>
          <w:color w:val="auto"/>
          <w:sz w:val="24"/>
          <w:highlight w:val="none"/>
        </w:rPr>
        <w:t>5.1</w:t>
      </w:r>
      <w:r>
        <w:rPr>
          <w:color w:val="auto"/>
          <w:sz w:val="24"/>
          <w:highlight w:val="none"/>
        </w:rPr>
        <w:fldChar w:fldCharType="end"/>
      </w:r>
      <w:r>
        <w:rPr>
          <w:rFonts w:hint="eastAsia"/>
          <w:color w:val="auto"/>
          <w:sz w:val="24"/>
          <w:highlight w:val="none"/>
        </w:rPr>
        <w:t>条所列举的任何文件是甲方的财产。如甲方有要求，乙方在完成本合同后应将这些文件及复制件全部归还给甲方。</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乙方应提供与货物相符的中文技术资料，例如：样本、图纸、操作手册、使用说明、维修指南或服务手册等，并随每批货物一同装箱。如本条款所述资料不完整，乙方应在收到甲方通知后立即免费提供。</w:t>
      </w: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技术资料的全部费用已包含在合同价格内。</w:t>
      </w:r>
    </w:p>
    <w:p>
      <w:pPr>
        <w:pStyle w:val="3"/>
        <w:numPr>
          <w:ilvl w:val="0"/>
          <w:numId w:val="17"/>
        </w:numPr>
        <w:spacing w:before="240" w:beforeLines="100" w:after="120" w:afterLines="50" w:line="240" w:lineRule="auto"/>
        <w:ind w:left="0" w:firstLine="0"/>
        <w:rPr>
          <w:color w:val="auto"/>
          <w:sz w:val="24"/>
          <w:highlight w:val="none"/>
        </w:rPr>
      </w:pPr>
      <w:bookmarkStart w:id="183" w:name="_Toc437544541"/>
      <w:bookmarkStart w:id="184" w:name="_Toc369786988"/>
      <w:bookmarkStart w:id="185" w:name="_Toc23335"/>
      <w:r>
        <w:rPr>
          <w:rFonts w:hint="eastAsia"/>
          <w:color w:val="auto"/>
          <w:sz w:val="24"/>
          <w:highlight w:val="none"/>
        </w:rPr>
        <w:t>知识产权</w:t>
      </w:r>
      <w:bookmarkEnd w:id="183"/>
      <w:bookmarkEnd w:id="184"/>
      <w:bookmarkEnd w:id="185"/>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0"/>
          <w:numId w:val="19"/>
        </w:numPr>
        <w:ind w:firstLineChars="0"/>
        <w:rPr>
          <w:rFonts w:ascii="宋体" w:hAnsi="宋体"/>
          <w:vanish/>
          <w:color w:val="auto"/>
          <w:kern w:val="0"/>
          <w:sz w:val="24"/>
          <w:highlight w:val="none"/>
        </w:rPr>
      </w:pPr>
    </w:p>
    <w:p>
      <w:pPr>
        <w:pStyle w:val="47"/>
        <w:numPr>
          <w:ilvl w:val="1"/>
          <w:numId w:val="17"/>
        </w:numPr>
        <w:spacing w:before="120" w:beforeLines="50" w:after="120" w:afterLines="50"/>
        <w:ind w:left="600" w:hanging="600" w:hangingChars="250"/>
        <w:rPr>
          <w:color w:val="auto"/>
          <w:sz w:val="24"/>
          <w:highlight w:val="none"/>
        </w:rPr>
      </w:pPr>
      <w:r>
        <w:rPr>
          <w:rFonts w:hint="eastAsia"/>
          <w:color w:val="auto"/>
          <w:sz w:val="24"/>
          <w:highlight w:val="none"/>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pPr>
        <w:pStyle w:val="47"/>
        <w:numPr>
          <w:ilvl w:val="1"/>
          <w:numId w:val="17"/>
        </w:numPr>
        <w:spacing w:before="120" w:beforeLines="50" w:after="120" w:afterLines="50"/>
        <w:ind w:left="600" w:hanging="600" w:hangingChars="250"/>
        <w:rPr>
          <w:rFonts w:ascii="宋体" w:hAnsi="宋体"/>
          <w:color w:val="auto"/>
          <w:kern w:val="0"/>
          <w:sz w:val="24"/>
          <w:highlight w:val="none"/>
        </w:rPr>
      </w:pPr>
      <w:r>
        <w:rPr>
          <w:rFonts w:hint="eastAsia"/>
          <w:color w:val="auto"/>
          <w:sz w:val="24"/>
          <w:highlight w:val="none"/>
        </w:rPr>
        <w:t>甲方永久享有乙方为本合同项下提供的产品、软件、技术资料的使用权，并无需承担任何费用。</w:t>
      </w:r>
    </w:p>
    <w:p>
      <w:pPr>
        <w:pStyle w:val="3"/>
        <w:numPr>
          <w:ilvl w:val="0"/>
          <w:numId w:val="17"/>
        </w:numPr>
        <w:spacing w:before="240" w:beforeLines="100" w:after="120" w:afterLines="50" w:line="240" w:lineRule="auto"/>
        <w:ind w:left="0" w:firstLine="0"/>
        <w:rPr>
          <w:color w:val="auto"/>
          <w:sz w:val="24"/>
          <w:highlight w:val="none"/>
        </w:rPr>
      </w:pPr>
      <w:bookmarkStart w:id="186" w:name="_Toc437544542"/>
      <w:bookmarkStart w:id="187" w:name="_Toc369786989"/>
      <w:bookmarkStart w:id="188" w:name="_Ref462914568"/>
      <w:bookmarkStart w:id="189" w:name="_Toc11658"/>
      <w:r>
        <w:rPr>
          <w:rFonts w:hint="eastAsia"/>
          <w:color w:val="auto"/>
          <w:sz w:val="24"/>
          <w:highlight w:val="none"/>
        </w:rPr>
        <w:t>履约保证金</w:t>
      </w:r>
      <w:bookmarkEnd w:id="186"/>
      <w:bookmarkEnd w:id="187"/>
      <w:bookmarkEnd w:id="188"/>
      <w:bookmarkEnd w:id="189"/>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0"/>
          <w:numId w:val="20"/>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履约保证金金额：</w:t>
      </w:r>
      <w:r>
        <w:rPr>
          <w:rFonts w:hint="eastAsia" w:ascii="宋体" w:hAnsi="宋体"/>
          <w:color w:val="auto"/>
          <w:sz w:val="24"/>
          <w:highlight w:val="none"/>
        </w:rPr>
        <w:t>¥×××.00</w:t>
      </w:r>
      <w:r>
        <w:rPr>
          <w:rFonts w:hint="eastAsia"/>
          <w:color w:val="auto"/>
          <w:sz w:val="24"/>
          <w:highlight w:val="none"/>
        </w:rPr>
        <w:t>元（签约合同总价格的5</w:t>
      </w:r>
      <w:r>
        <w:rPr>
          <w:color w:val="auto"/>
          <w:sz w:val="24"/>
          <w:highlight w:val="none"/>
        </w:rPr>
        <w:t>%</w:t>
      </w:r>
      <w:r>
        <w:rPr>
          <w:rFonts w:hint="eastAsia"/>
          <w:color w:val="auto"/>
          <w:sz w:val="24"/>
          <w:highlight w:val="none"/>
        </w:rPr>
        <w:t>；四舍五入，精确到元）。</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缴纳形式：乙方的比选保证金自动转为履约保证金的一部分，不足部分通过其公司账户以银行转账的形式补足缴纳；甲方收款账户同比选保证金收款账户。</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退还：本合同项下全部货物验收合格后</w:t>
      </w:r>
      <w:r>
        <w:rPr>
          <w:rFonts w:hint="eastAsia"/>
          <w:color w:val="auto"/>
          <w:sz w:val="24"/>
          <w:highlight w:val="none"/>
          <w:lang w:val="en-US" w:eastAsia="zh-CN"/>
        </w:rPr>
        <w:t>45</w:t>
      </w:r>
      <w:r>
        <w:rPr>
          <w:rFonts w:hint="eastAsia"/>
          <w:color w:val="auto"/>
          <w:sz w:val="24"/>
          <w:highlight w:val="none"/>
        </w:rPr>
        <w:t>个工作日内退还。</w:t>
      </w:r>
    </w:p>
    <w:p>
      <w:pPr>
        <w:pStyle w:val="3"/>
        <w:numPr>
          <w:ilvl w:val="0"/>
          <w:numId w:val="17"/>
        </w:numPr>
        <w:spacing w:before="240" w:beforeLines="100" w:after="120" w:afterLines="50" w:line="240" w:lineRule="auto"/>
        <w:ind w:left="0" w:firstLine="0"/>
        <w:rPr>
          <w:color w:val="auto"/>
          <w:sz w:val="24"/>
          <w:highlight w:val="none"/>
        </w:rPr>
      </w:pPr>
      <w:bookmarkStart w:id="190" w:name="_Toc437544543"/>
      <w:bookmarkStart w:id="191" w:name="_Toc4031"/>
      <w:bookmarkStart w:id="192" w:name="_Toc369786990"/>
      <w:r>
        <w:rPr>
          <w:rFonts w:hint="eastAsia"/>
          <w:color w:val="auto"/>
          <w:sz w:val="24"/>
          <w:highlight w:val="none"/>
        </w:rPr>
        <w:t>包装</w:t>
      </w:r>
      <w:bookmarkEnd w:id="190"/>
      <w:bookmarkEnd w:id="191"/>
      <w:bookmarkEnd w:id="192"/>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pStyle w:val="47"/>
        <w:numPr>
          <w:ilvl w:val="0"/>
          <w:numId w:val="21"/>
        </w:numPr>
        <w:ind w:firstLineChars="0"/>
        <w:rPr>
          <w:rFonts w:ascii="宋体" w:hAnsi="宋体"/>
          <w:vanish/>
          <w:color w:val="auto"/>
          <w:kern w:val="0"/>
          <w:sz w:val="24"/>
          <w:highlight w:val="none"/>
        </w:rPr>
      </w:pPr>
    </w:p>
    <w:p>
      <w:pPr>
        <w:spacing w:before="120" w:beforeLines="50" w:after="120" w:afterLines="50"/>
        <w:ind w:firstLine="480" w:firstLineChars="200"/>
        <w:rPr>
          <w:color w:val="auto"/>
          <w:sz w:val="24"/>
          <w:highlight w:val="none"/>
        </w:rPr>
      </w:pPr>
      <w:r>
        <w:rPr>
          <w:rFonts w:hint="eastAsia"/>
          <w:color w:val="auto"/>
          <w:sz w:val="24"/>
          <w:highlight w:val="none"/>
        </w:rPr>
        <w:t>除非本合同另有规定，提供的全部货物须采用相应标准的保护措施进行包装。这种包装应适于内陆运输，并有良好的防潮、防震、防锈和防野蛮装卸等保护措施</w:t>
      </w:r>
      <w:r>
        <w:rPr>
          <w:color w:val="auto"/>
          <w:sz w:val="24"/>
          <w:highlight w:val="none"/>
        </w:rPr>
        <w:t>,</w:t>
      </w:r>
      <w:r>
        <w:rPr>
          <w:rFonts w:hint="eastAsia"/>
          <w:color w:val="auto"/>
          <w:sz w:val="24"/>
          <w:highlight w:val="none"/>
        </w:rPr>
        <w:t>以确保货物安全运抵现场。乙方应承担由于其包装或其防护措施不妥而引起货物锈蚀、损坏和丢失的任何损失的责任或费用。</w:t>
      </w:r>
    </w:p>
    <w:p>
      <w:pPr>
        <w:pStyle w:val="3"/>
        <w:numPr>
          <w:ilvl w:val="0"/>
          <w:numId w:val="17"/>
        </w:numPr>
        <w:spacing w:before="240" w:beforeLines="100" w:after="120" w:afterLines="50" w:line="240" w:lineRule="auto"/>
        <w:ind w:left="0" w:firstLine="0"/>
        <w:rPr>
          <w:color w:val="auto"/>
          <w:sz w:val="24"/>
          <w:highlight w:val="none"/>
        </w:rPr>
      </w:pPr>
      <w:bookmarkStart w:id="193" w:name="_Toc369786991"/>
      <w:bookmarkStart w:id="194" w:name="_Toc437544544"/>
      <w:bookmarkStart w:id="195" w:name="_Toc11762"/>
      <w:r>
        <w:rPr>
          <w:rFonts w:hint="eastAsia"/>
          <w:color w:val="auto"/>
          <w:sz w:val="24"/>
          <w:highlight w:val="none"/>
        </w:rPr>
        <w:t>验收</w:t>
      </w:r>
      <w:bookmarkEnd w:id="193"/>
      <w:bookmarkEnd w:id="194"/>
      <w:bookmarkEnd w:id="195"/>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0"/>
          <w:numId w:val="22"/>
        </w:numPr>
        <w:tabs>
          <w:tab w:val="left" w:pos="720"/>
          <w:tab w:val="left" w:pos="900"/>
        </w:tabs>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乙方应于发货前2个工作日书面通知甲方，根据双方协定时间地点进行交货和验收，验收合格之日起计算质保期。</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货物验收时须同时满足以下各项标准及要求方为合格：</w:t>
      </w:r>
    </w:p>
    <w:p>
      <w:pPr>
        <w:pStyle w:val="47"/>
        <w:numPr>
          <w:ilvl w:val="2"/>
          <w:numId w:val="17"/>
        </w:numPr>
        <w:ind w:left="708" w:hanging="708" w:hangingChars="295"/>
        <w:rPr>
          <w:color w:val="auto"/>
          <w:sz w:val="24"/>
          <w:highlight w:val="none"/>
        </w:rPr>
      </w:pPr>
      <w:r>
        <w:rPr>
          <w:rFonts w:hint="eastAsia"/>
          <w:color w:val="auto"/>
          <w:sz w:val="24"/>
          <w:highlight w:val="none"/>
        </w:rPr>
        <w:t>供货清单、质量合格证书、保修证书、产品使用说明书及其他应随产品一同装箱的技术资料，原产地在国外的货物须提供中国海关的报关单；</w:t>
      </w:r>
    </w:p>
    <w:p>
      <w:pPr>
        <w:pStyle w:val="47"/>
        <w:numPr>
          <w:ilvl w:val="2"/>
          <w:numId w:val="17"/>
        </w:numPr>
        <w:ind w:left="708" w:hanging="708" w:hangingChars="295"/>
        <w:rPr>
          <w:color w:val="auto"/>
          <w:sz w:val="24"/>
          <w:highlight w:val="none"/>
        </w:rPr>
      </w:pPr>
      <w:r>
        <w:rPr>
          <w:rFonts w:hint="eastAsia"/>
          <w:color w:val="auto"/>
          <w:sz w:val="24"/>
          <w:highlight w:val="none"/>
        </w:rPr>
        <w:t>本合同所涉及的质量、技术、服务及验收的相关内容。</w:t>
      </w:r>
    </w:p>
    <w:p>
      <w:pPr>
        <w:pStyle w:val="3"/>
        <w:numPr>
          <w:ilvl w:val="0"/>
          <w:numId w:val="17"/>
        </w:numPr>
        <w:spacing w:before="240" w:beforeLines="100" w:after="120" w:afterLines="50" w:line="240" w:lineRule="auto"/>
        <w:ind w:left="0" w:firstLine="0"/>
        <w:rPr>
          <w:color w:val="auto"/>
          <w:sz w:val="24"/>
          <w:highlight w:val="none"/>
        </w:rPr>
      </w:pPr>
      <w:bookmarkStart w:id="196" w:name="_Toc437544545"/>
      <w:bookmarkStart w:id="197" w:name="_Toc21014"/>
      <w:r>
        <w:rPr>
          <w:rFonts w:hint="eastAsia"/>
          <w:color w:val="auto"/>
          <w:sz w:val="24"/>
          <w:highlight w:val="none"/>
        </w:rPr>
        <w:t>质量标准、质保期和质保服务</w:t>
      </w:r>
      <w:bookmarkEnd w:id="196"/>
      <w:bookmarkEnd w:id="197"/>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0"/>
          <w:numId w:val="23"/>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47"/>
        <w:numPr>
          <w:ilvl w:val="1"/>
          <w:numId w:val="17"/>
        </w:numPr>
        <w:spacing w:before="120" w:beforeLines="50" w:after="120" w:afterLines="50"/>
        <w:ind w:firstLineChars="0"/>
        <w:rPr>
          <w:color w:val="auto"/>
          <w:sz w:val="24"/>
          <w:highlight w:val="none"/>
        </w:rPr>
      </w:pPr>
      <w:r>
        <w:rPr>
          <w:rFonts w:hint="eastAsia"/>
          <w:b/>
          <w:color w:val="auto"/>
          <w:sz w:val="24"/>
          <w:highlight w:val="none"/>
        </w:rPr>
        <w:t>本合同内货物质保期：12个月</w:t>
      </w:r>
      <w:r>
        <w:rPr>
          <w:rFonts w:hint="eastAsia"/>
          <w:color w:val="auto"/>
          <w:sz w:val="24"/>
          <w:highlight w:val="none"/>
        </w:rPr>
        <w:t>；质保期内乙方提供免费上门维修（包含所有配件的更换及服务）及保养服务。</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有保质期的产品，乙方所供货物的有效保质期须不少于整个保质期的2/3；无保质期的产品，乙方所供货物须为交货时1年以内生产的货物。如涉及到特殊物品，由双方协商决定。</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乙方提供的货物必须是全新原装正品，质保</w:t>
      </w:r>
      <w:r>
        <w:rPr>
          <w:color w:val="auto"/>
          <w:sz w:val="24"/>
          <w:highlight w:val="none"/>
        </w:rPr>
        <w:t>期内非因</w:t>
      </w:r>
      <w:r>
        <w:rPr>
          <w:rFonts w:hint="eastAsia"/>
          <w:color w:val="auto"/>
          <w:sz w:val="24"/>
          <w:highlight w:val="none"/>
        </w:rPr>
        <w:t>甲方</w:t>
      </w:r>
      <w:r>
        <w:rPr>
          <w:color w:val="auto"/>
          <w:sz w:val="24"/>
          <w:highlight w:val="none"/>
        </w:rPr>
        <w:t>原因而出现质量问题的，</w:t>
      </w:r>
      <w:r>
        <w:rPr>
          <w:rFonts w:hint="eastAsia"/>
          <w:color w:val="auto"/>
          <w:sz w:val="24"/>
          <w:highlight w:val="none"/>
        </w:rPr>
        <w:t>乙方需在8小时内响应，在甲方要求的时间内完成三包服务（</w:t>
      </w:r>
      <w:r>
        <w:rPr>
          <w:color w:val="auto"/>
          <w:sz w:val="24"/>
          <w:highlight w:val="none"/>
        </w:rPr>
        <w:t>包修、包换或包退</w:t>
      </w:r>
      <w:r>
        <w:rPr>
          <w:rFonts w:hint="eastAsia"/>
          <w:color w:val="auto"/>
          <w:sz w:val="24"/>
          <w:highlight w:val="none"/>
        </w:rPr>
        <w:t>）</w:t>
      </w:r>
      <w:r>
        <w:rPr>
          <w:color w:val="auto"/>
          <w:sz w:val="24"/>
          <w:highlight w:val="none"/>
        </w:rPr>
        <w:t>，并承担</w:t>
      </w:r>
      <w:r>
        <w:rPr>
          <w:rFonts w:hint="eastAsia"/>
          <w:color w:val="auto"/>
          <w:sz w:val="24"/>
          <w:highlight w:val="none"/>
        </w:rPr>
        <w:t>三包服务所产生的</w:t>
      </w:r>
      <w:r>
        <w:rPr>
          <w:color w:val="auto"/>
          <w:sz w:val="24"/>
          <w:highlight w:val="none"/>
        </w:rPr>
        <w:t>费用。</w:t>
      </w:r>
      <w:r>
        <w:rPr>
          <w:rFonts w:hint="eastAsia"/>
          <w:color w:val="auto"/>
          <w:sz w:val="24"/>
          <w:highlight w:val="none"/>
        </w:rPr>
        <w:t>乙方</w:t>
      </w:r>
      <w:r>
        <w:rPr>
          <w:color w:val="auto"/>
          <w:sz w:val="24"/>
          <w:highlight w:val="none"/>
        </w:rPr>
        <w:t>不能修理和不能调换</w:t>
      </w:r>
      <w:r>
        <w:rPr>
          <w:rFonts w:hint="eastAsia"/>
          <w:color w:val="auto"/>
          <w:sz w:val="24"/>
          <w:highlight w:val="none"/>
        </w:rPr>
        <w:t>的</w:t>
      </w:r>
      <w:r>
        <w:rPr>
          <w:color w:val="auto"/>
          <w:sz w:val="24"/>
          <w:highlight w:val="none"/>
        </w:rPr>
        <w:t>，按不能交货处理</w:t>
      </w:r>
      <w:r>
        <w:rPr>
          <w:rFonts w:hint="eastAsia"/>
          <w:color w:val="auto"/>
          <w:sz w:val="24"/>
          <w:highlight w:val="none"/>
        </w:rPr>
        <w:t>。</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质保期内，乙方应负责提供充足的备品备件。质保期满后，乙方应继续提供维修服务，只收取维修配件成本费（人工费收取由双方协商确定）。</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如配件将要停产，乙方应事先告知甲方将要停产的计划，使甲方有足够的时间采购所需的备品备件。</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在配件停产后，如甲方要求，乙方应免费向甲方提供备件的蓝图、图纸和规格。</w:t>
      </w:r>
    </w:p>
    <w:p>
      <w:pPr>
        <w:pStyle w:val="3"/>
        <w:numPr>
          <w:ilvl w:val="0"/>
          <w:numId w:val="17"/>
        </w:numPr>
        <w:spacing w:before="240" w:beforeLines="100" w:after="120" w:afterLines="50" w:line="240" w:lineRule="auto"/>
        <w:ind w:left="0" w:firstLine="0"/>
        <w:rPr>
          <w:color w:val="auto"/>
          <w:sz w:val="24"/>
          <w:highlight w:val="none"/>
        </w:rPr>
      </w:pPr>
      <w:bookmarkStart w:id="198" w:name="_Toc16871"/>
      <w:bookmarkStart w:id="199" w:name="_Toc437544546"/>
      <w:r>
        <w:rPr>
          <w:rFonts w:hint="eastAsia"/>
          <w:color w:val="auto"/>
          <w:sz w:val="24"/>
          <w:highlight w:val="none"/>
        </w:rPr>
        <w:t>所有权与风险转移</w:t>
      </w:r>
      <w:bookmarkEnd w:id="198"/>
      <w:bookmarkEnd w:id="199"/>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0"/>
          <w:numId w:val="24"/>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货物所有权和毁损、灭失的风险自乙方将货物运至甲方指定的交货地点并经甲方开箱清点（或经安装调试）验收合格，出具书面验收报告并办理交接手续后由乙方转移至甲方。如另有约定的从其约定。</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所有权和风险的转移，不得减轻或免除乙方的产品质量责任；不影响因乙方履行义务不符合合同约定，甲方要求其承担违约责任的权利。</w:t>
      </w:r>
    </w:p>
    <w:p>
      <w:pPr>
        <w:pStyle w:val="3"/>
        <w:numPr>
          <w:ilvl w:val="0"/>
          <w:numId w:val="17"/>
        </w:numPr>
        <w:spacing w:before="240" w:beforeLines="100" w:after="120" w:afterLines="50" w:line="240" w:lineRule="auto"/>
        <w:ind w:left="0" w:firstLine="0"/>
        <w:rPr>
          <w:color w:val="auto"/>
          <w:sz w:val="24"/>
          <w:highlight w:val="none"/>
        </w:rPr>
      </w:pPr>
      <w:bookmarkStart w:id="200" w:name="_Toc437544547"/>
      <w:bookmarkStart w:id="201" w:name="_Toc369786994"/>
      <w:bookmarkStart w:id="202" w:name="_Toc5226"/>
      <w:r>
        <w:rPr>
          <w:rFonts w:hint="eastAsia"/>
          <w:color w:val="auto"/>
          <w:sz w:val="24"/>
          <w:highlight w:val="none"/>
        </w:rPr>
        <w:t>付款</w:t>
      </w:r>
      <w:bookmarkEnd w:id="200"/>
      <w:bookmarkEnd w:id="201"/>
      <w:bookmarkEnd w:id="202"/>
    </w:p>
    <w:p>
      <w:pPr>
        <w:pStyle w:val="47"/>
        <w:numPr>
          <w:ilvl w:val="1"/>
          <w:numId w:val="17"/>
        </w:numPr>
        <w:spacing w:before="120" w:beforeLines="50" w:after="120" w:afterLines="50"/>
        <w:ind w:firstLineChars="0"/>
        <w:rPr>
          <w:rFonts w:hint="eastAsia"/>
          <w:color w:val="auto"/>
          <w:sz w:val="24"/>
          <w:highlight w:val="none"/>
        </w:rPr>
      </w:pPr>
      <w:r>
        <w:rPr>
          <w:rFonts w:hint="eastAsia"/>
          <w:color w:val="auto"/>
          <w:sz w:val="24"/>
          <w:highlight w:val="none"/>
          <w:lang w:eastAsia="zh-CN"/>
        </w:rPr>
        <w:t>分批分期付款。货到甲方指定地点验收合格后</w:t>
      </w:r>
      <w:r>
        <w:rPr>
          <w:rFonts w:hint="eastAsia"/>
          <w:color w:val="auto"/>
          <w:sz w:val="24"/>
          <w:highlight w:val="none"/>
          <w:lang w:val="en-US" w:eastAsia="zh-CN"/>
        </w:rPr>
        <w:t>15</w:t>
      </w:r>
      <w:r>
        <w:rPr>
          <w:rFonts w:hint="eastAsia"/>
          <w:color w:val="auto"/>
          <w:sz w:val="24"/>
          <w:highlight w:val="none"/>
          <w:lang w:eastAsia="zh-CN"/>
        </w:rPr>
        <w:t>天内甲方通知乙方开具增值税专用发票（税率　　%，若法定税率变更则按最新税率执行），乙方按甲方要求提交书面请款材料，甲方收到有效发票及请款材料后60个工作日内支付当期开票金额90%的货款；全部货物合格交付后60个工作日内进行合同结算并经甲方审定后，累计支付到结算总额100%的货款。</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本合同项下涉及2号线或3号线付款的，由甲方组织签订甲方、乙方、丙方（2号线或3号线）三方协议，乙方向丙方开具发票，由丙方向乙方支付经甲方核准的合同应付价款。</w:t>
      </w:r>
    </w:p>
    <w:p>
      <w:pPr>
        <w:pStyle w:val="3"/>
        <w:numPr>
          <w:ilvl w:val="0"/>
          <w:numId w:val="17"/>
        </w:numPr>
        <w:spacing w:before="240" w:beforeLines="100" w:after="120" w:afterLines="50" w:line="240" w:lineRule="auto"/>
        <w:ind w:left="0" w:firstLine="0"/>
        <w:rPr>
          <w:color w:val="auto"/>
          <w:sz w:val="24"/>
          <w:highlight w:val="none"/>
        </w:rPr>
      </w:pPr>
      <w:bookmarkStart w:id="203" w:name="_Toc437544548"/>
      <w:bookmarkStart w:id="204" w:name="_Toc369786995"/>
      <w:bookmarkStart w:id="205" w:name="_Toc21231"/>
      <w:r>
        <w:rPr>
          <w:rFonts w:hint="eastAsia"/>
          <w:color w:val="auto"/>
          <w:sz w:val="24"/>
          <w:highlight w:val="none"/>
        </w:rPr>
        <w:t>违约责任</w:t>
      </w:r>
      <w:bookmarkEnd w:id="203"/>
      <w:bookmarkEnd w:id="204"/>
      <w:bookmarkEnd w:id="205"/>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0"/>
          <w:numId w:val="25"/>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甲方未按时支付合同款项，应按延误天数及同期银行存款利率向乙方支付违约金。</w:t>
      </w:r>
    </w:p>
    <w:p>
      <w:pPr>
        <w:pStyle w:val="47"/>
        <w:numPr>
          <w:ilvl w:val="1"/>
          <w:numId w:val="17"/>
        </w:numPr>
        <w:spacing w:before="120" w:beforeLines="50" w:after="120" w:afterLines="50"/>
        <w:ind w:firstLineChars="0"/>
        <w:rPr>
          <w:color w:val="auto"/>
          <w:sz w:val="24"/>
          <w:highlight w:val="none"/>
        </w:rPr>
      </w:pPr>
      <w:bookmarkStart w:id="206" w:name="_Ref462913103"/>
      <w:r>
        <w:rPr>
          <w:rFonts w:hint="eastAsia"/>
          <w:color w:val="auto"/>
          <w:sz w:val="24"/>
          <w:highlight w:val="none"/>
        </w:rPr>
        <w:t>合同签订后，乙方不能交付货物，则向甲方支付未交付货物总价格20%的违约金，同时甲方重新采购因价格差所造成的损失由乙方承担。</w:t>
      </w:r>
      <w:bookmarkEnd w:id="206"/>
    </w:p>
    <w:p>
      <w:pPr>
        <w:pStyle w:val="47"/>
        <w:numPr>
          <w:ilvl w:val="1"/>
          <w:numId w:val="17"/>
        </w:numPr>
        <w:spacing w:before="120" w:beforeLines="50" w:after="120" w:afterLines="50"/>
        <w:ind w:firstLineChars="0"/>
        <w:rPr>
          <w:color w:val="auto"/>
          <w:sz w:val="24"/>
          <w:highlight w:val="none"/>
        </w:rPr>
      </w:pPr>
      <w:bookmarkStart w:id="207" w:name="_Ref462913114"/>
      <w:r>
        <w:rPr>
          <w:rFonts w:hint="eastAsia"/>
          <w:color w:val="auto"/>
          <w:sz w:val="24"/>
          <w:highlight w:val="none"/>
        </w:rPr>
        <w:t>乙方逾期交货，每逾期一天，乙方应按未交付货物总价格的0.5</w:t>
      </w:r>
      <w:r>
        <w:rPr>
          <w:color w:val="auto"/>
          <w:sz w:val="24"/>
          <w:highlight w:val="none"/>
        </w:rPr>
        <w:t>%</w:t>
      </w:r>
      <w:r>
        <w:rPr>
          <w:rFonts w:hint="eastAsia"/>
          <w:color w:val="auto"/>
          <w:sz w:val="24"/>
          <w:highlight w:val="none"/>
        </w:rPr>
        <w:t>向甲方支付违约金，但该违约金累计不超过合同总价格的10%；逾期超过</w:t>
      </w:r>
      <w:r>
        <w:rPr>
          <w:color w:val="auto"/>
          <w:sz w:val="24"/>
          <w:highlight w:val="none"/>
        </w:rPr>
        <w:t>2</w:t>
      </w:r>
      <w:r>
        <w:rPr>
          <w:rFonts w:hint="eastAsia"/>
          <w:color w:val="auto"/>
          <w:sz w:val="24"/>
          <w:highlight w:val="none"/>
        </w:rPr>
        <w:t>0天仍不能交货的，甲方有权单方解除合同。</w:t>
      </w:r>
      <w:bookmarkEnd w:id="207"/>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乙方提供货物或服务不符合合同规定标准的，甲方有权拒收该货物，如乙方拒绝更换，按条款</w:t>
      </w:r>
      <w:r>
        <w:rPr>
          <w:color w:val="auto"/>
          <w:sz w:val="24"/>
          <w:highlight w:val="none"/>
        </w:rPr>
        <w:fldChar w:fldCharType="begin"/>
      </w:r>
      <w:r>
        <w:rPr>
          <w:color w:val="auto"/>
          <w:sz w:val="24"/>
          <w:highlight w:val="none"/>
        </w:rPr>
        <w:instrText xml:space="preserve"> </w:instrText>
      </w:r>
      <w:r>
        <w:rPr>
          <w:rFonts w:hint="eastAsia"/>
          <w:color w:val="auto"/>
          <w:sz w:val="24"/>
          <w:highlight w:val="none"/>
        </w:rPr>
        <w:instrText xml:space="preserve">REF _Ref462913103 \n \h</w:instrText>
      </w:r>
      <w:r>
        <w:rPr>
          <w:color w:val="auto"/>
          <w:sz w:val="24"/>
          <w:highlight w:val="none"/>
        </w:rPr>
        <w:instrText xml:space="preserve">  \* MERGEFORMAT </w:instrText>
      </w:r>
      <w:r>
        <w:rPr>
          <w:color w:val="auto"/>
          <w:sz w:val="24"/>
          <w:highlight w:val="none"/>
        </w:rPr>
        <w:fldChar w:fldCharType="separate"/>
      </w:r>
      <w:r>
        <w:rPr>
          <w:color w:val="auto"/>
          <w:sz w:val="24"/>
          <w:highlight w:val="none"/>
        </w:rPr>
        <w:t>13.2</w:t>
      </w:r>
      <w:r>
        <w:rPr>
          <w:color w:val="auto"/>
          <w:sz w:val="24"/>
          <w:highlight w:val="none"/>
        </w:rPr>
        <w:fldChar w:fldCharType="end"/>
      </w:r>
      <w:r>
        <w:rPr>
          <w:rFonts w:hint="eastAsia"/>
          <w:color w:val="auto"/>
          <w:sz w:val="24"/>
          <w:highlight w:val="none"/>
        </w:rPr>
        <w:t>处理；如乙方重新提供符合要求的货物但逾期交货的，按条款</w:t>
      </w:r>
      <w:r>
        <w:rPr>
          <w:color w:val="auto"/>
          <w:sz w:val="24"/>
          <w:highlight w:val="none"/>
        </w:rPr>
        <w:fldChar w:fldCharType="begin"/>
      </w:r>
      <w:r>
        <w:rPr>
          <w:color w:val="auto"/>
          <w:sz w:val="24"/>
          <w:highlight w:val="none"/>
        </w:rPr>
        <w:instrText xml:space="preserve"> </w:instrText>
      </w:r>
      <w:r>
        <w:rPr>
          <w:rFonts w:hint="eastAsia"/>
          <w:color w:val="auto"/>
          <w:sz w:val="24"/>
          <w:highlight w:val="none"/>
        </w:rPr>
        <w:instrText xml:space="preserve">REF _Ref462913114 \n \h</w:instrText>
      </w:r>
      <w:r>
        <w:rPr>
          <w:color w:val="auto"/>
          <w:sz w:val="24"/>
          <w:highlight w:val="none"/>
        </w:rPr>
        <w:instrText xml:space="preserve">  \* MERGEFORMAT </w:instrText>
      </w:r>
      <w:r>
        <w:rPr>
          <w:color w:val="auto"/>
          <w:sz w:val="24"/>
          <w:highlight w:val="none"/>
        </w:rPr>
        <w:fldChar w:fldCharType="separate"/>
      </w:r>
      <w:r>
        <w:rPr>
          <w:color w:val="auto"/>
          <w:sz w:val="24"/>
          <w:highlight w:val="none"/>
        </w:rPr>
        <w:t>13.3</w:t>
      </w:r>
      <w:r>
        <w:rPr>
          <w:color w:val="auto"/>
          <w:sz w:val="24"/>
          <w:highlight w:val="none"/>
        </w:rPr>
        <w:fldChar w:fldCharType="end"/>
      </w:r>
      <w:r>
        <w:rPr>
          <w:rFonts w:hint="eastAsia"/>
          <w:color w:val="auto"/>
          <w:sz w:val="24"/>
          <w:highlight w:val="none"/>
        </w:rPr>
        <w:t>处理。</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如甲方同意乙方更换货物，需另行签订补充协议，乙方承诺如更换货物的品质不低于原合同的，按原合同价格结算。</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不履行保修义务或拖延履行保修义务，或乙方存在恶意磋商或虚假承诺等不正当竞争行为，甲方有权罚没其履约保证金，或扣除合同总价格5%的违约金，同时甲方有权将乙方列入不良行为记录名单、一年内禁止其参加甲方的任何采购活动。</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由于乙方所提供的产品质量不合格给甲方或第三方造成人身财产损失的，乙方应承担全部责任。</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甲方验收不合格的货物，乙方须于接到甲方通知之日起15个工作日内从甲方仓库出库；逾期出库的，每逾期一天，乙方按逾期出库货物总价格的0.5</w:t>
      </w:r>
      <w:r>
        <w:rPr>
          <w:color w:val="auto"/>
          <w:sz w:val="24"/>
          <w:highlight w:val="none"/>
        </w:rPr>
        <w:t>%</w:t>
      </w:r>
      <w:r>
        <w:rPr>
          <w:rFonts w:hint="eastAsia"/>
          <w:color w:val="auto"/>
          <w:sz w:val="24"/>
          <w:highlight w:val="none"/>
        </w:rPr>
        <w:t>向甲方支付违约金；逾期超过</w:t>
      </w:r>
      <w:r>
        <w:rPr>
          <w:color w:val="auto"/>
          <w:sz w:val="24"/>
          <w:highlight w:val="none"/>
        </w:rPr>
        <w:t>2</w:t>
      </w:r>
      <w:r>
        <w:rPr>
          <w:rFonts w:hint="eastAsia"/>
          <w:color w:val="auto"/>
          <w:sz w:val="24"/>
          <w:highlight w:val="none"/>
        </w:rPr>
        <w:t>0天仍不出库的，视为乙方同意放弃这些不合格货物的所有权利，并委托甲方全权处置这些货物，处置费用由乙方承担。</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乙方违反其他合同条款的，需向甲方支付合同价格5%-10</w:t>
      </w:r>
      <w:r>
        <w:rPr>
          <w:color w:val="auto"/>
          <w:sz w:val="24"/>
          <w:highlight w:val="none"/>
        </w:rPr>
        <w:t>%</w:t>
      </w:r>
      <w:r>
        <w:rPr>
          <w:rFonts w:hint="eastAsia"/>
          <w:color w:val="auto"/>
          <w:sz w:val="24"/>
          <w:highlight w:val="none"/>
        </w:rPr>
        <w:t>的违约金。</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因乙方原因解除合同的，应向甲方支付合同价格10</w:t>
      </w:r>
      <w:r>
        <w:rPr>
          <w:color w:val="auto"/>
          <w:sz w:val="24"/>
          <w:highlight w:val="none"/>
        </w:rPr>
        <w:t>%</w:t>
      </w:r>
      <w:r>
        <w:rPr>
          <w:rFonts w:hint="eastAsia"/>
          <w:color w:val="auto"/>
          <w:sz w:val="24"/>
          <w:highlight w:val="none"/>
        </w:rPr>
        <w:t>的违约金，如造成甲方损失的，乙方应承担赔偿责任。</w:t>
      </w:r>
    </w:p>
    <w:p>
      <w:pPr>
        <w:pStyle w:val="47"/>
        <w:numPr>
          <w:ilvl w:val="1"/>
          <w:numId w:val="17"/>
        </w:numPr>
        <w:tabs>
          <w:tab w:val="left" w:pos="709"/>
        </w:tabs>
        <w:spacing w:before="120" w:beforeLines="50" w:after="120" w:afterLines="50"/>
        <w:ind w:firstLineChars="0"/>
        <w:rPr>
          <w:color w:val="auto"/>
          <w:sz w:val="24"/>
          <w:highlight w:val="none"/>
        </w:rPr>
      </w:pPr>
      <w:r>
        <w:rPr>
          <w:rFonts w:hint="eastAsia"/>
          <w:color w:val="auto"/>
          <w:sz w:val="24"/>
          <w:highlight w:val="none"/>
        </w:rPr>
        <w:t>本合同中所列的违约金和赔偿款，甲方有权从履约保证金或货款中扣除。所有违约金和赔偿款的支付，不免除乙方继续履行合同义务，也不减轻乙方合同项下的其他责任和义务。</w:t>
      </w:r>
    </w:p>
    <w:p>
      <w:pPr>
        <w:pStyle w:val="3"/>
        <w:numPr>
          <w:ilvl w:val="0"/>
          <w:numId w:val="17"/>
        </w:numPr>
        <w:spacing w:before="240" w:beforeLines="100" w:after="120" w:afterLines="50" w:line="240" w:lineRule="auto"/>
        <w:ind w:left="0" w:firstLine="0"/>
        <w:rPr>
          <w:color w:val="auto"/>
          <w:sz w:val="24"/>
          <w:highlight w:val="none"/>
        </w:rPr>
      </w:pPr>
      <w:bookmarkStart w:id="208" w:name="_Toc369786996"/>
      <w:bookmarkStart w:id="209" w:name="_Toc437544549"/>
      <w:bookmarkStart w:id="210" w:name="_Toc24935"/>
      <w:r>
        <w:rPr>
          <w:rFonts w:hint="eastAsia"/>
          <w:color w:val="auto"/>
          <w:sz w:val="24"/>
          <w:highlight w:val="none"/>
        </w:rPr>
        <w:t>不可抗力</w:t>
      </w:r>
      <w:bookmarkEnd w:id="208"/>
      <w:bookmarkEnd w:id="209"/>
      <w:bookmarkEnd w:id="210"/>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0"/>
          <w:numId w:val="26"/>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不可抗力系指甲乙双方在缔结合同时所不能预见的，并且它的发生及其后果是无法避免和无法克服的事件，诸如战争、严重火灾、洪水、台风、地震等。</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受阻方应在不可抗力事件发生后</w:t>
      </w:r>
      <w:r>
        <w:rPr>
          <w:color w:val="auto"/>
          <w:sz w:val="24"/>
          <w:highlight w:val="none"/>
        </w:rPr>
        <w:t>7</w:t>
      </w:r>
      <w:r>
        <w:rPr>
          <w:rFonts w:hint="eastAsia"/>
          <w:color w:val="auto"/>
          <w:sz w:val="24"/>
          <w:highlight w:val="none"/>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发生不可抗力事件时，双方应各自承担不可抗力事件对其造成的损失。</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若不可抗力发生使合同执行受阻，则合同执行时间根据受影响的时间相应延长，但合同价格不得调整。</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一旦不可抗力事件的影响持续60天以上，双方应通过友好协商在合理的时间内达成一致的处理办法。</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迟延履行期间发生的不可抗力不具有免责效力。</w:t>
      </w:r>
    </w:p>
    <w:p>
      <w:pPr>
        <w:pStyle w:val="3"/>
        <w:numPr>
          <w:ilvl w:val="0"/>
          <w:numId w:val="17"/>
        </w:numPr>
        <w:spacing w:before="240" w:beforeLines="100" w:after="120" w:afterLines="50" w:line="240" w:lineRule="auto"/>
        <w:ind w:left="0" w:firstLine="0"/>
        <w:rPr>
          <w:color w:val="auto"/>
          <w:sz w:val="24"/>
          <w:highlight w:val="none"/>
        </w:rPr>
      </w:pPr>
      <w:bookmarkStart w:id="211" w:name="_Toc437544550"/>
      <w:bookmarkStart w:id="212" w:name="_Toc369786997"/>
      <w:bookmarkStart w:id="213" w:name="_Toc21334"/>
      <w:r>
        <w:rPr>
          <w:rFonts w:hint="eastAsia"/>
          <w:color w:val="auto"/>
          <w:sz w:val="24"/>
          <w:highlight w:val="none"/>
        </w:rPr>
        <w:t>税费</w:t>
      </w:r>
      <w:bookmarkEnd w:id="211"/>
      <w:bookmarkEnd w:id="212"/>
      <w:bookmarkEnd w:id="213"/>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0"/>
          <w:numId w:val="27"/>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中国政府向乙方征收的与履行本合同有关的一切税费由乙方支付。</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发生在中国境外的，与履行本合同有关的一切税费，应由乙方承担。</w:t>
      </w:r>
    </w:p>
    <w:p>
      <w:pPr>
        <w:pStyle w:val="3"/>
        <w:numPr>
          <w:ilvl w:val="0"/>
          <w:numId w:val="17"/>
        </w:numPr>
        <w:spacing w:before="240" w:beforeLines="100" w:after="120" w:afterLines="50" w:line="240" w:lineRule="auto"/>
        <w:ind w:left="0" w:firstLine="0"/>
        <w:rPr>
          <w:color w:val="auto"/>
          <w:sz w:val="24"/>
          <w:highlight w:val="none"/>
        </w:rPr>
      </w:pPr>
      <w:bookmarkStart w:id="214" w:name="_Toc437544551"/>
      <w:bookmarkStart w:id="215" w:name="_Toc369786998"/>
      <w:bookmarkStart w:id="216" w:name="_Toc29490"/>
      <w:r>
        <w:rPr>
          <w:rFonts w:hint="eastAsia"/>
          <w:color w:val="auto"/>
          <w:sz w:val="24"/>
          <w:highlight w:val="none"/>
        </w:rPr>
        <w:t>变更指示</w:t>
      </w:r>
      <w:bookmarkEnd w:id="214"/>
      <w:bookmarkEnd w:id="215"/>
      <w:bookmarkEnd w:id="216"/>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0"/>
          <w:numId w:val="28"/>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甲方可随时向乙方发出书面的变更指示，若该变更导致了乙方履行合同项下任何部分义务的费用或所需时间的增减，应对合同价格或交货进度进行合理的调整，另行签订补充合同。</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对合同条款做出任何改动或偏离，均须由甲乙双方签署书面协议或合同。</w:t>
      </w:r>
    </w:p>
    <w:p>
      <w:pPr>
        <w:pStyle w:val="3"/>
        <w:numPr>
          <w:ilvl w:val="0"/>
          <w:numId w:val="17"/>
        </w:numPr>
        <w:spacing w:before="240" w:beforeLines="100" w:after="120" w:afterLines="50" w:line="240" w:lineRule="auto"/>
        <w:ind w:left="0" w:firstLine="0"/>
        <w:rPr>
          <w:color w:val="auto"/>
          <w:sz w:val="24"/>
          <w:highlight w:val="none"/>
        </w:rPr>
      </w:pPr>
      <w:bookmarkStart w:id="217" w:name="_Toc437544552"/>
      <w:bookmarkStart w:id="218" w:name="_Toc2451"/>
      <w:bookmarkStart w:id="219" w:name="_Toc369786999"/>
      <w:r>
        <w:rPr>
          <w:rFonts w:hint="eastAsia"/>
          <w:color w:val="auto"/>
          <w:sz w:val="24"/>
          <w:highlight w:val="none"/>
        </w:rPr>
        <w:t>转让和分包</w:t>
      </w:r>
      <w:bookmarkEnd w:id="217"/>
      <w:bookmarkEnd w:id="218"/>
    </w:p>
    <w:p>
      <w:pPr>
        <w:spacing w:before="120" w:beforeLines="50" w:after="120" w:afterLines="50"/>
        <w:ind w:firstLine="480" w:firstLineChars="200"/>
        <w:rPr>
          <w:color w:val="auto"/>
          <w:sz w:val="24"/>
          <w:highlight w:val="none"/>
        </w:rPr>
      </w:pPr>
      <w:r>
        <w:rPr>
          <w:rFonts w:hint="eastAsia"/>
          <w:color w:val="auto"/>
          <w:sz w:val="24"/>
          <w:highlight w:val="none"/>
        </w:rPr>
        <w:t>除甲方事先书面同意外，乙方不得将其合同权利、责任和义务部分转让或全部转让或转移给第三方。</w:t>
      </w:r>
    </w:p>
    <w:bookmarkEnd w:id="219"/>
    <w:p>
      <w:pPr>
        <w:pStyle w:val="3"/>
        <w:numPr>
          <w:ilvl w:val="0"/>
          <w:numId w:val="17"/>
        </w:numPr>
        <w:spacing w:before="240" w:beforeLines="100" w:after="120" w:afterLines="50" w:line="240" w:lineRule="auto"/>
        <w:ind w:left="0" w:firstLine="0"/>
        <w:rPr>
          <w:color w:val="auto"/>
          <w:sz w:val="24"/>
          <w:highlight w:val="none"/>
        </w:rPr>
      </w:pPr>
      <w:bookmarkStart w:id="220" w:name="_Toc437544553"/>
      <w:bookmarkStart w:id="221" w:name="_Toc8129"/>
      <w:bookmarkStart w:id="222" w:name="_Toc369787000"/>
      <w:r>
        <w:rPr>
          <w:rFonts w:hint="eastAsia"/>
          <w:color w:val="auto"/>
          <w:sz w:val="24"/>
          <w:highlight w:val="none"/>
        </w:rPr>
        <w:t>争端处理</w:t>
      </w:r>
      <w:bookmarkEnd w:id="220"/>
      <w:bookmarkEnd w:id="221"/>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pStyle w:val="47"/>
        <w:numPr>
          <w:ilvl w:val="0"/>
          <w:numId w:val="29"/>
        </w:numPr>
        <w:ind w:firstLineChars="0"/>
        <w:rPr>
          <w:rFonts w:ascii="宋体" w:hAnsi="宋体"/>
          <w:vanish/>
          <w:color w:val="auto"/>
          <w:kern w:val="0"/>
          <w:sz w:val="24"/>
          <w:highlight w:val="none"/>
        </w:rPr>
      </w:pPr>
    </w:p>
    <w:p>
      <w:pPr>
        <w:spacing w:before="120" w:beforeLines="50" w:line="360" w:lineRule="auto"/>
        <w:rPr>
          <w:rFonts w:ascii="宋体" w:hAnsi="宋体"/>
          <w:color w:val="auto"/>
          <w:kern w:val="0"/>
          <w:sz w:val="24"/>
          <w:highlight w:val="none"/>
        </w:rPr>
      </w:pPr>
      <w:r>
        <w:rPr>
          <w:rFonts w:hint="eastAsia" w:ascii="宋体" w:hAnsi="宋体"/>
          <w:color w:val="auto"/>
          <w:kern w:val="0"/>
          <w:sz w:val="24"/>
          <w:highlight w:val="none"/>
        </w:rPr>
        <w:t>本合同发生争议，由双方友好协商解决，协商不成，依法向南宁市青秀区人民法院提起诉讼。</w:t>
      </w:r>
    </w:p>
    <w:bookmarkEnd w:id="222"/>
    <w:p>
      <w:pPr>
        <w:pStyle w:val="3"/>
        <w:numPr>
          <w:ilvl w:val="0"/>
          <w:numId w:val="17"/>
        </w:numPr>
        <w:spacing w:before="240" w:beforeLines="100" w:after="120" w:afterLines="50" w:line="240" w:lineRule="auto"/>
        <w:ind w:left="0" w:firstLine="0"/>
        <w:rPr>
          <w:color w:val="auto"/>
          <w:sz w:val="24"/>
          <w:highlight w:val="none"/>
        </w:rPr>
      </w:pPr>
      <w:bookmarkStart w:id="223" w:name="_Toc437544554"/>
      <w:bookmarkStart w:id="224" w:name="_Toc24501"/>
      <w:bookmarkStart w:id="225" w:name="_Toc369787001"/>
      <w:r>
        <w:rPr>
          <w:rFonts w:hint="eastAsia"/>
          <w:color w:val="auto"/>
          <w:sz w:val="24"/>
          <w:highlight w:val="none"/>
        </w:rPr>
        <w:t>合同生效及其它</w:t>
      </w:r>
      <w:bookmarkEnd w:id="223"/>
      <w:bookmarkEnd w:id="224"/>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0"/>
          <w:numId w:val="30"/>
        </w:numPr>
        <w:ind w:firstLineChars="0"/>
        <w:rPr>
          <w:rFonts w:ascii="宋体" w:hAnsi="宋体"/>
          <w:vanish/>
          <w:color w:val="auto"/>
          <w:kern w:val="0"/>
          <w:sz w:val="24"/>
          <w:highlight w:val="none"/>
        </w:rPr>
      </w:pP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本合同在甲方收到乙方支付的履约保证金后，双方签字盖章后生效。</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下列合同附件为本合同不可分割的部分并与本合同具有同等效力：</w:t>
      </w:r>
    </w:p>
    <w:p>
      <w:pPr>
        <w:pStyle w:val="47"/>
        <w:numPr>
          <w:ilvl w:val="2"/>
          <w:numId w:val="17"/>
        </w:numPr>
        <w:ind w:left="811" w:hanging="811" w:hangingChars="338"/>
        <w:rPr>
          <w:color w:val="auto"/>
          <w:sz w:val="24"/>
          <w:highlight w:val="none"/>
        </w:rPr>
      </w:pPr>
      <w:r>
        <w:rPr>
          <w:rFonts w:hint="eastAsia"/>
          <w:color w:val="auto"/>
          <w:sz w:val="24"/>
          <w:highlight w:val="none"/>
        </w:rPr>
        <w:t>分项报价表；</w:t>
      </w:r>
    </w:p>
    <w:p>
      <w:pPr>
        <w:pStyle w:val="47"/>
        <w:numPr>
          <w:ilvl w:val="2"/>
          <w:numId w:val="17"/>
        </w:numPr>
        <w:ind w:left="811" w:hanging="811" w:hangingChars="338"/>
        <w:rPr>
          <w:color w:val="auto"/>
          <w:sz w:val="24"/>
          <w:highlight w:val="none"/>
        </w:rPr>
      </w:pPr>
      <w:r>
        <w:rPr>
          <w:rFonts w:hint="eastAsia"/>
          <w:color w:val="auto"/>
          <w:sz w:val="24"/>
          <w:highlight w:val="none"/>
        </w:rPr>
        <w:t>廉政合同。</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下列文件是本合同不可分割的组成部分，本合同未尽事宜从其规定，相互解释，互为说明。除合同另有规定外，其优先顺序如下</w:t>
      </w:r>
      <w:r>
        <w:rPr>
          <w:color w:val="auto"/>
          <w:sz w:val="24"/>
          <w:highlight w:val="none"/>
        </w:rPr>
        <w:t>:</w:t>
      </w:r>
    </w:p>
    <w:p>
      <w:pPr>
        <w:pStyle w:val="47"/>
        <w:numPr>
          <w:ilvl w:val="2"/>
          <w:numId w:val="17"/>
        </w:numPr>
        <w:ind w:left="811" w:hanging="811" w:hangingChars="338"/>
        <w:rPr>
          <w:color w:val="auto"/>
          <w:sz w:val="24"/>
          <w:highlight w:val="none"/>
        </w:rPr>
      </w:pPr>
      <w:r>
        <w:rPr>
          <w:rFonts w:hint="eastAsia"/>
          <w:color w:val="auto"/>
          <w:sz w:val="24"/>
          <w:highlight w:val="none"/>
        </w:rPr>
        <w:t>中选通知书；</w:t>
      </w:r>
    </w:p>
    <w:p>
      <w:pPr>
        <w:pStyle w:val="47"/>
        <w:numPr>
          <w:ilvl w:val="2"/>
          <w:numId w:val="17"/>
        </w:numPr>
        <w:ind w:left="811" w:hanging="811" w:hangingChars="338"/>
        <w:rPr>
          <w:color w:val="auto"/>
          <w:sz w:val="24"/>
          <w:highlight w:val="none"/>
        </w:rPr>
      </w:pPr>
      <w:r>
        <w:rPr>
          <w:rFonts w:hint="eastAsia"/>
          <w:color w:val="auto"/>
          <w:sz w:val="24"/>
          <w:highlight w:val="none"/>
        </w:rPr>
        <w:t>本合同文本及附件；</w:t>
      </w:r>
    </w:p>
    <w:p>
      <w:pPr>
        <w:pStyle w:val="47"/>
        <w:numPr>
          <w:ilvl w:val="2"/>
          <w:numId w:val="17"/>
        </w:numPr>
        <w:ind w:left="811" w:hanging="811" w:hangingChars="338"/>
        <w:rPr>
          <w:color w:val="auto"/>
          <w:sz w:val="24"/>
          <w:highlight w:val="none"/>
        </w:rPr>
      </w:pPr>
      <w:r>
        <w:rPr>
          <w:rFonts w:hint="eastAsia"/>
          <w:color w:val="auto"/>
          <w:sz w:val="24"/>
          <w:highlight w:val="none"/>
        </w:rPr>
        <w:t>比选过程中的澄清文件；</w:t>
      </w:r>
    </w:p>
    <w:p>
      <w:pPr>
        <w:pStyle w:val="47"/>
        <w:numPr>
          <w:ilvl w:val="2"/>
          <w:numId w:val="17"/>
        </w:numPr>
        <w:ind w:left="811" w:hanging="811" w:hangingChars="338"/>
        <w:rPr>
          <w:color w:val="auto"/>
          <w:sz w:val="24"/>
          <w:highlight w:val="none"/>
        </w:rPr>
      </w:pPr>
      <w:r>
        <w:rPr>
          <w:rFonts w:hint="eastAsia"/>
          <w:color w:val="auto"/>
          <w:sz w:val="24"/>
          <w:highlight w:val="none"/>
        </w:rPr>
        <w:t>比选文件；</w:t>
      </w:r>
    </w:p>
    <w:p>
      <w:pPr>
        <w:pStyle w:val="47"/>
        <w:numPr>
          <w:ilvl w:val="2"/>
          <w:numId w:val="17"/>
        </w:numPr>
        <w:ind w:left="811" w:hanging="811" w:hangingChars="338"/>
        <w:rPr>
          <w:color w:val="auto"/>
          <w:sz w:val="24"/>
          <w:highlight w:val="none"/>
        </w:rPr>
      </w:pPr>
      <w:r>
        <w:rPr>
          <w:rFonts w:hint="eastAsia"/>
          <w:color w:val="auto"/>
          <w:sz w:val="24"/>
          <w:highlight w:val="none"/>
        </w:rPr>
        <w:t>比选申请文件；</w:t>
      </w:r>
    </w:p>
    <w:p>
      <w:pPr>
        <w:pStyle w:val="47"/>
        <w:numPr>
          <w:ilvl w:val="2"/>
          <w:numId w:val="17"/>
        </w:numPr>
        <w:ind w:left="811" w:hanging="811" w:hangingChars="338"/>
        <w:rPr>
          <w:color w:val="auto"/>
          <w:sz w:val="24"/>
          <w:highlight w:val="none"/>
        </w:rPr>
      </w:pPr>
      <w:r>
        <w:rPr>
          <w:rFonts w:hint="eastAsia"/>
          <w:color w:val="auto"/>
          <w:sz w:val="24"/>
          <w:highlight w:val="none"/>
        </w:rPr>
        <w:t>南宁轨道交通集团有限责任公司制定的相关文件。</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本合同正本</w:t>
      </w:r>
      <w:r>
        <w:rPr>
          <w:color w:val="auto"/>
          <w:sz w:val="24"/>
          <w:highlight w:val="none"/>
        </w:rPr>
        <w:t>2</w:t>
      </w:r>
      <w:r>
        <w:rPr>
          <w:rFonts w:hint="eastAsia"/>
          <w:color w:val="auto"/>
          <w:sz w:val="24"/>
          <w:highlight w:val="none"/>
        </w:rPr>
        <w:t>份，甲、乙双方各</w:t>
      </w:r>
      <w:r>
        <w:rPr>
          <w:color w:val="auto"/>
          <w:sz w:val="24"/>
          <w:highlight w:val="none"/>
        </w:rPr>
        <w:t>1</w:t>
      </w:r>
      <w:r>
        <w:rPr>
          <w:rFonts w:hint="eastAsia"/>
          <w:color w:val="auto"/>
          <w:sz w:val="24"/>
          <w:highlight w:val="none"/>
        </w:rPr>
        <w:t>份；副本6份，甲方5份，乙方1份；正副本均具有同等法律效力。若正本与副本内容有偏离时，以正本为准。</w:t>
      </w:r>
    </w:p>
    <w:p>
      <w:pPr>
        <w:pStyle w:val="47"/>
        <w:numPr>
          <w:ilvl w:val="1"/>
          <w:numId w:val="17"/>
        </w:numPr>
        <w:spacing w:before="120" w:beforeLines="50" w:after="120" w:afterLines="50"/>
        <w:ind w:firstLineChars="0"/>
        <w:rPr>
          <w:color w:val="auto"/>
          <w:sz w:val="24"/>
          <w:highlight w:val="none"/>
        </w:rPr>
      </w:pPr>
      <w:r>
        <w:rPr>
          <w:rFonts w:hint="eastAsia"/>
          <w:color w:val="auto"/>
          <w:sz w:val="24"/>
          <w:highlight w:val="none"/>
        </w:rPr>
        <w:t>甲乙双方未尽事宜，经协商一致，可签订补充协议，补充协议与本合同具有同等法律效力。</w:t>
      </w:r>
    </w:p>
    <w:bookmarkEnd w:id="225"/>
    <w:p>
      <w:pPr>
        <w:rPr>
          <w:rFonts w:ascii="宋体" w:hAnsi="宋体"/>
          <w:color w:val="auto"/>
          <w:kern w:val="0"/>
          <w:sz w:val="24"/>
          <w:highlight w:val="none"/>
        </w:rPr>
      </w:pPr>
    </w:p>
    <w:tbl>
      <w:tblPr>
        <w:tblStyle w:val="40"/>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电话：0771-2332807</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纳税人识别号：914501006821248433</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开户银行：建行南宁市朝阳支行营业部</w:t>
            </w:r>
          </w:p>
        </w:tc>
        <w:tc>
          <w:tcPr>
            <w:tcW w:w="516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r>
              <w:rPr>
                <w:rFonts w:ascii="宋体" w:hAnsi="宋体"/>
                <w:color w:val="auto"/>
                <w:kern w:val="0"/>
                <w:sz w:val="24"/>
                <w:highlight w:val="none"/>
              </w:rPr>
              <w:t>45001604473059116688</w:t>
            </w:r>
          </w:p>
        </w:tc>
        <w:tc>
          <w:tcPr>
            <w:tcW w:w="5162"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bl>
    <w:p>
      <w:pPr>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ind w:right="-86" w:rightChars="-41"/>
        <w:rPr>
          <w:rFonts w:ascii="宋体" w:hAnsi="宋体"/>
          <w:color w:val="auto"/>
          <w:kern w:val="0"/>
          <w:sz w:val="24"/>
          <w:highlight w:val="none"/>
        </w:rPr>
      </w:pPr>
      <w:r>
        <w:rPr>
          <w:rFonts w:hint="eastAsia" w:ascii="宋体" w:hAnsi="宋体"/>
          <w:color w:val="auto"/>
          <w:kern w:val="0"/>
          <w:sz w:val="24"/>
          <w:highlight w:val="none"/>
        </w:rPr>
        <w:t>附件(二)</w:t>
      </w:r>
    </w:p>
    <w:p>
      <w:pPr>
        <w:pStyle w:val="3"/>
        <w:spacing w:before="0" w:after="100" w:afterAutospacing="1" w:line="240" w:lineRule="auto"/>
        <w:jc w:val="center"/>
        <w:rPr>
          <w:color w:val="auto"/>
          <w:sz w:val="36"/>
          <w:highlight w:val="none"/>
        </w:rPr>
      </w:pPr>
      <w:bookmarkStart w:id="226" w:name="_Toc11537"/>
      <w:r>
        <w:rPr>
          <w:rFonts w:hint="eastAsia"/>
          <w:color w:val="auto"/>
          <w:sz w:val="36"/>
          <w:highlight w:val="none"/>
        </w:rPr>
        <w:t>廉 政 合 同</w:t>
      </w:r>
      <w:bookmarkEnd w:id="226"/>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甲方 ：南宁轨道交通集团有限责任公司</w:t>
      </w:r>
    </w:p>
    <w:p>
      <w:pPr>
        <w:widowControl/>
        <w:autoSpaceDE w:val="0"/>
        <w:autoSpaceDN w:val="0"/>
        <w:spacing w:line="400" w:lineRule="exact"/>
        <w:ind w:firstLine="420"/>
        <w:textAlignment w:val="bottom"/>
        <w:rPr>
          <w:rFonts w:ascii="宋体" w:hAnsi="宋体"/>
          <w:color w:val="auto"/>
          <w:sz w:val="24"/>
          <w:szCs w:val="21"/>
          <w:highlight w:val="none"/>
        </w:rPr>
      </w:pPr>
      <w:r>
        <w:rPr>
          <w:rFonts w:hint="eastAsia" w:ascii="宋体" w:hAnsi="宋体"/>
          <w:color w:val="auto"/>
          <w:sz w:val="24"/>
          <w:szCs w:val="21"/>
          <w:highlight w:val="none"/>
        </w:rPr>
        <w:t>乙方 ：</w:t>
      </w:r>
      <w:r>
        <w:rPr>
          <w:rFonts w:ascii="宋体" w:hAnsi="宋体"/>
          <w:color w:val="auto"/>
          <w:sz w:val="24"/>
          <w:szCs w:val="21"/>
          <w:highlight w:val="none"/>
        </w:rPr>
        <w:t xml:space="preserve"> </w:t>
      </w:r>
    </w:p>
    <w:p>
      <w:pPr>
        <w:spacing w:line="400" w:lineRule="exact"/>
        <w:ind w:firstLine="480" w:firstLineChars="200"/>
        <w:rPr>
          <w:rFonts w:ascii="宋体" w:hAnsi="宋体"/>
          <w:color w:val="auto"/>
          <w:sz w:val="24"/>
          <w:szCs w:val="21"/>
          <w:highlight w:val="none"/>
        </w:rPr>
      </w:pPr>
      <w:r>
        <w:rPr>
          <w:rFonts w:ascii="宋体" w:hAnsi="宋体"/>
          <w:color w:val="auto"/>
          <w:sz w:val="24"/>
          <w:szCs w:val="21"/>
          <w:highlight w:val="none"/>
        </w:rPr>
        <w:t>为加强</w:t>
      </w:r>
      <w:r>
        <w:rPr>
          <w:rFonts w:hint="eastAsia" w:ascii="宋体" w:hAnsi="宋体"/>
          <w:color w:val="auto"/>
          <w:sz w:val="24"/>
          <w:szCs w:val="21"/>
          <w:highlight w:val="none"/>
        </w:rPr>
        <w:t>采购工作</w:t>
      </w:r>
      <w:r>
        <w:rPr>
          <w:rFonts w:ascii="宋体" w:hAnsi="宋体"/>
          <w:color w:val="auto"/>
          <w:sz w:val="24"/>
          <w:szCs w:val="21"/>
          <w:highlight w:val="none"/>
        </w:rPr>
        <w:t>中的廉政建设，规范</w:t>
      </w:r>
      <w:r>
        <w:rPr>
          <w:rFonts w:hint="eastAsia" w:ascii="宋体" w:hAnsi="宋体"/>
          <w:color w:val="auto"/>
          <w:sz w:val="24"/>
          <w:szCs w:val="21"/>
          <w:highlight w:val="none"/>
        </w:rPr>
        <w:t>采购工作</w:t>
      </w:r>
      <w:r>
        <w:rPr>
          <w:rFonts w:ascii="宋体" w:hAnsi="宋体"/>
          <w:color w:val="auto"/>
          <w:sz w:val="24"/>
          <w:szCs w:val="21"/>
          <w:highlight w:val="none"/>
        </w:rPr>
        <w:t>过程中</w:t>
      </w:r>
      <w:r>
        <w:rPr>
          <w:rFonts w:hint="eastAsia" w:ascii="宋体" w:hAnsi="宋体"/>
          <w:color w:val="auto"/>
          <w:sz w:val="24"/>
          <w:szCs w:val="21"/>
          <w:highlight w:val="none"/>
        </w:rPr>
        <w:t>甲</w:t>
      </w:r>
      <w:r>
        <w:rPr>
          <w:rFonts w:ascii="宋体" w:hAnsi="宋体"/>
          <w:color w:val="auto"/>
          <w:sz w:val="24"/>
          <w:szCs w:val="21"/>
          <w:highlight w:val="none"/>
        </w:rPr>
        <w:t>、</w:t>
      </w:r>
      <w:r>
        <w:rPr>
          <w:rFonts w:hint="eastAsia" w:ascii="宋体" w:hAnsi="宋体"/>
          <w:color w:val="auto"/>
          <w:sz w:val="24"/>
          <w:szCs w:val="21"/>
          <w:highlight w:val="none"/>
        </w:rPr>
        <w:t>乙</w:t>
      </w:r>
      <w:r>
        <w:rPr>
          <w:rFonts w:ascii="宋体" w:hAnsi="宋体"/>
          <w:color w:val="auto"/>
          <w:sz w:val="24"/>
          <w:szCs w:val="21"/>
          <w:highlight w:val="none"/>
        </w:rPr>
        <w:t>双方的各项活动，防止发生各种谋取不正当利益的违法违纪行为，保护国家、集体和当事人的合法权益，根据国家有关</w:t>
      </w:r>
      <w:r>
        <w:rPr>
          <w:rFonts w:hint="eastAsia" w:ascii="宋体" w:hAnsi="宋体"/>
          <w:color w:val="auto"/>
          <w:sz w:val="24"/>
          <w:szCs w:val="21"/>
          <w:highlight w:val="none"/>
        </w:rPr>
        <w:t>采购工作</w:t>
      </w:r>
      <w:r>
        <w:rPr>
          <w:rFonts w:ascii="宋体" w:hAnsi="宋体"/>
          <w:color w:val="auto"/>
          <w:sz w:val="24"/>
          <w:szCs w:val="21"/>
          <w:highlight w:val="none"/>
        </w:rPr>
        <w:t>的法律法规和廉政建设责任制规定，特订立本廉政合同。</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第一条 </w:t>
      </w:r>
      <w:r>
        <w:rPr>
          <w:rFonts w:hint="eastAsia" w:ascii="宋体" w:hAnsi="宋体"/>
          <w:color w:val="auto"/>
          <w:sz w:val="24"/>
          <w:szCs w:val="21"/>
          <w:highlight w:val="none"/>
        </w:rPr>
        <w:t>甲乙</w:t>
      </w:r>
      <w:r>
        <w:rPr>
          <w:rFonts w:ascii="宋体" w:hAnsi="宋体"/>
          <w:color w:val="auto"/>
          <w:sz w:val="24"/>
          <w:szCs w:val="21"/>
          <w:highlight w:val="none"/>
        </w:rPr>
        <w:t>双方的责任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（一）应严格遵守国家关于市场准入、项目招标投标、</w:t>
      </w:r>
      <w:r>
        <w:rPr>
          <w:rFonts w:hint="eastAsia" w:ascii="宋体" w:hAnsi="宋体"/>
          <w:color w:val="auto"/>
          <w:sz w:val="24"/>
          <w:szCs w:val="21"/>
          <w:highlight w:val="none"/>
        </w:rPr>
        <w:t>采购工作</w:t>
      </w:r>
      <w:r>
        <w:rPr>
          <w:rFonts w:ascii="宋体" w:hAnsi="宋体"/>
          <w:color w:val="auto"/>
          <w:sz w:val="24"/>
          <w:szCs w:val="21"/>
          <w:highlight w:val="none"/>
        </w:rPr>
        <w:t>、招标代理管理、市场活动的有关法律、法规，相关政策，以及廉政建设的各项规定。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（二）严格执行</w:t>
      </w:r>
      <w:r>
        <w:rPr>
          <w:rFonts w:hint="eastAsia" w:ascii="宋体" w:hAnsi="宋体"/>
          <w:color w:val="auto"/>
          <w:sz w:val="24"/>
          <w:szCs w:val="21"/>
          <w:highlight w:val="none"/>
        </w:rPr>
        <w:t>本招标、采购合同</w:t>
      </w:r>
      <w:r>
        <w:rPr>
          <w:rFonts w:ascii="宋体" w:hAnsi="宋体"/>
          <w:color w:val="auto"/>
          <w:sz w:val="24"/>
          <w:szCs w:val="21"/>
          <w:highlight w:val="none"/>
        </w:rPr>
        <w:t>文件，自觉按合同办事。</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（三）业务活动必须坚持公开、公平、公正、诚信、透明的原则（除法律法规另有规定者外），不得为获取不正当的利益，损害国家、集体和对方利益，不得违反</w:t>
      </w:r>
      <w:r>
        <w:rPr>
          <w:rFonts w:hint="eastAsia" w:ascii="宋体" w:hAnsi="宋体"/>
          <w:color w:val="auto"/>
          <w:sz w:val="24"/>
          <w:szCs w:val="21"/>
          <w:highlight w:val="none"/>
        </w:rPr>
        <w:t>采购工作</w:t>
      </w:r>
      <w:r>
        <w:rPr>
          <w:rFonts w:ascii="宋体" w:hAnsi="宋体"/>
          <w:color w:val="auto"/>
          <w:sz w:val="24"/>
          <w:szCs w:val="21"/>
          <w:highlight w:val="none"/>
        </w:rPr>
        <w:t>管理的规章制度。</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第二条 </w:t>
      </w:r>
      <w:r>
        <w:rPr>
          <w:rFonts w:hint="eastAsia" w:ascii="宋体" w:hAnsi="宋体"/>
          <w:color w:val="auto"/>
          <w:sz w:val="24"/>
          <w:szCs w:val="21"/>
          <w:highlight w:val="none"/>
        </w:rPr>
        <w:t>甲</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甲</w:t>
      </w:r>
      <w:r>
        <w:rPr>
          <w:rFonts w:ascii="宋体" w:hAnsi="宋体"/>
          <w:color w:val="auto"/>
          <w:sz w:val="24"/>
          <w:szCs w:val="21"/>
          <w:highlight w:val="none"/>
        </w:rPr>
        <w:t>方的领导和从事该</w:t>
      </w:r>
      <w:r>
        <w:rPr>
          <w:rFonts w:hint="eastAsia" w:ascii="宋体" w:hAnsi="宋体"/>
          <w:color w:val="auto"/>
          <w:sz w:val="24"/>
          <w:szCs w:val="21"/>
          <w:highlight w:val="none"/>
        </w:rPr>
        <w:t>采购</w:t>
      </w:r>
      <w:r>
        <w:rPr>
          <w:rFonts w:ascii="宋体" w:hAnsi="宋体"/>
          <w:color w:val="auto"/>
          <w:sz w:val="24"/>
          <w:szCs w:val="21"/>
          <w:highlight w:val="none"/>
        </w:rPr>
        <w:t>项目的工作人员，在</w:t>
      </w:r>
      <w:r>
        <w:rPr>
          <w:rFonts w:hint="eastAsia" w:ascii="宋体" w:hAnsi="宋体"/>
          <w:color w:val="auto"/>
          <w:sz w:val="24"/>
          <w:szCs w:val="21"/>
          <w:highlight w:val="none"/>
        </w:rPr>
        <w:t>采购工作</w:t>
      </w:r>
      <w:r>
        <w:rPr>
          <w:rFonts w:ascii="宋体" w:hAnsi="宋体"/>
          <w:color w:val="auto"/>
          <w:sz w:val="24"/>
          <w:szCs w:val="21"/>
          <w:highlight w:val="none"/>
        </w:rPr>
        <w:t>的事前、事中、事后应遵守以下规定：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（一）不准向</w:t>
      </w:r>
      <w:r>
        <w:rPr>
          <w:rFonts w:hint="eastAsia" w:ascii="宋体" w:hAnsi="宋体"/>
          <w:color w:val="auto"/>
          <w:sz w:val="24"/>
          <w:szCs w:val="21"/>
          <w:highlight w:val="none"/>
        </w:rPr>
        <w:t>乙</w:t>
      </w:r>
      <w:r>
        <w:rPr>
          <w:rFonts w:ascii="宋体" w:hAnsi="宋体"/>
          <w:color w:val="auto"/>
          <w:sz w:val="24"/>
          <w:szCs w:val="21"/>
          <w:highlight w:val="none"/>
        </w:rPr>
        <w:t>方和相关单位索要或接受回扣、礼金、有价证券、贵重物品和好处费、感谢费等。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（二）不准在</w:t>
      </w:r>
      <w:r>
        <w:rPr>
          <w:rFonts w:hint="eastAsia" w:ascii="宋体" w:hAnsi="宋体"/>
          <w:color w:val="auto"/>
          <w:sz w:val="24"/>
          <w:szCs w:val="21"/>
          <w:highlight w:val="none"/>
        </w:rPr>
        <w:t>乙方</w:t>
      </w:r>
      <w:r>
        <w:rPr>
          <w:rFonts w:ascii="宋体" w:hAnsi="宋体"/>
          <w:color w:val="auto"/>
          <w:sz w:val="24"/>
          <w:szCs w:val="21"/>
          <w:highlight w:val="none"/>
        </w:rPr>
        <w:t>和相关单位报销任何应由</w:t>
      </w:r>
      <w:r>
        <w:rPr>
          <w:rFonts w:hint="eastAsia" w:ascii="宋体" w:hAnsi="宋体"/>
          <w:color w:val="auto"/>
          <w:sz w:val="24"/>
          <w:szCs w:val="21"/>
          <w:highlight w:val="none"/>
        </w:rPr>
        <w:t>甲</w:t>
      </w:r>
      <w:r>
        <w:rPr>
          <w:rFonts w:ascii="宋体" w:hAnsi="宋体"/>
          <w:color w:val="auto"/>
          <w:sz w:val="24"/>
          <w:szCs w:val="21"/>
          <w:highlight w:val="none"/>
        </w:rPr>
        <w:t>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（三）不准要求、暗示或接受</w:t>
      </w:r>
      <w:r>
        <w:rPr>
          <w:rFonts w:hint="eastAsia" w:ascii="宋体" w:hAnsi="宋体"/>
          <w:color w:val="auto"/>
          <w:sz w:val="24"/>
          <w:szCs w:val="21"/>
          <w:highlight w:val="none"/>
        </w:rPr>
        <w:t>乙</w:t>
      </w:r>
      <w:r>
        <w:rPr>
          <w:rFonts w:ascii="宋体" w:hAnsi="宋体"/>
          <w:color w:val="auto"/>
          <w:sz w:val="24"/>
          <w:szCs w:val="21"/>
          <w:highlight w:val="none"/>
        </w:rPr>
        <w:t>方和相关单位为个人装修住房、婚丧嫁娶、配偶子女的工作安排以及出国（境）、旅游等提供方便。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（四）不准参加有可能影响公正执行公务的</w:t>
      </w:r>
      <w:r>
        <w:rPr>
          <w:rFonts w:hint="eastAsia" w:ascii="宋体" w:hAnsi="宋体"/>
          <w:color w:val="auto"/>
          <w:sz w:val="24"/>
          <w:szCs w:val="21"/>
          <w:highlight w:val="none"/>
        </w:rPr>
        <w:t>乙</w:t>
      </w:r>
      <w:r>
        <w:rPr>
          <w:rFonts w:ascii="宋体" w:hAnsi="宋体"/>
          <w:color w:val="auto"/>
          <w:sz w:val="24"/>
          <w:szCs w:val="21"/>
          <w:highlight w:val="none"/>
        </w:rPr>
        <w:t>方和相关单位的宴请、娱乐等活动。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（五）不准向</w:t>
      </w:r>
      <w:r>
        <w:rPr>
          <w:rFonts w:hint="eastAsia" w:ascii="宋体" w:hAnsi="宋体"/>
          <w:color w:val="auto"/>
          <w:sz w:val="24"/>
          <w:szCs w:val="21"/>
          <w:highlight w:val="none"/>
        </w:rPr>
        <w:t>乙</w:t>
      </w:r>
      <w:r>
        <w:rPr>
          <w:rFonts w:ascii="宋体" w:hAnsi="宋体"/>
          <w:color w:val="auto"/>
          <w:sz w:val="24"/>
          <w:szCs w:val="21"/>
          <w:highlight w:val="none"/>
        </w:rPr>
        <w:t>方和相关单位介绍或为配偶、子女、亲属参与同</w:t>
      </w:r>
      <w:r>
        <w:rPr>
          <w:rFonts w:hint="eastAsia" w:ascii="宋体" w:hAnsi="宋体"/>
          <w:color w:val="auto"/>
          <w:sz w:val="24"/>
          <w:szCs w:val="21"/>
          <w:highlight w:val="none"/>
        </w:rPr>
        <w:t>甲</w:t>
      </w:r>
      <w:r>
        <w:rPr>
          <w:rFonts w:ascii="宋体" w:hAnsi="宋体"/>
          <w:color w:val="auto"/>
          <w:sz w:val="24"/>
          <w:szCs w:val="21"/>
          <w:highlight w:val="none"/>
        </w:rPr>
        <w:t>方</w:t>
      </w:r>
      <w:r>
        <w:rPr>
          <w:rFonts w:hint="eastAsia" w:ascii="宋体" w:hAnsi="宋体"/>
          <w:color w:val="auto"/>
          <w:sz w:val="24"/>
          <w:szCs w:val="21"/>
          <w:highlight w:val="none"/>
        </w:rPr>
        <w:t>本</w:t>
      </w:r>
      <w:r>
        <w:rPr>
          <w:rFonts w:ascii="宋体" w:hAnsi="宋体"/>
          <w:color w:val="auto"/>
          <w:sz w:val="24"/>
          <w:szCs w:val="21"/>
          <w:highlight w:val="none"/>
        </w:rPr>
        <w:t>项目合同有关的业务等活动。不得以任何理由要求</w:t>
      </w:r>
      <w:r>
        <w:rPr>
          <w:rFonts w:hint="eastAsia" w:ascii="宋体" w:hAnsi="宋体"/>
          <w:color w:val="auto"/>
          <w:sz w:val="24"/>
          <w:szCs w:val="21"/>
          <w:highlight w:val="none"/>
        </w:rPr>
        <w:t>乙</w:t>
      </w:r>
      <w:r>
        <w:rPr>
          <w:rFonts w:ascii="宋体" w:hAnsi="宋体"/>
          <w:color w:val="auto"/>
          <w:sz w:val="24"/>
          <w:szCs w:val="21"/>
          <w:highlight w:val="none"/>
        </w:rPr>
        <w:t>方和相关单位在</w:t>
      </w:r>
      <w:r>
        <w:rPr>
          <w:rFonts w:hint="eastAsia" w:ascii="宋体" w:hAnsi="宋体"/>
          <w:color w:val="auto"/>
          <w:sz w:val="24"/>
          <w:szCs w:val="21"/>
          <w:highlight w:val="none"/>
        </w:rPr>
        <w:t>合同执行</w:t>
      </w:r>
      <w:r>
        <w:rPr>
          <w:rFonts w:ascii="宋体" w:hAnsi="宋体"/>
          <w:color w:val="auto"/>
          <w:sz w:val="24"/>
          <w:szCs w:val="21"/>
          <w:highlight w:val="none"/>
        </w:rPr>
        <w:t>中使用某种产品、材料和设备。</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 xml:space="preserve">第三条 </w:t>
      </w:r>
      <w:r>
        <w:rPr>
          <w:rFonts w:hint="eastAsia" w:ascii="宋体" w:hAnsi="宋体"/>
          <w:color w:val="auto"/>
          <w:sz w:val="24"/>
          <w:szCs w:val="21"/>
          <w:highlight w:val="none"/>
        </w:rPr>
        <w:t>乙</w:t>
      </w:r>
      <w:r>
        <w:rPr>
          <w:rFonts w:ascii="宋体" w:hAnsi="宋体"/>
          <w:color w:val="auto"/>
          <w:sz w:val="24"/>
          <w:szCs w:val="21"/>
          <w:highlight w:val="none"/>
        </w:rPr>
        <w:t>方的责任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应与</w:t>
      </w:r>
      <w:r>
        <w:rPr>
          <w:rFonts w:hint="eastAsia" w:ascii="宋体" w:hAnsi="宋体"/>
          <w:color w:val="auto"/>
          <w:sz w:val="24"/>
          <w:szCs w:val="21"/>
          <w:highlight w:val="none"/>
        </w:rPr>
        <w:t>甲</w:t>
      </w:r>
      <w:r>
        <w:rPr>
          <w:rFonts w:ascii="宋体" w:hAnsi="宋体"/>
          <w:color w:val="auto"/>
          <w:sz w:val="24"/>
          <w:szCs w:val="21"/>
          <w:highlight w:val="none"/>
        </w:rPr>
        <w:t>方保持正常的业务交往，按照有关法律法规和程序开展业务工作，严格执行</w:t>
      </w:r>
      <w:r>
        <w:rPr>
          <w:rFonts w:hint="eastAsia" w:ascii="宋体" w:hAnsi="宋体"/>
          <w:color w:val="auto"/>
          <w:sz w:val="24"/>
          <w:szCs w:val="21"/>
          <w:highlight w:val="none"/>
        </w:rPr>
        <w:t>采购工作</w:t>
      </w:r>
      <w:r>
        <w:rPr>
          <w:rFonts w:ascii="宋体" w:hAnsi="宋体"/>
          <w:color w:val="auto"/>
          <w:sz w:val="24"/>
          <w:szCs w:val="21"/>
          <w:highlight w:val="none"/>
        </w:rPr>
        <w:t>的有关方针、政策，尤其是有关</w:t>
      </w:r>
      <w:r>
        <w:rPr>
          <w:rFonts w:hint="eastAsia" w:ascii="宋体" w:hAnsi="宋体"/>
          <w:color w:val="auto"/>
          <w:sz w:val="24"/>
          <w:szCs w:val="21"/>
          <w:highlight w:val="none"/>
        </w:rPr>
        <w:t>本项目</w:t>
      </w:r>
      <w:r>
        <w:rPr>
          <w:rFonts w:ascii="宋体" w:hAnsi="宋体"/>
          <w:color w:val="auto"/>
          <w:sz w:val="24"/>
          <w:szCs w:val="21"/>
          <w:highlight w:val="none"/>
        </w:rPr>
        <w:t>的强制性标准和规范，并遵守以下规定：</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（一）不准以任何理由向</w:t>
      </w:r>
      <w:r>
        <w:rPr>
          <w:rFonts w:hint="eastAsia" w:ascii="宋体" w:hAnsi="宋体"/>
          <w:color w:val="auto"/>
          <w:sz w:val="24"/>
          <w:szCs w:val="21"/>
          <w:highlight w:val="none"/>
        </w:rPr>
        <w:t>甲</w:t>
      </w:r>
      <w:r>
        <w:rPr>
          <w:rFonts w:ascii="宋体" w:hAnsi="宋体"/>
          <w:color w:val="auto"/>
          <w:sz w:val="24"/>
          <w:szCs w:val="21"/>
          <w:highlight w:val="none"/>
        </w:rPr>
        <w:t>方及其工作人员索要、接受或赠送礼金、有价证券、贵重物品及回扣、好处费、感谢费等。</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（二）不准以任何理由为</w:t>
      </w:r>
      <w:r>
        <w:rPr>
          <w:rFonts w:hint="eastAsia" w:ascii="宋体" w:hAnsi="宋体"/>
          <w:color w:val="auto"/>
          <w:sz w:val="24"/>
          <w:szCs w:val="21"/>
          <w:highlight w:val="none"/>
        </w:rPr>
        <w:t>甲</w:t>
      </w:r>
      <w:r>
        <w:rPr>
          <w:rFonts w:ascii="宋体" w:hAnsi="宋体"/>
          <w:color w:val="auto"/>
          <w:sz w:val="24"/>
          <w:szCs w:val="21"/>
          <w:highlight w:val="none"/>
        </w:rPr>
        <w:t>方和相关单位报销应由对方或个人支付的费用。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（三）不准接受或暗示为</w:t>
      </w:r>
      <w:r>
        <w:rPr>
          <w:rFonts w:hint="eastAsia" w:ascii="宋体" w:hAnsi="宋体"/>
          <w:color w:val="auto"/>
          <w:sz w:val="24"/>
          <w:szCs w:val="21"/>
          <w:highlight w:val="none"/>
        </w:rPr>
        <w:t>甲</w:t>
      </w:r>
      <w:r>
        <w:rPr>
          <w:rFonts w:ascii="宋体" w:hAnsi="宋体"/>
          <w:color w:val="auto"/>
          <w:sz w:val="24"/>
          <w:szCs w:val="21"/>
          <w:highlight w:val="none"/>
        </w:rPr>
        <w:t>方、相关单位或个人装修住房、婚丧嫁娶、配偶子女的工作安排以及出国（境）、旅游等提供方便。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（四）不准以任何理由为</w:t>
      </w:r>
      <w:r>
        <w:rPr>
          <w:rFonts w:hint="eastAsia" w:ascii="宋体" w:hAnsi="宋体"/>
          <w:color w:val="auto"/>
          <w:sz w:val="24"/>
          <w:szCs w:val="21"/>
          <w:highlight w:val="none"/>
        </w:rPr>
        <w:t>甲</w:t>
      </w:r>
      <w:r>
        <w:rPr>
          <w:rFonts w:ascii="宋体" w:hAnsi="宋体"/>
          <w:color w:val="auto"/>
          <w:sz w:val="24"/>
          <w:szCs w:val="21"/>
          <w:highlight w:val="none"/>
        </w:rPr>
        <w:t>方、相关单位或个人组织有可能影响公正执行公务的宴请、健身、娱乐等活动。</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第四条 违约责任</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（一）</w:t>
      </w:r>
      <w:r>
        <w:rPr>
          <w:rFonts w:hint="eastAsia" w:ascii="宋体" w:hAnsi="宋体"/>
          <w:color w:val="auto"/>
          <w:sz w:val="24"/>
          <w:szCs w:val="21"/>
          <w:highlight w:val="none"/>
        </w:rPr>
        <w:t>甲</w:t>
      </w:r>
      <w:r>
        <w:rPr>
          <w:rFonts w:ascii="宋体" w:hAnsi="宋体"/>
          <w:color w:val="auto"/>
          <w:sz w:val="24"/>
          <w:szCs w:val="21"/>
          <w:highlight w:val="none"/>
        </w:rPr>
        <w:t>方工作人员有违反本协议第一、二条责任行为的，按照管理权限，依据有关法律法规和规定给予党纪、政纪处分或组织处理；涉嫌犯罪的，移交司法机关追究刑事责任；给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乙</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ascii="宋体" w:hAnsi="宋体"/>
          <w:color w:val="auto"/>
          <w:sz w:val="24"/>
          <w:szCs w:val="21"/>
          <w:highlight w:val="none"/>
        </w:rPr>
        <w:t>（二）</w:t>
      </w:r>
      <w:r>
        <w:rPr>
          <w:rFonts w:hint="eastAsia" w:ascii="宋体" w:hAnsi="宋体"/>
          <w:color w:val="auto"/>
          <w:sz w:val="24"/>
          <w:szCs w:val="21"/>
          <w:highlight w:val="none"/>
        </w:rPr>
        <w:t>乙</w:t>
      </w:r>
      <w:r>
        <w:rPr>
          <w:rFonts w:ascii="宋体" w:hAnsi="宋体"/>
          <w:color w:val="auto"/>
          <w:sz w:val="24"/>
          <w:szCs w:val="21"/>
          <w:highlight w:val="none"/>
        </w:rPr>
        <w:t>方工作人员有违反本协议第一、三条责任行为的，按照管理权限，依据有关法律法规和规定给予党纪、政纪处分或组织处理；涉嫌犯罪的，移交司法机关追究刑事责任；给</w:t>
      </w:r>
      <w:r>
        <w:rPr>
          <w:rFonts w:hint="eastAsia" w:ascii="宋体" w:hAnsi="宋体"/>
          <w:color w:val="auto"/>
          <w:sz w:val="24"/>
          <w:szCs w:val="21"/>
          <w:highlight w:val="none"/>
        </w:rPr>
        <w:t>甲</w:t>
      </w:r>
      <w:r>
        <w:rPr>
          <w:rFonts w:ascii="宋体" w:hAnsi="宋体"/>
          <w:color w:val="auto"/>
          <w:sz w:val="24"/>
          <w:szCs w:val="21"/>
          <w:highlight w:val="none"/>
        </w:rPr>
        <w:t>方单位造成经济损失的，应予以赔偿。</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第五条 本合同与南宁轨道交通集团有限责任公司运营分公司2018年</w:t>
      </w:r>
      <w:r>
        <w:rPr>
          <w:rFonts w:hint="eastAsia" w:ascii="宋体" w:hAnsi="宋体"/>
          <w:color w:val="auto"/>
          <w:sz w:val="24"/>
          <w:szCs w:val="21"/>
          <w:highlight w:val="none"/>
          <w:lang w:eastAsia="zh-CN"/>
        </w:rPr>
        <w:t>设备维修耗材</w:t>
      </w:r>
      <w:r>
        <w:rPr>
          <w:rFonts w:hint="eastAsia" w:ascii="宋体" w:hAnsi="宋体"/>
          <w:color w:val="auto"/>
          <w:sz w:val="24"/>
          <w:szCs w:val="21"/>
          <w:highlight w:val="none"/>
        </w:rPr>
        <w:t>采购项目合同书具有同等法律效力，经双方签字盖章后立即生效。</w:t>
      </w:r>
    </w:p>
    <w:p>
      <w:pPr>
        <w:spacing w:line="400" w:lineRule="exact"/>
        <w:ind w:firstLine="540" w:firstLineChars="225"/>
        <w:rPr>
          <w:rFonts w:ascii="宋体" w:hAnsi="宋体"/>
          <w:color w:val="auto"/>
          <w:sz w:val="24"/>
          <w:szCs w:val="21"/>
          <w:highlight w:val="none"/>
        </w:rPr>
      </w:pPr>
      <w:r>
        <w:rPr>
          <w:rFonts w:hint="eastAsia" w:ascii="宋体" w:hAnsi="宋体"/>
          <w:color w:val="auto"/>
          <w:sz w:val="24"/>
          <w:szCs w:val="21"/>
          <w:highlight w:val="none"/>
        </w:rPr>
        <w:t>第六条 本合同的有效期：自双方签字盖章之日起，有效期同南宁轨道交通集团有限责任公司运营分公司2018年</w:t>
      </w:r>
      <w:r>
        <w:rPr>
          <w:rFonts w:hint="eastAsia" w:ascii="宋体" w:hAnsi="宋体"/>
          <w:color w:val="auto"/>
          <w:sz w:val="24"/>
          <w:szCs w:val="21"/>
          <w:highlight w:val="none"/>
          <w:lang w:eastAsia="zh-CN"/>
        </w:rPr>
        <w:t>设备维修耗材</w:t>
      </w:r>
      <w:r>
        <w:rPr>
          <w:rFonts w:hint="eastAsia" w:ascii="宋体" w:hAnsi="宋体"/>
          <w:color w:val="auto"/>
          <w:sz w:val="24"/>
          <w:szCs w:val="21"/>
          <w:highlight w:val="none"/>
        </w:rPr>
        <w:t>采购项目合同书。</w:t>
      </w:r>
    </w:p>
    <w:p>
      <w:pPr>
        <w:spacing w:line="400" w:lineRule="exact"/>
        <w:rPr>
          <w:rFonts w:ascii="宋体" w:hAnsi="宋体"/>
          <w:color w:val="auto"/>
          <w:kern w:val="0"/>
          <w:sz w:val="24"/>
          <w:szCs w:val="21"/>
          <w:highlight w:val="none"/>
        </w:rPr>
      </w:pPr>
    </w:p>
    <w:tbl>
      <w:tblPr>
        <w:tblStyle w:val="40"/>
        <w:tblW w:w="103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5191"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bl>
    <w:p>
      <w:pPr>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pStyle w:val="3"/>
        <w:spacing w:before="0" w:after="100" w:afterAutospacing="1" w:line="240" w:lineRule="auto"/>
        <w:jc w:val="center"/>
        <w:rPr>
          <w:color w:val="auto"/>
          <w:sz w:val="36"/>
          <w:highlight w:val="none"/>
        </w:rPr>
      </w:pPr>
      <w:bookmarkStart w:id="227" w:name="_Toc8007"/>
      <w:r>
        <w:rPr>
          <w:rFonts w:hint="eastAsia"/>
          <w:color w:val="auto"/>
          <w:sz w:val="36"/>
          <w:highlight w:val="none"/>
        </w:rPr>
        <w:t>三方协议</w:t>
      </w:r>
      <w:bookmarkEnd w:id="227"/>
    </w:p>
    <w:p>
      <w:pPr>
        <w:spacing w:before="120" w:beforeLines="50"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鉴于甲、乙双方已签订《南宁轨道交通集团有限责任公司运营分公司2018年</w:t>
      </w:r>
      <w:r>
        <w:rPr>
          <w:rFonts w:hint="eastAsia" w:ascii="宋体" w:hAnsi="宋体"/>
          <w:color w:val="auto"/>
          <w:sz w:val="24"/>
          <w:szCs w:val="24"/>
          <w:highlight w:val="none"/>
          <w:lang w:eastAsia="zh-CN"/>
        </w:rPr>
        <w:t>设备维修耗材</w:t>
      </w:r>
      <w:r>
        <w:rPr>
          <w:rFonts w:hint="eastAsia" w:ascii="宋体" w:hAnsi="宋体"/>
          <w:color w:val="auto"/>
          <w:sz w:val="24"/>
          <w:szCs w:val="24"/>
          <w:highlight w:val="none"/>
        </w:rPr>
        <w:t>采购项目合同书》(合同编号</w:t>
      </w:r>
      <w:r>
        <w:rPr>
          <w:rFonts w:hint="eastAsia" w:ascii="宋体" w:hAnsi="宋体"/>
          <w:color w:val="auto"/>
          <w:sz w:val="24"/>
          <w:szCs w:val="24"/>
          <w:highlight w:val="none"/>
          <w:lang w:eastAsia="zh-CN"/>
        </w:rPr>
        <w:t>YY1/2/3-BX-HC-2018031</w:t>
      </w:r>
      <w:r>
        <w:rPr>
          <w:rFonts w:hint="eastAsia" w:ascii="宋体" w:hAnsi="宋体"/>
          <w:color w:val="auto"/>
          <w:sz w:val="24"/>
          <w:szCs w:val="24"/>
          <w:highlight w:val="none"/>
        </w:rPr>
        <w:t>，以下简称“原合同”)，遵循平等、自愿、公平和诚信的原则，经甲、乙、丙三方友好协商达成本协议，三方共同遵照履行。</w:t>
      </w:r>
    </w:p>
    <w:p>
      <w:pPr>
        <w:pStyle w:val="47"/>
        <w:spacing w:before="120" w:beforeLines="50" w:after="120" w:afterLines="50"/>
        <w:ind w:left="-420" w:leftChars="-200" w:firstLine="480"/>
        <w:outlineLvl w:val="0"/>
        <w:rPr>
          <w:rFonts w:ascii="宋体" w:hAnsi="宋体"/>
          <w:color w:val="auto"/>
          <w:sz w:val="24"/>
          <w:szCs w:val="24"/>
          <w:highlight w:val="none"/>
        </w:rPr>
      </w:pPr>
      <w:bookmarkStart w:id="228" w:name="_Toc29690"/>
      <w:r>
        <w:rPr>
          <w:rFonts w:hint="eastAsia" w:ascii="宋体" w:hAnsi="宋体"/>
          <w:color w:val="auto"/>
          <w:sz w:val="24"/>
          <w:szCs w:val="24"/>
          <w:highlight w:val="none"/>
        </w:rPr>
        <w:t>1、本协议明确涉及2号线（或“3号线”）货物的费用支付关系，生效后，乙方向丙方开具发票，由丙方向乙方支付经甲方核准的原合同应付价款。</w:t>
      </w:r>
      <w:bookmarkEnd w:id="228"/>
    </w:p>
    <w:p>
      <w:pPr>
        <w:pStyle w:val="47"/>
        <w:spacing w:before="120" w:beforeLines="50" w:after="120" w:afterLines="50"/>
        <w:ind w:left="-420" w:leftChars="-200" w:firstLine="480"/>
        <w:outlineLvl w:val="0"/>
        <w:rPr>
          <w:rFonts w:ascii="宋体" w:hAnsi="宋体"/>
          <w:color w:val="auto"/>
          <w:sz w:val="24"/>
          <w:szCs w:val="24"/>
          <w:highlight w:val="none"/>
        </w:rPr>
      </w:pPr>
      <w:bookmarkStart w:id="229" w:name="_Toc1360"/>
      <w:r>
        <w:rPr>
          <w:rFonts w:hint="eastAsia" w:ascii="宋体" w:hAnsi="宋体"/>
          <w:color w:val="auto"/>
          <w:sz w:val="24"/>
          <w:szCs w:val="24"/>
          <w:highlight w:val="none"/>
        </w:rPr>
        <w:t>2、除另有约定外，原合同的其他内容及履行方式不变。</w:t>
      </w:r>
      <w:bookmarkEnd w:id="229"/>
    </w:p>
    <w:p>
      <w:pPr>
        <w:pStyle w:val="47"/>
        <w:spacing w:before="120" w:beforeLines="50" w:after="120" w:afterLines="50"/>
        <w:ind w:left="-420" w:leftChars="-200" w:firstLine="480"/>
        <w:outlineLvl w:val="0"/>
        <w:rPr>
          <w:rFonts w:ascii="宋体" w:hAnsi="宋体"/>
          <w:color w:val="auto"/>
          <w:sz w:val="24"/>
          <w:szCs w:val="24"/>
          <w:highlight w:val="none"/>
        </w:rPr>
      </w:pPr>
      <w:bookmarkStart w:id="230" w:name="_Toc11951"/>
      <w:r>
        <w:rPr>
          <w:rFonts w:hint="eastAsia" w:ascii="宋体" w:hAnsi="宋体"/>
          <w:color w:val="auto"/>
          <w:sz w:val="24"/>
          <w:szCs w:val="24"/>
          <w:highlight w:val="none"/>
        </w:rPr>
        <w:t>3、因本协议发生的争议，按照原合同约定的争议解决方式处理，丙方亦无异议。</w:t>
      </w:r>
      <w:bookmarkEnd w:id="230"/>
    </w:p>
    <w:p>
      <w:pPr>
        <w:pStyle w:val="47"/>
        <w:spacing w:before="120" w:beforeLines="50" w:after="120" w:afterLines="50"/>
        <w:ind w:left="-420" w:leftChars="-200" w:firstLine="480"/>
        <w:outlineLvl w:val="0"/>
        <w:rPr>
          <w:rFonts w:ascii="宋体" w:hAnsi="宋体"/>
          <w:color w:val="auto"/>
          <w:sz w:val="24"/>
          <w:szCs w:val="24"/>
          <w:highlight w:val="none"/>
        </w:rPr>
      </w:pPr>
      <w:bookmarkStart w:id="231" w:name="_Toc14172"/>
      <w:r>
        <w:rPr>
          <w:rFonts w:hint="eastAsia" w:ascii="宋体" w:hAnsi="宋体"/>
          <w:color w:val="auto"/>
          <w:sz w:val="24"/>
          <w:szCs w:val="24"/>
          <w:highlight w:val="none"/>
        </w:rPr>
        <w:t>4、本协议经三方法定代表人或委托代理人签字盖章后生效。</w:t>
      </w:r>
      <w:bookmarkEnd w:id="231"/>
    </w:p>
    <w:p>
      <w:pPr>
        <w:pStyle w:val="47"/>
        <w:spacing w:before="120" w:beforeLines="50" w:after="120" w:afterLines="50"/>
        <w:ind w:left="-420" w:leftChars="-200" w:firstLine="480"/>
        <w:outlineLvl w:val="0"/>
        <w:rPr>
          <w:rFonts w:ascii="宋体" w:hAnsi="宋体"/>
          <w:color w:val="auto"/>
          <w:sz w:val="24"/>
          <w:szCs w:val="24"/>
          <w:highlight w:val="none"/>
        </w:rPr>
      </w:pPr>
      <w:bookmarkStart w:id="232" w:name="_Toc30764"/>
      <w:r>
        <w:rPr>
          <w:rFonts w:hint="eastAsia" w:ascii="宋体" w:hAnsi="宋体"/>
          <w:color w:val="auto"/>
          <w:sz w:val="24"/>
          <w:szCs w:val="24"/>
          <w:highlight w:val="none"/>
        </w:rPr>
        <w:t>5、本协议一式拾份：甲方陆份、乙方贰份、丙方贰份；具有同等法律效力。</w:t>
      </w:r>
      <w:bookmarkEnd w:id="232"/>
    </w:p>
    <w:p>
      <w:pPr>
        <w:rPr>
          <w:rFonts w:ascii="宋体" w:hAnsi="宋体"/>
          <w:color w:val="auto"/>
          <w:sz w:val="24"/>
          <w:szCs w:val="24"/>
          <w:highlight w:val="none"/>
        </w:rPr>
      </w:pPr>
    </w:p>
    <w:p>
      <w:pPr>
        <w:rPr>
          <w:rFonts w:ascii="宋体" w:hAnsi="宋体"/>
          <w:color w:val="auto"/>
          <w:sz w:val="24"/>
          <w:szCs w:val="24"/>
          <w:highlight w:val="none"/>
        </w:rPr>
      </w:pPr>
      <w:r>
        <w:rPr>
          <w:rFonts w:hint="eastAsia" w:ascii="宋体" w:hAnsi="宋体"/>
          <w:color w:val="auto"/>
          <w:sz w:val="24"/>
          <w:szCs w:val="24"/>
          <w:highlight w:val="none"/>
        </w:rPr>
        <w:t>（以下无正文）</w:t>
      </w:r>
    </w:p>
    <w:p>
      <w:pPr>
        <w:spacing w:before="100" w:beforeAutospacing="1" w:after="100" w:afterAutospacing="1"/>
        <w:rPr>
          <w:rFonts w:ascii="宋体" w:hAnsi="宋体"/>
          <w:color w:val="auto"/>
          <w:sz w:val="24"/>
          <w:szCs w:val="24"/>
          <w:highlight w:val="none"/>
        </w:rPr>
      </w:pPr>
    </w:p>
    <w:tbl>
      <w:tblPr>
        <w:tblStyle w:val="40"/>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乙方：</w:t>
            </w:r>
            <w:r>
              <w:rPr>
                <w:rFonts w:ascii="宋体" w:hAnsi="宋体"/>
                <w:color w:val="auto"/>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地址：南宁市云景路69号</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电话：0771-2332807</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纳税人识别号：914501006821248433</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开户银行：建行南宁市朝阳支行营业部</w:t>
            </w:r>
          </w:p>
        </w:tc>
        <w:tc>
          <w:tcPr>
            <w:tcW w:w="4792" w:type="dxa"/>
            <w:tcBorders>
              <w:top w:val="nil"/>
              <w:left w:val="single" w:color="auto" w:sz="4" w:space="0"/>
              <w:bottom w:val="nil"/>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r>
              <w:rPr>
                <w:rFonts w:ascii="宋体" w:hAnsi="宋体"/>
                <w:color w:val="auto"/>
                <w:kern w:val="0"/>
                <w:sz w:val="24"/>
                <w:highlight w:val="none"/>
              </w:rPr>
              <w:t>45001604473059116688</w:t>
            </w:r>
          </w:p>
        </w:tc>
        <w:tc>
          <w:tcPr>
            <w:tcW w:w="4792" w:type="dxa"/>
            <w:tcBorders>
              <w:top w:val="nil"/>
              <w:left w:val="single" w:color="auto" w:sz="4" w:space="0"/>
              <w:bottom w:val="single" w:color="auto" w:sz="4" w:space="0"/>
            </w:tcBorders>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丙方：南宁轨道交通二号线建设有限公司（或</w:t>
            </w:r>
            <w:r>
              <w:rPr>
                <w:rFonts w:hint="eastAsia"/>
                <w:color w:val="auto"/>
                <w:sz w:val="24"/>
                <w:highlight w:val="none"/>
              </w:rPr>
              <w:t>南宁轨道交通三号线建设有限公司</w:t>
            </w:r>
            <w:r>
              <w:rPr>
                <w:rFonts w:hint="eastAsia" w:ascii="宋体" w:hAns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 xml:space="preserve">法定代表人或委托代理人: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color w:val="auto"/>
                <w:kern w:val="0"/>
                <w:sz w:val="24"/>
                <w:highlight w:val="none"/>
              </w:rPr>
            </w:pPr>
            <w:r>
              <w:rPr>
                <w:rFonts w:hint="eastAsia" w:ascii="宋体" w:hAnsi="宋体"/>
                <w:color w:val="auto"/>
                <w:kern w:val="0"/>
                <w:sz w:val="24"/>
                <w:highlight w:val="none"/>
              </w:rPr>
              <w:t>银行账号：</w:t>
            </w:r>
          </w:p>
        </w:tc>
      </w:tr>
    </w:tbl>
    <w:p>
      <w:pPr>
        <w:spacing w:line="360" w:lineRule="auto"/>
        <w:rPr>
          <w:rFonts w:ascii="宋体" w:hAnsi="宋体"/>
          <w:color w:val="auto"/>
          <w:sz w:val="24"/>
          <w:szCs w:val="24"/>
          <w:highlight w:val="none"/>
        </w:rPr>
      </w:pPr>
    </w:p>
    <w:p>
      <w:pPr>
        <w:rPr>
          <w:rFonts w:ascii="宋体" w:hAnsi="宋体"/>
          <w:color w:val="auto"/>
          <w:kern w:val="0"/>
          <w:sz w:val="24"/>
          <w:highlight w:val="none"/>
        </w:rPr>
      </w:pP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pStyle w:val="33"/>
        <w:numPr>
          <w:ilvl w:val="0"/>
          <w:numId w:val="2"/>
        </w:numPr>
        <w:spacing w:before="100" w:beforeAutospacing="1" w:after="0"/>
        <w:rPr>
          <w:color w:val="auto"/>
          <w:sz w:val="24"/>
          <w:highlight w:val="none"/>
        </w:rPr>
      </w:pPr>
      <w:bookmarkStart w:id="233" w:name="_Toc437544683"/>
      <w:bookmarkStart w:id="234" w:name="_Toc437544528"/>
      <w:bookmarkStart w:id="235" w:name="_Toc10664"/>
      <w:r>
        <w:rPr>
          <w:rFonts w:hint="eastAsia"/>
          <w:color w:val="auto"/>
          <w:sz w:val="24"/>
          <w:highlight w:val="none"/>
        </w:rPr>
        <w:t>比选申请文件</w:t>
      </w:r>
      <w:bookmarkEnd w:id="233"/>
      <w:bookmarkEnd w:id="234"/>
      <w:bookmarkStart w:id="236" w:name="_Toc114052452"/>
      <w:bookmarkStart w:id="237" w:name="_Toc114052388"/>
      <w:r>
        <w:rPr>
          <w:rFonts w:hint="eastAsia"/>
          <w:color w:val="auto"/>
          <w:sz w:val="24"/>
          <w:highlight w:val="none"/>
        </w:rPr>
        <w:t>（格式</w:t>
      </w:r>
      <w:bookmarkEnd w:id="236"/>
      <w:bookmarkEnd w:id="237"/>
      <w:r>
        <w:rPr>
          <w:rFonts w:hint="eastAsia"/>
          <w:color w:val="auto"/>
          <w:sz w:val="24"/>
          <w:highlight w:val="none"/>
        </w:rPr>
        <w:t>）</w:t>
      </w:r>
      <w:bookmarkEnd w:id="235"/>
    </w:p>
    <w:p>
      <w:pPr>
        <w:rPr>
          <w:rFonts w:ascii="宋体" w:hAnsi="宋体"/>
          <w:color w:val="auto"/>
          <w:kern w:val="0"/>
          <w:sz w:val="84"/>
          <w:highlight w:val="none"/>
        </w:rPr>
      </w:pPr>
      <w:bookmarkStart w:id="238" w:name="_Toc114052390"/>
    </w:p>
    <w:bookmarkEnd w:id="238"/>
    <w:p>
      <w:pPr>
        <w:jc w:val="center"/>
        <w:rPr>
          <w:rFonts w:ascii="宋体" w:hAnsi="宋体"/>
          <w:color w:val="auto"/>
          <w:kern w:val="0"/>
          <w:sz w:val="48"/>
          <w:szCs w:val="48"/>
          <w:highlight w:val="none"/>
        </w:rPr>
      </w:pPr>
      <w:r>
        <w:rPr>
          <w:rFonts w:hint="eastAsia" w:ascii="宋体" w:hAnsi="宋体"/>
          <w:color w:val="auto"/>
          <w:kern w:val="0"/>
          <w:sz w:val="48"/>
          <w:szCs w:val="48"/>
          <w:highlight w:val="none"/>
          <w:u w:val="single"/>
        </w:rPr>
        <w:t>2018年</w:t>
      </w:r>
      <w:r>
        <w:rPr>
          <w:rFonts w:hint="eastAsia" w:ascii="宋体" w:hAnsi="宋体"/>
          <w:color w:val="auto"/>
          <w:kern w:val="0"/>
          <w:sz w:val="48"/>
          <w:szCs w:val="48"/>
          <w:highlight w:val="none"/>
          <w:u w:val="single"/>
          <w:lang w:eastAsia="zh-CN"/>
        </w:rPr>
        <w:t>设备维修耗材</w:t>
      </w:r>
      <w:r>
        <w:rPr>
          <w:rFonts w:hint="eastAsia" w:ascii="宋体" w:hAnsi="宋体"/>
          <w:color w:val="auto"/>
          <w:kern w:val="0"/>
          <w:sz w:val="48"/>
          <w:szCs w:val="48"/>
          <w:highlight w:val="none"/>
        </w:rPr>
        <w:t>采购项目比选申请文件</w:t>
      </w:r>
    </w:p>
    <w:p>
      <w:pPr>
        <w:pStyle w:val="3"/>
        <w:spacing w:after="100" w:afterAutospacing="1" w:line="240" w:lineRule="auto"/>
        <w:jc w:val="center"/>
        <w:rPr>
          <w:color w:val="auto"/>
          <w:sz w:val="48"/>
          <w:highlight w:val="none"/>
        </w:rPr>
      </w:pPr>
      <w:bookmarkStart w:id="239" w:name="_Toc27678"/>
      <w:r>
        <w:rPr>
          <w:rFonts w:hint="eastAsia"/>
          <w:color w:val="auto"/>
          <w:sz w:val="48"/>
          <w:highlight w:val="none"/>
        </w:rPr>
        <w:t>资格审查部分</w:t>
      </w:r>
      <w:bookmarkEnd w:id="239"/>
    </w:p>
    <w:p>
      <w:pPr>
        <w:autoSpaceDE w:val="0"/>
        <w:autoSpaceDN w:val="0"/>
        <w:adjustRightInd w:val="0"/>
        <w:spacing w:before="100" w:beforeAutospacing="1" w:after="100" w:afterAutospacing="1"/>
        <w:jc w:val="center"/>
        <w:rPr>
          <w:rFonts w:hint="eastAsia" w:ascii="楷体_GB2312" w:eastAsia="楷体_GB2312"/>
          <w:color w:val="auto"/>
          <w:kern w:val="0"/>
          <w:sz w:val="24"/>
          <w:highlight w:val="none"/>
          <w:lang w:eastAsia="zh-CN"/>
        </w:rPr>
      </w:pPr>
      <w:r>
        <w:rPr>
          <w:rFonts w:hint="eastAsia" w:ascii="楷体_GB2312" w:eastAsia="楷体_GB2312"/>
          <w:color w:val="auto"/>
          <w:kern w:val="0"/>
          <w:sz w:val="24"/>
          <w:highlight w:val="none"/>
        </w:rPr>
        <w:t>项目编号：</w:t>
      </w:r>
      <w:r>
        <w:rPr>
          <w:rFonts w:hint="eastAsia" w:ascii="楷体_GB2312" w:eastAsia="楷体_GB2312"/>
          <w:color w:val="auto"/>
          <w:kern w:val="0"/>
          <w:sz w:val="24"/>
          <w:highlight w:val="none"/>
          <w:lang w:eastAsia="zh-CN"/>
        </w:rPr>
        <w:t>YY1/2/3-BX-HC-2018031</w:t>
      </w:r>
    </w:p>
    <w:p>
      <w:pPr>
        <w:autoSpaceDE w:val="0"/>
        <w:autoSpaceDN w:val="0"/>
        <w:adjustRightInd w:val="0"/>
        <w:spacing w:before="120" w:beforeLines="50" w:after="2400" w:afterLines="1000"/>
        <w:jc w:val="center"/>
        <w:rPr>
          <w:rFonts w:ascii="楷体_GB2312" w:eastAsia="楷体_GB2312"/>
          <w:color w:val="auto"/>
          <w:kern w:val="0"/>
          <w:sz w:val="36"/>
          <w:szCs w:val="36"/>
          <w:highlight w:val="none"/>
        </w:rPr>
      </w:pPr>
      <w:r>
        <w:rPr>
          <w:rFonts w:hint="eastAsia" w:ascii="楷体_GB2312" w:eastAsia="楷体_GB2312"/>
          <w:color w:val="auto"/>
          <w:kern w:val="0"/>
          <w:sz w:val="36"/>
          <w:szCs w:val="36"/>
          <w:highlight w:val="none"/>
        </w:rPr>
        <w:t>（＊本）</w:t>
      </w:r>
    </w:p>
    <w:tbl>
      <w:tblPr>
        <w:tblStyle w:val="40"/>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widowControl/>
        <w:jc w:val="left"/>
        <w:rPr>
          <w:b/>
          <w:color w:val="auto"/>
          <w:sz w:val="30"/>
          <w:szCs w:val="30"/>
          <w:highlight w:val="none"/>
        </w:rPr>
      </w:pPr>
      <w:r>
        <w:rPr>
          <w:b/>
          <w:color w:val="auto"/>
          <w:sz w:val="30"/>
          <w:szCs w:val="30"/>
          <w:highlight w:val="none"/>
        </w:rPr>
        <w:br w:type="page"/>
      </w:r>
    </w:p>
    <w:p>
      <w:pPr>
        <w:pStyle w:val="4"/>
        <w:spacing w:before="100" w:beforeAutospacing="1" w:after="100" w:afterAutospacing="1" w:line="240" w:lineRule="auto"/>
        <w:jc w:val="center"/>
        <w:rPr>
          <w:color w:val="auto"/>
          <w:sz w:val="24"/>
          <w:highlight w:val="none"/>
        </w:rPr>
      </w:pPr>
      <w:r>
        <w:rPr>
          <w:rFonts w:hint="eastAsia"/>
          <w:color w:val="auto"/>
          <w:sz w:val="24"/>
          <w:highlight w:val="none"/>
        </w:rPr>
        <w:t>目　录</w:t>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_Ref483060579 \h  \* MERGEFORMAT </w:instrText>
      </w:r>
      <w:r>
        <w:rPr>
          <w:rFonts w:ascii="宋体" w:hAnsi="宋体"/>
          <w:color w:val="auto"/>
          <w:kern w:val="0"/>
          <w:sz w:val="24"/>
          <w:highlight w:val="none"/>
        </w:rPr>
        <w:fldChar w:fldCharType="separate"/>
      </w:r>
      <w:r>
        <w:rPr>
          <w:rFonts w:hint="eastAsia" w:ascii="宋体" w:hAnsi="宋体"/>
          <w:color w:val="auto"/>
          <w:sz w:val="24"/>
          <w:highlight w:val="none"/>
        </w:rPr>
        <w:t>比选保证金缴纳证明（复印件，原件备查）</w:t>
      </w:r>
      <w:r>
        <w:rPr>
          <w:rFonts w:ascii="宋体" w:hAnsi="宋体"/>
          <w:color w:val="auto"/>
          <w:kern w:val="0"/>
          <w:sz w:val="24"/>
          <w:highlight w:val="none"/>
        </w:rPr>
        <w:fldChar w:fldCharType="end"/>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_Ref483060645 \h  \* MERGEFORMAT </w:instrText>
      </w:r>
      <w:r>
        <w:rPr>
          <w:rFonts w:ascii="宋体" w:hAnsi="宋体"/>
          <w:color w:val="auto"/>
          <w:kern w:val="0"/>
          <w:sz w:val="24"/>
          <w:highlight w:val="none"/>
        </w:rPr>
        <w:fldChar w:fldCharType="separate"/>
      </w:r>
      <w:r>
        <w:rPr>
          <w:rFonts w:hint="eastAsia" w:ascii="宋体" w:hAnsi="宋体"/>
          <w:color w:val="auto"/>
          <w:sz w:val="24"/>
          <w:highlight w:val="none"/>
        </w:rPr>
        <w:t>诚信声明（原件）</w:t>
      </w:r>
      <w:r>
        <w:rPr>
          <w:rFonts w:ascii="宋体" w:hAnsi="宋体"/>
          <w:color w:val="auto"/>
          <w:kern w:val="0"/>
          <w:sz w:val="24"/>
          <w:highlight w:val="none"/>
        </w:rPr>
        <w:fldChar w:fldCharType="end"/>
      </w:r>
    </w:p>
    <w:p>
      <w:pPr>
        <w:pStyle w:val="47"/>
        <w:numPr>
          <w:ilvl w:val="0"/>
          <w:numId w:val="31"/>
        </w:numPr>
        <w:tabs>
          <w:tab w:val="left" w:pos="826"/>
        </w:tabs>
        <w:spacing w:line="560" w:lineRule="exact"/>
        <w:ind w:firstLineChars="0"/>
        <w:rPr>
          <w:rFonts w:ascii="宋体" w:hAnsi="宋体"/>
          <w:color w:val="auto"/>
          <w:sz w:val="24"/>
          <w:szCs w:val="24"/>
          <w:highlight w:val="none"/>
        </w:rPr>
      </w:pPr>
      <w:r>
        <w:rPr>
          <w:rFonts w:ascii="宋体" w:hAnsi="宋体"/>
          <w:color w:val="auto"/>
          <w:sz w:val="24"/>
          <w:szCs w:val="24"/>
          <w:highlight w:val="none"/>
        </w:rPr>
        <w:fldChar w:fldCharType="begin"/>
      </w:r>
      <w:r>
        <w:rPr>
          <w:rFonts w:ascii="宋体" w:hAnsi="宋体"/>
          <w:color w:val="auto"/>
          <w:sz w:val="24"/>
          <w:szCs w:val="24"/>
          <w:highlight w:val="none"/>
        </w:rPr>
        <w:instrText xml:space="preserve"> REF _Ref483060659 \h  \* MERGEFORMAT </w:instrText>
      </w:r>
      <w:r>
        <w:rPr>
          <w:rFonts w:ascii="宋体" w:hAnsi="宋体"/>
          <w:color w:val="auto"/>
          <w:sz w:val="24"/>
          <w:szCs w:val="24"/>
          <w:highlight w:val="none"/>
        </w:rPr>
        <w:fldChar w:fldCharType="separate"/>
      </w:r>
      <w:r>
        <w:rPr>
          <w:rFonts w:hint="eastAsia" w:ascii="宋体" w:hAnsi="宋体"/>
          <w:color w:val="auto"/>
          <w:sz w:val="24"/>
          <w:highlight w:val="none"/>
        </w:rPr>
        <w:t>法定代表人资格证明书（原件）</w:t>
      </w:r>
      <w:r>
        <w:rPr>
          <w:rFonts w:ascii="宋体" w:hAnsi="宋体"/>
          <w:color w:val="auto"/>
          <w:sz w:val="24"/>
          <w:szCs w:val="24"/>
          <w:highlight w:val="none"/>
        </w:rPr>
        <w:fldChar w:fldCharType="end"/>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_Ref483060669 \h  \* MERGEFORMAT </w:instrText>
      </w:r>
      <w:r>
        <w:rPr>
          <w:rFonts w:ascii="宋体" w:hAnsi="宋体"/>
          <w:color w:val="auto"/>
          <w:kern w:val="0"/>
          <w:sz w:val="24"/>
          <w:highlight w:val="none"/>
        </w:rPr>
        <w:fldChar w:fldCharType="separate"/>
      </w:r>
      <w:r>
        <w:rPr>
          <w:rFonts w:hint="eastAsia" w:ascii="宋体" w:hAnsi="宋体"/>
          <w:color w:val="auto"/>
          <w:sz w:val="24"/>
          <w:highlight w:val="none"/>
        </w:rPr>
        <w:t>授权委托书（原件）</w:t>
      </w:r>
      <w:r>
        <w:rPr>
          <w:rFonts w:ascii="宋体" w:hAnsi="宋体"/>
          <w:color w:val="auto"/>
          <w:kern w:val="0"/>
          <w:sz w:val="24"/>
          <w:highlight w:val="none"/>
        </w:rPr>
        <w:fldChar w:fldCharType="end"/>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_Ref483060679 \h  \* MERGEFORMAT </w:instrText>
      </w:r>
      <w:r>
        <w:rPr>
          <w:rFonts w:ascii="宋体" w:hAnsi="宋体"/>
          <w:color w:val="auto"/>
          <w:kern w:val="0"/>
          <w:sz w:val="24"/>
          <w:highlight w:val="none"/>
        </w:rPr>
        <w:fldChar w:fldCharType="separate"/>
      </w:r>
      <w:r>
        <w:rPr>
          <w:rFonts w:hint="eastAsia" w:ascii="宋体" w:hAnsi="宋体"/>
          <w:color w:val="auto"/>
          <w:sz w:val="24"/>
          <w:highlight w:val="none"/>
        </w:rPr>
        <w:t>营业执照副本（复印件，原件备查）</w:t>
      </w:r>
      <w:r>
        <w:rPr>
          <w:rFonts w:ascii="宋体" w:hAnsi="宋体"/>
          <w:color w:val="auto"/>
          <w:kern w:val="0"/>
          <w:sz w:val="24"/>
          <w:highlight w:val="none"/>
        </w:rPr>
        <w:fldChar w:fldCharType="end"/>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_Ref483060684 \h  \* MERGEFORMAT </w:instrText>
      </w:r>
      <w:r>
        <w:rPr>
          <w:rFonts w:ascii="宋体" w:hAnsi="宋体"/>
          <w:color w:val="auto"/>
          <w:kern w:val="0"/>
          <w:sz w:val="24"/>
          <w:highlight w:val="none"/>
        </w:rPr>
        <w:fldChar w:fldCharType="separate"/>
      </w:r>
      <w:r>
        <w:rPr>
          <w:rFonts w:hint="eastAsia" w:ascii="宋体" w:hAnsi="宋体"/>
          <w:color w:val="auto"/>
          <w:sz w:val="24"/>
          <w:highlight w:val="none"/>
        </w:rPr>
        <w:t>组织机构代码证（复印件，原件备查；已“三证合一”的可不提供）</w:t>
      </w:r>
      <w:r>
        <w:rPr>
          <w:rFonts w:ascii="宋体" w:hAnsi="宋体"/>
          <w:color w:val="auto"/>
          <w:kern w:val="0"/>
          <w:sz w:val="24"/>
          <w:highlight w:val="none"/>
        </w:rPr>
        <w:fldChar w:fldCharType="end"/>
      </w:r>
    </w:p>
    <w:p>
      <w:pPr>
        <w:pStyle w:val="47"/>
        <w:numPr>
          <w:ilvl w:val="0"/>
          <w:numId w:val="31"/>
        </w:numPr>
        <w:tabs>
          <w:tab w:val="left" w:pos="826"/>
        </w:tabs>
        <w:spacing w:line="560" w:lineRule="exact"/>
        <w:ind w:firstLineChars="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_Ref483060704 \h  \* MERGEFORMAT </w:instrText>
      </w:r>
      <w:r>
        <w:rPr>
          <w:rFonts w:ascii="宋体" w:hAnsi="宋体"/>
          <w:color w:val="auto"/>
          <w:kern w:val="0"/>
          <w:sz w:val="24"/>
          <w:highlight w:val="none"/>
        </w:rPr>
        <w:fldChar w:fldCharType="separate"/>
      </w:r>
      <w:r>
        <w:rPr>
          <w:rFonts w:hint="eastAsia" w:ascii="宋体" w:hAnsi="宋体"/>
          <w:color w:val="auto"/>
          <w:sz w:val="24"/>
          <w:highlight w:val="none"/>
        </w:rPr>
        <w:t>保密承诺书（原件）</w:t>
      </w:r>
      <w:r>
        <w:rPr>
          <w:rFonts w:ascii="宋体" w:hAnsi="宋体"/>
          <w:color w:val="auto"/>
          <w:kern w:val="0"/>
          <w:sz w:val="24"/>
          <w:highlight w:val="none"/>
        </w:rPr>
        <w:fldChar w:fldCharType="end"/>
      </w:r>
    </w:p>
    <w:p>
      <w:pPr>
        <w:spacing w:line="560" w:lineRule="exact"/>
        <w:rPr>
          <w:rFonts w:ascii="宋体" w:hAnsi="宋体"/>
          <w:b/>
          <w:bCs/>
          <w:color w:val="auto"/>
          <w:sz w:val="28"/>
          <w:szCs w:val="28"/>
          <w:highlight w:val="none"/>
        </w:rPr>
        <w:sectPr>
          <w:pgSz w:w="11906" w:h="16838"/>
          <w:pgMar w:top="1134" w:right="851" w:bottom="1134" w:left="1134" w:header="454" w:footer="567" w:gutter="0"/>
          <w:pgNumType w:chapStyle="1"/>
          <w:cols w:space="425" w:num="1"/>
          <w:docGrid w:linePitch="312" w:charSpace="0"/>
        </w:sectPr>
      </w:pPr>
    </w:p>
    <w:p>
      <w:pPr>
        <w:pStyle w:val="4"/>
        <w:numPr>
          <w:ilvl w:val="0"/>
          <w:numId w:val="32"/>
        </w:numPr>
        <w:spacing w:before="100" w:beforeAutospacing="1" w:after="100" w:afterAutospacing="1" w:line="240" w:lineRule="auto"/>
        <w:ind w:left="0" w:firstLine="0"/>
        <w:jc w:val="center"/>
        <w:rPr>
          <w:color w:val="auto"/>
          <w:sz w:val="24"/>
          <w:highlight w:val="none"/>
        </w:rPr>
      </w:pPr>
      <w:r>
        <w:rPr>
          <w:color w:val="auto"/>
          <w:sz w:val="24"/>
          <w:highlight w:val="none"/>
        </w:rPr>
        <w:fldChar w:fldCharType="begin"/>
      </w:r>
      <w:r>
        <w:rPr>
          <w:color w:val="auto"/>
          <w:sz w:val="24"/>
          <w:highlight w:val="none"/>
        </w:rPr>
        <w:instrText xml:space="preserve"> REF _Ref483060579 \h  \* MERGEFORMAT </w:instrText>
      </w:r>
      <w:r>
        <w:rPr>
          <w:color w:val="auto"/>
          <w:sz w:val="24"/>
          <w:highlight w:val="none"/>
        </w:rPr>
        <w:fldChar w:fldCharType="separate"/>
      </w:r>
      <w:r>
        <w:rPr>
          <w:rFonts w:hint="eastAsia" w:ascii="宋体" w:hAnsi="宋体"/>
          <w:color w:val="auto"/>
          <w:sz w:val="24"/>
          <w:highlight w:val="none"/>
        </w:rPr>
        <w:t>比选保证金缴纳证明（复印件，原件备查）</w:t>
      </w:r>
      <w:r>
        <w:rPr>
          <w:color w:val="auto"/>
          <w:sz w:val="24"/>
          <w:highlight w:val="none"/>
        </w:rPr>
        <w:fldChar w:fldCharType="end"/>
      </w:r>
    </w:p>
    <w:p>
      <w:pPr>
        <w:jc w:val="center"/>
        <w:rPr>
          <w:color w:val="auto"/>
          <w:highlight w:val="none"/>
        </w:rPr>
      </w:pPr>
      <w:r>
        <w:rPr>
          <w:rFonts w:hint="eastAsia" w:ascii="宋体" w:hAnsi="宋体"/>
          <w:color w:val="auto"/>
          <w:sz w:val="24"/>
          <w:highlight w:val="none"/>
        </w:rPr>
        <w:t>（比选发起人财务出具的收款证明或比选申请人的转账回执单）</w:t>
      </w:r>
    </w:p>
    <w:p>
      <w:pPr>
        <w:widowControl/>
        <w:jc w:val="left"/>
        <w:rPr>
          <w:rFonts w:ascii="Times New Roman" w:hAnsi="Times New Roman"/>
          <w:b/>
          <w:color w:val="auto"/>
          <w:sz w:val="24"/>
          <w:szCs w:val="20"/>
          <w:highlight w:val="none"/>
        </w:rPr>
      </w:pPr>
      <w:r>
        <w:rPr>
          <w:color w:val="auto"/>
          <w:sz w:val="24"/>
          <w:highlight w:val="none"/>
        </w:rPr>
        <w:br w:type="page"/>
      </w:r>
    </w:p>
    <w:p>
      <w:pPr>
        <w:pStyle w:val="4"/>
        <w:numPr>
          <w:ilvl w:val="0"/>
          <w:numId w:val="32"/>
        </w:numPr>
        <w:spacing w:before="100" w:beforeAutospacing="1" w:after="100" w:afterAutospacing="1" w:line="240" w:lineRule="auto"/>
        <w:ind w:left="0" w:firstLine="0"/>
        <w:jc w:val="center"/>
        <w:rPr>
          <w:color w:val="auto"/>
          <w:sz w:val="24"/>
          <w:highlight w:val="none"/>
        </w:rPr>
      </w:pPr>
      <w:r>
        <w:rPr>
          <w:rFonts w:hint="eastAsia"/>
          <w:color w:val="auto"/>
          <w:sz w:val="24"/>
          <w:highlight w:val="none"/>
        </w:rPr>
        <w:t>诚信声明</w:t>
      </w:r>
    </w:p>
    <w:p>
      <w:pPr>
        <w:spacing w:after="120" w:afterLines="50" w:line="560" w:lineRule="exact"/>
        <w:ind w:firstLine="480" w:firstLineChars="200"/>
        <w:rPr>
          <w:rFonts w:ascii="宋体" w:hAnsi="宋体"/>
          <w:color w:val="auto"/>
          <w:sz w:val="24"/>
          <w:highlight w:val="none"/>
        </w:rPr>
      </w:pPr>
      <w:r>
        <w:rPr>
          <w:rFonts w:hint="eastAsia" w:ascii="宋体" w:hAnsi="宋体"/>
          <w:color w:val="auto"/>
          <w:sz w:val="24"/>
          <w:highlight w:val="none"/>
        </w:rPr>
        <w:t>本人</w:t>
      </w:r>
      <w:r>
        <w:rPr>
          <w:rFonts w:hint="eastAsia" w:ascii="宋体" w:hAnsi="宋体"/>
          <w:color w:val="auto"/>
          <w:sz w:val="24"/>
          <w:highlight w:val="none"/>
          <w:u w:val="single"/>
        </w:rPr>
        <w:t xml:space="preserve">       （法定代表人、身份证号码             </w:t>
      </w:r>
      <w:r>
        <w:rPr>
          <w:rFonts w:hint="eastAsia" w:ascii="宋体" w:hAnsi="宋体"/>
          <w:color w:val="auto"/>
          <w:sz w:val="24"/>
          <w:highlight w:val="none"/>
        </w:rPr>
        <w:t>）郑重声明：</w:t>
      </w:r>
    </w:p>
    <w:p>
      <w:pPr>
        <w:pStyle w:val="47"/>
        <w:numPr>
          <w:ilvl w:val="0"/>
          <w:numId w:val="33"/>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本企业参加编号为</w:t>
      </w:r>
      <w:r>
        <w:rPr>
          <w:rFonts w:hint="eastAsia" w:ascii="宋体" w:hAnsi="宋体"/>
          <w:color w:val="auto"/>
          <w:sz w:val="24"/>
          <w:highlight w:val="none"/>
          <w:lang w:eastAsia="zh-CN"/>
        </w:rPr>
        <w:t>YY1/2/3-BX-HC-2018031</w:t>
      </w:r>
      <w:r>
        <w:rPr>
          <w:rFonts w:hint="eastAsia" w:ascii="宋体" w:hAnsi="宋体"/>
          <w:color w:val="auto"/>
          <w:sz w:val="24"/>
          <w:highlight w:val="none"/>
        </w:rPr>
        <w:t>的2018年</w:t>
      </w:r>
      <w:r>
        <w:rPr>
          <w:rFonts w:hint="eastAsia" w:ascii="宋体" w:hAnsi="宋体"/>
          <w:color w:val="auto"/>
          <w:sz w:val="24"/>
          <w:highlight w:val="none"/>
          <w:lang w:eastAsia="zh-CN"/>
        </w:rPr>
        <w:t>设备维修耗材</w:t>
      </w:r>
      <w:r>
        <w:rPr>
          <w:rFonts w:hint="eastAsia" w:ascii="宋体" w:hAnsi="宋体"/>
          <w:color w:val="auto"/>
          <w:sz w:val="24"/>
          <w:highlight w:val="none"/>
        </w:rPr>
        <w:t>项目比选活动所提交的所有资料、填写数据及所包含的附件资料内容是真实的、合法的、有效的；</w:t>
      </w:r>
    </w:p>
    <w:p>
      <w:pPr>
        <w:pStyle w:val="47"/>
        <w:numPr>
          <w:ilvl w:val="0"/>
          <w:numId w:val="33"/>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本企业未被国家、广西壮族自治区、南宁市相关行政主管部门通报停止投标活动，无犯罪行贿记录；</w:t>
      </w:r>
    </w:p>
    <w:p>
      <w:pPr>
        <w:pStyle w:val="47"/>
        <w:numPr>
          <w:ilvl w:val="0"/>
          <w:numId w:val="33"/>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同时，我在此所作的声明也是真实有效的，并愿意对在比选过程中有关部门的调查结果承担责任；</w:t>
      </w:r>
    </w:p>
    <w:p>
      <w:pPr>
        <w:pStyle w:val="47"/>
        <w:numPr>
          <w:ilvl w:val="0"/>
          <w:numId w:val="33"/>
        </w:numPr>
        <w:spacing w:before="240" w:beforeLines="100" w:line="360" w:lineRule="auto"/>
        <w:ind w:left="0" w:firstLine="454" w:firstLineChars="0"/>
        <w:rPr>
          <w:rFonts w:ascii="宋体" w:hAnsi="宋体"/>
          <w:color w:val="auto"/>
          <w:sz w:val="24"/>
          <w:highlight w:val="none"/>
        </w:rPr>
      </w:pPr>
      <w:r>
        <w:rPr>
          <w:rFonts w:hint="eastAsia" w:ascii="宋体" w:hAnsi="宋体"/>
          <w:color w:val="auto"/>
          <w:sz w:val="24"/>
          <w:highlight w:val="none"/>
        </w:rPr>
        <w:t>本企业提交的所有比选申请资料如有不实，愿接受相关部门依据有关法律法规给予的处罚。</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比选申请人：（公章）</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法定代表人：（签字或盖章）</w:t>
      </w:r>
    </w:p>
    <w:p>
      <w:pPr>
        <w:spacing w:line="560" w:lineRule="exact"/>
        <w:ind w:firstLine="480" w:firstLineChars="200"/>
        <w:rPr>
          <w:rFonts w:ascii="宋体" w:hAnsi="宋体"/>
          <w:color w:val="auto"/>
          <w:sz w:val="24"/>
          <w:highlight w:val="none"/>
        </w:rPr>
      </w:pP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日期：　　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jc w:val="center"/>
        <w:rPr>
          <w:rFonts w:ascii="宋体" w:hAnsi="宋体"/>
          <w:color w:val="auto"/>
          <w:kern w:val="0"/>
          <w:sz w:val="84"/>
          <w:highlight w:val="none"/>
        </w:rPr>
        <w:sectPr>
          <w:pgSz w:w="11906" w:h="16838"/>
          <w:pgMar w:top="1134" w:right="851" w:bottom="1134" w:left="1134" w:header="454" w:footer="567" w:gutter="0"/>
          <w:cols w:space="425" w:num="1"/>
          <w:docGrid w:linePitch="312" w:charSpace="0"/>
        </w:sectPr>
      </w:pPr>
    </w:p>
    <w:p>
      <w:pPr>
        <w:pStyle w:val="4"/>
        <w:numPr>
          <w:ilvl w:val="0"/>
          <w:numId w:val="32"/>
        </w:numPr>
        <w:spacing w:before="100" w:beforeAutospacing="1" w:after="100" w:afterAutospacing="1" w:line="240" w:lineRule="auto"/>
        <w:ind w:left="0" w:firstLine="0"/>
        <w:jc w:val="center"/>
        <w:rPr>
          <w:color w:val="auto"/>
          <w:sz w:val="24"/>
          <w:highlight w:val="none"/>
        </w:rPr>
      </w:pPr>
      <w:r>
        <w:rPr>
          <w:rFonts w:hint="eastAsia"/>
          <w:color w:val="auto"/>
          <w:sz w:val="24"/>
          <w:highlight w:val="none"/>
        </w:rPr>
        <w:t>法定代表人资格证明书</w:t>
      </w:r>
    </w:p>
    <w:p>
      <w:pPr>
        <w:rPr>
          <w:rFonts w:ascii="宋体" w:hAnsi="宋体"/>
          <w:b/>
          <w:color w:val="auto"/>
          <w:highlight w:val="none"/>
        </w:rPr>
      </w:pPr>
    </w:p>
    <w:p>
      <w:pPr>
        <w:ind w:firstLine="612"/>
        <w:rPr>
          <w:rFonts w:ascii="宋体" w:hAnsi="宋体"/>
          <w:color w:val="auto"/>
          <w:sz w:val="24"/>
          <w:highlight w:val="none"/>
        </w:rPr>
      </w:pPr>
      <w:r>
        <w:rPr>
          <w:rFonts w:hint="eastAsia" w:ascii="宋体" w:hAnsi="宋体"/>
          <w:color w:val="auto"/>
          <w:sz w:val="24"/>
          <w:highlight w:val="none"/>
        </w:rPr>
        <w:t>单位名称：</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2"/>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单位性质：</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地    址：</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u w:val="single"/>
        </w:rPr>
        <w:tab/>
      </w:r>
    </w:p>
    <w:p>
      <w:pPr>
        <w:ind w:firstLine="610"/>
        <w:rPr>
          <w:rFonts w:ascii="宋体" w:hAnsi="宋体"/>
          <w:color w:val="auto"/>
          <w:sz w:val="24"/>
          <w:highlight w:val="none"/>
        </w:rPr>
      </w:pPr>
    </w:p>
    <w:p>
      <w:pPr>
        <w:ind w:firstLine="610"/>
        <w:rPr>
          <w:rFonts w:ascii="宋体" w:hAnsi="宋体"/>
          <w:color w:val="auto"/>
          <w:sz w:val="24"/>
          <w:highlight w:val="none"/>
          <w:u w:val="singl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ind w:firstLine="610"/>
        <w:rPr>
          <w:rFonts w:ascii="宋体" w:hAnsi="宋体"/>
          <w:color w:val="auto"/>
          <w:sz w:val="24"/>
          <w:highlight w:val="none"/>
        </w:rPr>
      </w:pPr>
    </w:p>
    <w:p>
      <w:pPr>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before="100" w:beforeAutospacing="1" w:after="100" w:afterAutospacing="1" w:line="360" w:lineRule="auto"/>
        <w:jc w:val="center"/>
        <w:rPr>
          <w:rFonts w:ascii="宋体" w:hAnsi="宋体"/>
          <w:color w:val="auto"/>
          <w:sz w:val="24"/>
          <w:highlight w:val="none"/>
        </w:rPr>
      </w:pPr>
      <w:r>
        <w:rPr>
          <w:rFonts w:hint="eastAsia" w:ascii="宋体" w:hAnsi="宋体"/>
          <w:color w:val="auto"/>
          <w:sz w:val="24"/>
          <w:highlight w:val="none"/>
        </w:rPr>
        <w:t xml:space="preserve">                           比选申请人：</w:t>
      </w:r>
      <w:r>
        <w:rPr>
          <w:rFonts w:hint="eastAsia" w:ascii="宋体" w:hAnsi="宋体"/>
          <w:color w:val="auto"/>
          <w:sz w:val="24"/>
          <w:highlight w:val="none"/>
          <w:u w:val="single"/>
        </w:rPr>
        <w:t xml:space="preserve">     （公章）        </w:t>
      </w:r>
    </w:p>
    <w:p>
      <w:pPr>
        <w:spacing w:before="100" w:beforeAutospacing="1" w:after="100" w:afterAutospacing="1"/>
        <w:jc w:val="center"/>
        <w:rPr>
          <w:rFonts w:ascii="宋体" w:hAnsi="宋体"/>
          <w:color w:val="auto"/>
          <w:sz w:val="24"/>
          <w:highlight w:val="none"/>
        </w:rPr>
      </w:pPr>
      <w:r>
        <w:rPr>
          <w:rFonts w:hint="eastAsia" w:ascii="宋体" w:hAnsi="宋体"/>
          <w:color w:val="auto"/>
          <w:sz w:val="24"/>
          <w:highlight w:val="none"/>
        </w:rPr>
        <w:t xml:space="preserve">                                  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bl>
      <w:tblPr>
        <w:tblStyle w:val="40"/>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4" w:hRule="atLeast"/>
          <w:jc w:val="center"/>
        </w:trPr>
        <w:tc>
          <w:tcPr>
            <w:tcW w:w="9767" w:type="dxa"/>
          </w:tcPr>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法定代表人身份证复印件（正反两面；也可另附页）：</w:t>
            </w:r>
          </w:p>
        </w:tc>
      </w:tr>
    </w:tbl>
    <w:p>
      <w:pPr>
        <w:pStyle w:val="4"/>
        <w:numPr>
          <w:ilvl w:val="0"/>
          <w:numId w:val="32"/>
        </w:numPr>
        <w:spacing w:before="100" w:beforeAutospacing="1" w:after="100" w:afterAutospacing="1" w:line="240" w:lineRule="auto"/>
        <w:ind w:left="0" w:firstLine="0"/>
        <w:jc w:val="center"/>
        <w:rPr>
          <w:rFonts w:ascii="宋体" w:hAnsi="宋体"/>
          <w:b w:val="0"/>
          <w:color w:val="auto"/>
          <w:kern w:val="0"/>
          <w:sz w:val="24"/>
          <w:szCs w:val="24"/>
          <w:highlight w:val="none"/>
        </w:rPr>
      </w:pPr>
      <w:r>
        <w:rPr>
          <w:rFonts w:hint="eastAsia" w:ascii="楷体_GB2312" w:eastAsia="楷体_GB2312"/>
          <w:b w:val="0"/>
          <w:color w:val="auto"/>
          <w:kern w:val="0"/>
          <w:sz w:val="24"/>
          <w:highlight w:val="none"/>
        </w:rPr>
        <w:br w:type="page"/>
      </w:r>
      <w:r>
        <w:rPr>
          <w:rFonts w:hint="eastAsia"/>
          <w:color w:val="auto"/>
          <w:sz w:val="24"/>
          <w:szCs w:val="24"/>
          <w:highlight w:val="none"/>
        </w:rPr>
        <w:t>授权委托书</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（比选申请人名称）</w:t>
      </w:r>
      <w:r>
        <w:rPr>
          <w:rFonts w:ascii="宋体" w:hAnsi="宋体"/>
          <w:color w:val="auto"/>
          <w:kern w:val="0"/>
          <w:sz w:val="24"/>
          <w:highlight w:val="none"/>
          <w:u w:val="single"/>
        </w:rPr>
        <w:t xml:space="preserve">             </w:t>
      </w:r>
      <w:r>
        <w:rPr>
          <w:rFonts w:ascii="宋体" w:hAnsi="宋体"/>
          <w:color w:val="auto"/>
          <w:kern w:val="0"/>
          <w:sz w:val="24"/>
          <w:highlight w:val="none"/>
        </w:rPr>
        <w:t xml:space="preserve"> </w:t>
      </w:r>
      <w:r>
        <w:rPr>
          <w:rFonts w:hint="eastAsia" w:ascii="宋体" w:hAnsi="宋体"/>
          <w:color w:val="auto"/>
          <w:kern w:val="0"/>
          <w:sz w:val="24"/>
          <w:highlight w:val="none"/>
        </w:rPr>
        <w:t>的法定代表人，现授权委托</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w:t>
      </w:r>
      <w:r>
        <w:rPr>
          <w:rFonts w:hint="eastAsia" w:ascii="宋体" w:hAnsi="宋体"/>
          <w:color w:val="auto"/>
          <w:kern w:val="0"/>
          <w:sz w:val="24"/>
          <w:highlight w:val="none"/>
          <w:u w:val="single"/>
        </w:rPr>
        <w:t xml:space="preserve">比选申请人名称)        </w:t>
      </w:r>
      <w:r>
        <w:rPr>
          <w:rFonts w:hint="eastAsia" w:ascii="宋体" w:hAnsi="宋体"/>
          <w:color w:val="auto"/>
          <w:kern w:val="0"/>
          <w:sz w:val="24"/>
          <w:highlight w:val="none"/>
        </w:rPr>
        <w:t>的</w:t>
      </w:r>
      <w:r>
        <w:rPr>
          <w:rFonts w:hint="eastAsia"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hint="eastAsia" w:ascii="宋体" w:hAnsi="宋体"/>
          <w:color w:val="auto"/>
          <w:kern w:val="0"/>
          <w:sz w:val="24"/>
          <w:highlight w:val="none"/>
          <w:u w:val="single"/>
        </w:rPr>
        <w:t xml:space="preserve"> 南宁轨道交通集团有限责任公司运营分公司</w:t>
      </w:r>
      <w:r>
        <w:rPr>
          <w:rFonts w:hint="eastAsia" w:ascii="宋体" w:hAnsi="宋体"/>
          <w:color w:val="auto"/>
          <w:kern w:val="0"/>
          <w:sz w:val="24"/>
          <w:highlight w:val="none"/>
        </w:rPr>
        <w:t>2018年</w:t>
      </w:r>
      <w:r>
        <w:rPr>
          <w:rFonts w:hint="eastAsia" w:ascii="宋体" w:hAnsi="宋体"/>
          <w:color w:val="auto"/>
          <w:kern w:val="0"/>
          <w:sz w:val="24"/>
          <w:highlight w:val="none"/>
          <w:lang w:eastAsia="zh-CN"/>
        </w:rPr>
        <w:t>设备维修耗材</w:t>
      </w:r>
      <w:r>
        <w:rPr>
          <w:rFonts w:hint="eastAsia" w:ascii="宋体" w:hAnsi="宋体"/>
          <w:color w:val="auto"/>
          <w:kern w:val="0"/>
          <w:sz w:val="24"/>
          <w:highlight w:val="none"/>
        </w:rPr>
        <w:t>采购项目比选活动。代理人在评审、合同签订及实施过程中所签署的一切文件及处理与之有关的一切事务，我均予以确认。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代理人无转委权。特此委托。</w:t>
      </w:r>
    </w:p>
    <w:tbl>
      <w:tblPr>
        <w:tblStyle w:val="40"/>
        <w:tblW w:w="97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9"/>
        <w:gridCol w:w="2551"/>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代理人：</w:t>
            </w:r>
          </w:p>
        </w:tc>
        <w:tc>
          <w:tcPr>
            <w:tcW w:w="2551"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性别：</w:t>
            </w:r>
          </w:p>
        </w:tc>
        <w:tc>
          <w:tcPr>
            <w:tcW w:w="2324"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单位：</w:t>
            </w:r>
          </w:p>
        </w:tc>
        <w:tc>
          <w:tcPr>
            <w:tcW w:w="2551"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部门：</w:t>
            </w:r>
          </w:p>
        </w:tc>
        <w:tc>
          <w:tcPr>
            <w:tcW w:w="2324" w:type="dxa"/>
            <w:vAlign w:val="center"/>
          </w:tcPr>
          <w:p>
            <w:pPr>
              <w:widowControl/>
              <w:spacing w:before="120" w:beforeLines="50" w:after="120" w:afterLines="50"/>
              <w:rPr>
                <w:color w:val="auto"/>
                <w:sz w:val="24"/>
                <w:szCs w:val="24"/>
                <w:highlight w:val="none"/>
              </w:rPr>
            </w:pPr>
            <w:r>
              <w:rPr>
                <w:rFonts w:hint="eastAsia"/>
                <w:color w:val="auto"/>
                <w:sz w:val="24"/>
                <w:szCs w:val="24"/>
                <w:highlight w:val="none"/>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ascii="宋体" w:hAnsi="宋体"/>
                <w:color w:val="auto"/>
                <w:kern w:val="0"/>
                <w:sz w:val="24"/>
                <w:szCs w:val="24"/>
                <w:highlight w:val="none"/>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9754" w:type="dxa"/>
            <w:gridSpan w:val="3"/>
            <w:vAlign w:val="center"/>
          </w:tcPr>
          <w:p>
            <w:pPr>
              <w:widowControl/>
              <w:spacing w:before="120" w:beforeLines="50" w:after="120" w:afterLines="50"/>
              <w:rPr>
                <w:color w:val="auto"/>
                <w:sz w:val="24"/>
                <w:szCs w:val="24"/>
                <w:highlight w:val="none"/>
              </w:rPr>
            </w:pPr>
            <w:r>
              <w:rPr>
                <w:rFonts w:hint="eastAsia"/>
                <w:color w:val="auto"/>
                <w:sz w:val="24"/>
                <w:szCs w:val="24"/>
                <w:highlight w:val="none"/>
              </w:rPr>
              <w:t>日期：　　年　　月　　日</w:t>
            </w:r>
          </w:p>
        </w:tc>
      </w:tr>
    </w:tbl>
    <w:p>
      <w:pPr>
        <w:autoSpaceDE w:val="0"/>
        <w:autoSpaceDN w:val="0"/>
        <w:adjustRightInd w:val="0"/>
        <w:spacing w:before="120" w:beforeLines="50" w:after="120" w:afterLines="50"/>
        <w:jc w:val="left"/>
        <w:rPr>
          <w:rFonts w:ascii="宋体" w:hAnsi="宋体"/>
          <w:color w:val="auto"/>
          <w:kern w:val="0"/>
          <w:sz w:val="24"/>
          <w:highlight w:val="none"/>
        </w:rPr>
      </w:pPr>
      <w:r>
        <w:rPr>
          <w:rFonts w:hint="eastAsia" w:ascii="宋体" w:hAnsi="宋体"/>
          <w:b/>
          <w:color w:val="auto"/>
          <w:kern w:val="0"/>
          <w:sz w:val="24"/>
          <w:highlight w:val="none"/>
        </w:rPr>
        <w:t>注：比选申请人出具的授权委托书必须按本格式提供，否则其比选申请文件做无效处理。</w:t>
      </w:r>
    </w:p>
    <w:tbl>
      <w:tblPr>
        <w:tblStyle w:val="40"/>
        <w:tblW w:w="10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2" w:hRule="atLeast"/>
          <w:jc w:val="center"/>
        </w:trPr>
        <w:tc>
          <w:tcPr>
            <w:tcW w:w="10137" w:type="dxa"/>
          </w:tcPr>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代理人身份证复印件（正反两面；也可另附页）：</w:t>
            </w:r>
          </w:p>
          <w:p>
            <w:pPr>
              <w:pStyle w:val="47"/>
              <w:spacing w:before="100" w:beforeAutospacing="1" w:after="100" w:afterAutospacing="1"/>
              <w:ind w:firstLine="0" w:firstLineChars="0"/>
              <w:rPr>
                <w:rFonts w:ascii="楷体_GB2312" w:eastAsia="楷体_GB2312"/>
                <w:color w:val="auto"/>
                <w:kern w:val="0"/>
                <w:sz w:val="24"/>
                <w:highlight w:val="none"/>
              </w:rPr>
            </w:pPr>
            <w:r>
              <w:rPr>
                <w:rFonts w:hint="eastAsia" w:ascii="楷体_GB2312" w:eastAsia="楷体_GB2312"/>
                <w:color w:val="auto"/>
                <w:kern w:val="0"/>
                <w:sz w:val="24"/>
                <w:highlight w:val="none"/>
              </w:rPr>
              <w:t>(由法定代表人参加评审、签订合同及合同实施过程中的一切文件并处理与之有关的一切事务的，可不提供授权委托书)</w:t>
            </w:r>
          </w:p>
        </w:tc>
      </w:tr>
    </w:tbl>
    <w:p>
      <w:pPr>
        <w:widowControl/>
        <w:jc w:val="left"/>
        <w:rPr>
          <w:rFonts w:ascii="宋体" w:hAnsi="宋体"/>
          <w:color w:val="auto"/>
          <w:kern w:val="0"/>
          <w:sz w:val="24"/>
          <w:highlight w:val="none"/>
        </w:rPr>
      </w:pPr>
      <w:r>
        <w:rPr>
          <w:rFonts w:ascii="宋体" w:hAnsi="宋体"/>
          <w:color w:val="auto"/>
          <w:kern w:val="0"/>
          <w:sz w:val="24"/>
          <w:highlight w:val="none"/>
        </w:rPr>
        <w:br w:type="page"/>
      </w:r>
    </w:p>
    <w:p>
      <w:pPr>
        <w:pStyle w:val="4"/>
        <w:numPr>
          <w:ilvl w:val="0"/>
          <w:numId w:val="32"/>
        </w:numPr>
        <w:spacing w:before="120" w:beforeLines="50" w:after="100" w:afterAutospacing="1" w:line="240" w:lineRule="auto"/>
        <w:ind w:left="0" w:firstLine="0"/>
        <w:jc w:val="left"/>
        <w:rPr>
          <w:b w:val="0"/>
          <w:color w:val="auto"/>
          <w:sz w:val="24"/>
          <w:highlight w:val="none"/>
        </w:rPr>
      </w:pPr>
      <w:r>
        <w:rPr>
          <w:b w:val="0"/>
          <w:color w:val="auto"/>
          <w:sz w:val="24"/>
          <w:highlight w:val="none"/>
        </w:rPr>
        <w:fldChar w:fldCharType="begin"/>
      </w:r>
      <w:r>
        <w:rPr>
          <w:b w:val="0"/>
          <w:color w:val="auto"/>
          <w:sz w:val="24"/>
          <w:highlight w:val="none"/>
        </w:rPr>
        <w:instrText xml:space="preserve"> REF _Ref483060679 \h  \* MERGEFORMAT </w:instrText>
      </w:r>
      <w:r>
        <w:rPr>
          <w:b w:val="0"/>
          <w:color w:val="auto"/>
          <w:sz w:val="24"/>
          <w:highlight w:val="none"/>
        </w:rPr>
        <w:fldChar w:fldCharType="separate"/>
      </w:r>
      <w:r>
        <w:rPr>
          <w:rFonts w:hint="eastAsia" w:ascii="宋体" w:hAnsi="宋体"/>
          <w:color w:val="auto"/>
          <w:sz w:val="24"/>
          <w:highlight w:val="none"/>
        </w:rPr>
        <w:t>营业执照副本（复印件，原件备查）</w:t>
      </w:r>
      <w:r>
        <w:rPr>
          <w:b w:val="0"/>
          <w:color w:val="auto"/>
          <w:sz w:val="24"/>
          <w:highlight w:val="none"/>
        </w:rPr>
        <w:fldChar w:fldCharType="end"/>
      </w:r>
    </w:p>
    <w:p>
      <w:pPr>
        <w:pStyle w:val="4"/>
        <w:numPr>
          <w:ilvl w:val="0"/>
          <w:numId w:val="32"/>
        </w:numPr>
        <w:spacing w:before="120" w:beforeLines="50" w:after="100" w:afterAutospacing="1" w:line="240" w:lineRule="auto"/>
        <w:ind w:left="0" w:firstLine="0"/>
        <w:jc w:val="left"/>
        <w:rPr>
          <w:color w:val="auto"/>
          <w:sz w:val="24"/>
          <w:highlight w:val="none"/>
        </w:rPr>
      </w:pPr>
      <w:r>
        <w:rPr>
          <w:color w:val="auto"/>
          <w:sz w:val="24"/>
          <w:highlight w:val="none"/>
        </w:rPr>
        <w:fldChar w:fldCharType="begin"/>
      </w:r>
      <w:r>
        <w:rPr>
          <w:color w:val="auto"/>
          <w:sz w:val="24"/>
          <w:highlight w:val="none"/>
        </w:rPr>
        <w:instrText xml:space="preserve"> REF _Ref483060684 \h  \* MERGEFORMAT </w:instrText>
      </w:r>
      <w:r>
        <w:rPr>
          <w:color w:val="auto"/>
          <w:sz w:val="24"/>
          <w:highlight w:val="none"/>
        </w:rPr>
        <w:fldChar w:fldCharType="separate"/>
      </w:r>
      <w:r>
        <w:rPr>
          <w:rFonts w:hint="eastAsia" w:ascii="宋体" w:hAnsi="宋体"/>
          <w:color w:val="auto"/>
          <w:sz w:val="24"/>
          <w:highlight w:val="none"/>
        </w:rPr>
        <w:t>组织机构代码证（复印件，原件备查；已“三证合一”的可不提供）</w:t>
      </w:r>
      <w:r>
        <w:rPr>
          <w:color w:val="auto"/>
          <w:sz w:val="24"/>
          <w:highlight w:val="none"/>
        </w:rPr>
        <w:fldChar w:fldCharType="end"/>
      </w:r>
    </w:p>
    <w:p>
      <w:pPr>
        <w:pStyle w:val="4"/>
        <w:numPr>
          <w:ilvl w:val="2"/>
          <w:numId w:val="0"/>
        </w:numPr>
        <w:spacing w:before="120" w:beforeLines="50" w:after="0" w:line="240" w:lineRule="auto"/>
        <w:ind w:leftChars="0"/>
        <w:jc w:val="left"/>
        <w:rPr>
          <w:rFonts w:ascii="宋体" w:hAnsi="宋体"/>
          <w:color w:val="auto"/>
          <w:kern w:val="0"/>
          <w:sz w:val="24"/>
          <w:highlight w:val="none"/>
        </w:rPr>
      </w:pPr>
      <w:r>
        <w:rPr>
          <w:color w:val="auto"/>
          <w:sz w:val="28"/>
          <w:highlight w:val="none"/>
        </w:rPr>
        <w:br w:type="page"/>
      </w:r>
    </w:p>
    <w:p>
      <w:pPr>
        <w:pStyle w:val="4"/>
        <w:numPr>
          <w:ilvl w:val="0"/>
          <w:numId w:val="32"/>
        </w:numPr>
        <w:spacing w:before="100" w:beforeAutospacing="1" w:after="100" w:afterAutospacing="1" w:line="240" w:lineRule="auto"/>
        <w:ind w:left="0" w:firstLine="0"/>
        <w:jc w:val="center"/>
        <w:rPr>
          <w:color w:val="auto"/>
          <w:sz w:val="24"/>
          <w:highlight w:val="none"/>
        </w:rPr>
      </w:pPr>
      <w:r>
        <w:rPr>
          <w:rFonts w:hint="eastAsia"/>
          <w:color w:val="auto"/>
          <w:sz w:val="24"/>
          <w:highlight w:val="none"/>
        </w:rPr>
        <w:t>保密承诺书</w:t>
      </w:r>
    </w:p>
    <w:p>
      <w:pPr>
        <w:pStyle w:val="61"/>
        <w:spacing w:before="240" w:beforeLines="100"/>
        <w:rPr>
          <w:rFonts w:ascii="宋体" w:hAnsi="宋体"/>
          <w:color w:val="auto"/>
          <w:szCs w:val="24"/>
          <w:highlight w:val="none"/>
        </w:rPr>
      </w:pPr>
      <w:r>
        <w:rPr>
          <w:rFonts w:hint="eastAsia" w:ascii="宋体" w:hAnsi="宋体"/>
          <w:color w:val="auto"/>
          <w:szCs w:val="24"/>
          <w:highlight w:val="none"/>
        </w:rPr>
        <w:t>致：南宁轨道交通集团有限责任公司</w:t>
      </w:r>
    </w:p>
    <w:p>
      <w:pPr>
        <w:pStyle w:val="61"/>
        <w:spacing w:before="120"/>
        <w:ind w:firstLine="480" w:firstLineChars="200"/>
        <w:rPr>
          <w:rFonts w:ascii="宋体" w:hAnsi="宋体"/>
          <w:color w:val="auto"/>
          <w:szCs w:val="24"/>
          <w:highlight w:val="none"/>
        </w:rPr>
      </w:pPr>
      <w:r>
        <w:rPr>
          <w:rFonts w:hint="eastAsia" w:ascii="宋体" w:hAnsi="宋体"/>
          <w:color w:val="auto"/>
          <w:szCs w:val="24"/>
          <w:highlight w:val="none"/>
        </w:rPr>
        <w:t>我方在实施</w:t>
      </w:r>
      <w:r>
        <w:rPr>
          <w:rFonts w:hint="eastAsia" w:ascii="宋体" w:hAnsi="宋体"/>
          <w:bCs/>
          <w:color w:val="auto"/>
          <w:szCs w:val="24"/>
          <w:highlight w:val="none"/>
        </w:rPr>
        <w:t>贵方采购项目</w:t>
      </w:r>
      <w:r>
        <w:rPr>
          <w:rFonts w:hint="eastAsia" w:ascii="宋体" w:hAnsi="宋体"/>
          <w:color w:val="auto"/>
          <w:szCs w:val="24"/>
          <w:highlight w:val="none"/>
        </w:rPr>
        <w:t>期间，就保密事宜做出如下承诺：</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我方自知悉贵方的保密信息之日起，依照法律法规规定及有关约定承担保密义务。</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未经贵方同意，我方不擅自保存与贵方保密信息有关的任何物品、资料，也不私自进行复制、交流或者转移。</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若我方发现贵方的保密信息可能被泄露或已经被泄露时，会及时通知贵方，并采取有效措施防止保密信息进一步泄露。</w:t>
      </w:r>
    </w:p>
    <w:p>
      <w:pPr>
        <w:pStyle w:val="47"/>
        <w:numPr>
          <w:ilvl w:val="0"/>
          <w:numId w:val="34"/>
        </w:numPr>
        <w:tabs>
          <w:tab w:val="left" w:pos="360"/>
          <w:tab w:val="left" w:pos="900"/>
        </w:tabs>
        <w:spacing w:before="120" w:beforeLines="50" w:line="360" w:lineRule="auto"/>
        <w:ind w:left="0" w:firstLine="480"/>
        <w:rPr>
          <w:rFonts w:ascii="宋体" w:hAnsi="宋体"/>
          <w:color w:val="auto"/>
          <w:sz w:val="24"/>
          <w:szCs w:val="24"/>
          <w:highlight w:val="none"/>
        </w:rPr>
      </w:pPr>
      <w:r>
        <w:rPr>
          <w:rFonts w:hint="eastAsia" w:ascii="宋体" w:hAnsi="宋体"/>
          <w:color w:val="auto"/>
          <w:sz w:val="24"/>
          <w:szCs w:val="24"/>
          <w:highlight w:val="none"/>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480" w:beforeLines="200" w:line="360" w:lineRule="auto"/>
        <w:jc w:val="center"/>
        <w:rPr>
          <w:rFonts w:ascii="宋体" w:hAnsi="宋体"/>
          <w:color w:val="auto"/>
          <w:sz w:val="24"/>
          <w:highlight w:val="none"/>
        </w:rPr>
      </w:pPr>
      <w:r>
        <w:rPr>
          <w:rFonts w:hint="eastAsia" w:ascii="宋体" w:hAnsi="宋体"/>
          <w:color w:val="auto"/>
          <w:sz w:val="24"/>
          <w:highlight w:val="none"/>
        </w:rPr>
        <w:t>　　　　　　　　　　　　　　　　　　比选申请人：（公章）</w:t>
      </w:r>
      <w:r>
        <w:rPr>
          <w:rFonts w:ascii="宋体" w:hAnsi="宋体"/>
          <w:color w:val="auto"/>
          <w:sz w:val="24"/>
          <w:highlight w:val="none"/>
        </w:rPr>
        <w:t xml:space="preserve"> </w:t>
      </w:r>
    </w:p>
    <w:p>
      <w:pPr>
        <w:spacing w:line="360" w:lineRule="auto"/>
        <w:ind w:right="120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widowControl/>
        <w:jc w:val="left"/>
        <w:rPr>
          <w:rFonts w:ascii="宋体" w:hAnsi="宋体"/>
          <w:color w:val="auto"/>
          <w:kern w:val="0"/>
          <w:sz w:val="24"/>
          <w:highlight w:val="none"/>
        </w:rPr>
      </w:pPr>
      <w:r>
        <w:rPr>
          <w:rFonts w:ascii="宋体" w:hAnsi="宋体"/>
          <w:color w:val="auto"/>
          <w:kern w:val="0"/>
          <w:sz w:val="24"/>
          <w:highlight w:val="none"/>
        </w:rPr>
        <w:br w:type="page"/>
      </w:r>
    </w:p>
    <w:p>
      <w:pPr>
        <w:jc w:val="center"/>
        <w:rPr>
          <w:rFonts w:ascii="宋体" w:hAnsi="宋体"/>
          <w:color w:val="auto"/>
          <w:kern w:val="0"/>
          <w:sz w:val="48"/>
          <w:szCs w:val="48"/>
          <w:highlight w:val="none"/>
          <w:u w:val="single"/>
        </w:rPr>
      </w:pPr>
    </w:p>
    <w:p>
      <w:pPr>
        <w:jc w:val="center"/>
        <w:rPr>
          <w:rFonts w:ascii="宋体" w:hAnsi="宋体"/>
          <w:color w:val="auto"/>
          <w:kern w:val="0"/>
          <w:sz w:val="48"/>
          <w:szCs w:val="48"/>
          <w:highlight w:val="none"/>
        </w:rPr>
      </w:pPr>
      <w:r>
        <w:rPr>
          <w:rFonts w:hint="eastAsia" w:ascii="宋体" w:hAnsi="宋体"/>
          <w:color w:val="auto"/>
          <w:kern w:val="0"/>
          <w:sz w:val="48"/>
          <w:szCs w:val="48"/>
          <w:highlight w:val="none"/>
          <w:u w:val="single"/>
        </w:rPr>
        <w:t>2018年</w:t>
      </w:r>
      <w:r>
        <w:rPr>
          <w:rFonts w:hint="eastAsia" w:ascii="宋体" w:hAnsi="宋体"/>
          <w:color w:val="auto"/>
          <w:kern w:val="0"/>
          <w:sz w:val="48"/>
          <w:szCs w:val="48"/>
          <w:highlight w:val="none"/>
          <w:u w:val="single"/>
          <w:lang w:eastAsia="zh-CN"/>
        </w:rPr>
        <w:t>设备维修耗材</w:t>
      </w:r>
      <w:r>
        <w:rPr>
          <w:rFonts w:hint="eastAsia" w:ascii="宋体" w:hAnsi="宋体"/>
          <w:color w:val="auto"/>
          <w:kern w:val="0"/>
          <w:sz w:val="48"/>
          <w:szCs w:val="48"/>
          <w:highlight w:val="none"/>
        </w:rPr>
        <w:t>采购项目比选申请文件</w:t>
      </w:r>
    </w:p>
    <w:p>
      <w:pPr>
        <w:pStyle w:val="3"/>
        <w:spacing w:after="100" w:afterAutospacing="1" w:line="240" w:lineRule="auto"/>
        <w:jc w:val="center"/>
        <w:rPr>
          <w:color w:val="auto"/>
          <w:sz w:val="48"/>
          <w:highlight w:val="none"/>
        </w:rPr>
      </w:pPr>
      <w:bookmarkStart w:id="240" w:name="_Toc18416"/>
      <w:r>
        <w:rPr>
          <w:rFonts w:hint="eastAsia"/>
          <w:color w:val="auto"/>
          <w:sz w:val="48"/>
          <w:highlight w:val="none"/>
        </w:rPr>
        <w:t>技术部分</w:t>
      </w:r>
      <w:bookmarkEnd w:id="240"/>
    </w:p>
    <w:p>
      <w:pPr>
        <w:autoSpaceDE w:val="0"/>
        <w:autoSpaceDN w:val="0"/>
        <w:adjustRightInd w:val="0"/>
        <w:spacing w:before="120" w:beforeLines="50"/>
        <w:jc w:val="center"/>
        <w:rPr>
          <w:rFonts w:hint="eastAsia" w:ascii="楷体_GB2312" w:eastAsia="楷体_GB2312"/>
          <w:color w:val="auto"/>
          <w:kern w:val="0"/>
          <w:sz w:val="24"/>
          <w:highlight w:val="none"/>
          <w:lang w:eastAsia="zh-CN"/>
        </w:rPr>
      </w:pPr>
      <w:r>
        <w:rPr>
          <w:rFonts w:hint="eastAsia" w:ascii="楷体_GB2312" w:eastAsia="楷体_GB2312"/>
          <w:color w:val="auto"/>
          <w:kern w:val="0"/>
          <w:sz w:val="24"/>
          <w:highlight w:val="none"/>
        </w:rPr>
        <w:t>项目编号：</w:t>
      </w:r>
      <w:r>
        <w:rPr>
          <w:rFonts w:hint="eastAsia" w:ascii="楷体_GB2312" w:eastAsia="楷体_GB2312"/>
          <w:color w:val="auto"/>
          <w:kern w:val="0"/>
          <w:sz w:val="24"/>
          <w:highlight w:val="none"/>
          <w:lang w:eastAsia="zh-CN"/>
        </w:rPr>
        <w:t>YY1/2/3-BX-HC-2018031</w:t>
      </w:r>
    </w:p>
    <w:p>
      <w:pPr>
        <w:autoSpaceDE w:val="0"/>
        <w:autoSpaceDN w:val="0"/>
        <w:adjustRightInd w:val="0"/>
        <w:spacing w:before="120" w:beforeLines="50" w:after="2400" w:afterLines="1000"/>
        <w:jc w:val="center"/>
        <w:rPr>
          <w:rFonts w:ascii="宋体" w:hAnsi="宋体"/>
          <w:color w:val="auto"/>
          <w:kern w:val="0"/>
          <w:sz w:val="32"/>
          <w:szCs w:val="44"/>
          <w:highlight w:val="none"/>
        </w:rPr>
      </w:pPr>
      <w:r>
        <w:rPr>
          <w:rFonts w:hint="eastAsia" w:ascii="宋体" w:hAnsi="宋体"/>
          <w:color w:val="auto"/>
          <w:kern w:val="0"/>
          <w:sz w:val="32"/>
          <w:szCs w:val="44"/>
          <w:highlight w:val="none"/>
        </w:rPr>
        <w:t>（＊本）</w:t>
      </w:r>
    </w:p>
    <w:tbl>
      <w:tblPr>
        <w:tblStyle w:val="40"/>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autoSpaceDE w:val="0"/>
        <w:autoSpaceDN w:val="0"/>
        <w:adjustRightInd w:val="0"/>
        <w:jc w:val="left"/>
        <w:rPr>
          <w:rFonts w:ascii="楷体_GB2312" w:eastAsia="楷体_GB2312"/>
          <w:color w:val="auto"/>
          <w:kern w:val="0"/>
          <w:sz w:val="24"/>
          <w:highlight w:val="none"/>
        </w:rPr>
        <w:sectPr>
          <w:pgSz w:w="11906" w:h="16838"/>
          <w:pgMar w:top="1134" w:right="851" w:bottom="1134" w:left="1134" w:header="454" w:footer="567" w:gutter="0"/>
          <w:cols w:space="425" w:num="1"/>
          <w:docGrid w:linePitch="312" w:charSpace="0"/>
        </w:sectPr>
      </w:pPr>
    </w:p>
    <w:p>
      <w:pPr>
        <w:autoSpaceDE w:val="0"/>
        <w:autoSpaceDN w:val="0"/>
        <w:adjustRightInd w:val="0"/>
        <w:jc w:val="left"/>
        <w:rPr>
          <w:rFonts w:ascii="楷体_GB2312" w:eastAsia="楷体_GB2312"/>
          <w:color w:val="auto"/>
          <w:kern w:val="0"/>
          <w:sz w:val="24"/>
          <w:highlight w:val="none"/>
        </w:rPr>
      </w:pPr>
    </w:p>
    <w:p>
      <w:pPr>
        <w:pStyle w:val="4"/>
        <w:spacing w:before="100" w:beforeAutospacing="1" w:after="100" w:afterAutospacing="1" w:line="240" w:lineRule="auto"/>
        <w:jc w:val="center"/>
        <w:rPr>
          <w:color w:val="auto"/>
          <w:sz w:val="24"/>
          <w:highlight w:val="none"/>
        </w:rPr>
      </w:pPr>
      <w:bookmarkStart w:id="241" w:name="_Toc437544529"/>
      <w:bookmarkStart w:id="242" w:name="_Toc437544684"/>
      <w:r>
        <w:rPr>
          <w:rFonts w:hint="eastAsia"/>
          <w:color w:val="auto"/>
          <w:sz w:val="24"/>
          <w:highlight w:val="none"/>
        </w:rPr>
        <w:t>目　录</w:t>
      </w:r>
      <w:bookmarkEnd w:id="241"/>
      <w:bookmarkEnd w:id="242"/>
    </w:p>
    <w:p>
      <w:pPr>
        <w:pStyle w:val="4"/>
        <w:numPr>
          <w:ilvl w:val="0"/>
          <w:numId w:val="35"/>
        </w:numPr>
        <w:spacing w:before="120" w:beforeLines="50" w:after="100" w:afterAutospacing="1" w:line="240" w:lineRule="auto"/>
        <w:ind w:left="487" w:hanging="487" w:hangingChars="202"/>
        <w:jc w:val="left"/>
        <w:rPr>
          <w:color w:val="auto"/>
          <w:sz w:val="24"/>
          <w:highlight w:val="none"/>
        </w:rPr>
      </w:pPr>
      <w:r>
        <w:rPr>
          <w:color w:val="auto"/>
          <w:sz w:val="24"/>
          <w:highlight w:val="none"/>
        </w:rPr>
        <w:fldChar w:fldCharType="begin"/>
      </w:r>
      <w:r>
        <w:rPr>
          <w:color w:val="auto"/>
          <w:sz w:val="24"/>
          <w:highlight w:val="none"/>
        </w:rPr>
        <w:instrText xml:space="preserve"> REF _Ref483062102 \h  \* MERGEFORMAT </w:instrText>
      </w:r>
      <w:r>
        <w:rPr>
          <w:color w:val="auto"/>
          <w:sz w:val="24"/>
          <w:highlight w:val="none"/>
        </w:rPr>
        <w:fldChar w:fldCharType="separate"/>
      </w:r>
      <w:r>
        <w:rPr>
          <w:rFonts w:hint="eastAsia" w:ascii="宋体" w:hAnsi="宋体"/>
          <w:color w:val="auto"/>
          <w:sz w:val="24"/>
          <w:highlight w:val="none"/>
        </w:rPr>
        <w:t>服务实施方案（包括如何组织送货，如何进行售后保障等；并明确到货日期和质保期）</w:t>
      </w:r>
      <w:r>
        <w:rPr>
          <w:color w:val="auto"/>
          <w:sz w:val="24"/>
          <w:highlight w:val="none"/>
        </w:rPr>
        <w:fldChar w:fldCharType="end"/>
      </w:r>
    </w:p>
    <w:p>
      <w:pPr>
        <w:pStyle w:val="4"/>
        <w:numPr>
          <w:ilvl w:val="0"/>
          <w:numId w:val="35"/>
        </w:numPr>
        <w:spacing w:before="120" w:beforeLines="50" w:after="100" w:afterAutospacing="1" w:line="240" w:lineRule="auto"/>
        <w:ind w:left="485" w:hanging="484" w:hangingChars="202"/>
        <w:jc w:val="left"/>
        <w:rPr>
          <w:b w:val="0"/>
          <w:color w:val="auto"/>
          <w:sz w:val="24"/>
          <w:highlight w:val="none"/>
        </w:rPr>
      </w:pPr>
      <w:r>
        <w:rPr>
          <w:b w:val="0"/>
          <w:color w:val="auto"/>
          <w:sz w:val="24"/>
          <w:highlight w:val="none"/>
        </w:rPr>
        <w:fldChar w:fldCharType="begin"/>
      </w:r>
      <w:r>
        <w:rPr>
          <w:b w:val="0"/>
          <w:color w:val="auto"/>
          <w:sz w:val="24"/>
          <w:highlight w:val="none"/>
        </w:rPr>
        <w:instrText xml:space="preserve"> REF _Ref483062107 \h  \* MERGEFORMAT </w:instrText>
      </w:r>
      <w:r>
        <w:rPr>
          <w:b w:val="0"/>
          <w:color w:val="auto"/>
          <w:sz w:val="24"/>
          <w:highlight w:val="none"/>
        </w:rPr>
        <w:fldChar w:fldCharType="separate"/>
      </w:r>
      <w:r>
        <w:rPr>
          <w:rFonts w:hint="eastAsia" w:ascii="宋体" w:hAnsi="宋体"/>
          <w:color w:val="auto"/>
          <w:sz w:val="24"/>
          <w:highlight w:val="none"/>
        </w:rPr>
        <w:t>技术需求偏离表(格式及要求等见附件3)</w:t>
      </w:r>
      <w:r>
        <w:rPr>
          <w:b w:val="0"/>
          <w:color w:val="auto"/>
          <w:sz w:val="24"/>
          <w:highlight w:val="none"/>
        </w:rPr>
        <w:fldChar w:fldCharType="end"/>
      </w:r>
    </w:p>
    <w:p>
      <w:pPr>
        <w:pStyle w:val="4"/>
        <w:numPr>
          <w:ilvl w:val="0"/>
          <w:numId w:val="35"/>
        </w:numPr>
        <w:spacing w:before="120" w:beforeLines="50" w:after="100" w:afterAutospacing="1" w:line="240" w:lineRule="auto"/>
        <w:ind w:left="487" w:hanging="487" w:hangingChars="202"/>
        <w:jc w:val="left"/>
        <w:rPr>
          <w:rFonts w:ascii="宋体" w:hAnsi="宋体"/>
          <w:color w:val="auto"/>
          <w:sz w:val="24"/>
          <w:highlight w:val="none"/>
        </w:rPr>
        <w:sectPr>
          <w:pgSz w:w="11906" w:h="16838"/>
          <w:pgMar w:top="1134" w:right="851" w:bottom="1134" w:left="1134" w:header="454" w:footer="567" w:gutter="0"/>
          <w:cols w:space="425" w:num="1"/>
          <w:docGrid w:linePitch="312" w:charSpace="0"/>
        </w:sectPr>
      </w:pPr>
      <w:r>
        <w:rPr>
          <w:color w:val="auto"/>
          <w:sz w:val="24"/>
          <w:highlight w:val="none"/>
        </w:rPr>
        <w:fldChar w:fldCharType="begin"/>
      </w:r>
      <w:r>
        <w:rPr>
          <w:color w:val="auto"/>
          <w:sz w:val="24"/>
          <w:highlight w:val="none"/>
        </w:rPr>
        <w:instrText xml:space="preserve"> REF _Ref483061849 \h  \* MERGEFORMAT </w:instrText>
      </w:r>
      <w:r>
        <w:rPr>
          <w:color w:val="auto"/>
          <w:sz w:val="24"/>
          <w:highlight w:val="none"/>
        </w:rPr>
        <w:fldChar w:fldCharType="separate"/>
      </w:r>
      <w:r>
        <w:rPr>
          <w:rFonts w:hint="eastAsia" w:ascii="宋体" w:hAnsi="宋体"/>
          <w:color w:val="auto"/>
          <w:sz w:val="24"/>
          <w:highlight w:val="none"/>
        </w:rPr>
        <w:t>比选申请人认为有必要提供的其他材料或优惠条件（如有）</w:t>
      </w:r>
      <w:r>
        <w:rPr>
          <w:color w:val="auto"/>
          <w:sz w:val="24"/>
          <w:highlight w:val="none"/>
        </w:rPr>
        <w:fldChar w:fldCharType="end"/>
      </w:r>
    </w:p>
    <w:p>
      <w:pPr>
        <w:rPr>
          <w:rFonts w:ascii="宋体" w:hAnsi="宋体"/>
          <w:color w:val="auto"/>
          <w:kern w:val="0"/>
          <w:sz w:val="84"/>
          <w:highlight w:val="none"/>
        </w:rPr>
      </w:pPr>
    </w:p>
    <w:p>
      <w:pPr>
        <w:jc w:val="center"/>
        <w:rPr>
          <w:rFonts w:ascii="宋体" w:hAnsi="宋体"/>
          <w:color w:val="auto"/>
          <w:kern w:val="0"/>
          <w:sz w:val="48"/>
          <w:szCs w:val="48"/>
          <w:highlight w:val="none"/>
        </w:rPr>
      </w:pPr>
      <w:r>
        <w:rPr>
          <w:rFonts w:hint="eastAsia" w:ascii="宋体" w:hAnsi="宋体"/>
          <w:color w:val="auto"/>
          <w:kern w:val="0"/>
          <w:sz w:val="48"/>
          <w:szCs w:val="48"/>
          <w:highlight w:val="none"/>
          <w:u w:val="single"/>
        </w:rPr>
        <w:t>2018年</w:t>
      </w:r>
      <w:r>
        <w:rPr>
          <w:rFonts w:hint="eastAsia" w:ascii="宋体" w:hAnsi="宋体"/>
          <w:color w:val="auto"/>
          <w:kern w:val="0"/>
          <w:sz w:val="48"/>
          <w:szCs w:val="48"/>
          <w:highlight w:val="none"/>
          <w:u w:val="single"/>
          <w:lang w:eastAsia="zh-CN"/>
        </w:rPr>
        <w:t>设备维修耗材</w:t>
      </w:r>
      <w:r>
        <w:rPr>
          <w:rFonts w:hint="eastAsia" w:ascii="宋体" w:hAnsi="宋体"/>
          <w:color w:val="auto"/>
          <w:kern w:val="0"/>
          <w:sz w:val="48"/>
          <w:szCs w:val="48"/>
          <w:highlight w:val="none"/>
        </w:rPr>
        <w:t>采购项目比选申请文件</w:t>
      </w:r>
    </w:p>
    <w:p>
      <w:pPr>
        <w:pStyle w:val="3"/>
        <w:spacing w:after="100" w:afterAutospacing="1" w:line="240" w:lineRule="auto"/>
        <w:jc w:val="center"/>
        <w:rPr>
          <w:color w:val="auto"/>
          <w:sz w:val="48"/>
          <w:highlight w:val="none"/>
        </w:rPr>
      </w:pPr>
      <w:bookmarkStart w:id="243" w:name="_Toc4875"/>
      <w:r>
        <w:rPr>
          <w:rFonts w:hint="eastAsia"/>
          <w:color w:val="auto"/>
          <w:sz w:val="48"/>
          <w:highlight w:val="none"/>
        </w:rPr>
        <w:t>商务部分</w:t>
      </w:r>
      <w:bookmarkEnd w:id="243"/>
    </w:p>
    <w:p>
      <w:pPr>
        <w:autoSpaceDE w:val="0"/>
        <w:autoSpaceDN w:val="0"/>
        <w:adjustRightInd w:val="0"/>
        <w:spacing w:before="120" w:beforeLines="50"/>
        <w:jc w:val="center"/>
        <w:rPr>
          <w:rFonts w:hint="eastAsia" w:ascii="楷体_GB2312" w:eastAsia="楷体_GB2312"/>
          <w:color w:val="auto"/>
          <w:kern w:val="0"/>
          <w:sz w:val="24"/>
          <w:highlight w:val="none"/>
          <w:lang w:eastAsia="zh-CN"/>
        </w:rPr>
      </w:pPr>
      <w:r>
        <w:rPr>
          <w:rFonts w:hint="eastAsia" w:ascii="楷体_GB2312" w:eastAsia="楷体_GB2312"/>
          <w:color w:val="auto"/>
          <w:kern w:val="0"/>
          <w:sz w:val="24"/>
          <w:highlight w:val="none"/>
        </w:rPr>
        <w:t>项目编号：</w:t>
      </w:r>
      <w:r>
        <w:rPr>
          <w:rFonts w:hint="eastAsia" w:ascii="楷体_GB2312" w:eastAsia="楷体_GB2312"/>
          <w:color w:val="auto"/>
          <w:kern w:val="0"/>
          <w:sz w:val="24"/>
          <w:highlight w:val="none"/>
          <w:lang w:eastAsia="zh-CN"/>
        </w:rPr>
        <w:t>YY1/2/3-BX-HC-2018031</w:t>
      </w:r>
    </w:p>
    <w:p>
      <w:pPr>
        <w:autoSpaceDE w:val="0"/>
        <w:autoSpaceDN w:val="0"/>
        <w:adjustRightInd w:val="0"/>
        <w:spacing w:before="120" w:beforeLines="50" w:after="2400" w:afterLines="1000"/>
        <w:jc w:val="center"/>
        <w:rPr>
          <w:rFonts w:ascii="宋体" w:hAnsi="宋体"/>
          <w:color w:val="auto"/>
          <w:kern w:val="0"/>
          <w:sz w:val="32"/>
          <w:szCs w:val="32"/>
          <w:highlight w:val="none"/>
        </w:rPr>
      </w:pPr>
      <w:r>
        <w:rPr>
          <w:rFonts w:hint="eastAsia" w:ascii="宋体" w:hAnsi="宋体"/>
          <w:color w:val="auto"/>
          <w:kern w:val="0"/>
          <w:sz w:val="32"/>
          <w:szCs w:val="32"/>
          <w:highlight w:val="none"/>
        </w:rPr>
        <w:t>（＊本）</w:t>
      </w:r>
    </w:p>
    <w:tbl>
      <w:tblPr>
        <w:tblStyle w:val="40"/>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240" w:beforeLines="100" w:after="240" w:afterLines="100"/>
              <w:rPr>
                <w:rFonts w:ascii="宋体" w:hAnsi="宋体"/>
                <w:color w:val="auto"/>
                <w:kern w:val="0"/>
                <w:sz w:val="28"/>
                <w:highlight w:val="none"/>
              </w:rPr>
            </w:pPr>
            <w:r>
              <w:rPr>
                <w:rFonts w:hint="eastAsia" w:ascii="宋体" w:hAnsi="宋体"/>
                <w:color w:val="auto"/>
                <w:kern w:val="0"/>
                <w:sz w:val="28"/>
                <w:highlight w:val="none"/>
              </w:rPr>
              <w:t>日期：　　　年    月    日</w:t>
            </w:r>
          </w:p>
        </w:tc>
      </w:tr>
    </w:tbl>
    <w:p>
      <w:pPr>
        <w:autoSpaceDE w:val="0"/>
        <w:autoSpaceDN w:val="0"/>
        <w:adjustRightInd w:val="0"/>
        <w:rPr>
          <w:rFonts w:ascii="宋体" w:hAnsi="宋体"/>
          <w:color w:val="auto"/>
          <w:kern w:val="0"/>
          <w:sz w:val="28"/>
          <w:szCs w:val="28"/>
          <w:highlight w:val="none"/>
        </w:rPr>
      </w:pPr>
    </w:p>
    <w:p>
      <w:pPr>
        <w:pStyle w:val="4"/>
        <w:spacing w:before="100" w:beforeAutospacing="1" w:after="100" w:afterAutospacing="1" w:line="240" w:lineRule="auto"/>
        <w:jc w:val="center"/>
        <w:rPr>
          <w:color w:val="auto"/>
          <w:highlight w:val="none"/>
        </w:rPr>
      </w:pPr>
      <w:r>
        <w:rPr>
          <w:rFonts w:ascii="楷体_GB2312" w:eastAsia="楷体_GB2312"/>
          <w:color w:val="auto"/>
          <w:sz w:val="24"/>
          <w:highlight w:val="none"/>
        </w:rPr>
        <w:br w:type="page"/>
      </w:r>
      <w:bookmarkStart w:id="244" w:name="_Toc114052453"/>
      <w:bookmarkStart w:id="245" w:name="_Toc114052393"/>
      <w:r>
        <w:rPr>
          <w:rFonts w:hint="eastAsia"/>
          <w:color w:val="auto"/>
          <w:sz w:val="24"/>
          <w:highlight w:val="none"/>
        </w:rPr>
        <w:t>目　录</w:t>
      </w:r>
    </w:p>
    <w:p>
      <w:pPr>
        <w:numPr>
          <w:ilvl w:val="0"/>
          <w:numId w:val="36"/>
        </w:numPr>
        <w:autoSpaceDE w:val="0"/>
        <w:autoSpaceDN w:val="0"/>
        <w:adjustRightInd w:val="0"/>
        <w:spacing w:before="120" w:beforeLines="50" w:after="120" w:afterLines="50" w:line="360" w:lineRule="auto"/>
        <w:ind w:left="0" w:firstLine="480" w:firstLineChars="200"/>
        <w:jc w:val="left"/>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_Ref483206692 \h  \* MERGEFORMAT </w:instrText>
      </w:r>
      <w:r>
        <w:rPr>
          <w:rFonts w:ascii="宋体" w:hAnsi="宋体"/>
          <w:color w:val="auto"/>
          <w:kern w:val="0"/>
          <w:sz w:val="24"/>
          <w:highlight w:val="none"/>
        </w:rPr>
        <w:fldChar w:fldCharType="separate"/>
      </w:r>
      <w:r>
        <w:rPr>
          <w:rFonts w:hint="eastAsia" w:ascii="宋体" w:hAnsi="宋体"/>
          <w:color w:val="auto"/>
          <w:sz w:val="24"/>
          <w:highlight w:val="none"/>
        </w:rPr>
        <w:t>比选申请函</w:t>
      </w:r>
      <w:r>
        <w:rPr>
          <w:rFonts w:ascii="宋体" w:hAnsi="宋体"/>
          <w:color w:val="auto"/>
          <w:kern w:val="0"/>
          <w:sz w:val="24"/>
          <w:highlight w:val="none"/>
        </w:rPr>
        <w:fldChar w:fldCharType="end"/>
      </w:r>
    </w:p>
    <w:p>
      <w:pPr>
        <w:numPr>
          <w:ilvl w:val="0"/>
          <w:numId w:val="36"/>
        </w:numPr>
        <w:autoSpaceDE w:val="0"/>
        <w:autoSpaceDN w:val="0"/>
        <w:adjustRightInd w:val="0"/>
        <w:spacing w:before="120" w:beforeLines="50" w:after="120" w:afterLines="50" w:line="360" w:lineRule="auto"/>
        <w:ind w:left="0" w:firstLine="480" w:firstLineChars="200"/>
        <w:rPr>
          <w:rFonts w:ascii="宋体" w:hAnsi="宋体"/>
          <w:color w:val="auto"/>
          <w:kern w:val="0"/>
          <w:sz w:val="24"/>
          <w:highlight w:val="none"/>
        </w:rPr>
      </w:pPr>
      <w:r>
        <w:rPr>
          <w:rFonts w:ascii="宋体" w:hAnsi="宋体"/>
          <w:color w:val="auto"/>
          <w:kern w:val="0"/>
          <w:sz w:val="24"/>
          <w:highlight w:val="none"/>
        </w:rPr>
        <w:fldChar w:fldCharType="begin"/>
      </w:r>
      <w:r>
        <w:rPr>
          <w:rFonts w:ascii="宋体" w:hAnsi="宋体"/>
          <w:color w:val="auto"/>
          <w:kern w:val="0"/>
          <w:sz w:val="24"/>
          <w:highlight w:val="none"/>
        </w:rPr>
        <w:instrText xml:space="preserve"> REF _Ref483206548 \h  \* MERGEFORMAT </w:instrText>
      </w:r>
      <w:r>
        <w:rPr>
          <w:rFonts w:ascii="宋体" w:hAnsi="宋体"/>
          <w:color w:val="auto"/>
          <w:kern w:val="0"/>
          <w:sz w:val="24"/>
          <w:highlight w:val="none"/>
        </w:rPr>
        <w:fldChar w:fldCharType="separate"/>
      </w:r>
      <w:r>
        <w:rPr>
          <w:rFonts w:hint="eastAsia" w:ascii="宋体" w:hAnsi="宋体"/>
          <w:color w:val="auto"/>
          <w:sz w:val="24"/>
          <w:highlight w:val="none"/>
        </w:rPr>
        <w:t>分项报价表（格式及要求等见附件4）</w:t>
      </w:r>
      <w:r>
        <w:rPr>
          <w:rFonts w:ascii="宋体" w:hAnsi="宋体"/>
          <w:color w:val="auto"/>
          <w:kern w:val="0"/>
          <w:sz w:val="24"/>
          <w:highlight w:val="none"/>
        </w:rPr>
        <w:fldChar w:fldCharType="end"/>
      </w:r>
    </w:p>
    <w:p>
      <w:pPr>
        <w:autoSpaceDE w:val="0"/>
        <w:autoSpaceDN w:val="0"/>
        <w:adjustRightInd w:val="0"/>
        <w:spacing w:line="360" w:lineRule="auto"/>
        <w:jc w:val="center"/>
        <w:rPr>
          <w:rFonts w:ascii="宋体" w:hAnsi="宋体"/>
          <w:b/>
          <w:color w:val="auto"/>
          <w:kern w:val="0"/>
          <w:sz w:val="30"/>
          <w:szCs w:val="30"/>
          <w:highlight w:val="none"/>
        </w:rPr>
      </w:pPr>
    </w:p>
    <w:p>
      <w:pPr>
        <w:autoSpaceDE w:val="0"/>
        <w:autoSpaceDN w:val="0"/>
        <w:adjustRightInd w:val="0"/>
        <w:spacing w:line="360" w:lineRule="auto"/>
        <w:rPr>
          <w:rFonts w:ascii="宋体" w:hAnsi="宋体"/>
          <w:b/>
          <w:color w:val="auto"/>
          <w:kern w:val="0"/>
          <w:sz w:val="30"/>
          <w:szCs w:val="30"/>
          <w:highlight w:val="none"/>
        </w:rPr>
        <w:sectPr>
          <w:pgSz w:w="11906" w:h="16838"/>
          <w:pgMar w:top="1134" w:right="851" w:bottom="1134" w:left="1134" w:header="454" w:footer="567" w:gutter="0"/>
          <w:cols w:space="425" w:num="1"/>
          <w:docGrid w:linePitch="312" w:charSpace="0"/>
        </w:sectPr>
      </w:pPr>
    </w:p>
    <w:p>
      <w:pPr>
        <w:pStyle w:val="4"/>
        <w:numPr>
          <w:ilvl w:val="0"/>
          <w:numId w:val="37"/>
        </w:numPr>
        <w:spacing w:before="100" w:beforeAutospacing="1" w:after="100" w:afterAutospacing="1" w:line="240" w:lineRule="auto"/>
        <w:ind w:left="0" w:firstLine="0"/>
        <w:jc w:val="center"/>
        <w:rPr>
          <w:color w:val="auto"/>
          <w:sz w:val="24"/>
          <w:highlight w:val="none"/>
        </w:rPr>
      </w:pPr>
      <w:r>
        <w:rPr>
          <w:rFonts w:hint="eastAsia"/>
          <w:color w:val="auto"/>
          <w:sz w:val="24"/>
          <w:highlight w:val="none"/>
        </w:rPr>
        <w:t>比选申请函</w:t>
      </w:r>
      <w:bookmarkEnd w:id="244"/>
      <w:bookmarkEnd w:id="245"/>
    </w:p>
    <w:p>
      <w:pPr>
        <w:autoSpaceDE w:val="0"/>
        <w:autoSpaceDN w:val="0"/>
        <w:adjustRightInd w:val="0"/>
        <w:spacing w:after="120" w:afterLines="50"/>
        <w:jc w:val="left"/>
        <w:rPr>
          <w:rFonts w:ascii="宋体" w:hAnsi="宋体"/>
          <w:color w:val="auto"/>
          <w:kern w:val="0"/>
          <w:sz w:val="24"/>
          <w:highlight w:val="none"/>
        </w:rPr>
      </w:pPr>
      <w:bookmarkStart w:id="246" w:name="_Toc114052394"/>
      <w:r>
        <w:rPr>
          <w:rFonts w:hint="eastAsia" w:ascii="宋体" w:hAnsi="宋体"/>
          <w:color w:val="auto"/>
          <w:kern w:val="0"/>
          <w:sz w:val="24"/>
          <w:highlight w:val="none"/>
          <w:u w:val="single"/>
        </w:rPr>
        <w:t>南宁轨道交通集团有限责任公司</w:t>
      </w:r>
      <w:r>
        <w:rPr>
          <w:rFonts w:hint="eastAsia" w:ascii="宋体" w:hAnsi="宋体"/>
          <w:color w:val="auto"/>
          <w:kern w:val="0"/>
          <w:sz w:val="24"/>
          <w:highlight w:val="none"/>
        </w:rPr>
        <w:t>：</w:t>
      </w:r>
      <w:bookmarkEnd w:id="246"/>
    </w:p>
    <w:p>
      <w:pPr>
        <w:pStyle w:val="47"/>
        <w:numPr>
          <w:ilvl w:val="0"/>
          <w:numId w:val="38"/>
        </w:numPr>
        <w:spacing w:line="560" w:lineRule="exact"/>
        <w:ind w:firstLineChars="0"/>
        <w:rPr>
          <w:rFonts w:ascii="宋体" w:hAnsi="宋体"/>
          <w:color w:val="auto"/>
          <w:sz w:val="24"/>
          <w:highlight w:val="none"/>
        </w:rPr>
      </w:pPr>
      <w:r>
        <w:rPr>
          <w:rFonts w:hint="eastAsia" w:ascii="宋体" w:hAnsi="宋体"/>
          <w:color w:val="auto"/>
          <w:kern w:val="0"/>
          <w:sz w:val="24"/>
          <w:highlight w:val="none"/>
        </w:rPr>
        <w:t>根据</w:t>
      </w:r>
      <w:r>
        <w:rPr>
          <w:rFonts w:hint="eastAsia" w:ascii="宋体" w:hAnsi="宋体"/>
          <w:color w:val="auto"/>
          <w:sz w:val="24"/>
          <w:highlight w:val="none"/>
          <w:u w:val="single"/>
        </w:rPr>
        <w:t>2018年</w:t>
      </w:r>
      <w:r>
        <w:rPr>
          <w:rFonts w:hint="eastAsia" w:ascii="宋体" w:hAnsi="宋体"/>
          <w:color w:val="auto"/>
          <w:sz w:val="24"/>
          <w:highlight w:val="none"/>
          <w:u w:val="single"/>
          <w:lang w:eastAsia="zh-CN"/>
        </w:rPr>
        <w:t>设备维修耗材</w:t>
      </w:r>
      <w:r>
        <w:rPr>
          <w:rFonts w:hint="eastAsia" w:ascii="宋体" w:hAnsi="宋体"/>
          <w:color w:val="auto"/>
          <w:sz w:val="24"/>
          <w:highlight w:val="none"/>
        </w:rPr>
        <w:t>采购</w:t>
      </w:r>
      <w:r>
        <w:rPr>
          <w:rFonts w:hint="eastAsia" w:ascii="宋体" w:hAnsi="宋体"/>
          <w:color w:val="auto"/>
          <w:kern w:val="0"/>
          <w:sz w:val="24"/>
          <w:highlight w:val="none"/>
        </w:rPr>
        <w:t>项目（项目编号：</w:t>
      </w:r>
      <w:r>
        <w:rPr>
          <w:rFonts w:hint="eastAsia" w:ascii="宋体" w:hAnsi="宋体"/>
          <w:color w:val="auto"/>
          <w:kern w:val="0"/>
          <w:sz w:val="24"/>
          <w:highlight w:val="none"/>
          <w:lang w:eastAsia="zh-CN"/>
        </w:rPr>
        <w:t>YY1/2/3-BX-HC-2018031</w:t>
      </w:r>
      <w:r>
        <w:rPr>
          <w:rFonts w:hint="eastAsia" w:ascii="宋体" w:hAnsi="宋体"/>
          <w:color w:val="auto"/>
          <w:kern w:val="0"/>
          <w:sz w:val="24"/>
          <w:highlight w:val="none"/>
        </w:rPr>
        <w:t>）比选公告，遵照相关法律、法规的规定，我单位经考察现场和研究上述比选文件的须知、合同条件、技术规范和其他有关文件后，我方愿以</w:t>
      </w:r>
      <w:r>
        <w:rPr>
          <w:rFonts w:hint="eastAsia" w:ascii="宋体" w:hAnsi="宋体"/>
          <w:b/>
          <w:color w:val="auto"/>
          <w:kern w:val="0"/>
          <w:sz w:val="24"/>
          <w:highlight w:val="none"/>
        </w:rPr>
        <w:t>不含税总价</w:t>
      </w:r>
      <w:r>
        <w:rPr>
          <w:rFonts w:hint="eastAsia" w:ascii="宋体" w:hAnsi="宋体"/>
          <w:color w:val="auto"/>
          <w:kern w:val="0"/>
          <w:sz w:val="24"/>
          <w:highlight w:val="none"/>
        </w:rPr>
        <w:t>人民币</w:t>
      </w:r>
      <w:r>
        <w:rPr>
          <w:rFonts w:hint="eastAsia" w:ascii="宋体" w:hAnsi="宋体"/>
          <w:color w:val="auto"/>
          <w:sz w:val="24"/>
          <w:highlight w:val="none"/>
        </w:rPr>
        <w:t>￥</w:t>
      </w:r>
      <w:r>
        <w:rPr>
          <w:rFonts w:hint="eastAsia" w:ascii="宋体" w:hAnsi="宋体"/>
          <w:color w:val="auto"/>
          <w:kern w:val="0"/>
          <w:sz w:val="24"/>
          <w:highlight w:val="none"/>
          <w:u w:val="single"/>
        </w:rPr>
        <w:t>×××</w:t>
      </w:r>
      <w:r>
        <w:rPr>
          <w:rFonts w:hint="eastAsia" w:ascii="宋体" w:hAnsi="宋体"/>
          <w:color w:val="auto"/>
          <w:sz w:val="24"/>
          <w:highlight w:val="none"/>
        </w:rPr>
        <w:t>元(大写：</w:t>
      </w:r>
      <w:r>
        <w:rPr>
          <w:rFonts w:hint="eastAsia" w:ascii="宋体" w:hAnsi="宋体"/>
          <w:color w:val="auto"/>
          <w:sz w:val="24"/>
          <w:highlight w:val="none"/>
          <w:u w:val="single"/>
        </w:rPr>
        <w:t>××××××</w:t>
      </w:r>
      <w:r>
        <w:rPr>
          <w:rFonts w:hint="eastAsia" w:ascii="宋体" w:hAnsi="宋体"/>
          <w:color w:val="auto"/>
          <w:sz w:val="24"/>
          <w:highlight w:val="none"/>
        </w:rPr>
        <w:t>)、</w:t>
      </w:r>
      <w:r>
        <w:rPr>
          <w:rFonts w:ascii="宋体" w:hAnsi="宋体"/>
          <w:b/>
          <w:color w:val="auto"/>
          <w:sz w:val="24"/>
          <w:highlight w:val="none"/>
        </w:rPr>
        <w:t>含税总价</w:t>
      </w:r>
      <w:r>
        <w:rPr>
          <w:rFonts w:hint="eastAsia" w:ascii="宋体" w:hAnsi="宋体"/>
          <w:color w:val="auto"/>
          <w:kern w:val="0"/>
          <w:sz w:val="24"/>
          <w:highlight w:val="none"/>
        </w:rPr>
        <w:t>人民币</w:t>
      </w:r>
      <w:r>
        <w:rPr>
          <w:rFonts w:hint="eastAsia" w:ascii="宋体" w:hAnsi="宋体"/>
          <w:color w:val="auto"/>
          <w:sz w:val="24"/>
          <w:highlight w:val="none"/>
        </w:rPr>
        <w:t>￥</w:t>
      </w:r>
      <w:r>
        <w:rPr>
          <w:rFonts w:hint="eastAsia" w:ascii="宋体" w:hAnsi="宋体"/>
          <w:color w:val="auto"/>
          <w:kern w:val="0"/>
          <w:sz w:val="24"/>
          <w:highlight w:val="none"/>
          <w:u w:val="single"/>
        </w:rPr>
        <w:t>×××</w:t>
      </w:r>
      <w:r>
        <w:rPr>
          <w:rFonts w:hint="eastAsia" w:ascii="宋体" w:hAnsi="宋体"/>
          <w:color w:val="auto"/>
          <w:sz w:val="24"/>
          <w:highlight w:val="none"/>
        </w:rPr>
        <w:t>元(大写：</w:t>
      </w:r>
      <w:r>
        <w:rPr>
          <w:rFonts w:hint="eastAsia" w:ascii="宋体" w:hAnsi="宋体"/>
          <w:color w:val="auto"/>
          <w:sz w:val="24"/>
          <w:highlight w:val="none"/>
          <w:u w:val="single"/>
        </w:rPr>
        <w:t>××××××</w:t>
      </w:r>
      <w:r>
        <w:rPr>
          <w:rFonts w:hint="eastAsia" w:ascii="宋体" w:hAnsi="宋体"/>
          <w:color w:val="auto"/>
          <w:sz w:val="24"/>
          <w:highlight w:val="none"/>
        </w:rPr>
        <w:t>)</w:t>
      </w:r>
      <w:r>
        <w:rPr>
          <w:rFonts w:hint="eastAsia" w:ascii="宋体" w:hAnsi="宋体"/>
          <w:color w:val="auto"/>
          <w:kern w:val="0"/>
          <w:sz w:val="24"/>
          <w:highlight w:val="none"/>
        </w:rPr>
        <w:t>的价格按上述范围完成贵方安排的全部工作。</w:t>
      </w:r>
    </w:p>
    <w:p>
      <w:pPr>
        <w:pStyle w:val="47"/>
        <w:numPr>
          <w:ilvl w:val="0"/>
          <w:numId w:val="38"/>
        </w:numPr>
        <w:autoSpaceDE w:val="0"/>
        <w:autoSpaceDN w:val="0"/>
        <w:adjustRightInd w:val="0"/>
        <w:spacing w:line="560" w:lineRule="exact"/>
        <w:ind w:firstLineChars="0"/>
        <w:rPr>
          <w:rFonts w:ascii="宋体" w:hAnsi="宋体"/>
          <w:color w:val="auto"/>
          <w:kern w:val="0"/>
          <w:sz w:val="24"/>
          <w:highlight w:val="none"/>
        </w:rPr>
      </w:pPr>
      <w:r>
        <w:rPr>
          <w:rFonts w:hint="eastAsia" w:ascii="宋体" w:hAnsi="宋体"/>
          <w:color w:val="auto"/>
          <w:kern w:val="0"/>
          <w:sz w:val="24"/>
          <w:highlight w:val="none"/>
        </w:rPr>
        <w:t>我方根据比选文件的规定，承担完成合同的责任和义务。</w:t>
      </w:r>
    </w:p>
    <w:p>
      <w:pPr>
        <w:pStyle w:val="47"/>
        <w:numPr>
          <w:ilvl w:val="0"/>
          <w:numId w:val="38"/>
        </w:numPr>
        <w:autoSpaceDE w:val="0"/>
        <w:autoSpaceDN w:val="0"/>
        <w:adjustRightInd w:val="0"/>
        <w:spacing w:line="560" w:lineRule="exact"/>
        <w:ind w:firstLineChars="0"/>
        <w:rPr>
          <w:rFonts w:ascii="宋体" w:hAnsi="宋体"/>
          <w:color w:val="auto"/>
          <w:kern w:val="0"/>
          <w:sz w:val="24"/>
          <w:highlight w:val="none"/>
        </w:rPr>
      </w:pPr>
      <w:r>
        <w:rPr>
          <w:rFonts w:hint="eastAsia" w:ascii="宋体" w:hAnsi="宋体"/>
          <w:color w:val="auto"/>
          <w:kern w:val="0"/>
          <w:sz w:val="24"/>
          <w:highlight w:val="none"/>
        </w:rPr>
        <w:t>我方已详细审核比选申请文件，我方知道必须放弃提出含糊不清或误解问题的权利。</w:t>
      </w:r>
    </w:p>
    <w:p>
      <w:pPr>
        <w:pStyle w:val="47"/>
        <w:numPr>
          <w:ilvl w:val="0"/>
          <w:numId w:val="38"/>
        </w:numPr>
        <w:autoSpaceDE w:val="0"/>
        <w:autoSpaceDN w:val="0"/>
        <w:adjustRightInd w:val="0"/>
        <w:spacing w:line="560" w:lineRule="exact"/>
        <w:ind w:firstLineChars="0"/>
        <w:rPr>
          <w:rFonts w:ascii="宋体" w:hAnsi="宋体"/>
          <w:color w:val="auto"/>
          <w:kern w:val="0"/>
          <w:sz w:val="24"/>
          <w:highlight w:val="none"/>
        </w:rPr>
      </w:pPr>
      <w:r>
        <w:rPr>
          <w:rFonts w:hint="eastAsia" w:ascii="宋体" w:hAnsi="宋体"/>
          <w:color w:val="auto"/>
          <w:kern w:val="0"/>
          <w:sz w:val="24"/>
          <w:highlight w:val="none"/>
        </w:rPr>
        <w:t>同意向贵方提供贵方可能要求的与本比选有关的任何数据或资料。</w:t>
      </w:r>
    </w:p>
    <w:p>
      <w:pPr>
        <w:pStyle w:val="47"/>
        <w:numPr>
          <w:ilvl w:val="0"/>
          <w:numId w:val="38"/>
        </w:numPr>
        <w:autoSpaceDE w:val="0"/>
        <w:autoSpaceDN w:val="0"/>
        <w:adjustRightInd w:val="0"/>
        <w:spacing w:line="560" w:lineRule="exact"/>
        <w:ind w:firstLineChars="0"/>
        <w:rPr>
          <w:rFonts w:ascii="宋体" w:hAnsi="宋体"/>
          <w:color w:val="auto"/>
          <w:kern w:val="0"/>
          <w:sz w:val="24"/>
          <w:highlight w:val="none"/>
        </w:rPr>
      </w:pPr>
      <w:r>
        <w:rPr>
          <w:rFonts w:hint="eastAsia" w:ascii="宋体" w:hAnsi="宋体"/>
          <w:color w:val="auto"/>
          <w:kern w:val="0"/>
          <w:sz w:val="24"/>
          <w:highlight w:val="none"/>
        </w:rPr>
        <w:t>我方将严格遵守相关法律、法规的规定，知悉作为供应商应负的法律责任。</w:t>
      </w:r>
    </w:p>
    <w:p>
      <w:pPr>
        <w:pStyle w:val="47"/>
        <w:numPr>
          <w:ilvl w:val="0"/>
          <w:numId w:val="38"/>
        </w:numPr>
        <w:autoSpaceDE w:val="0"/>
        <w:autoSpaceDN w:val="0"/>
        <w:adjustRightInd w:val="0"/>
        <w:spacing w:line="560" w:lineRule="exact"/>
        <w:ind w:firstLineChars="0"/>
        <w:rPr>
          <w:rFonts w:ascii="宋体" w:hAnsi="宋体"/>
          <w:color w:val="auto"/>
          <w:kern w:val="0"/>
          <w:sz w:val="24"/>
          <w:highlight w:val="none"/>
        </w:rPr>
      </w:pPr>
      <w:r>
        <w:rPr>
          <w:rFonts w:hint="eastAsia" w:ascii="宋体" w:hAnsi="宋体"/>
          <w:color w:val="auto"/>
          <w:kern w:val="0"/>
          <w:sz w:val="24"/>
          <w:highlight w:val="none"/>
        </w:rPr>
        <w:t>与本比选项目有关的正式通讯地址为：</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比选申请人名称：</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地址：</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 xml:space="preserve"> 邮编：</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电话、电报、传真或电传：</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开户名称：</w:t>
      </w:r>
      <w:r>
        <w:rPr>
          <w:rFonts w:hint="eastAsia" w:ascii="宋体" w:hAnsi="宋体"/>
          <w:color w:val="auto"/>
          <w:kern w:val="0"/>
          <w:sz w:val="24"/>
          <w:highlight w:val="none"/>
          <w:u w:val="single"/>
        </w:rPr>
        <w:t xml:space="preserve">                                                    </w:t>
      </w:r>
      <w:r>
        <w:rPr>
          <w:rFonts w:hint="eastAsia" w:ascii="宋体" w:hAnsi="宋体"/>
          <w:color w:val="auto"/>
          <w:kern w:val="0"/>
          <w:sz w:val="24"/>
          <w:highlight w:val="non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开户银行：</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账号：</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法定代表人或委托代理人签名(或盖章)：</w:t>
      </w:r>
      <w:r>
        <w:rPr>
          <w:rFonts w:hint="eastAsia" w:ascii="宋体" w:hAnsi="宋体"/>
          <w:color w:val="auto"/>
          <w:kern w:val="0"/>
          <w:sz w:val="24"/>
          <w:highlight w:val="none"/>
          <w:u w:val="single"/>
        </w:rPr>
        <w:t xml:space="preserve">                           </w:t>
      </w:r>
    </w:p>
    <w:p>
      <w:pPr>
        <w:autoSpaceDE w:val="0"/>
        <w:autoSpaceDN w:val="0"/>
        <w:adjustRightInd w:val="0"/>
        <w:spacing w:line="56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比选申请人：（公章）</w:t>
      </w:r>
      <w:r>
        <w:rPr>
          <w:rFonts w:hint="eastAsia" w:ascii="宋体" w:hAnsi="宋体"/>
          <w:color w:val="auto"/>
          <w:kern w:val="0"/>
          <w:sz w:val="24"/>
          <w:highlight w:val="none"/>
          <w:u w:val="single"/>
        </w:rPr>
        <w:t xml:space="preserve">                                            </w:t>
      </w:r>
    </w:p>
    <w:p>
      <w:pPr>
        <w:autoSpaceDE w:val="0"/>
        <w:autoSpaceDN w:val="0"/>
        <w:adjustRightInd w:val="0"/>
        <w:spacing w:before="100" w:beforeAutospacing="1" w:line="560" w:lineRule="exact"/>
        <w:ind w:firstLine="480" w:firstLineChars="200"/>
        <w:jc w:val="center"/>
        <w:rPr>
          <w:rFonts w:ascii="宋体" w:hAnsi="宋体"/>
          <w:color w:val="auto"/>
          <w:kern w:val="0"/>
          <w:sz w:val="24"/>
          <w:highlight w:val="none"/>
          <w:u w:val="single"/>
        </w:rPr>
      </w:pPr>
      <w:r>
        <w:rPr>
          <w:rFonts w:hint="eastAsia" w:ascii="宋体" w:hAnsi="宋体"/>
          <w:color w:val="auto"/>
          <w:kern w:val="0"/>
          <w:sz w:val="24"/>
          <w:highlight w:val="none"/>
        </w:rPr>
        <w:t>　　　　　　　　　　　　　　　　　　　日　期：　　年　月　日</w:t>
      </w:r>
    </w:p>
    <w:p>
      <w:pPr>
        <w:autoSpaceDE w:val="0"/>
        <w:autoSpaceDN w:val="0"/>
        <w:adjustRightInd w:val="0"/>
        <w:spacing w:line="360" w:lineRule="auto"/>
        <w:rPr>
          <w:rFonts w:ascii="楷体_GB2312" w:eastAsia="楷体_GB2312"/>
          <w:color w:val="auto"/>
          <w:kern w:val="0"/>
          <w:sz w:val="24"/>
          <w:highlight w:val="none"/>
          <w:u w:val="single"/>
        </w:rPr>
      </w:pPr>
    </w:p>
    <w:p>
      <w:pPr>
        <w:autoSpaceDE w:val="0"/>
        <w:autoSpaceDN w:val="0"/>
        <w:adjustRightInd w:val="0"/>
        <w:spacing w:line="360" w:lineRule="auto"/>
        <w:rPr>
          <w:b/>
          <w:color w:val="auto"/>
          <w:sz w:val="24"/>
          <w:highlight w:val="none"/>
        </w:rPr>
      </w:pPr>
      <w:r>
        <w:rPr>
          <w:rFonts w:hint="eastAsia" w:ascii="宋体" w:hAnsi="宋体"/>
          <w:b/>
          <w:color w:val="auto"/>
          <w:kern w:val="0"/>
          <w:sz w:val="24"/>
          <w:highlight w:val="none"/>
        </w:rPr>
        <w:t>注：未按照本比选申请函要求填报的将被视为非实质性响应。</w:t>
      </w:r>
    </w:p>
    <w:sectPr>
      <w:headerReference r:id="rId11" w:type="default"/>
      <w:footerReference r:id="rId12" w:type="default"/>
      <w:pgSz w:w="11906" w:h="16838"/>
      <w:pgMar w:top="1134" w:right="851" w:bottom="1134" w:left="1134" w:header="454"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sdt>
      <w:sdtPr>
        <w:id w:val="-305242834"/>
      </w:sdtPr>
      <w:sdtContent>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31</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547633"/>
    </w:sdtPr>
    <w:sdtContent>
      <w:p>
        <w:pPr>
          <w:pStyle w:val="25"/>
        </w:pPr>
        <w:sdt>
          <w:sdtPr>
            <w:id w:val="-778110673"/>
          </w:sdtPr>
          <w:sdtContent>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14</w:t>
            </w:r>
            <w:r>
              <w:fldChar w:fldCharType="end"/>
            </w:r>
            <w:r>
              <w:rPr>
                <w:rFonts w:hint="eastAsia"/>
              </w:rPr>
              <w:t>页/共</w:t>
            </w:r>
            <w:r>
              <w:fldChar w:fldCharType="begin"/>
            </w:r>
            <w:r>
              <w:instrText xml:space="preserve"> NUMPAGES  \* Arabic  \* MERGEFORMAT </w:instrText>
            </w:r>
            <w:r>
              <w:fldChar w:fldCharType="separate"/>
            </w:r>
            <w:r>
              <w:t>35</w:t>
            </w:r>
            <w:r>
              <w:fldChar w:fldCharType="end"/>
            </w:r>
            <w:r>
              <w:rPr>
                <w:rFonts w:hint="eastAsia"/>
              </w:rPr>
              <w:t>页</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sdt>
      <w:sdtPr>
        <w:id w:val="300351408"/>
      </w:sdtPr>
      <w:sdtContent>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35</w:t>
        </w:r>
        <w:r>
          <w:fldChar w:fldCharType="end"/>
        </w:r>
        <w:r>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1456"/>
    </w:sdtPr>
    <w:sdtContent>
      <w:sdt>
        <w:sdtPr>
          <w:id w:val="-1699086704"/>
        </w:sdtPr>
        <w:sdtContent>
          <w:p>
            <w:pPr>
              <w:pStyle w:val="25"/>
              <w:jc w:val="right"/>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13</w:t>
            </w:r>
            <w:r>
              <w:fldChar w:fldCharType="end"/>
            </w:r>
            <w:r>
              <w:rPr>
                <w:rFonts w:hint="eastAsia"/>
              </w:rPr>
              <w:t>页/共</w:t>
            </w:r>
            <w:r>
              <w:fldChar w:fldCharType="begin"/>
            </w:r>
            <w:r>
              <w:instrText xml:space="preserve"> NUMPAGES  \* Arabic  \* MERGEFORMAT </w:instrText>
            </w:r>
            <w:r>
              <w:fldChar w:fldCharType="separate"/>
            </w:r>
            <w:r>
              <w:t>35</w:t>
            </w:r>
            <w: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370992"/>
    </w:sdtPr>
    <w:sdtContent>
      <w:sdt>
        <w:sdtPr>
          <w:id w:val="1109705619"/>
        </w:sdtPr>
        <w:sdtContent>
          <w:p>
            <w:pPr>
              <w:pStyle w:val="25"/>
              <w:jc w:val="center"/>
            </w:pPr>
            <w:r>
              <w:rPr>
                <w:rFonts w:hint="eastAsia"/>
              </w:rPr>
              <w:t>第</w:t>
            </w:r>
            <w:r>
              <w:fldChar w:fldCharType="begin"/>
            </w:r>
            <w:r>
              <w:instrText xml:space="preserve"> </w:instrText>
            </w:r>
            <w:r>
              <w:rPr>
                <w:rFonts w:hint="eastAsia"/>
              </w:rPr>
              <w:instrText xml:space="preserve">PAGE  \* Arabic  \* MERGEFORMAT</w:instrText>
            </w:r>
            <w:r>
              <w:instrText xml:space="preserve"> </w:instrText>
            </w:r>
            <w:r>
              <w:fldChar w:fldCharType="separate"/>
            </w:r>
            <w:r>
              <w:t>35</w:t>
            </w:r>
            <w:r>
              <w:fldChar w:fldCharType="end"/>
            </w:r>
            <w:r>
              <w:rPr>
                <w:rFonts w:hint="eastAsia"/>
              </w:rPr>
              <w:t>页/共</w:t>
            </w:r>
            <w:r>
              <w:fldChar w:fldCharType="begin"/>
            </w:r>
            <w:r>
              <w:instrText xml:space="preserve"> NUMPAGES  \* Arabic  \* MERGEFORMAT </w:instrText>
            </w:r>
            <w:r>
              <w:fldChar w:fldCharType="separate"/>
            </w:r>
            <w:r>
              <w:t>35</w:t>
            </w:r>
            <w:r>
              <w:fldChar w:fldCharType="end"/>
            </w:r>
            <w:r>
              <w:rPr>
                <w:rFonts w:hint="eastAsia"/>
              </w:rPr>
              <w:t>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lang w:val="en-US"/>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rPr>
        <w:lang w:val="en-US"/>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r>
      <w:rPr>
        <w:lang w:val="en-US"/>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r>
      <w:rPr>
        <w:lang w:val="en-US"/>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left"/>
    </w:pPr>
    <w:r>
      <w:rPr>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3D952DD"/>
    <w:lvl w:ilvl="0" w:tentative="0">
      <w:start w:val="1"/>
      <w:numFmt w:val="decimal"/>
      <w:lvlText w:val="%1."/>
      <w:lvlJc w:val="left"/>
      <w:pPr>
        <w:ind w:left="425" w:hanging="425"/>
      </w:pPr>
      <w:rPr>
        <w:b/>
        <w:sz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C3757B5"/>
    <w:multiLevelType w:val="multilevel"/>
    <w:tmpl w:val="0C3757B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F3518CA"/>
    <w:multiLevelType w:val="multilevel"/>
    <w:tmpl w:val="0F3518CA"/>
    <w:lvl w:ilvl="0" w:tentative="0">
      <w:start w:val="1"/>
      <w:numFmt w:val="decimal"/>
      <w:lvlText w:val="%1."/>
      <w:lvlJc w:val="left"/>
      <w:pPr>
        <w:ind w:left="425" w:hanging="425"/>
      </w:pPr>
      <w:rPr>
        <w:b/>
        <w:color w:val="auto"/>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67524D"/>
    <w:multiLevelType w:val="multilevel"/>
    <w:tmpl w:val="206752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24660D82"/>
    <w:multiLevelType w:val="multilevel"/>
    <w:tmpl w:val="24660D8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77B500A"/>
    <w:multiLevelType w:val="multilevel"/>
    <w:tmpl w:val="277B5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3099091C"/>
    <w:multiLevelType w:val="multilevel"/>
    <w:tmpl w:val="3099091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3A9E77AC"/>
    <w:multiLevelType w:val="multilevel"/>
    <w:tmpl w:val="3A9E77A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F030F72"/>
    <w:multiLevelType w:val="multilevel"/>
    <w:tmpl w:val="3F030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FF42F4A"/>
    <w:multiLevelType w:val="multilevel"/>
    <w:tmpl w:val="3FF42F4A"/>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4D5C1750"/>
    <w:multiLevelType w:val="multilevel"/>
    <w:tmpl w:val="4D5C1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620365B6"/>
    <w:multiLevelType w:val="multilevel"/>
    <w:tmpl w:val="620365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6A823B15"/>
    <w:multiLevelType w:val="multilevel"/>
    <w:tmpl w:val="6A823B15"/>
    <w:lvl w:ilvl="0" w:tentative="0">
      <w:start w:val="1"/>
      <w:numFmt w:val="decimal"/>
      <w:lvlText w:val="（%1）"/>
      <w:lvlJc w:val="left"/>
      <w:pPr>
        <w:ind w:left="992" w:hanging="420"/>
      </w:pPr>
      <w:rPr>
        <w:rFonts w:hint="eastAsia"/>
      </w:rPr>
    </w:lvl>
    <w:lvl w:ilvl="1" w:tentative="0">
      <w:start w:val="1"/>
      <w:numFmt w:val="lowerLetter"/>
      <w:lvlText w:val="%2)"/>
      <w:lvlJc w:val="left"/>
      <w:pPr>
        <w:ind w:left="1412" w:hanging="420"/>
      </w:pPr>
    </w:lvl>
    <w:lvl w:ilvl="2" w:tentative="0">
      <w:start w:val="1"/>
      <w:numFmt w:val="lowerRoman"/>
      <w:lvlText w:val="%3."/>
      <w:lvlJc w:val="right"/>
      <w:pPr>
        <w:ind w:left="1832" w:hanging="420"/>
      </w:pPr>
    </w:lvl>
    <w:lvl w:ilvl="3" w:tentative="0">
      <w:start w:val="1"/>
      <w:numFmt w:val="decimal"/>
      <w:lvlText w:val="%4."/>
      <w:lvlJc w:val="left"/>
      <w:pPr>
        <w:ind w:left="2252" w:hanging="420"/>
      </w:pPr>
    </w:lvl>
    <w:lvl w:ilvl="4" w:tentative="0">
      <w:start w:val="1"/>
      <w:numFmt w:val="lowerLetter"/>
      <w:lvlText w:val="%5)"/>
      <w:lvlJc w:val="left"/>
      <w:pPr>
        <w:ind w:left="2672" w:hanging="420"/>
      </w:pPr>
    </w:lvl>
    <w:lvl w:ilvl="5" w:tentative="0">
      <w:start w:val="1"/>
      <w:numFmt w:val="lowerRoman"/>
      <w:lvlText w:val="%6."/>
      <w:lvlJc w:val="right"/>
      <w:pPr>
        <w:ind w:left="3092" w:hanging="420"/>
      </w:pPr>
    </w:lvl>
    <w:lvl w:ilvl="6" w:tentative="0">
      <w:start w:val="1"/>
      <w:numFmt w:val="decimal"/>
      <w:lvlText w:val="%7."/>
      <w:lvlJc w:val="left"/>
      <w:pPr>
        <w:ind w:left="3512" w:hanging="420"/>
      </w:pPr>
    </w:lvl>
    <w:lvl w:ilvl="7" w:tentative="0">
      <w:start w:val="1"/>
      <w:numFmt w:val="lowerLetter"/>
      <w:lvlText w:val="%8)"/>
      <w:lvlJc w:val="left"/>
      <w:pPr>
        <w:ind w:left="3932" w:hanging="420"/>
      </w:pPr>
    </w:lvl>
    <w:lvl w:ilvl="8" w:tentative="0">
      <w:start w:val="1"/>
      <w:numFmt w:val="lowerRoman"/>
      <w:lvlText w:val="%9."/>
      <w:lvlJc w:val="right"/>
      <w:pPr>
        <w:ind w:left="4352" w:hanging="420"/>
      </w:pPr>
    </w:lvl>
  </w:abstractNum>
  <w:abstractNum w:abstractNumId="31">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2">
    <w:nsid w:val="7273690E"/>
    <w:multiLevelType w:val="multilevel"/>
    <w:tmpl w:val="727369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34E541E"/>
    <w:multiLevelType w:val="multilevel"/>
    <w:tmpl w:val="734E54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5">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7E18280D"/>
    <w:multiLevelType w:val="multilevel"/>
    <w:tmpl w:val="7E1828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28"/>
  </w:num>
  <w:num w:numId="3">
    <w:abstractNumId w:val="36"/>
  </w:num>
  <w:num w:numId="4">
    <w:abstractNumId w:val="29"/>
  </w:num>
  <w:num w:numId="5">
    <w:abstractNumId w:val="35"/>
  </w:num>
  <w:num w:numId="6">
    <w:abstractNumId w:val="32"/>
  </w:num>
  <w:num w:numId="7">
    <w:abstractNumId w:val="23"/>
  </w:num>
  <w:num w:numId="8">
    <w:abstractNumId w:val="20"/>
  </w:num>
  <w:num w:numId="9">
    <w:abstractNumId w:val="33"/>
  </w:num>
  <w:num w:numId="10">
    <w:abstractNumId w:val="27"/>
  </w:num>
  <w:num w:numId="11">
    <w:abstractNumId w:val="13"/>
  </w:num>
  <w:num w:numId="12">
    <w:abstractNumId w:val="7"/>
  </w:num>
  <w:num w:numId="13">
    <w:abstractNumId w:val="15"/>
  </w:num>
  <w:num w:numId="14">
    <w:abstractNumId w:val="30"/>
  </w:num>
  <w:num w:numId="15">
    <w:abstractNumId w:val="10"/>
  </w:num>
  <w:num w:numId="16">
    <w:abstractNumId w:val="4"/>
  </w:num>
  <w:num w:numId="17">
    <w:abstractNumId w:val="18"/>
  </w:num>
  <w:num w:numId="18">
    <w:abstractNumId w:val="9"/>
  </w:num>
  <w:num w:numId="19">
    <w:abstractNumId w:val="8"/>
  </w:num>
  <w:num w:numId="20">
    <w:abstractNumId w:val="37"/>
  </w:num>
  <w:num w:numId="21">
    <w:abstractNumId w:val="19"/>
  </w:num>
  <w:num w:numId="22">
    <w:abstractNumId w:val="17"/>
  </w:num>
  <w:num w:numId="23">
    <w:abstractNumId w:val="16"/>
  </w:num>
  <w:num w:numId="24">
    <w:abstractNumId w:val="1"/>
  </w:num>
  <w:num w:numId="25">
    <w:abstractNumId w:val="34"/>
  </w:num>
  <w:num w:numId="26">
    <w:abstractNumId w:val="25"/>
  </w:num>
  <w:num w:numId="27">
    <w:abstractNumId w:val="6"/>
  </w:num>
  <w:num w:numId="28">
    <w:abstractNumId w:val="22"/>
  </w:num>
  <w:num w:numId="29">
    <w:abstractNumId w:val="26"/>
  </w:num>
  <w:num w:numId="30">
    <w:abstractNumId w:val="24"/>
  </w:num>
  <w:num w:numId="31">
    <w:abstractNumId w:val="14"/>
  </w:num>
  <w:num w:numId="32">
    <w:abstractNumId w:val="0"/>
  </w:num>
  <w:num w:numId="33">
    <w:abstractNumId w:val="5"/>
  </w:num>
  <w:num w:numId="34">
    <w:abstractNumId w:val="31"/>
  </w:num>
  <w:num w:numId="35">
    <w:abstractNumId w:val="21"/>
  </w:num>
  <w:num w:numId="36">
    <w:abstractNumId w:val="12"/>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3F34"/>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37595"/>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191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3BB0"/>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062"/>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1890"/>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0A7"/>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119BA"/>
    <w:rsid w:val="00B11D33"/>
    <w:rsid w:val="00B12331"/>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2706"/>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5D1B"/>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E2C"/>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7761"/>
    <w:rsid w:val="00FF78ED"/>
    <w:rsid w:val="042D3D0E"/>
    <w:rsid w:val="04B50DAE"/>
    <w:rsid w:val="089E3FC6"/>
    <w:rsid w:val="12C85A89"/>
    <w:rsid w:val="1B2E4A0C"/>
    <w:rsid w:val="1DD11CD4"/>
    <w:rsid w:val="219D214A"/>
    <w:rsid w:val="22E550F5"/>
    <w:rsid w:val="286B25C3"/>
    <w:rsid w:val="2A7B5DC5"/>
    <w:rsid w:val="2C534CDE"/>
    <w:rsid w:val="33291512"/>
    <w:rsid w:val="385147DD"/>
    <w:rsid w:val="39FB007A"/>
    <w:rsid w:val="3E2B11AF"/>
    <w:rsid w:val="3F38062B"/>
    <w:rsid w:val="40793316"/>
    <w:rsid w:val="49FC212E"/>
    <w:rsid w:val="4A102707"/>
    <w:rsid w:val="51D72610"/>
    <w:rsid w:val="548B47A4"/>
    <w:rsid w:val="5693239E"/>
    <w:rsid w:val="57A90631"/>
    <w:rsid w:val="5DB24042"/>
    <w:rsid w:val="60F43E5D"/>
    <w:rsid w:val="619141E9"/>
    <w:rsid w:val="623409C1"/>
    <w:rsid w:val="62AA7146"/>
    <w:rsid w:val="680D157E"/>
    <w:rsid w:val="68B857CC"/>
    <w:rsid w:val="6AC421C7"/>
    <w:rsid w:val="6CF52876"/>
    <w:rsid w:val="75570D2E"/>
    <w:rsid w:val="795C2FCB"/>
    <w:rsid w:val="7F6F5D8F"/>
    <w:rsid w:val="7FD36645"/>
    <w:rsid w:val="7FF8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4">
    <w:name w:val="Default Paragraph Font"/>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2"/>
    <w:qFormat/>
    <w:uiPriority w:val="0"/>
    <w:rPr>
      <w:b/>
      <w:bCs/>
    </w:rPr>
  </w:style>
  <w:style w:type="paragraph" w:styleId="12">
    <w:name w:val="annotation text"/>
    <w:basedOn w:val="1"/>
    <w:link w:val="51"/>
    <w:qFormat/>
    <w:uiPriority w:val="0"/>
    <w:pPr>
      <w:jc w:val="left"/>
    </w:pPr>
    <w:rPr>
      <w:lang w:val="zh-CN"/>
    </w:rPr>
  </w:style>
  <w:style w:type="paragraph" w:styleId="13">
    <w:name w:val="toc 7"/>
    <w:basedOn w:val="1"/>
    <w:next w:val="1"/>
    <w:qFormat/>
    <w:uiPriority w:val="0"/>
    <w:pPr>
      <w:ind w:left="1260"/>
      <w:jc w:val="left"/>
    </w:pPr>
    <w:rPr>
      <w:rFonts w:asciiTheme="minorHAnsi" w:hAnsiTheme="minorHAnsi" w:cstheme="minorHAnsi"/>
      <w:sz w:val="18"/>
      <w:szCs w:val="18"/>
    </w:rPr>
  </w:style>
  <w:style w:type="paragraph" w:styleId="14">
    <w:name w:val="caption"/>
    <w:basedOn w:val="1"/>
    <w:next w:val="1"/>
    <w:unhideWhenUsed/>
    <w:qFormat/>
    <w:uiPriority w:val="0"/>
    <w:rPr>
      <w:rFonts w:eastAsia="黑体" w:asciiTheme="majorHAnsi" w:hAnsiTheme="majorHAnsi" w:cstheme="majorBidi"/>
      <w:sz w:val="20"/>
      <w:szCs w:val="20"/>
    </w:rPr>
  </w:style>
  <w:style w:type="paragraph" w:styleId="15">
    <w:name w:val="Document Map"/>
    <w:basedOn w:val="1"/>
    <w:qFormat/>
    <w:uiPriority w:val="0"/>
    <w:pPr>
      <w:shd w:val="clear" w:color="auto" w:fill="000080"/>
    </w:pPr>
    <w:rPr>
      <w:rFonts w:ascii="Times New Roman" w:hAnsi="Times New Roman"/>
      <w:sz w:val="30"/>
      <w:szCs w:val="20"/>
    </w:rPr>
  </w:style>
  <w:style w:type="paragraph" w:styleId="16">
    <w:name w:val="Body Text"/>
    <w:basedOn w:val="1"/>
    <w:qFormat/>
    <w:uiPriority w:val="0"/>
    <w:pPr>
      <w:spacing w:after="120"/>
    </w:pPr>
  </w:style>
  <w:style w:type="paragraph" w:styleId="17">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8">
    <w:name w:val="toc 5"/>
    <w:basedOn w:val="1"/>
    <w:next w:val="1"/>
    <w:qFormat/>
    <w:uiPriority w:val="0"/>
    <w:pPr>
      <w:ind w:left="840"/>
      <w:jc w:val="left"/>
    </w:pPr>
    <w:rPr>
      <w:rFonts w:asciiTheme="minorHAnsi" w:hAnsiTheme="minorHAnsi" w:cstheme="minorHAnsi"/>
      <w:sz w:val="18"/>
      <w:szCs w:val="18"/>
    </w:rPr>
  </w:style>
  <w:style w:type="paragraph" w:styleId="19">
    <w:name w:val="toc 3"/>
    <w:basedOn w:val="1"/>
    <w:next w:val="1"/>
    <w:qFormat/>
    <w:uiPriority w:val="39"/>
    <w:pPr>
      <w:ind w:left="420"/>
      <w:jc w:val="left"/>
    </w:pPr>
    <w:rPr>
      <w:rFonts w:asciiTheme="minorHAnsi" w:hAnsiTheme="minorHAnsi" w:cstheme="minorHAnsi"/>
      <w:i/>
      <w:iCs/>
      <w:sz w:val="20"/>
      <w:szCs w:val="20"/>
    </w:rPr>
  </w:style>
  <w:style w:type="paragraph" w:styleId="20">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1">
    <w:name w:val="toc 8"/>
    <w:basedOn w:val="1"/>
    <w:next w:val="1"/>
    <w:qFormat/>
    <w:uiPriority w:val="0"/>
    <w:pPr>
      <w:ind w:left="1470"/>
      <w:jc w:val="left"/>
    </w:pPr>
    <w:rPr>
      <w:rFonts w:asciiTheme="minorHAnsi" w:hAnsiTheme="minorHAnsi" w:cstheme="minorHAnsi"/>
      <w:sz w:val="18"/>
      <w:szCs w:val="18"/>
    </w:rPr>
  </w:style>
  <w:style w:type="paragraph" w:styleId="22">
    <w:name w:val="Date"/>
    <w:basedOn w:val="1"/>
    <w:next w:val="1"/>
    <w:qFormat/>
    <w:uiPriority w:val="0"/>
    <w:rPr>
      <w:rFonts w:ascii="宋体" w:hAnsi="Times New Roman"/>
      <w:color w:val="000000"/>
      <w:kern w:val="0"/>
      <w:sz w:val="30"/>
      <w:szCs w:val="20"/>
    </w:rPr>
  </w:style>
  <w:style w:type="paragraph" w:styleId="23">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4">
    <w:name w:val="Balloon Text"/>
    <w:basedOn w:val="1"/>
    <w:qFormat/>
    <w:uiPriority w:val="0"/>
    <w:rPr>
      <w:rFonts w:ascii="Times New Roman" w:hAnsi="Times New Roman"/>
      <w:sz w:val="18"/>
      <w:szCs w:val="20"/>
    </w:rPr>
  </w:style>
  <w:style w:type="paragraph" w:styleId="25">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6">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7">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8">
    <w:name w:val="toc 4"/>
    <w:basedOn w:val="1"/>
    <w:next w:val="1"/>
    <w:qFormat/>
    <w:uiPriority w:val="0"/>
    <w:pPr>
      <w:ind w:left="630"/>
      <w:jc w:val="left"/>
    </w:pPr>
    <w:rPr>
      <w:rFonts w:asciiTheme="minorHAnsi" w:hAnsiTheme="minorHAnsi" w:cstheme="minorHAnsi"/>
      <w:sz w:val="18"/>
      <w:szCs w:val="18"/>
    </w:rPr>
  </w:style>
  <w:style w:type="paragraph" w:styleId="29">
    <w:name w:val="toc 6"/>
    <w:basedOn w:val="1"/>
    <w:next w:val="1"/>
    <w:qFormat/>
    <w:uiPriority w:val="0"/>
    <w:pPr>
      <w:ind w:left="1050"/>
      <w:jc w:val="left"/>
    </w:pPr>
    <w:rPr>
      <w:rFonts w:asciiTheme="minorHAnsi" w:hAnsiTheme="minorHAnsi" w:cstheme="minorHAnsi"/>
      <w:sz w:val="18"/>
      <w:szCs w:val="18"/>
    </w:rPr>
  </w:style>
  <w:style w:type="paragraph" w:styleId="30">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1">
    <w:name w:val="toc 2"/>
    <w:basedOn w:val="1"/>
    <w:next w:val="1"/>
    <w:qFormat/>
    <w:uiPriority w:val="39"/>
    <w:pPr>
      <w:ind w:left="210"/>
      <w:jc w:val="left"/>
    </w:pPr>
    <w:rPr>
      <w:rFonts w:asciiTheme="minorHAnsi" w:hAnsiTheme="minorHAnsi" w:cstheme="minorHAnsi"/>
      <w:smallCaps/>
      <w:sz w:val="20"/>
      <w:szCs w:val="20"/>
    </w:rPr>
  </w:style>
  <w:style w:type="paragraph" w:styleId="32">
    <w:name w:val="toc 9"/>
    <w:basedOn w:val="1"/>
    <w:next w:val="1"/>
    <w:qFormat/>
    <w:uiPriority w:val="0"/>
    <w:pPr>
      <w:ind w:left="1680"/>
      <w:jc w:val="left"/>
    </w:pPr>
    <w:rPr>
      <w:rFonts w:asciiTheme="minorHAnsi" w:hAnsiTheme="minorHAnsi" w:cstheme="minorHAnsi"/>
      <w:sz w:val="18"/>
      <w:szCs w:val="18"/>
    </w:rPr>
  </w:style>
  <w:style w:type="paragraph" w:styleId="33">
    <w:name w:val="Title"/>
    <w:basedOn w:val="1"/>
    <w:next w:val="1"/>
    <w:link w:val="54"/>
    <w:qFormat/>
    <w:uiPriority w:val="0"/>
    <w:pPr>
      <w:spacing w:before="240" w:after="60"/>
      <w:jc w:val="center"/>
      <w:outlineLvl w:val="0"/>
    </w:pPr>
    <w:rPr>
      <w:rFonts w:ascii="Cambria" w:hAnsi="Cambria"/>
      <w:b/>
      <w:bCs/>
      <w:sz w:val="32"/>
      <w:szCs w:val="32"/>
      <w:lang w:val="zh-CN"/>
    </w:rPr>
  </w:style>
  <w:style w:type="character" w:styleId="35">
    <w:name w:val="Strong"/>
    <w:qFormat/>
    <w:uiPriority w:val="22"/>
    <w:rPr>
      <w:b/>
      <w:bCs/>
    </w:rPr>
  </w:style>
  <w:style w:type="character" w:styleId="36">
    <w:name w:val="page number"/>
    <w:basedOn w:val="34"/>
    <w:qFormat/>
    <w:uiPriority w:val="0"/>
  </w:style>
  <w:style w:type="character" w:styleId="37">
    <w:name w:val="Hyperlink"/>
    <w:qFormat/>
    <w:uiPriority w:val="99"/>
    <w:rPr>
      <w:color w:val="0000FF"/>
      <w:u w:val="single"/>
    </w:rPr>
  </w:style>
  <w:style w:type="character" w:styleId="38">
    <w:name w:val="annotation reference"/>
    <w:qFormat/>
    <w:uiPriority w:val="0"/>
    <w:rPr>
      <w:sz w:val="21"/>
      <w:szCs w:val="21"/>
    </w:rPr>
  </w:style>
  <w:style w:type="table" w:styleId="40">
    <w:name w:val="Table Grid"/>
    <w:basedOn w:val="39"/>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1">
    <w:name w:val="正文文本缩进 字符"/>
    <w:link w:val="17"/>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字符"/>
    <w:link w:val="20"/>
    <w:qFormat/>
    <w:uiPriority w:val="0"/>
    <w:rPr>
      <w:rFonts w:ascii="宋体" w:hAnsi="Courier New" w:eastAsia="宋体"/>
      <w:sz w:val="21"/>
      <w:lang w:val="en-US" w:eastAsia="zh-CN" w:bidi="ar-SA"/>
    </w:rPr>
  </w:style>
  <w:style w:type="paragraph" w:customStyle="1" w:styleId="44">
    <w:name w:val="Char"/>
    <w:basedOn w:val="15"/>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字符"/>
    <w:link w:val="12"/>
    <w:qFormat/>
    <w:uiPriority w:val="0"/>
    <w:rPr>
      <w:rFonts w:ascii="Calibri" w:hAnsi="Calibri"/>
      <w:kern w:val="2"/>
      <w:sz w:val="21"/>
      <w:szCs w:val="22"/>
    </w:rPr>
  </w:style>
  <w:style w:type="character" w:customStyle="1" w:styleId="52">
    <w:name w:val="批注主题 字符"/>
    <w:link w:val="11"/>
    <w:qFormat/>
    <w:uiPriority w:val="0"/>
    <w:rPr>
      <w:rFonts w:ascii="Calibri" w:hAnsi="Calibri"/>
      <w:b/>
      <w:bCs/>
      <w:kern w:val="2"/>
      <w:sz w:val="21"/>
      <w:szCs w:val="22"/>
    </w:rPr>
  </w:style>
  <w:style w:type="character" w:customStyle="1" w:styleId="53">
    <w:name w:val="页脚 字符"/>
    <w:link w:val="25"/>
    <w:qFormat/>
    <w:uiPriority w:val="99"/>
    <w:rPr>
      <w:kern w:val="2"/>
      <w:sz w:val="18"/>
    </w:rPr>
  </w:style>
  <w:style w:type="character" w:customStyle="1" w:styleId="54">
    <w:name w:val="标题 字符"/>
    <w:link w:val="33"/>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6"/>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字符"/>
    <w:link w:val="26"/>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字符"/>
    <w:basedOn w:val="34"/>
    <w:link w:val="5"/>
    <w:qFormat/>
    <w:uiPriority w:val="0"/>
    <w:rPr>
      <w:rFonts w:asciiTheme="majorHAnsi" w:hAnsiTheme="majorHAnsi" w:eastAsiaTheme="majorEastAsia" w:cstheme="majorBidi"/>
      <w:b/>
      <w:bCs/>
      <w:kern w:val="2"/>
      <w:sz w:val="28"/>
      <w:szCs w:val="28"/>
    </w:rPr>
  </w:style>
  <w:style w:type="character" w:customStyle="1" w:styleId="63">
    <w:name w:val="标题 5 字符"/>
    <w:basedOn w:val="34"/>
    <w:link w:val="6"/>
    <w:semiHidden/>
    <w:qFormat/>
    <w:uiPriority w:val="0"/>
    <w:rPr>
      <w:rFonts w:ascii="Calibri" w:hAnsi="Calibri"/>
      <w:b/>
      <w:bCs/>
      <w:kern w:val="2"/>
      <w:sz w:val="28"/>
      <w:szCs w:val="28"/>
    </w:rPr>
  </w:style>
  <w:style w:type="character" w:customStyle="1" w:styleId="64">
    <w:name w:val="标题 6 字符"/>
    <w:basedOn w:val="34"/>
    <w:link w:val="7"/>
    <w:semiHidden/>
    <w:qFormat/>
    <w:uiPriority w:val="0"/>
    <w:rPr>
      <w:rFonts w:asciiTheme="majorHAnsi" w:hAnsiTheme="majorHAnsi" w:eastAsiaTheme="majorEastAsia" w:cstheme="majorBidi"/>
      <w:b/>
      <w:bCs/>
      <w:kern w:val="2"/>
      <w:sz w:val="24"/>
      <w:szCs w:val="24"/>
    </w:rPr>
  </w:style>
  <w:style w:type="character" w:customStyle="1" w:styleId="65">
    <w:name w:val="标题 7 字符"/>
    <w:basedOn w:val="34"/>
    <w:link w:val="8"/>
    <w:semiHidden/>
    <w:qFormat/>
    <w:uiPriority w:val="0"/>
    <w:rPr>
      <w:rFonts w:ascii="Calibri" w:hAnsi="Calibri"/>
      <w:b/>
      <w:bCs/>
      <w:kern w:val="2"/>
      <w:sz w:val="24"/>
      <w:szCs w:val="24"/>
    </w:rPr>
  </w:style>
  <w:style w:type="character" w:customStyle="1" w:styleId="66">
    <w:name w:val="标题 8 字符"/>
    <w:basedOn w:val="34"/>
    <w:link w:val="9"/>
    <w:semiHidden/>
    <w:qFormat/>
    <w:uiPriority w:val="0"/>
    <w:rPr>
      <w:rFonts w:asciiTheme="majorHAnsi" w:hAnsiTheme="majorHAnsi" w:eastAsiaTheme="majorEastAsia" w:cstheme="majorBidi"/>
      <w:kern w:val="2"/>
      <w:sz w:val="24"/>
      <w:szCs w:val="24"/>
    </w:rPr>
  </w:style>
  <w:style w:type="character" w:customStyle="1" w:styleId="67">
    <w:name w:val="标题 9 字符"/>
    <w:basedOn w:val="34"/>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01286-9473-4181-BA07-B23C6EF793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3517</Words>
  <Characters>20048</Characters>
  <Lines>167</Lines>
  <Paragraphs>47</Paragraphs>
  <TotalTime>4</TotalTime>
  <ScaleCrop>false</ScaleCrop>
  <LinksUpToDate>false</LinksUpToDate>
  <CharactersWithSpaces>23518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2015-12-05T03:21:00Z</dcterms:created>
  <dc:creator>MC SYSTEM</dc:creator>
  <cp:lastModifiedBy>DELL</cp:lastModifiedBy>
  <cp:lastPrinted>2018-08-27T23:08:21Z</cp:lastPrinted>
  <dcterms:modified xsi:type="dcterms:W3CDTF">2018-08-27T23:09:12Z</dcterms:modified>
  <dc:title>附件3</dc:title>
  <cp:revision>1294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