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000000" w:themeColor="text1"/>
          <w:sz w:val="30"/>
          <w:szCs w:val="30"/>
          <w14:textFill>
            <w14:solidFill>
              <w14:schemeClr w14:val="tx1"/>
            </w14:solidFill>
          </w14:textFill>
        </w:rPr>
      </w:pPr>
      <w:bookmarkStart w:id="0" w:name="_Toc286386830"/>
      <w:bookmarkStart w:id="1" w:name="_Toc114052410"/>
      <w:bookmarkStart w:id="2" w:name="_Toc114052336"/>
      <w:bookmarkStart w:id="3" w:name="_Toc28464"/>
      <w:bookmarkStart w:id="4" w:name="_Toc9991"/>
      <w:bookmarkStart w:id="5" w:name="_Toc25750632"/>
      <w:bookmarkStart w:id="6" w:name="_Toc1179"/>
      <w:bookmarkStart w:id="7" w:name="_Toc16340"/>
      <w:bookmarkStart w:id="8" w:name="_Toc11424"/>
      <w:bookmarkStart w:id="9" w:name="_Toc23292"/>
      <w:bookmarkStart w:id="10" w:name="_Toc9458"/>
      <w:bookmarkStart w:id="11" w:name="_Toc12281"/>
      <w:bookmarkStart w:id="12" w:name="_Toc17022"/>
      <w:bookmarkStart w:id="13" w:name="_Toc15740"/>
      <w:bookmarkStart w:id="14" w:name="_Toc21919"/>
      <w:bookmarkStart w:id="15" w:name="_Toc13323"/>
      <w:bookmarkStart w:id="16" w:name="_Toc4003"/>
      <w:bookmarkStart w:id="17" w:name="_Toc7547"/>
      <w:bookmarkStart w:id="18" w:name="_Toc25920"/>
      <w:bookmarkStart w:id="19" w:name="_Toc9725"/>
      <w:bookmarkStart w:id="20" w:name="_Toc14991"/>
      <w:r>
        <w:rPr>
          <w:rFonts w:hint="eastAsia" w:ascii="宋体" w:hAnsi="宋体"/>
          <w:color w:val="000000" w:themeColor="text1"/>
          <w:sz w:val="30"/>
          <w:szCs w:val="30"/>
          <w14:textFill>
            <w14:solidFill>
              <w14:schemeClr w14:val="tx1"/>
            </w14:solidFill>
          </w14:textFill>
        </w:rPr>
        <w:t>【正本】</w:t>
      </w:r>
    </w:p>
    <w:bookmarkEnd w:id="0"/>
    <w:bookmarkEnd w:id="1"/>
    <w:bookmarkEnd w:id="2"/>
    <w:p>
      <w:pPr>
        <w:keepNext w:val="0"/>
        <w:keepLines w:val="0"/>
        <w:pageBreakBefore w:val="0"/>
        <w:widowControl/>
        <w:kinsoku/>
        <w:wordWrap/>
        <w:overflowPunct/>
        <w:topLinePunct w:val="0"/>
        <w:autoSpaceDE/>
        <w:autoSpaceDN/>
        <w:bidi w:val="0"/>
        <w:adjustRightInd/>
        <w:snapToGrid/>
        <w:spacing w:before="0" w:afterAutospacing="0" w:line="288" w:lineRule="auto"/>
        <w:ind w:left="-709" w:right="0" w:firstLine="880" w:firstLineChars="200"/>
        <w:jc w:val="center"/>
        <w:textAlignment w:val="auto"/>
        <w:rPr>
          <w:rFonts w:hint="eastAsia"/>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南宁轨道交通集团有限责任公司运营分公司</w:t>
      </w:r>
    </w:p>
    <w:p>
      <w:pPr>
        <w:keepNext w:val="0"/>
        <w:keepLines w:val="0"/>
        <w:pageBreakBefore w:val="0"/>
        <w:widowControl/>
        <w:kinsoku/>
        <w:wordWrap/>
        <w:overflowPunct/>
        <w:topLinePunct w:val="0"/>
        <w:autoSpaceDE/>
        <w:autoSpaceDN/>
        <w:bidi w:val="0"/>
        <w:adjustRightInd/>
        <w:snapToGrid/>
        <w:spacing w:before="0" w:afterAutospacing="0" w:line="288" w:lineRule="auto"/>
        <w:ind w:left="-709" w:right="0" w:firstLine="880" w:firstLineChars="200"/>
        <w:jc w:val="center"/>
        <w:textAlignment w:val="auto"/>
        <w:rPr>
          <w:rFonts w:ascii="楷体_GB2312" w:eastAsia="楷体_GB2312"/>
          <w:color w:val="000000" w:themeColor="text1"/>
          <w:sz w:val="24"/>
          <w14:textFill>
            <w14:solidFill>
              <w14:schemeClr w14:val="tx1"/>
            </w14:solidFill>
          </w14:textFill>
        </w:rPr>
      </w:pPr>
      <w:r>
        <w:rPr>
          <w:rFonts w:hint="eastAsia"/>
          <w:color w:val="000000" w:themeColor="text1"/>
          <w:sz w:val="44"/>
          <w:szCs w:val="44"/>
          <w:lang w:eastAsia="zh-CN"/>
          <w14:textFill>
            <w14:solidFill>
              <w14:schemeClr w14:val="tx1"/>
            </w14:solidFill>
          </w14:textFill>
        </w:rPr>
        <w:t>1号线培训基地新增场段信号培训设备及2号线安吉车辆段信号培训基地道岔就地控制电路改</w:t>
      </w:r>
      <w:bookmarkStart w:id="1018" w:name="_GoBack"/>
      <w:bookmarkEnd w:id="1018"/>
      <w:r>
        <w:rPr>
          <w:rFonts w:hint="eastAsia"/>
          <w:color w:val="000000" w:themeColor="text1"/>
          <w:sz w:val="44"/>
          <w:szCs w:val="44"/>
          <w:lang w:eastAsia="zh-CN"/>
          <w14:textFill>
            <w14:solidFill>
              <w14:schemeClr w14:val="tx1"/>
            </w14:solidFill>
          </w14:textFill>
        </w:rPr>
        <w:t>造采购项目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项目编号：</w:t>
            </w:r>
          </w:p>
        </w:tc>
        <w:tc>
          <w:tcPr>
            <w:tcW w:w="4761" w:type="dxa"/>
          </w:tcPr>
          <w:p>
            <w:pPr>
              <w:jc w:val="left"/>
              <w:rPr>
                <w:rFonts w:hint="eastAsia" w:ascii="宋体" w:hAnsi="宋体" w:eastAsia="宋体"/>
                <w:color w:val="000000" w:themeColor="text1"/>
                <w:kern w:val="2"/>
                <w:sz w:val="28"/>
                <w:szCs w:val="30"/>
                <w:lang w:eastAsia="zh-CN"/>
                <w14:textFill>
                  <w14:solidFill>
                    <w14:schemeClr w14:val="tx1"/>
                  </w14:solidFill>
                </w14:textFill>
              </w:rPr>
            </w:pPr>
            <w:r>
              <w:rPr>
                <w:rFonts w:hint="eastAsia" w:ascii="宋体" w:hAnsi="宋体"/>
                <w:color w:val="000000" w:themeColor="text1"/>
                <w:kern w:val="2"/>
                <w:sz w:val="28"/>
                <w:szCs w:val="30"/>
                <w:lang w:eastAsia="zh-CN"/>
                <w14:textFill>
                  <w14:solidFill>
                    <w14:schemeClr w14:val="tx1"/>
                  </w14:solidFill>
                </w14:textFill>
              </w:rPr>
              <w:t>NNGD-YY-BJLS-20200130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合同编号：</w:t>
            </w:r>
          </w:p>
        </w:tc>
        <w:tc>
          <w:tcPr>
            <w:tcW w:w="4761" w:type="dxa"/>
          </w:tcPr>
          <w:p>
            <w:pPr>
              <w:ind w:firstLine="560" w:firstLineChars="200"/>
              <w:jc w:val="left"/>
              <w:rPr>
                <w:rFonts w:ascii="宋体" w:hAnsi="宋体"/>
                <w:color w:val="000000" w:themeColor="text1"/>
                <w:kern w:val="2"/>
                <w:sz w:val="28"/>
                <w:szCs w:val="30"/>
                <w14:textFill>
                  <w14:solidFill>
                    <w14:schemeClr w14:val="tx1"/>
                  </w14:solidFill>
                </w14:textFill>
              </w:rPr>
            </w:pPr>
          </w:p>
        </w:tc>
      </w:tr>
    </w:tbl>
    <w:p>
      <w:pPr>
        <w:spacing w:line="240" w:lineRule="auto"/>
        <w:ind w:left="709" w:firstLine="3614" w:firstLineChars="500"/>
        <w:rPr>
          <w:rFonts w:ascii="楷体_GB2312" w:eastAsia="楷体_GB2312"/>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合</w:t>
      </w:r>
    </w:p>
    <w:p>
      <w:pPr>
        <w:spacing w:line="240" w:lineRule="auto"/>
        <w:ind w:left="2371" w:leftChars="1129" w:firstLine="1887" w:firstLineChars="261"/>
        <w:rPr>
          <w:rFonts w:ascii="宋体" w:hAnsi="宋体"/>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同</w:t>
      </w:r>
    </w:p>
    <w:p>
      <w:pPr>
        <w:spacing w:after="120" w:afterLines="50" w:line="240" w:lineRule="auto"/>
        <w:ind w:left="709" w:firstLine="3614" w:firstLineChars="500"/>
        <w:rPr>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书</w:t>
      </w:r>
    </w:p>
    <w:p>
      <w:pPr>
        <w:ind w:firstLine="1044" w:firstLineChars="200"/>
        <w:jc w:val="center"/>
        <w:rPr>
          <w:rFonts w:ascii="宋体" w:hAnsi="宋体"/>
          <w:b/>
          <w:color w:val="000000" w:themeColor="text1"/>
          <w:sz w:val="52"/>
          <w14:textFill>
            <w14:solidFill>
              <w14:schemeClr w14:val="tx1"/>
            </w14:solidFill>
          </w14:textFill>
        </w:rPr>
      </w:pPr>
      <w:r>
        <w:rPr>
          <w:rFonts w:hint="eastAsia" w:ascii="宋体" w:hAnsi="宋体"/>
          <w:b/>
          <w:color w:val="000000" w:themeColor="text1"/>
          <w:sz w:val="52"/>
          <w14:textFill>
            <w14:solidFill>
              <w14:schemeClr w14:val="tx1"/>
            </w14:solidFill>
          </w14:textFill>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color w:val="000000" w:themeColor="text1"/>
          <w:sz w:val="52"/>
          <w14:textFill>
            <w14:solidFill>
              <w14:schemeClr w14:val="tx1"/>
            </w14:solidFill>
          </w14:textFill>
        </w:rPr>
      </w:pPr>
    </w:p>
    <w:p>
      <w:pPr>
        <w:ind w:firstLine="1044" w:firstLineChars="200"/>
        <w:jc w:val="center"/>
        <w:rPr>
          <w:rFonts w:ascii="宋体" w:hAnsi="宋体"/>
          <w:b/>
          <w:color w:val="000000" w:themeColor="text1"/>
          <w:sz w:val="52"/>
          <w14:textFill>
            <w14:solidFill>
              <w14:schemeClr w14:val="tx1"/>
            </w14:solidFill>
          </w14:textFill>
        </w:rPr>
      </w:pPr>
    </w:p>
    <w:p>
      <w:pPr>
        <w:spacing w:before="0" w:line="400" w:lineRule="exact"/>
        <w:ind w:left="709" w:firstLine="1124" w:firstLineChars="400"/>
        <w:rPr>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甲    方：</w:t>
      </w:r>
      <w:r>
        <w:rPr>
          <w:rFonts w:hint="eastAsia"/>
          <w:color w:val="000000" w:themeColor="text1"/>
          <w:sz w:val="28"/>
          <w:szCs w:val="28"/>
          <w14:textFill>
            <w14:solidFill>
              <w14:schemeClr w14:val="tx1"/>
            </w14:solidFill>
          </w14:textFill>
        </w:rPr>
        <w:t>南宁轨道交通集团有限责任公司</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乙    方：</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签约日期：</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bCs/>
          <w:color w:val="000000" w:themeColor="text1"/>
          <w:sz w:val="28"/>
          <w:szCs w:val="28"/>
          <w:u w:val="single"/>
          <w14:textFill>
            <w14:solidFill>
              <w14:schemeClr w14:val="tx1"/>
            </w14:solidFill>
          </w14:textFill>
        </w:rPr>
        <w:t>2020</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b/>
          <w:bCs/>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w:t>
      </w:r>
    </w:p>
    <w:p>
      <w:pPr>
        <w:spacing w:before="0" w:line="400" w:lineRule="exact"/>
        <w:ind w:left="709" w:right="-86" w:rightChars="-41" w:firstLine="1124" w:firstLineChars="400"/>
        <w:rPr>
          <w:rFonts w:ascii="宋体" w:hAnsi="宋体"/>
          <w:b/>
          <w:color w:val="000000" w:themeColor="text1"/>
          <w:sz w:val="24"/>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w:t>
      </w:r>
      <w:r>
        <w:rPr>
          <w:rFonts w:hint="eastAsia" w:ascii="宋体" w:hAnsi="宋体"/>
          <w:b/>
          <w:bCs/>
          <w:color w:val="000000" w:themeColor="text1"/>
          <w:sz w:val="28"/>
          <w:szCs w:val="28"/>
          <w14:textFill>
            <w14:solidFill>
              <w14:schemeClr w14:val="tx1"/>
            </w14:solidFill>
          </w14:textFill>
        </w:rPr>
        <w:t>地点：</w:t>
      </w:r>
      <w:r>
        <w:rPr>
          <w:rFonts w:ascii="宋体" w:hAnsi="宋体"/>
          <w:b/>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广西壮族自治区南宁市</w:t>
      </w:r>
    </w:p>
    <w:p>
      <w:pPr>
        <w:pStyle w:val="7"/>
        <w:spacing w:before="100" w:beforeAutospacing="1" w:after="0" w:line="400" w:lineRule="exact"/>
        <w:ind w:left="709" w:firstLine="482" w:firstLineChars="200"/>
        <w:rPr>
          <w:color w:val="000000" w:themeColor="text1"/>
          <w:sz w:val="24"/>
          <w14:textFill>
            <w14:solidFill>
              <w14:schemeClr w14:val="tx1"/>
            </w14:solidFill>
          </w14:textFill>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ind w:right="0" w:firstLine="643" w:firstLineChars="200"/>
        <w:jc w:val="center"/>
        <w:outlineLvl w:val="1"/>
        <w:rPr>
          <w:rStyle w:val="13"/>
          <w:szCs w:val="22"/>
        </w:rPr>
      </w:pPr>
      <w:bookmarkStart w:id="21" w:name="_Toc25828"/>
      <w:bookmarkStart w:id="22" w:name="_Toc29797"/>
      <w:bookmarkStart w:id="23" w:name="_Toc7587"/>
      <w:bookmarkStart w:id="24" w:name="_Toc6950"/>
      <w:bookmarkStart w:id="25" w:name="_Toc32403"/>
      <w:bookmarkStart w:id="26" w:name="_Toc13761"/>
      <w:bookmarkStart w:id="27" w:name="_Toc12983547"/>
      <w:bookmarkStart w:id="28" w:name="_Toc25750633"/>
      <w:bookmarkStart w:id="29" w:name="_Toc20060"/>
      <w:bookmarkStart w:id="30" w:name="_Toc1289"/>
      <w:bookmarkStart w:id="31" w:name="_Toc2618"/>
      <w:bookmarkStart w:id="32" w:name="_Toc14463"/>
      <w:bookmarkStart w:id="33" w:name="_Toc3488"/>
      <w:bookmarkStart w:id="34" w:name="_Toc6190"/>
      <w:bookmarkStart w:id="35" w:name="_Toc31368"/>
      <w:bookmarkStart w:id="36" w:name="_Toc4026"/>
      <w:bookmarkStart w:id="37" w:name="_Toc8999"/>
      <w:bookmarkStart w:id="38" w:name="_Toc15840"/>
      <w:bookmarkStart w:id="39" w:name="_Toc7236"/>
      <w:r>
        <w:rPr>
          <w:rStyle w:val="13"/>
          <w:rFonts w:hint="eastAsia"/>
        </w:rPr>
        <w:t xml:space="preserve">第一部分 </w:t>
      </w:r>
      <w:r>
        <w:rPr>
          <w:rStyle w:val="13"/>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ind w:right="0" w:firstLine="420" w:firstLineChars="200"/>
        <w:jc w:val="left"/>
        <w:rPr>
          <w:rFonts w:ascii="宋体" w:hAnsi="宋体"/>
          <w:u w:val="single"/>
        </w:rPr>
      </w:pPr>
      <w:r>
        <w:rPr>
          <w:rFonts w:hint="eastAsia" w:ascii="宋体" w:hAnsi="宋体"/>
        </w:rPr>
        <w:t>甲方：</w:t>
      </w:r>
      <w:r>
        <w:rPr>
          <w:rFonts w:hint="eastAsia" w:ascii="宋体" w:hAnsi="宋体"/>
          <w:u w:val="single"/>
        </w:rPr>
        <w:t xml:space="preserve"> 南宁轨道交通集团有限责任公司</w:t>
      </w:r>
    </w:p>
    <w:p>
      <w:pPr>
        <w:spacing w:before="0" w:afterAutospacing="0"/>
        <w:ind w:right="0" w:firstLine="420" w:firstLineChars="200"/>
        <w:jc w:val="left"/>
        <w:rPr>
          <w:rFonts w:ascii="宋体" w:hAnsi="宋体"/>
          <w:u w:val="single"/>
        </w:rPr>
      </w:pPr>
      <w:r>
        <w:rPr>
          <w:rFonts w:hint="eastAsia" w:ascii="宋体" w:hAnsi="宋体"/>
        </w:rPr>
        <w:t>乙方：</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before="0" w:afterAutospacing="0"/>
        <w:ind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u w:val="single"/>
          <w:lang w:val="en-US" w:eastAsia="zh-CN"/>
        </w:rPr>
        <w:t>南宁轨道交通集团运营分公司</w:t>
      </w:r>
      <w:r>
        <w:rPr>
          <w:rFonts w:hint="eastAsia" w:ascii="宋体" w:hAnsi="宋体"/>
          <w:u w:val="single"/>
          <w:lang w:eastAsia="zh-CN"/>
        </w:rPr>
        <w:t>1号线培训基地新增场段信号培训设备及2号线安吉车辆段信号培训基地道岔就地控制电路改造采购项目</w:t>
      </w:r>
      <w:r>
        <w:rPr>
          <w:rFonts w:hint="eastAsia" w:ascii="宋体" w:hAnsi="宋体"/>
        </w:rPr>
        <w:t>（项目编号：</w:t>
      </w:r>
      <w:r>
        <w:rPr>
          <w:rFonts w:hint="eastAsia" w:ascii="宋体" w:hAnsi="宋体"/>
          <w:lang w:eastAsia="zh-CN"/>
        </w:rPr>
        <w:t>NNGD-YY-BJLS-20200130</w:t>
      </w:r>
      <w:r>
        <w:rPr>
          <w:rFonts w:hint="eastAsia" w:ascii="宋体" w:hAnsi="宋体"/>
        </w:rPr>
        <w:t>）询比价结果，依据《中华人民共和国合同法》的规定，签订协议。具体内容如下：</w:t>
      </w:r>
    </w:p>
    <w:p>
      <w:pPr>
        <w:spacing w:before="0" w:afterAutospacing="0"/>
        <w:ind w:right="0"/>
        <w:rPr>
          <w:rFonts w:ascii="宋体" w:hAnsi="宋体"/>
        </w:rPr>
      </w:pPr>
      <w:r>
        <w:rPr>
          <w:rFonts w:hint="eastAsia" w:ascii="宋体" w:hAnsi="宋体" w:cs="Arial"/>
        </w:rPr>
        <w:t>1.甲方同意接受，乙方同意作为中选方并以下列第2条所述价格提供</w:t>
      </w:r>
      <w:r>
        <w:rPr>
          <w:rFonts w:hint="eastAsia" w:ascii="宋体" w:hAnsi="宋体"/>
          <w:u w:val="single"/>
          <w:lang w:val="en-US" w:eastAsia="zh-CN"/>
        </w:rPr>
        <w:t>南宁轨道交通集团运营分公司</w:t>
      </w:r>
      <w:r>
        <w:rPr>
          <w:rFonts w:hint="eastAsia" w:ascii="宋体" w:hAnsi="宋体"/>
          <w:u w:val="single"/>
          <w:lang w:eastAsia="zh-CN"/>
        </w:rPr>
        <w:t>1号线培训基地新增场段信号培训设备及2号线安吉车辆段信号培训基地道岔就地控制电路改造采购项目</w:t>
      </w:r>
      <w:r>
        <w:rPr>
          <w:rFonts w:hint="eastAsia" w:ascii="宋体" w:hAnsi="宋体" w:cs="Arial"/>
        </w:rPr>
        <w:t>项下的货物和服务。</w:t>
      </w:r>
    </w:p>
    <w:p>
      <w:pPr>
        <w:spacing w:before="0" w:afterAutospacing="0"/>
        <w:ind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Autospacing="0"/>
        <w:ind w:right="0" w:firstLine="420" w:firstLineChars="200"/>
        <w:rPr>
          <w:rFonts w:ascii="宋体" w:hAnsi="宋体"/>
        </w:rPr>
      </w:pPr>
      <w:r>
        <w:rPr>
          <w:rFonts w:hint="eastAsia" w:ascii="宋体" w:hAnsi="宋体"/>
        </w:rPr>
        <w:t>其中1号线价格：不含税价人民币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right="0" w:firstLine="420" w:firstLineChars="200"/>
        <w:rPr>
          <w:rFonts w:ascii="宋体" w:hAnsi="宋体"/>
        </w:rPr>
      </w:pPr>
      <w:r>
        <w:rPr>
          <w:rFonts w:hint="eastAsia" w:ascii="宋体" w:hAnsi="宋体"/>
        </w:rPr>
        <w:t>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right="0" w:firstLine="420" w:firstLineChars="200"/>
        <w:rPr>
          <w:rFonts w:ascii="宋体" w:hAnsi="宋体"/>
        </w:rPr>
      </w:pPr>
      <w:r>
        <w:rPr>
          <w:rFonts w:hint="eastAsia" w:ascii="宋体" w:hAnsi="宋体"/>
          <w:lang w:val="en-US" w:eastAsia="zh-CN"/>
        </w:rPr>
        <w:t>3</w:t>
      </w:r>
      <w:r>
        <w:rPr>
          <w:rFonts w:hint="eastAsia" w:ascii="宋体" w:hAnsi="宋体"/>
        </w:rPr>
        <w:t>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r>
        <w:rPr>
          <w:rFonts w:ascii="宋体" w:hAnsi="宋体"/>
        </w:rPr>
        <w:t>…………</w:t>
      </w:r>
    </w:p>
    <w:p>
      <w:pPr>
        <w:spacing w:before="0" w:afterAutospacing="0"/>
        <w:ind w:right="0" w:firstLine="420" w:firstLineChars="200"/>
        <w:rPr>
          <w:rFonts w:ascii="宋体" w:hAnsi="宋体"/>
        </w:rPr>
      </w:pPr>
      <w:r>
        <w:rPr>
          <w:rFonts w:hint="eastAsia" w:ascii="宋体" w:hAnsi="宋体"/>
        </w:rPr>
        <w:t>3.本合同由下列文件构成：</w:t>
      </w:r>
    </w:p>
    <w:p>
      <w:pPr>
        <w:spacing w:before="0" w:afterAutospacing="0"/>
        <w:ind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Autospacing="0"/>
        <w:ind w:right="0" w:firstLine="420" w:firstLineChars="200"/>
        <w:rPr>
          <w:rFonts w:ascii="宋体" w:hAnsi="宋体"/>
        </w:rPr>
      </w:pPr>
      <w:r>
        <w:rPr>
          <w:rFonts w:hint="eastAsia" w:ascii="宋体" w:hAnsi="宋体"/>
        </w:rPr>
        <w:t>（2）合同条款；</w:t>
      </w:r>
    </w:p>
    <w:p>
      <w:pPr>
        <w:spacing w:before="0" w:afterAutospacing="0"/>
        <w:ind w:right="0" w:firstLine="420" w:firstLineChars="200"/>
        <w:rPr>
          <w:rFonts w:ascii="宋体" w:hAnsi="宋体"/>
        </w:rPr>
      </w:pPr>
      <w:r>
        <w:rPr>
          <w:rFonts w:hint="eastAsia" w:ascii="宋体" w:hAnsi="宋体"/>
        </w:rPr>
        <w:t>（3）价格组成文件；</w:t>
      </w:r>
    </w:p>
    <w:p>
      <w:pPr>
        <w:spacing w:before="0" w:afterAutospacing="0"/>
        <w:ind w:right="0" w:firstLine="420" w:firstLineChars="200"/>
        <w:rPr>
          <w:rFonts w:ascii="宋体" w:hAnsi="宋体"/>
        </w:rPr>
      </w:pPr>
      <w:r>
        <w:rPr>
          <w:rFonts w:hint="eastAsia" w:ascii="宋体" w:hAnsi="宋体"/>
        </w:rPr>
        <w:t>（4）</w:t>
      </w:r>
      <w:r>
        <w:rPr>
          <w:rFonts w:hint="eastAsia" w:ascii="宋体" w:hAnsi="宋体"/>
          <w:lang w:val="en-US" w:eastAsia="zh-CN"/>
        </w:rPr>
        <w:t>技术规格书</w:t>
      </w:r>
      <w:r>
        <w:rPr>
          <w:rFonts w:hint="eastAsia" w:ascii="宋体" w:hAnsi="宋体"/>
        </w:rPr>
        <w:t>；</w:t>
      </w:r>
    </w:p>
    <w:p>
      <w:pPr>
        <w:spacing w:before="0" w:afterAutospacing="0"/>
        <w:ind w:right="0" w:firstLine="420" w:firstLineChars="200"/>
        <w:rPr>
          <w:rFonts w:ascii="宋体" w:hAnsi="宋体"/>
        </w:rPr>
      </w:pPr>
      <w:r>
        <w:rPr>
          <w:rFonts w:hint="eastAsia" w:ascii="宋体" w:hAnsi="宋体"/>
        </w:rPr>
        <w:t>（5）合同附件；</w:t>
      </w:r>
    </w:p>
    <w:p>
      <w:pPr>
        <w:spacing w:before="0" w:afterAutospacing="0"/>
        <w:ind w:right="0" w:firstLine="420" w:firstLineChars="200"/>
        <w:rPr>
          <w:rFonts w:ascii="宋体" w:hAnsi="宋体"/>
        </w:rPr>
      </w:pPr>
      <w:r>
        <w:rPr>
          <w:rFonts w:hint="eastAsia" w:ascii="宋体" w:hAnsi="宋体"/>
        </w:rPr>
        <w:t>（6）询比价文件（含询比价补遗文件）；</w:t>
      </w:r>
    </w:p>
    <w:p>
      <w:pPr>
        <w:spacing w:before="0" w:afterAutospacing="0"/>
        <w:ind w:right="0" w:firstLine="420" w:firstLineChars="200"/>
        <w:rPr>
          <w:rFonts w:ascii="宋体" w:hAnsi="宋体"/>
        </w:rPr>
      </w:pPr>
      <w:r>
        <w:rPr>
          <w:rFonts w:hint="eastAsia" w:ascii="宋体" w:hAnsi="宋体"/>
        </w:rPr>
        <w:t>（7）询比价申请文件（含询比价申请文件的补充文件）。</w:t>
      </w:r>
    </w:p>
    <w:p>
      <w:pPr>
        <w:spacing w:before="0" w:afterAutospacing="0"/>
        <w:ind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Autospacing="0"/>
        <w:ind w:right="0" w:firstLine="420" w:firstLineChars="200"/>
        <w:rPr>
          <w:rFonts w:ascii="宋体" w:hAnsi="宋体" w:cs="Arial"/>
        </w:rPr>
      </w:pPr>
      <w:r>
        <w:rPr>
          <w:rFonts w:hint="eastAsia" w:ascii="宋体" w:hAnsi="宋体" w:cs="Arial"/>
        </w:rPr>
        <w:t>5.考虑到甲方将按照本合同向乙方支付，乙方在此保证全部按照合同的规定向甲方提供货物和服务，并修补缺陷。</w:t>
      </w:r>
    </w:p>
    <w:p>
      <w:pPr>
        <w:spacing w:before="0" w:afterAutospacing="0"/>
        <w:ind w:right="0" w:firstLine="420" w:firstLineChars="200"/>
        <w:rPr>
          <w:rFonts w:ascii="宋体" w:hAnsi="宋体" w:cs="Arial"/>
        </w:rPr>
      </w:pPr>
      <w:r>
        <w:rPr>
          <w:rFonts w:hint="eastAsia" w:ascii="宋体" w:hAnsi="宋体" w:cs="Arial"/>
        </w:rPr>
        <w:t>6.考虑到乙方提供的货物和服务并修补缺陷，甲方在此保证按照合同规定的时间和方式向乙方支付合同价款或其他按合同规定应支付的金额。</w:t>
      </w:r>
    </w:p>
    <w:p>
      <w:pPr>
        <w:spacing w:before="0" w:afterAutospacing="0"/>
        <w:ind w:right="0" w:firstLine="420" w:firstLineChars="200"/>
        <w:rPr>
          <w:rFonts w:ascii="宋体" w:hAnsi="宋体" w:cs="Arial"/>
        </w:rPr>
      </w:pPr>
      <w:r>
        <w:rPr>
          <w:rFonts w:hint="eastAsia" w:ascii="宋体" w:hAnsi="宋体"/>
        </w:rPr>
        <w:t>7.买卖双方承诺，遵守合同条款关于合同标的、数量质量、合同价格、进度计划等双方各自义务及关于违约责任与索赔、解决争议方式等各项约定。</w:t>
      </w:r>
    </w:p>
    <w:p>
      <w:pPr>
        <w:spacing w:before="0" w:afterAutospacing="0"/>
        <w:ind w:right="0" w:firstLine="420" w:firstLineChars="200"/>
        <w:rPr>
          <w:rFonts w:ascii="宋体" w:hAnsi="宋体" w:cs="Arial"/>
        </w:rPr>
      </w:pPr>
      <w:r>
        <w:rPr>
          <w:rFonts w:hint="eastAsia" w:ascii="宋体" w:hAnsi="宋体" w:cs="Arial"/>
        </w:rPr>
        <w:t>8.本合同用中文书写，正本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w:t>
      </w:r>
      <w:r>
        <w:rPr>
          <w:rFonts w:hint="eastAsia" w:ascii="宋体" w:hAnsi="宋体" w:cs="Arial"/>
          <w:u w:val="single"/>
          <w:lang w:val="en-US" w:eastAsia="zh-CN"/>
        </w:rPr>
        <w:t>12</w:t>
      </w:r>
      <w:r>
        <w:rPr>
          <w:rFonts w:hint="eastAsia" w:ascii="宋体" w:hAnsi="宋体" w:cs="Arial"/>
          <w:u w:val="single"/>
        </w:rPr>
        <w:t xml:space="preserve"> </w:t>
      </w:r>
      <w:r>
        <w:rPr>
          <w:rFonts w:hint="eastAsia" w:ascii="宋体" w:hAnsi="宋体" w:cs="Arial"/>
        </w:rPr>
        <w:t>份，甲方持</w:t>
      </w:r>
      <w:r>
        <w:rPr>
          <w:rFonts w:hint="eastAsia" w:ascii="宋体" w:hAnsi="宋体" w:cs="Arial"/>
          <w:u w:val="single"/>
        </w:rPr>
        <w:t xml:space="preserve"> </w:t>
      </w:r>
      <w:r>
        <w:rPr>
          <w:rFonts w:hint="eastAsia" w:ascii="宋体" w:hAnsi="宋体" w:cs="Arial"/>
          <w:u w:val="single"/>
          <w:lang w:val="en-US" w:eastAsia="zh-CN"/>
        </w:rPr>
        <w:t>11</w:t>
      </w:r>
      <w:r>
        <w:rPr>
          <w:rFonts w:hint="eastAsia" w:ascii="宋体" w:hAnsi="宋体" w:cs="Arial"/>
          <w:u w:val="single"/>
        </w:rPr>
        <w:t xml:space="preserve">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Autospacing="0"/>
        <w:ind w:right="0" w:firstLine="420" w:firstLineChars="200"/>
        <w:rPr>
          <w:rFonts w:ascii="宋体" w:hAnsi="宋体" w:cs="Arial"/>
        </w:rPr>
      </w:pPr>
      <w:r>
        <w:rPr>
          <w:rFonts w:hint="eastAsia" w:ascii="宋体" w:hAnsi="宋体" w:cs="Arial"/>
        </w:rPr>
        <w:t>9.本合同经双方法定代表人或授权代表签字、加盖单位公章后生效。</w:t>
      </w:r>
    </w:p>
    <w:p>
      <w:pPr>
        <w:spacing w:before="0"/>
        <w:ind w:right="0" w:firstLine="420" w:firstLineChars="200"/>
        <w:rPr>
          <w:rFonts w:ascii="宋体" w:hAnsi="宋体" w:cs="Arial"/>
        </w:rPr>
      </w:pPr>
    </w:p>
    <w:p>
      <w:pPr>
        <w:spacing w:before="0"/>
        <w:ind w:right="0" w:firstLine="420" w:firstLineChars="200"/>
        <w:rPr>
          <w:rFonts w:ascii="宋体" w:hAnsi="宋体" w:cs="Arial"/>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3"/>
              <w:spacing w:before="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3"/>
              <w:spacing w:before="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r>
              <w:rPr>
                <w:rFonts w:hint="eastAsia" w:hAnsi="宋体"/>
                <w:color w:val="000000" w:themeColor="text1"/>
                <w:sz w:val="24"/>
                <w:u w:val="single"/>
                <w14:textFill>
                  <w14:solidFill>
                    <w14:schemeClr w14:val="tx1"/>
                  </w14:solidFill>
                </w14:textFill>
              </w:rPr>
              <w:t>0771-2332807</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开户银行：</w:t>
            </w:r>
            <w:r>
              <w:rPr>
                <w:rFonts w:hint="eastAsia" w:hAnsi="宋体"/>
                <w:color w:val="000000" w:themeColor="text1"/>
                <w:sz w:val="24"/>
                <w:u w:val="single"/>
                <w14:textFill>
                  <w14:solidFill>
                    <w14:schemeClr w14:val="tx1"/>
                  </w14:solidFill>
                </w14:textFill>
              </w:rPr>
              <w:t>建行南宁市朝阳支行营业部</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9145 0100 6821 2484 33 </w:t>
            </w:r>
          </w:p>
        </w:tc>
        <w:tc>
          <w:tcPr>
            <w:tcW w:w="4261" w:type="dxa"/>
          </w:tcPr>
          <w:p>
            <w:pPr>
              <w:pStyle w:val="3"/>
              <w:spacing w:before="0"/>
              <w:ind w:right="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r>
    </w:tbl>
    <w:p>
      <w:pPr>
        <w:spacing w:before="0"/>
        <w:ind w:right="0" w:firstLine="422" w:firstLineChars="200"/>
        <w:rPr>
          <w:rFonts w:ascii="宋体" w:hAnsi="宋体"/>
          <w:b/>
        </w:rPr>
      </w:pPr>
    </w:p>
    <w:p>
      <w:pPr>
        <w:spacing w:before="0"/>
        <w:ind w:right="0" w:firstLine="422" w:firstLineChars="200"/>
        <w:rPr>
          <w:rFonts w:ascii="宋体" w:hAnsi="宋体"/>
          <w:b/>
          <w:u w:val="single"/>
        </w:rPr>
      </w:pPr>
      <w:r>
        <w:rPr>
          <w:rFonts w:hint="eastAsia" w:ascii="宋体" w:hAnsi="宋体"/>
          <w:b/>
        </w:rPr>
        <w:t>签订时间：</w:t>
      </w:r>
      <w:r>
        <w:rPr>
          <w:rFonts w:hint="eastAsia" w:ascii="宋体" w:hAnsi="宋体"/>
          <w:b/>
          <w:u w:val="single"/>
        </w:rPr>
        <w:t xml:space="preserve">                       </w:t>
      </w:r>
    </w:p>
    <w:p>
      <w:pPr>
        <w:spacing w:before="0"/>
        <w:ind w:right="0" w:firstLine="422" w:firstLineChars="200"/>
        <w:rPr>
          <w:rFonts w:ascii="宋体" w:hAnsi="宋体"/>
          <w:b/>
        </w:rPr>
      </w:pPr>
    </w:p>
    <w:p>
      <w:pPr>
        <w:spacing w:before="0"/>
        <w:ind w:right="0" w:firstLine="422" w:firstLineChars="200"/>
        <w:rPr>
          <w:rFonts w:ascii="宋体" w:hAnsi="宋体"/>
          <w:b/>
        </w:rPr>
      </w:pPr>
    </w:p>
    <w:p>
      <w:pPr>
        <w:spacing w:before="0"/>
        <w:ind w:right="0" w:firstLine="420" w:firstLineChars="200"/>
        <w:jc w:val="center"/>
        <w:outlineLvl w:val="1"/>
        <w:rPr>
          <w:rFonts w:ascii="宋体" w:hAnsi="宋体"/>
          <w:b/>
          <w:sz w:val="24"/>
          <w:szCs w:val="24"/>
        </w:rPr>
      </w:pPr>
      <w:r>
        <w:rPr>
          <w:rFonts w:ascii="宋体" w:hAnsi="宋体"/>
        </w:rPr>
        <w:br w:type="page"/>
      </w:r>
      <w:bookmarkStart w:id="40" w:name="_Toc29876"/>
      <w:bookmarkStart w:id="41" w:name="_Toc12155"/>
      <w:bookmarkStart w:id="42" w:name="_Toc997"/>
      <w:bookmarkStart w:id="43" w:name="_Toc4133"/>
      <w:bookmarkStart w:id="44" w:name="_Toc7689"/>
      <w:bookmarkStart w:id="45" w:name="_Toc7529"/>
      <w:bookmarkStart w:id="46" w:name="_Toc24098"/>
      <w:bookmarkStart w:id="47" w:name="_Toc11253"/>
      <w:bookmarkStart w:id="48" w:name="_Toc14469"/>
      <w:bookmarkStart w:id="49" w:name="_Toc9188"/>
      <w:bookmarkStart w:id="50" w:name="_Toc10196"/>
      <w:bookmarkStart w:id="51" w:name="_Toc18460"/>
      <w:bookmarkStart w:id="52" w:name="_Toc9438"/>
      <w:bookmarkStart w:id="53" w:name="_Toc25942"/>
      <w:bookmarkStart w:id="54" w:name="_Toc24973"/>
      <w:bookmarkStart w:id="55" w:name="_Toc16743"/>
      <w:bookmarkStart w:id="56" w:name="_Toc25750634"/>
      <w:bookmarkStart w:id="57" w:name="_Toc258"/>
      <w:r>
        <w:rPr>
          <w:rStyle w:val="13"/>
          <w:rFonts w:hint="eastAsia"/>
        </w:rPr>
        <w:t xml:space="preserve">第二部分 </w:t>
      </w:r>
      <w:r>
        <w:rPr>
          <w:rStyle w:val="13"/>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640"/>
          <w:tab w:val="left" w:pos="1843"/>
        </w:tabs>
        <w:spacing w:before="0" w:afterAutospacing="0"/>
        <w:ind w:left="422" w:right="0"/>
        <w:outlineLvl w:val="1"/>
        <w:rPr>
          <w:rFonts w:ascii="宋体" w:hAnsi="宋体"/>
          <w:b/>
        </w:rPr>
      </w:pPr>
      <w:bookmarkStart w:id="58" w:name="_Toc31691"/>
      <w:bookmarkStart w:id="59" w:name="_Toc14287"/>
      <w:bookmarkStart w:id="60" w:name="_Toc370933855"/>
      <w:bookmarkStart w:id="61" w:name="_Toc22880"/>
      <w:bookmarkStart w:id="62" w:name="_Toc4032"/>
      <w:bookmarkStart w:id="63" w:name="_Toc20484"/>
      <w:bookmarkStart w:id="64" w:name="_Toc2614"/>
      <w:bookmarkStart w:id="65" w:name="_Toc25750635"/>
      <w:bookmarkStart w:id="66" w:name="_Toc19920"/>
      <w:bookmarkStart w:id="67" w:name="_Toc43"/>
      <w:bookmarkStart w:id="68" w:name="_Toc18727"/>
      <w:bookmarkStart w:id="69" w:name="_Toc385427838"/>
      <w:bookmarkStart w:id="70" w:name="_Toc6054"/>
      <w:bookmarkStart w:id="71" w:name="_Toc390098464"/>
      <w:bookmarkStart w:id="72" w:name="_Toc25643"/>
      <w:bookmarkStart w:id="73" w:name="_Toc29932"/>
      <w:bookmarkStart w:id="74" w:name="_Toc28024"/>
      <w:bookmarkStart w:id="75" w:name="_Toc12256"/>
      <w:bookmarkStart w:id="76" w:name="_Toc378514952"/>
      <w:bookmarkStart w:id="77" w:name="_Toc7961"/>
      <w:bookmarkStart w:id="78" w:name="_Toc10730"/>
      <w:bookmarkStart w:id="79" w:name="_Toc492478763"/>
      <w:bookmarkStart w:id="80" w:name="_Toc15707"/>
      <w:bookmarkStart w:id="81" w:name="_Toc12080"/>
      <w:r>
        <w:rPr>
          <w:rFonts w:hint="eastAsia" w:ascii="宋体" w:hAnsi="宋体"/>
          <w:b/>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rPr>
      </w:pPr>
      <w:r>
        <w:rPr>
          <w:rFonts w:hint="eastAsia" w:ascii="宋体" w:hAnsi="宋体"/>
        </w:rPr>
        <w:t xml:space="preserve"> “质量保证期”按本项目《用户需求书》中的质保期要求。</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hint="eastAsia" w:ascii="宋体" w:hAnsi="宋体" w:cs="Arial"/>
          <w:color w:val="FF0000"/>
        </w:rPr>
        <w:t>（如有）</w:t>
      </w:r>
    </w:p>
    <w:p>
      <w:pPr>
        <w:numPr>
          <w:ilvl w:val="2"/>
          <w:numId w:val="1"/>
        </w:numPr>
        <w:spacing w:before="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Autospacing="0"/>
        <w:ind w:left="422" w:right="0"/>
        <w:outlineLvl w:val="1"/>
        <w:rPr>
          <w:rFonts w:ascii="宋体" w:hAnsi="宋体"/>
          <w:b/>
        </w:rPr>
      </w:pPr>
      <w:bookmarkStart w:id="82" w:name="_Toc3180"/>
      <w:bookmarkStart w:id="83" w:name="_Toc19899"/>
      <w:bookmarkStart w:id="84" w:name="_Toc378514953"/>
      <w:bookmarkStart w:id="85" w:name="_Toc1169"/>
      <w:bookmarkStart w:id="86" w:name="_Toc5955"/>
      <w:bookmarkStart w:id="87" w:name="_Toc13835"/>
      <w:bookmarkStart w:id="88" w:name="_Toc25826"/>
      <w:bookmarkStart w:id="89" w:name="_Toc15944"/>
      <w:bookmarkStart w:id="90" w:name="_Toc4301"/>
      <w:bookmarkStart w:id="91" w:name="_Toc23247"/>
      <w:bookmarkStart w:id="92" w:name="_Toc370933856"/>
      <w:bookmarkStart w:id="93" w:name="_Toc7813"/>
      <w:bookmarkStart w:id="94" w:name="_Toc8477"/>
      <w:bookmarkStart w:id="95" w:name="_Toc492478764"/>
      <w:bookmarkStart w:id="96" w:name="_Toc390098465"/>
      <w:bookmarkStart w:id="97" w:name="_Toc30815"/>
      <w:bookmarkStart w:id="98" w:name="_Toc7059"/>
      <w:bookmarkStart w:id="99" w:name="_Toc385427839"/>
      <w:bookmarkStart w:id="100" w:name="_Toc18178"/>
      <w:bookmarkStart w:id="101" w:name="_Toc23112"/>
      <w:bookmarkStart w:id="102" w:name="_Toc4212"/>
      <w:bookmarkStart w:id="103" w:name="_Toc23305"/>
      <w:bookmarkStart w:id="104" w:name="_Toc25750636"/>
      <w:bookmarkStart w:id="105" w:name="_Toc4255"/>
      <w:r>
        <w:rPr>
          <w:rFonts w:hint="eastAsia" w:ascii="宋体" w:hAnsi="宋体"/>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Autospacing="0"/>
        <w:ind w:left="422" w:right="0"/>
        <w:outlineLvl w:val="1"/>
        <w:rPr>
          <w:rFonts w:ascii="宋体" w:hAnsi="宋体"/>
        </w:rPr>
      </w:pPr>
      <w:bookmarkStart w:id="106" w:name="_Toc5253"/>
      <w:bookmarkStart w:id="107" w:name="_Toc492478765"/>
      <w:bookmarkStart w:id="108" w:name="_Toc3397"/>
      <w:bookmarkStart w:id="109" w:name="_Toc21603"/>
      <w:bookmarkStart w:id="110" w:name="_Toc378514954"/>
      <w:bookmarkStart w:id="111" w:name="_Toc4738"/>
      <w:bookmarkStart w:id="112" w:name="_Toc3674"/>
      <w:bookmarkStart w:id="113" w:name="_Toc25750637"/>
      <w:bookmarkStart w:id="114" w:name="_Toc3131"/>
      <w:bookmarkStart w:id="115" w:name="_Toc18092"/>
      <w:bookmarkStart w:id="116" w:name="_Toc390098466"/>
      <w:bookmarkStart w:id="117" w:name="_Toc4898"/>
      <w:bookmarkStart w:id="118" w:name="_Toc11803"/>
      <w:bookmarkStart w:id="119" w:name="_Toc14437"/>
      <w:bookmarkStart w:id="120" w:name="_Toc15308"/>
      <w:bookmarkStart w:id="121" w:name="_Toc370933857"/>
      <w:bookmarkStart w:id="122" w:name="_Toc12248"/>
      <w:bookmarkStart w:id="123" w:name="_Toc21065"/>
      <w:bookmarkStart w:id="124" w:name="_Toc13801"/>
      <w:bookmarkStart w:id="125" w:name="_Toc4969"/>
      <w:bookmarkStart w:id="126" w:name="_Toc9864"/>
      <w:bookmarkStart w:id="127" w:name="_Toc9306"/>
      <w:bookmarkStart w:id="128" w:name="_Toc26983"/>
      <w:bookmarkStart w:id="129" w:name="_Toc385427840"/>
      <w:r>
        <w:rPr>
          <w:rFonts w:hint="eastAsia" w:ascii="宋体" w:hAnsi="宋体"/>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Autospacing="0"/>
        <w:ind w:left="422" w:right="0"/>
        <w:outlineLvl w:val="1"/>
        <w:rPr>
          <w:rFonts w:ascii="宋体" w:hAnsi="宋体"/>
        </w:rPr>
      </w:pPr>
      <w:bookmarkStart w:id="130" w:name="_Toc21641"/>
      <w:bookmarkStart w:id="131" w:name="_Toc27450"/>
      <w:bookmarkStart w:id="132" w:name="_Toc19514"/>
      <w:bookmarkStart w:id="133" w:name="_Toc25311"/>
      <w:bookmarkStart w:id="134" w:name="_Toc10807"/>
      <w:bookmarkStart w:id="135" w:name="_Toc2708"/>
      <w:bookmarkStart w:id="136" w:name="_Toc23249"/>
      <w:bookmarkStart w:id="137" w:name="_Toc11524"/>
      <w:bookmarkStart w:id="138" w:name="_Toc385427841"/>
      <w:bookmarkStart w:id="139" w:name="_Toc3318"/>
      <w:bookmarkStart w:id="140" w:name="_Toc23258"/>
      <w:bookmarkStart w:id="141" w:name="_Toc16646"/>
      <w:bookmarkStart w:id="142" w:name="_Toc14713"/>
      <w:bookmarkStart w:id="143" w:name="_Toc25750638"/>
      <w:bookmarkStart w:id="144" w:name="_Toc18548"/>
      <w:bookmarkStart w:id="145" w:name="_Toc390098467"/>
      <w:bookmarkStart w:id="146" w:name="_Toc11626"/>
      <w:bookmarkStart w:id="147" w:name="_Toc378514955"/>
      <w:bookmarkStart w:id="148" w:name="_Toc12180"/>
      <w:bookmarkStart w:id="149" w:name="_Toc14273"/>
      <w:bookmarkStart w:id="150" w:name="_Toc370933858"/>
      <w:bookmarkStart w:id="151" w:name="_Toc21356"/>
      <w:bookmarkStart w:id="152" w:name="_Toc21289"/>
      <w:bookmarkStart w:id="153" w:name="_Toc492478766"/>
      <w:r>
        <w:rPr>
          <w:rFonts w:hint="eastAsia" w:ascii="宋体" w:hAnsi="宋体"/>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Autospacing="0"/>
        <w:ind w:left="422" w:right="0"/>
        <w:outlineLvl w:val="1"/>
        <w:rPr>
          <w:rFonts w:ascii="宋体" w:hAnsi="宋体"/>
          <w:b/>
        </w:rPr>
      </w:pPr>
      <w:bookmarkStart w:id="154" w:name="_Toc492478767"/>
      <w:bookmarkStart w:id="155" w:name="_Toc18617"/>
      <w:bookmarkStart w:id="156" w:name="_Toc24783"/>
      <w:bookmarkStart w:id="157" w:name="_Toc31912"/>
      <w:bookmarkStart w:id="158" w:name="_Toc370933859"/>
      <w:bookmarkStart w:id="159" w:name="_Toc3165"/>
      <w:bookmarkStart w:id="160" w:name="_Toc27620"/>
      <w:bookmarkStart w:id="161" w:name="_Toc378514956"/>
      <w:bookmarkStart w:id="162" w:name="_Toc10995"/>
      <w:bookmarkStart w:id="163" w:name="_Toc2304"/>
      <w:bookmarkStart w:id="164" w:name="_Toc2352"/>
      <w:bookmarkStart w:id="165" w:name="_Toc11487"/>
      <w:bookmarkStart w:id="166" w:name="_Toc14089"/>
      <w:bookmarkStart w:id="167" w:name="_Toc23539"/>
      <w:bookmarkStart w:id="168" w:name="_Toc22040"/>
      <w:bookmarkStart w:id="169" w:name="_Toc4048"/>
      <w:bookmarkStart w:id="170" w:name="_Toc19358"/>
      <w:bookmarkStart w:id="171" w:name="_Toc20372"/>
      <w:bookmarkStart w:id="172" w:name="_Toc385427842"/>
      <w:bookmarkStart w:id="173" w:name="_Toc390098468"/>
      <w:bookmarkStart w:id="174" w:name="_Toc25750639"/>
      <w:bookmarkStart w:id="175" w:name="_Toc17081"/>
      <w:bookmarkStart w:id="176" w:name="_Toc13516"/>
      <w:bookmarkStart w:id="177" w:name="_Toc18813"/>
      <w:r>
        <w:rPr>
          <w:rFonts w:hint="eastAsia" w:ascii="宋体" w:hAnsi="宋体"/>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Autospacing="0"/>
        <w:ind w:left="422" w:right="0"/>
        <w:outlineLvl w:val="1"/>
        <w:rPr>
          <w:rFonts w:ascii="宋体" w:hAnsi="宋体"/>
          <w:b/>
        </w:rPr>
      </w:pPr>
      <w:bookmarkStart w:id="178" w:name="_Toc25104"/>
      <w:bookmarkStart w:id="179" w:name="_Toc2340"/>
      <w:bookmarkStart w:id="180" w:name="_Toc378514957"/>
      <w:bookmarkStart w:id="181" w:name="_Toc4739"/>
      <w:bookmarkStart w:id="182" w:name="_Toc25049"/>
      <w:bookmarkStart w:id="183" w:name="_Toc15801"/>
      <w:bookmarkStart w:id="184" w:name="_Toc18946"/>
      <w:bookmarkStart w:id="185" w:name="_Toc390098469"/>
      <w:bookmarkStart w:id="186" w:name="_Toc492478768"/>
      <w:bookmarkStart w:id="187" w:name="_Toc385427843"/>
      <w:bookmarkStart w:id="188" w:name="_Toc25750640"/>
      <w:bookmarkStart w:id="189" w:name="_Toc17908"/>
      <w:bookmarkStart w:id="190" w:name="_Toc17102"/>
      <w:bookmarkStart w:id="191" w:name="_Toc2096"/>
      <w:bookmarkStart w:id="192" w:name="_Toc8848"/>
      <w:bookmarkStart w:id="193" w:name="_Toc23542"/>
      <w:bookmarkStart w:id="194" w:name="_Toc16891"/>
      <w:bookmarkStart w:id="195" w:name="_Toc370933860"/>
      <w:bookmarkStart w:id="196" w:name="_Toc5930"/>
      <w:bookmarkStart w:id="197" w:name="_Toc16793"/>
      <w:bookmarkStart w:id="198" w:name="_Toc17100"/>
      <w:bookmarkStart w:id="199" w:name="_Toc23274"/>
      <w:bookmarkStart w:id="200" w:name="_Toc24189"/>
      <w:bookmarkStart w:id="201" w:name="_Toc12048"/>
      <w:r>
        <w:rPr>
          <w:rFonts w:hint="eastAsia" w:ascii="宋体" w:hAnsi="宋体"/>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2" w:right="0"/>
        <w:outlineLvl w:val="1"/>
        <w:rPr>
          <w:rFonts w:ascii="宋体" w:hAnsi="宋体"/>
          <w:b/>
        </w:rPr>
      </w:pPr>
      <w:bookmarkStart w:id="202" w:name="_Toc11516"/>
      <w:bookmarkStart w:id="203" w:name="_Toc1869"/>
      <w:bookmarkStart w:id="204" w:name="_Toc29337"/>
      <w:bookmarkStart w:id="205" w:name="_Toc390098470"/>
      <w:bookmarkStart w:id="206" w:name="_Toc17489"/>
      <w:bookmarkStart w:id="207" w:name="_Toc25750641"/>
      <w:bookmarkStart w:id="208" w:name="_Toc21848"/>
      <w:bookmarkStart w:id="209" w:name="_Toc20551"/>
      <w:bookmarkStart w:id="210" w:name="_Toc25888"/>
      <w:bookmarkStart w:id="211" w:name="_Toc7187"/>
      <w:bookmarkStart w:id="212" w:name="_Toc21755"/>
      <w:bookmarkStart w:id="213" w:name="_Toc6777"/>
      <w:bookmarkStart w:id="214" w:name="_Toc828"/>
      <w:bookmarkStart w:id="215" w:name="_Toc29127"/>
      <w:bookmarkStart w:id="216" w:name="_Toc25327"/>
      <w:bookmarkStart w:id="217" w:name="_Toc370933861"/>
      <w:bookmarkStart w:id="218" w:name="_Toc7460"/>
      <w:bookmarkStart w:id="219" w:name="_Toc378514958"/>
      <w:bookmarkStart w:id="220" w:name="_Toc2076"/>
      <w:bookmarkStart w:id="221" w:name="_Toc492478769"/>
      <w:bookmarkStart w:id="222" w:name="_Toc385427844"/>
      <w:bookmarkStart w:id="223" w:name="_Toc17901"/>
      <w:bookmarkStart w:id="224" w:name="_Toc7907"/>
      <w:bookmarkStart w:id="225" w:name="_Toc24887"/>
      <w:r>
        <w:rPr>
          <w:rFonts w:hint="eastAsia" w:ascii="宋体" w:hAnsi="宋体"/>
          <w:b/>
        </w:rPr>
        <w:t>7.履约担保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在合同签订前，乙方应向甲方提供履约担保，履约担保金额为合同价格的5</w:t>
      </w:r>
      <w:r>
        <w:rPr>
          <w:rFonts w:ascii="宋体" w:hAnsi="宋体" w:cs="Arial"/>
        </w:rPr>
        <w:t>%</w:t>
      </w:r>
      <w:r>
        <w:rPr>
          <w:rFonts w:hint="eastAsia" w:ascii="宋体" w:hAnsi="宋体" w:cs="Arial"/>
        </w:rPr>
        <w:t>，履约担保可以采用履约保证金的形式。</w:t>
      </w:r>
    </w:p>
    <w:p>
      <w:pPr>
        <w:spacing w:before="0" w:afterAutospacing="0"/>
        <w:ind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Autospacing="0"/>
        <w:ind w:left="422" w:right="0"/>
        <w:outlineLvl w:val="1"/>
        <w:rPr>
          <w:rFonts w:ascii="宋体" w:hAnsi="宋体"/>
          <w:b/>
        </w:rPr>
      </w:pPr>
      <w:bookmarkStart w:id="226" w:name="_Toc15512"/>
      <w:bookmarkStart w:id="227" w:name="_Toc25750642"/>
      <w:bookmarkStart w:id="228" w:name="_Toc12113"/>
      <w:bookmarkStart w:id="229" w:name="_Toc25873"/>
      <w:bookmarkStart w:id="230" w:name="_Toc97"/>
      <w:bookmarkStart w:id="231" w:name="_Toc30234"/>
      <w:bookmarkStart w:id="232" w:name="_Toc26034"/>
      <w:bookmarkStart w:id="233" w:name="_Toc32711"/>
      <w:bookmarkStart w:id="234" w:name="_Toc21872"/>
      <w:bookmarkStart w:id="235" w:name="_Toc20899"/>
      <w:bookmarkStart w:id="236" w:name="_Toc1990"/>
      <w:bookmarkStart w:id="237" w:name="_Toc5676"/>
      <w:bookmarkStart w:id="238" w:name="_Toc7801"/>
      <w:bookmarkStart w:id="239" w:name="_Toc32382"/>
      <w:bookmarkStart w:id="240" w:name="_Toc31795"/>
      <w:bookmarkStart w:id="241" w:name="_Toc29729"/>
      <w:bookmarkStart w:id="242" w:name="_Toc20252"/>
      <w:bookmarkStart w:id="243" w:name="_Toc20550"/>
      <w:bookmarkStart w:id="244" w:name="_Toc2613"/>
      <w:r>
        <w:rPr>
          <w:rFonts w:hint="eastAsia" w:ascii="宋体" w:hAnsi="宋体"/>
          <w:b/>
        </w:rPr>
        <w:t>8.检验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Autospacing="0"/>
        <w:ind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甲方负责的部分</w:t>
      </w:r>
    </w:p>
    <w:p>
      <w:pPr>
        <w:spacing w:before="0" w:afterAutospacing="0"/>
        <w:ind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为检验提供货物</w:t>
      </w:r>
    </w:p>
    <w:p>
      <w:pPr>
        <w:spacing w:before="0" w:afterAutospacing="0"/>
        <w:ind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Autospacing="0"/>
        <w:ind w:left="422" w:right="0"/>
        <w:outlineLvl w:val="1"/>
        <w:rPr>
          <w:rFonts w:ascii="宋体" w:hAnsi="宋体"/>
          <w:b/>
        </w:rPr>
      </w:pPr>
      <w:bookmarkStart w:id="245" w:name="_Toc16105"/>
      <w:bookmarkStart w:id="246" w:name="_Toc17673"/>
      <w:bookmarkStart w:id="247" w:name="_Toc4089"/>
      <w:bookmarkStart w:id="248" w:name="_Toc15199"/>
      <w:bookmarkStart w:id="249" w:name="_Toc8743"/>
      <w:bookmarkStart w:id="250" w:name="_Toc6736"/>
      <w:bookmarkStart w:id="251" w:name="_Toc8820"/>
      <w:bookmarkStart w:id="252" w:name="_Toc489"/>
      <w:bookmarkStart w:id="253" w:name="_Toc19218"/>
      <w:bookmarkStart w:id="254" w:name="_Toc17625"/>
      <w:bookmarkStart w:id="255" w:name="_Toc15424"/>
      <w:bookmarkStart w:id="256" w:name="_Toc1637"/>
      <w:bookmarkStart w:id="257" w:name="_Toc370933863"/>
      <w:bookmarkStart w:id="258" w:name="_Toc385427846"/>
      <w:bookmarkStart w:id="259" w:name="_Toc22940"/>
      <w:bookmarkStart w:id="260" w:name="_Toc378514960"/>
      <w:bookmarkStart w:id="261" w:name="_Toc28074"/>
      <w:bookmarkStart w:id="262" w:name="_Toc25750643"/>
      <w:bookmarkStart w:id="263" w:name="_Toc390098472"/>
      <w:bookmarkStart w:id="264" w:name="_Toc13241"/>
      <w:bookmarkStart w:id="265" w:name="_Toc4466"/>
      <w:bookmarkStart w:id="266" w:name="_Toc23750"/>
      <w:bookmarkStart w:id="267" w:name="_Toc24667"/>
      <w:bookmarkStart w:id="268" w:name="_Toc492478771"/>
      <w:r>
        <w:rPr>
          <w:rFonts w:hint="eastAsia" w:ascii="宋体" w:hAnsi="宋体"/>
          <w:b/>
        </w:rPr>
        <w:t>9.包装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如甲方要求，各运输单元应适合于运输及装卸的要求，并有标志，在包装箱外标明该单元的编号、用途、安装位置等，以便于工点识别。</w:t>
      </w:r>
    </w:p>
    <w:p>
      <w:pPr>
        <w:tabs>
          <w:tab w:val="left" w:pos="840"/>
          <w:tab w:val="left" w:pos="1134"/>
        </w:tabs>
        <w:spacing w:before="0" w:afterAutospacing="0"/>
        <w:ind w:right="0" w:firstLine="422" w:firstLineChars="200"/>
        <w:outlineLvl w:val="1"/>
        <w:rPr>
          <w:rFonts w:ascii="宋体" w:hAnsi="宋体"/>
          <w:b/>
        </w:rPr>
      </w:pPr>
      <w:bookmarkStart w:id="269" w:name="_Toc18168"/>
      <w:bookmarkStart w:id="270" w:name="_Toc20949"/>
      <w:bookmarkStart w:id="271" w:name="_Toc25234"/>
      <w:bookmarkStart w:id="272" w:name="_Toc7316"/>
      <w:bookmarkStart w:id="273" w:name="_Toc1543"/>
      <w:bookmarkStart w:id="274" w:name="_Toc378514961"/>
      <w:bookmarkStart w:id="275" w:name="_Toc24077"/>
      <w:bookmarkStart w:id="276" w:name="_Toc11827"/>
      <w:bookmarkStart w:id="277" w:name="_Toc30933"/>
      <w:bookmarkStart w:id="278" w:name="_Toc385427847"/>
      <w:bookmarkStart w:id="279" w:name="_Toc6233"/>
      <w:bookmarkStart w:id="280" w:name="_Toc29215"/>
      <w:bookmarkStart w:id="281" w:name="_Toc370933864"/>
      <w:bookmarkStart w:id="282" w:name="_Toc1828"/>
      <w:bookmarkStart w:id="283" w:name="_Toc492478772"/>
      <w:bookmarkStart w:id="284" w:name="_Toc25750644"/>
      <w:bookmarkStart w:id="285" w:name="_Toc14492"/>
      <w:bookmarkStart w:id="286" w:name="_Toc9928"/>
      <w:bookmarkStart w:id="287" w:name="_Toc3212"/>
      <w:bookmarkStart w:id="288" w:name="_Toc31936"/>
      <w:bookmarkStart w:id="289" w:name="_Toc14727"/>
      <w:bookmarkStart w:id="290" w:name="_Toc25134"/>
      <w:bookmarkStart w:id="291" w:name="_Toc390098473"/>
      <w:bookmarkStart w:id="292" w:name="_Toc15856"/>
      <w:r>
        <w:rPr>
          <w:rFonts w:hint="eastAsia" w:ascii="宋体" w:hAnsi="宋体"/>
          <w:b/>
        </w:rPr>
        <w:t>10交货和单据</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交货期：合同签订后，分批交货，每批货物交货通知书发出后约</w:t>
      </w:r>
      <w:r>
        <w:rPr>
          <w:rFonts w:hint="eastAsia" w:ascii="宋体" w:hAnsi="宋体"/>
          <w:u w:val="single"/>
        </w:rPr>
        <w:t xml:space="preserve">     </w:t>
      </w:r>
      <w:r>
        <w:rPr>
          <w:rFonts w:hint="eastAsia" w:ascii="宋体" w:hAnsi="宋体"/>
        </w:rPr>
        <w:t>天交货，具体按交货通知为准。如遇进口物资，进口物资交货期可适当延长，延长情况以中选人提供的报关单或其他相关证明材料为准，但不得超过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w:t>
      </w: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乙方应提交的单据执行合同条款的具体规定。</w:t>
      </w:r>
    </w:p>
    <w:p>
      <w:pPr>
        <w:tabs>
          <w:tab w:val="left" w:pos="840"/>
          <w:tab w:val="left" w:pos="1843"/>
        </w:tabs>
        <w:spacing w:before="0" w:afterAutospacing="0"/>
        <w:ind w:left="422" w:right="0"/>
        <w:outlineLvl w:val="1"/>
        <w:rPr>
          <w:rFonts w:ascii="宋体" w:hAnsi="宋体"/>
          <w:b/>
        </w:rPr>
      </w:pPr>
      <w:bookmarkStart w:id="293" w:name="_Toc22446"/>
      <w:bookmarkStart w:id="294" w:name="_Toc492478773"/>
      <w:bookmarkStart w:id="295" w:name="_Toc378514962"/>
      <w:bookmarkStart w:id="296" w:name="_Toc14212"/>
      <w:bookmarkStart w:id="297" w:name="_Toc390098474"/>
      <w:bookmarkStart w:id="298" w:name="_Toc20395"/>
      <w:bookmarkStart w:id="299" w:name="_Toc26573"/>
      <w:bookmarkStart w:id="300" w:name="_Toc3365"/>
      <w:bookmarkStart w:id="301" w:name="_Toc11528"/>
      <w:bookmarkStart w:id="302" w:name="_Toc23906"/>
      <w:bookmarkStart w:id="303" w:name="_Toc29174"/>
      <w:bookmarkStart w:id="304" w:name="_Toc18844"/>
      <w:bookmarkStart w:id="305" w:name="_Toc25434"/>
      <w:bookmarkStart w:id="306" w:name="_Toc9877"/>
      <w:bookmarkStart w:id="307" w:name="_Toc10285"/>
      <w:bookmarkStart w:id="308" w:name="_Toc25750645"/>
      <w:bookmarkStart w:id="309" w:name="_Toc2014"/>
      <w:bookmarkStart w:id="310" w:name="_Toc3042"/>
      <w:bookmarkStart w:id="311" w:name="_Toc23157"/>
      <w:bookmarkStart w:id="312" w:name="_Toc370933865"/>
      <w:bookmarkStart w:id="313" w:name="_Toc11638"/>
      <w:bookmarkStart w:id="314" w:name="_Toc23304"/>
      <w:bookmarkStart w:id="315" w:name="_Toc22801"/>
      <w:bookmarkStart w:id="316" w:name="_Toc385427848"/>
      <w:r>
        <w:rPr>
          <w:rFonts w:hint="eastAsia" w:ascii="宋体" w:hAnsi="宋体"/>
          <w:b/>
        </w:rPr>
        <w:t>11.所有权与风险转移</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rPr>
      </w:pPr>
      <w:bookmarkStart w:id="317" w:name="_Toc12408"/>
      <w:bookmarkStart w:id="318" w:name="_Toc5330"/>
      <w:bookmarkStart w:id="319" w:name="_Toc26828"/>
      <w:bookmarkStart w:id="320" w:name="_Toc31008"/>
      <w:bookmarkStart w:id="321" w:name="_Toc20300"/>
      <w:bookmarkStart w:id="322" w:name="_Toc370933867"/>
      <w:bookmarkStart w:id="323" w:name="_Toc385427850"/>
      <w:bookmarkStart w:id="324" w:name="_Toc22984"/>
      <w:bookmarkStart w:id="325" w:name="_Toc378514964"/>
      <w:bookmarkStart w:id="326" w:name="_Toc26080"/>
      <w:bookmarkStart w:id="327" w:name="_Toc492478775"/>
      <w:bookmarkStart w:id="328" w:name="_Toc3640"/>
      <w:bookmarkStart w:id="329" w:name="_Toc2366"/>
      <w:bookmarkStart w:id="330" w:name="_Toc17205"/>
      <w:bookmarkStart w:id="331" w:name="_Toc5445"/>
      <w:bookmarkStart w:id="332" w:name="_Toc5208"/>
      <w:bookmarkStart w:id="333" w:name="_Toc22558"/>
      <w:bookmarkStart w:id="334" w:name="_Toc1991"/>
      <w:bookmarkStart w:id="335" w:name="_Toc390098476"/>
      <w:bookmarkStart w:id="336" w:name="_Toc13663"/>
      <w:bookmarkStart w:id="337" w:name="_Toc28122"/>
      <w:bookmarkStart w:id="338" w:name="_Toc28032"/>
      <w:bookmarkStart w:id="339" w:name="_Toc25750646"/>
      <w:bookmarkStart w:id="340" w:name="_Toc28209"/>
      <w:r>
        <w:rPr>
          <w:rFonts w:hint="eastAsia" w:ascii="宋体" w:hAnsi="宋体"/>
          <w:b/>
        </w:rPr>
        <w:t>12.运输</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rPr>
      </w:pPr>
      <w:bookmarkStart w:id="341" w:name="_Toc2108"/>
      <w:bookmarkStart w:id="342" w:name="_Toc23523"/>
      <w:bookmarkStart w:id="343" w:name="_Toc18029"/>
      <w:bookmarkStart w:id="344" w:name="_Toc370933868"/>
      <w:bookmarkStart w:id="345" w:name="_Toc28552"/>
      <w:bookmarkStart w:id="346" w:name="_Toc492478776"/>
      <w:bookmarkStart w:id="347" w:name="_Toc23350"/>
      <w:bookmarkStart w:id="348" w:name="_Toc23976"/>
      <w:bookmarkStart w:id="349" w:name="_Toc10693"/>
      <w:bookmarkStart w:id="350" w:name="_Toc13163"/>
      <w:bookmarkStart w:id="351" w:name="_Toc28351"/>
      <w:bookmarkStart w:id="352" w:name="_Toc10639"/>
      <w:bookmarkStart w:id="353" w:name="_Toc385427851"/>
      <w:bookmarkStart w:id="354" w:name="_Toc20434"/>
      <w:bookmarkStart w:id="355" w:name="_Toc25750647"/>
      <w:bookmarkStart w:id="356" w:name="_Toc7764"/>
      <w:bookmarkStart w:id="357" w:name="_Toc31553"/>
      <w:bookmarkStart w:id="358" w:name="_Toc25594"/>
      <w:bookmarkStart w:id="359" w:name="_Toc606"/>
      <w:bookmarkStart w:id="360" w:name="_Toc15819"/>
      <w:bookmarkStart w:id="361" w:name="_Toc390098477"/>
      <w:bookmarkStart w:id="362" w:name="_Toc25004"/>
      <w:bookmarkStart w:id="363" w:name="_Toc21300"/>
      <w:bookmarkStart w:id="364" w:name="_Toc378514965"/>
      <w:r>
        <w:rPr>
          <w:rFonts w:hint="eastAsia" w:ascii="宋体" w:hAnsi="宋体"/>
          <w:b/>
        </w:rPr>
        <w:t>13.服务</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rPr>
      </w:pPr>
      <w:bookmarkStart w:id="365" w:name="_Toc459730457"/>
      <w:bookmarkEnd w:id="365"/>
      <w:bookmarkStart w:id="366" w:name="_Toc459730456"/>
      <w:bookmarkEnd w:id="366"/>
      <w:bookmarkStart w:id="367" w:name="_Toc459730448"/>
      <w:bookmarkEnd w:id="367"/>
      <w:bookmarkStart w:id="368" w:name="_Toc459797510"/>
      <w:bookmarkEnd w:id="368"/>
      <w:bookmarkStart w:id="369" w:name="_Toc459730445"/>
      <w:bookmarkEnd w:id="369"/>
      <w:bookmarkStart w:id="370" w:name="_Toc459797499"/>
      <w:bookmarkEnd w:id="370"/>
      <w:bookmarkStart w:id="371" w:name="_Toc459730459"/>
      <w:bookmarkEnd w:id="371"/>
      <w:bookmarkStart w:id="372" w:name="_Toc459730458"/>
      <w:bookmarkEnd w:id="372"/>
      <w:bookmarkStart w:id="373" w:name="_Toc459730450"/>
      <w:bookmarkEnd w:id="373"/>
      <w:bookmarkStart w:id="374" w:name="_Toc459797504"/>
      <w:bookmarkEnd w:id="374"/>
      <w:bookmarkStart w:id="375" w:name="_Toc459797498"/>
      <w:bookmarkEnd w:id="375"/>
      <w:bookmarkStart w:id="376" w:name="_Toc459730453"/>
      <w:bookmarkEnd w:id="376"/>
      <w:bookmarkStart w:id="377" w:name="_Toc459797509"/>
      <w:bookmarkEnd w:id="377"/>
      <w:bookmarkStart w:id="378" w:name="_Toc459730455"/>
      <w:bookmarkEnd w:id="378"/>
      <w:bookmarkStart w:id="379" w:name="_Toc459730454"/>
      <w:bookmarkEnd w:id="379"/>
      <w:bookmarkStart w:id="380" w:name="_Toc459797506"/>
      <w:bookmarkEnd w:id="380"/>
      <w:bookmarkStart w:id="381" w:name="_Toc459797503"/>
      <w:bookmarkEnd w:id="381"/>
      <w:bookmarkStart w:id="382" w:name="_Toc459730442"/>
      <w:bookmarkEnd w:id="382"/>
      <w:bookmarkStart w:id="383" w:name="_Toc459797508"/>
      <w:bookmarkEnd w:id="383"/>
      <w:bookmarkStart w:id="384" w:name="_Toc459730452"/>
      <w:bookmarkEnd w:id="384"/>
      <w:bookmarkStart w:id="385" w:name="_Toc459797497"/>
      <w:bookmarkEnd w:id="385"/>
      <w:bookmarkStart w:id="386" w:name="_Toc459797511"/>
      <w:bookmarkEnd w:id="386"/>
      <w:bookmarkStart w:id="387" w:name="_Toc459797502"/>
      <w:bookmarkEnd w:id="387"/>
      <w:bookmarkStart w:id="388" w:name="_Toc459730443"/>
      <w:bookmarkEnd w:id="388"/>
      <w:bookmarkStart w:id="389" w:name="_Toc459797500"/>
      <w:bookmarkEnd w:id="389"/>
      <w:bookmarkStart w:id="390" w:name="_Toc459730446"/>
      <w:bookmarkEnd w:id="390"/>
      <w:bookmarkStart w:id="391" w:name="_Toc459797505"/>
      <w:bookmarkEnd w:id="391"/>
      <w:bookmarkStart w:id="392" w:name="_Toc459797507"/>
      <w:bookmarkEnd w:id="392"/>
      <w:bookmarkStart w:id="393" w:name="_Toc459797495"/>
      <w:bookmarkEnd w:id="393"/>
      <w:bookmarkStart w:id="394" w:name="_Toc459797496"/>
      <w:bookmarkEnd w:id="394"/>
      <w:bookmarkStart w:id="395" w:name="_Toc459730451"/>
      <w:bookmarkEnd w:id="395"/>
      <w:bookmarkStart w:id="396" w:name="_Toc459797512"/>
      <w:bookmarkEnd w:id="396"/>
      <w:bookmarkStart w:id="397" w:name="_Toc459730449"/>
      <w:bookmarkEnd w:id="397"/>
      <w:bookmarkStart w:id="398" w:name="_Toc459797501"/>
      <w:bookmarkEnd w:id="398"/>
      <w:bookmarkStart w:id="399" w:name="_Toc459730444"/>
      <w:bookmarkEnd w:id="399"/>
      <w:bookmarkStart w:id="400" w:name="_Toc459730447"/>
      <w:bookmarkEnd w:id="400"/>
      <w:bookmarkStart w:id="401" w:name="_Toc27587"/>
      <w:bookmarkStart w:id="402" w:name="_Toc7041"/>
      <w:bookmarkStart w:id="403" w:name="_Toc20368"/>
      <w:bookmarkStart w:id="404" w:name="_Toc378514967"/>
      <w:bookmarkStart w:id="405" w:name="_Toc28755"/>
      <w:bookmarkStart w:id="406" w:name="_Toc390098479"/>
      <w:bookmarkStart w:id="407" w:name="_Toc23897"/>
      <w:bookmarkStart w:id="408" w:name="_Toc29198"/>
      <w:bookmarkStart w:id="409" w:name="_Toc28676"/>
      <w:bookmarkStart w:id="410" w:name="_Toc1101"/>
      <w:bookmarkStart w:id="411" w:name="_Toc14019"/>
      <w:bookmarkStart w:id="412" w:name="_Toc19108"/>
      <w:bookmarkStart w:id="413" w:name="_Toc10410"/>
      <w:bookmarkStart w:id="414" w:name="_Toc492478777"/>
      <w:bookmarkStart w:id="415" w:name="_Toc28005"/>
      <w:bookmarkStart w:id="416" w:name="_Toc25253"/>
      <w:bookmarkStart w:id="417" w:name="_Toc4379"/>
      <w:bookmarkStart w:id="418" w:name="_Toc26522"/>
      <w:bookmarkStart w:id="419" w:name="_Toc370933870"/>
      <w:bookmarkStart w:id="420" w:name="_Toc18790"/>
      <w:bookmarkStart w:id="421" w:name="_Toc25750648"/>
      <w:bookmarkStart w:id="422" w:name="_Toc8003"/>
      <w:bookmarkStart w:id="423" w:name="_Toc19245"/>
      <w:bookmarkStart w:id="424" w:name="_Toc385427853"/>
      <w:r>
        <w:rPr>
          <w:rFonts w:hint="eastAsia" w:ascii="宋体" w:hAnsi="宋体"/>
          <w:b/>
        </w:rPr>
        <w:t>14.保证</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Autospacing="0"/>
        <w:ind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ascii="宋体" w:hAnsi="宋体"/>
          <w:b/>
          <w:u w:val="single"/>
        </w:rPr>
        <w:t xml:space="preserve">  </w:t>
      </w:r>
      <w:r>
        <w:rPr>
          <w:rFonts w:hint="eastAsia" w:ascii="宋体" w:hAnsi="宋体"/>
          <w:b/>
          <w:u w:val="single"/>
        </w:rPr>
        <w:t xml:space="preserve">  </w:t>
      </w:r>
      <w:r>
        <w:rPr>
          <w:rFonts w:hint="eastAsia" w:ascii="宋体" w:hAnsi="宋体"/>
          <w:b/>
        </w:rPr>
        <w:t>个月（如中选人询比价申请文件中承诺的质量保证期优于询比价文件要求，按询比价申请人承诺的质量保证期执行）</w:t>
      </w:r>
      <w:r>
        <w:rPr>
          <w:rFonts w:hint="eastAsia" w:ascii="宋体" w:hAnsi="宋体"/>
        </w:rPr>
        <w:t>。</w:t>
      </w:r>
    </w:p>
    <w:p>
      <w:pPr>
        <w:spacing w:before="0" w:afterAutospacing="0"/>
        <w:ind w:right="0" w:firstLine="420" w:firstLineChars="200"/>
        <w:rPr>
          <w:rFonts w:ascii="宋体" w:hAnsi="宋体"/>
        </w:rPr>
      </w:pPr>
      <w:r>
        <w:rPr>
          <w:rFonts w:ascii="宋体" w:hAnsi="宋体"/>
        </w:rPr>
        <w:t>14.5.1.</w:t>
      </w:r>
      <w:r>
        <w:rPr>
          <w:rFonts w:hint="eastAsia" w:ascii="宋体" w:hAnsi="宋体"/>
        </w:rPr>
        <w:t>2</w:t>
      </w:r>
      <w:r>
        <w:rPr>
          <w:rFonts w:ascii="宋体" w:hAnsi="宋体"/>
        </w:rPr>
        <w:t xml:space="preserve">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Autospacing="0"/>
        <w:ind w:right="0" w:firstLine="420" w:firstLineChars="200"/>
        <w:rPr>
          <w:rFonts w:ascii="宋体" w:hAnsi="宋体"/>
        </w:rPr>
      </w:pPr>
      <w:r>
        <w:rPr>
          <w:rFonts w:ascii="宋体" w:hAnsi="宋体"/>
        </w:rPr>
        <w:t>14.5.1.</w:t>
      </w:r>
      <w:r>
        <w:rPr>
          <w:rFonts w:hint="eastAsia" w:ascii="宋体" w:hAnsi="宋体"/>
        </w:rPr>
        <w:t>3</w:t>
      </w:r>
      <w:r>
        <w:rPr>
          <w:rFonts w:ascii="宋体" w:hAnsi="宋体"/>
        </w:rPr>
        <w:t xml:space="preserve">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0" w:firstLineChars="200"/>
        <w:rPr>
          <w:rFonts w:ascii="宋体" w:hAnsi="宋体"/>
        </w:rPr>
      </w:pPr>
      <w:r>
        <w:rPr>
          <w:rFonts w:ascii="宋体" w:hAnsi="宋体"/>
        </w:rPr>
        <w:t>14.5.1.</w:t>
      </w:r>
      <w:r>
        <w:rPr>
          <w:rFonts w:hint="eastAsia" w:ascii="宋体" w:hAnsi="宋体"/>
        </w:rPr>
        <w:t>4</w:t>
      </w:r>
      <w:r>
        <w:rPr>
          <w:rFonts w:ascii="宋体" w:hAnsi="宋体"/>
        </w:rPr>
        <w:t xml:space="preserve"> </w:t>
      </w:r>
      <w:r>
        <w:rPr>
          <w:rFonts w:hint="eastAsia" w:ascii="宋体" w:hAnsi="宋体"/>
        </w:rPr>
        <w:t>本合同项下的货物（包含所有零部件）正常质量保证期</w:t>
      </w:r>
      <w:r>
        <w:rPr>
          <w:rFonts w:ascii="宋体" w:hAnsi="宋体"/>
          <w:u w:val="single"/>
        </w:rPr>
        <w:t xml:space="preserve">    </w:t>
      </w:r>
      <w:r>
        <w:rPr>
          <w:rFonts w:hint="eastAsia" w:ascii="宋体" w:hAnsi="宋体"/>
        </w:rPr>
        <w:t>个月</w:t>
      </w:r>
      <w:r>
        <w:rPr>
          <w:rFonts w:hint="eastAsia" w:ascii="宋体" w:hAnsi="宋体"/>
          <w:b/>
        </w:rPr>
        <w:t>（如中选人询比价申请文件中承诺的质量保证期优于询比价文件要求，按询比价申请人承诺的质量保证期执行）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rPr>
      </w:pPr>
      <w:r>
        <w:rPr>
          <w:rFonts w:ascii="宋体" w:hAnsi="宋体"/>
        </w:rPr>
        <w:t>14.5.1.</w:t>
      </w:r>
      <w:r>
        <w:rPr>
          <w:rFonts w:hint="eastAsia" w:ascii="宋体" w:hAnsi="宋体"/>
        </w:rPr>
        <w:t>6</w:t>
      </w:r>
      <w:r>
        <w:rPr>
          <w:rFonts w:ascii="宋体" w:hAnsi="宋体"/>
        </w:rPr>
        <w:t xml:space="preserve">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rPr>
      </w:pPr>
      <w:bookmarkStart w:id="425" w:name="_Toc13916"/>
      <w:bookmarkStart w:id="426" w:name="_Toc25750649"/>
      <w:bookmarkStart w:id="427" w:name="_Toc32188"/>
      <w:bookmarkStart w:id="428" w:name="_Toc385427854"/>
      <w:bookmarkStart w:id="429" w:name="_Toc390098480"/>
      <w:bookmarkStart w:id="430" w:name="_Toc24420"/>
      <w:bookmarkStart w:id="431" w:name="_Toc10179"/>
      <w:bookmarkStart w:id="432" w:name="_Toc1295"/>
      <w:bookmarkStart w:id="433" w:name="_Toc370933871"/>
      <w:bookmarkStart w:id="434" w:name="_Toc30070"/>
      <w:bookmarkStart w:id="435" w:name="_Toc23773"/>
      <w:bookmarkStart w:id="436" w:name="_Toc11315"/>
      <w:bookmarkStart w:id="437" w:name="_Toc3299"/>
      <w:bookmarkStart w:id="438" w:name="_Toc23162"/>
      <w:bookmarkStart w:id="439" w:name="_Toc21624"/>
      <w:bookmarkStart w:id="440" w:name="_Toc19053"/>
      <w:bookmarkStart w:id="441" w:name="_Toc378514968"/>
      <w:bookmarkStart w:id="442" w:name="_Toc28560"/>
      <w:bookmarkStart w:id="443" w:name="_Toc492478778"/>
      <w:bookmarkStart w:id="444" w:name="_Toc13238"/>
      <w:bookmarkStart w:id="445" w:name="_Toc26721"/>
      <w:bookmarkStart w:id="446" w:name="_Toc16602"/>
      <w:bookmarkStart w:id="447" w:name="_Toc886"/>
      <w:bookmarkStart w:id="448" w:name="_Toc32206"/>
      <w:r>
        <w:rPr>
          <w:rFonts w:hint="eastAsia" w:ascii="宋体" w:hAnsi="宋体"/>
          <w:b/>
        </w:rPr>
        <w:t>15.付款</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付款方式。</w:t>
      </w:r>
    </w:p>
    <w:p>
      <w:pPr>
        <w:tabs>
          <w:tab w:val="left" w:pos="1134"/>
          <w:tab w:val="left" w:pos="8364"/>
        </w:tabs>
        <w:spacing w:before="0" w:afterAutospacing="0"/>
        <w:ind w:left="420" w:right="0"/>
        <w:rPr>
          <w:rFonts w:ascii="宋体" w:hAnsi="宋体" w:cs="Arial"/>
        </w:rPr>
      </w:pPr>
      <w:bookmarkStart w:id="449" w:name="_Toc13281"/>
      <w:bookmarkStart w:id="450" w:name="_Toc2069"/>
      <w:bookmarkStart w:id="451" w:name="_Toc4697"/>
      <w:bookmarkStart w:id="452" w:name="_Toc2957"/>
      <w:bookmarkStart w:id="453" w:name="_Toc12979"/>
      <w:bookmarkStart w:id="454" w:name="_Toc370933872"/>
      <w:bookmarkStart w:id="455" w:name="_Toc22179"/>
      <w:bookmarkStart w:id="456" w:name="_Toc9642"/>
      <w:bookmarkStart w:id="457" w:name="_Toc378514969"/>
      <w:bookmarkStart w:id="458" w:name="_Toc492478779"/>
      <w:bookmarkStart w:id="459" w:name="_Toc28757"/>
      <w:bookmarkStart w:id="460" w:name="_Toc385427855"/>
      <w:bookmarkStart w:id="461" w:name="_Toc9852"/>
      <w:bookmarkStart w:id="462" w:name="_Toc16641"/>
      <w:bookmarkStart w:id="463" w:name="_Toc27798"/>
      <w:bookmarkStart w:id="464" w:name="_Toc18054"/>
      <w:bookmarkStart w:id="465" w:name="_Toc12729"/>
      <w:bookmarkStart w:id="466" w:name="_Toc24274"/>
      <w:bookmarkStart w:id="467" w:name="_Toc390098481"/>
      <w:bookmarkStart w:id="468" w:name="_Toc30094"/>
      <w:bookmarkStart w:id="469" w:name="_Toc26222"/>
      <w:bookmarkStart w:id="470" w:name="_Toc19387"/>
      <w:bookmarkStart w:id="471" w:name="_Toc18890"/>
      <w:bookmarkStart w:id="472" w:name="_Toc25750650"/>
      <w:r>
        <w:rPr>
          <w:rFonts w:hint="eastAsia" w:ascii="宋体" w:hAnsi="宋体" w:cs="Arial"/>
        </w:rPr>
        <w:t>15.3.1甲方在收到由乙方提供的以下合格材料后4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③货物到货验收清单。</w:t>
      </w:r>
    </w:p>
    <w:p>
      <w:pPr>
        <w:pStyle w:val="12"/>
        <w:numPr>
          <w:ilvl w:val="0"/>
          <w:numId w:val="16"/>
        </w:numPr>
        <w:tabs>
          <w:tab w:val="left" w:pos="1134"/>
          <w:tab w:val="left" w:pos="8364"/>
        </w:tabs>
        <w:spacing w:before="0" w:afterAutospacing="0"/>
        <w:ind w:right="0"/>
        <w:rPr>
          <w:rFonts w:ascii="宋体" w:hAnsi="宋体" w:cs="Arial"/>
        </w:rPr>
      </w:pPr>
      <w:r>
        <w:rPr>
          <w:rFonts w:hint="eastAsia" w:ascii="宋体" w:hAnsi="宋体" w:cs="Arial"/>
        </w:rPr>
        <w:t>乙方出具的产品合格证明。</w:t>
      </w:r>
    </w:p>
    <w:p>
      <w:pPr>
        <w:tabs>
          <w:tab w:val="left" w:pos="1134"/>
          <w:tab w:val="left" w:pos="8364"/>
        </w:tabs>
        <w:spacing w:before="0" w:afterAutospacing="0"/>
        <w:ind w:left="420" w:right="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③乙方全部货物验收合格证明。</w:t>
      </w:r>
    </w:p>
    <w:p>
      <w:pPr>
        <w:tabs>
          <w:tab w:val="left" w:pos="1134"/>
          <w:tab w:val="left" w:pos="8364"/>
        </w:tabs>
        <w:spacing w:before="0" w:afterAutospacing="0"/>
        <w:ind w:left="420" w:right="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②双方确认的质保期满后产品合格证明。</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Autospacing="0"/>
        <w:ind w:right="0" w:firstLine="420" w:firstLineChars="200"/>
        <w:rPr>
          <w:rFonts w:ascii="宋体" w:hAnsi="宋体"/>
        </w:rPr>
      </w:pPr>
      <w:r>
        <w:rPr>
          <w:rFonts w:hint="eastAsia" w:ascii="宋体" w:hAnsi="宋体" w:cs="Arial"/>
        </w:rPr>
        <w:t>本合同项下涉及付款的，由甲方组织签订甲方、乙方、丙方（</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的三方协议，乙方按本合同规定的程序向丙方开具发票（开票信息另行提供），由丙方向乙方支付经甲方核准的合同应付价款。（如有）</w:t>
      </w:r>
    </w:p>
    <w:p>
      <w:pPr>
        <w:tabs>
          <w:tab w:val="left" w:pos="840"/>
          <w:tab w:val="left" w:pos="1134"/>
        </w:tabs>
        <w:spacing w:before="0" w:afterAutospacing="0"/>
        <w:ind w:left="426" w:right="0"/>
        <w:outlineLvl w:val="1"/>
        <w:rPr>
          <w:rFonts w:ascii="宋体" w:hAnsi="宋体"/>
        </w:rPr>
      </w:pPr>
      <w:r>
        <w:rPr>
          <w:rFonts w:hint="eastAsia" w:ascii="宋体" w:hAnsi="宋体"/>
          <w:b/>
        </w:rPr>
        <w:t>16.价格</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合同价格执行以下条款的规定。</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本合同价格中合同单价为固定价，不得以任何理由予以合同价格上浮、上调、上涨，但如属经双方协商同意变更的情况除外</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其中1号线的合同价格：人民币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2号线的合同价格：人民币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lang w:val="en-US" w:eastAsia="zh-CN"/>
        </w:rPr>
        <w:t>3</w:t>
      </w:r>
      <w:r>
        <w:rPr>
          <w:rFonts w:hint="eastAsia" w:ascii="宋体" w:hAnsi="宋体"/>
        </w:rPr>
        <w:t>号线的合同价格：人民币</w:t>
      </w:r>
      <w:r>
        <w:rPr>
          <w:rFonts w:hint="eastAsia" w:ascii="宋体" w:hAnsi="宋体"/>
          <w:u w:val="single"/>
        </w:rPr>
        <w:t xml:space="preserve">       （¥： </w:t>
      </w:r>
      <w:r>
        <w:rPr>
          <w:rFonts w:hint="eastAsia" w:ascii="宋体" w:hAnsi="宋体"/>
        </w:rPr>
        <w:t>）。</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现场知晓</w:t>
      </w:r>
    </w:p>
    <w:p>
      <w:pPr>
        <w:spacing w:before="0" w:afterAutospacing="0"/>
        <w:ind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价格的充分性</w:t>
      </w:r>
    </w:p>
    <w:p>
      <w:pPr>
        <w:spacing w:before="0" w:afterAutospacing="0"/>
        <w:ind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影响合同价格的全部条件和情况；</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完成合同中所述项目的可能性；</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现场的综合情况；</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现场总的劳务情况；</w:t>
      </w:r>
    </w:p>
    <w:p>
      <w:pPr>
        <w:numPr>
          <w:ilvl w:val="0"/>
          <w:numId w:val="18"/>
        </w:numPr>
        <w:tabs>
          <w:tab w:val="left" w:pos="8364"/>
        </w:tabs>
        <w:spacing w:before="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rPr>
      </w:pPr>
      <w:bookmarkStart w:id="473" w:name="_Toc769"/>
      <w:bookmarkStart w:id="474" w:name="_Toc23070"/>
      <w:bookmarkStart w:id="475" w:name="_Toc24113"/>
      <w:bookmarkStart w:id="476" w:name="_Toc6771"/>
      <w:bookmarkStart w:id="477" w:name="_Toc10545"/>
      <w:bookmarkStart w:id="478" w:name="_Toc29593"/>
      <w:bookmarkStart w:id="479" w:name="_Toc21856"/>
      <w:bookmarkStart w:id="480" w:name="_Toc30611"/>
      <w:bookmarkStart w:id="481" w:name="_Toc25230"/>
      <w:bookmarkStart w:id="482" w:name="_Toc25750651"/>
      <w:bookmarkStart w:id="483" w:name="_Toc2295"/>
      <w:bookmarkStart w:id="484" w:name="_Toc14851"/>
      <w:bookmarkStart w:id="485" w:name="_Toc32028"/>
      <w:bookmarkStart w:id="486" w:name="_Toc492478780"/>
      <w:bookmarkStart w:id="487" w:name="_Toc12825"/>
      <w:bookmarkStart w:id="488" w:name="_Toc27489"/>
      <w:bookmarkStart w:id="489" w:name="_Toc25441"/>
      <w:bookmarkStart w:id="490" w:name="_Toc390098482"/>
      <w:bookmarkStart w:id="491" w:name="_Toc26418"/>
      <w:bookmarkStart w:id="492" w:name="_Toc29106"/>
      <w:bookmarkStart w:id="493" w:name="_Toc385427856"/>
      <w:bookmarkStart w:id="494" w:name="_Toc378514970"/>
      <w:bookmarkStart w:id="495" w:name="_Toc3558"/>
      <w:bookmarkStart w:id="496" w:name="_Toc370933873"/>
      <w:r>
        <w:rPr>
          <w:rFonts w:hint="eastAsia" w:ascii="宋体" w:hAnsi="宋体"/>
          <w:b/>
        </w:rPr>
        <w:t>17.合同变更与修改</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20"/>
        </w:numPr>
        <w:spacing w:before="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20"/>
        </w:numPr>
        <w:spacing w:before="0" w:afterAutospacing="0"/>
        <w:ind w:left="0" w:right="0" w:firstLine="420" w:firstLineChars="200"/>
        <w:rPr>
          <w:rFonts w:ascii="宋体" w:hAnsi="宋体"/>
        </w:rPr>
      </w:pPr>
      <w:r>
        <w:rPr>
          <w:rFonts w:hint="eastAsia" w:ascii="宋体" w:hAnsi="宋体"/>
        </w:rPr>
        <w:t>运输或包装的方法；</w:t>
      </w:r>
    </w:p>
    <w:p>
      <w:pPr>
        <w:numPr>
          <w:ilvl w:val="1"/>
          <w:numId w:val="20"/>
        </w:numPr>
        <w:spacing w:before="0" w:afterAutospacing="0"/>
        <w:ind w:left="0" w:right="0" w:firstLine="420" w:firstLineChars="200"/>
        <w:rPr>
          <w:rFonts w:ascii="宋体" w:hAnsi="宋体"/>
        </w:rPr>
      </w:pPr>
      <w:r>
        <w:rPr>
          <w:rFonts w:hint="eastAsia" w:ascii="宋体" w:hAnsi="宋体"/>
        </w:rPr>
        <w:t>交货时间；</w:t>
      </w:r>
    </w:p>
    <w:p>
      <w:pPr>
        <w:numPr>
          <w:ilvl w:val="1"/>
          <w:numId w:val="20"/>
        </w:numPr>
        <w:spacing w:before="0" w:afterAutospacing="0"/>
        <w:ind w:left="0" w:right="0" w:firstLine="420" w:firstLineChars="200"/>
        <w:rPr>
          <w:rFonts w:ascii="宋体" w:hAnsi="宋体"/>
        </w:rPr>
      </w:pPr>
      <w:r>
        <w:rPr>
          <w:rFonts w:hint="eastAsia" w:ascii="宋体" w:hAnsi="宋体"/>
        </w:rPr>
        <w:t>交货地点；</w:t>
      </w:r>
    </w:p>
    <w:p>
      <w:pPr>
        <w:numPr>
          <w:ilvl w:val="1"/>
          <w:numId w:val="20"/>
        </w:numPr>
        <w:spacing w:before="0" w:afterAutospacing="0"/>
        <w:ind w:left="0" w:right="0" w:firstLine="420" w:firstLineChars="200"/>
        <w:rPr>
          <w:rFonts w:ascii="宋体" w:hAnsi="宋体"/>
        </w:rPr>
      </w:pPr>
      <w:r>
        <w:rPr>
          <w:rFonts w:hint="eastAsia" w:ascii="宋体" w:hAnsi="宋体"/>
        </w:rPr>
        <w:t>供货期；</w:t>
      </w:r>
    </w:p>
    <w:p>
      <w:pPr>
        <w:numPr>
          <w:ilvl w:val="1"/>
          <w:numId w:val="20"/>
        </w:numPr>
        <w:spacing w:before="0" w:afterAutospacing="0"/>
        <w:ind w:left="0" w:right="0" w:firstLine="420" w:firstLineChars="200"/>
        <w:rPr>
          <w:rFonts w:ascii="宋体" w:hAnsi="宋体"/>
        </w:rPr>
      </w:pPr>
      <w:r>
        <w:rPr>
          <w:rFonts w:hint="eastAsia" w:ascii="宋体" w:hAnsi="宋体"/>
        </w:rPr>
        <w:t>乙方提供的货物数量及服务；</w:t>
      </w:r>
    </w:p>
    <w:p>
      <w:pPr>
        <w:numPr>
          <w:ilvl w:val="1"/>
          <w:numId w:val="20"/>
        </w:numPr>
        <w:spacing w:before="0" w:afterAutospacing="0"/>
        <w:ind w:left="0" w:right="0" w:firstLine="420" w:firstLineChars="200"/>
        <w:rPr>
          <w:rFonts w:ascii="宋体" w:hAnsi="宋体"/>
        </w:rPr>
      </w:pPr>
      <w:r>
        <w:rPr>
          <w:rFonts w:hint="eastAsia" w:ascii="宋体" w:hAnsi="宋体"/>
        </w:rPr>
        <w:t>以及甲方认为需要变更的项目。</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Autospacing="0"/>
        <w:ind w:right="0" w:firstLine="420" w:firstLineChars="200"/>
        <w:rPr>
          <w:rFonts w:ascii="宋体" w:hAnsi="宋体"/>
        </w:rPr>
      </w:pPr>
      <w:r>
        <w:rPr>
          <w:rFonts w:hint="eastAsia" w:ascii="宋体" w:hAnsi="宋体"/>
        </w:rPr>
        <w:t>1）</w:t>
      </w:r>
      <w:r>
        <w:rPr>
          <w:rFonts w:hint="eastAsia"/>
        </w:rPr>
        <w:t>因乙方询比价申请时填报错误导致清单项不满足甲方需求的，变更的品牌型号需满足甲方需求，技术指标同等或优于原填报品牌、型号，市场价格原则上同等或高于原填报价格；</w:t>
      </w:r>
      <w:r>
        <w:rPr>
          <w:rFonts w:hint="eastAsia" w:ascii="宋体" w:hAnsi="宋体"/>
        </w:rPr>
        <w:t xml:space="preserve"> </w:t>
      </w:r>
    </w:p>
    <w:p>
      <w:pPr>
        <w:tabs>
          <w:tab w:val="left" w:pos="540"/>
          <w:tab w:val="left" w:pos="980"/>
        </w:tabs>
        <w:spacing w:before="0" w:afterAutospacing="0"/>
        <w:ind w:left="420" w:right="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Autospacing="0"/>
        <w:ind w:right="0" w:firstLine="420" w:firstLineChars="200"/>
      </w:pPr>
      <w:r>
        <w:rPr>
          <w:rFonts w:hint="eastAsia"/>
        </w:rPr>
        <w:t>17.7.1变更后的费用经甲乙双方协商确认后，如低于原合同价格，则按照变更后的费用来执行；</w:t>
      </w:r>
    </w:p>
    <w:p>
      <w:pPr>
        <w:tabs>
          <w:tab w:val="left" w:pos="820"/>
        </w:tabs>
        <w:spacing w:before="0" w:afterAutospacing="0"/>
        <w:ind w:right="0" w:firstLine="420" w:firstLineChars="200"/>
      </w:pPr>
      <w:r>
        <w:rPr>
          <w:rFonts w:hint="eastAsia"/>
        </w:rPr>
        <w:t>17.7.2变更后的费用经甲乙双方协商确认后，如高于原合同价格，则按照原合同价格来执行。</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合同变更时，买卖双方按下述方式确定调整货物合同价格：</w:t>
      </w:r>
    </w:p>
    <w:p>
      <w:pPr>
        <w:tabs>
          <w:tab w:val="left" w:pos="540"/>
          <w:tab w:val="left" w:pos="1134"/>
        </w:tabs>
        <w:spacing w:before="0" w:afterAutospacing="0"/>
        <w:ind w:left="420" w:right="0"/>
        <w:rPr>
          <w:rFonts w:ascii="宋体" w:hAnsi="宋体"/>
        </w:rPr>
      </w:pPr>
      <w:r>
        <w:rPr>
          <w:rFonts w:hint="eastAsia" w:ascii="宋体" w:hAnsi="宋体"/>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rPr>
      </w:pPr>
      <w:r>
        <w:rPr>
          <w:rFonts w:hint="eastAsia" w:ascii="宋体" w:hAnsi="宋体"/>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rPr>
      </w:pPr>
      <w:r>
        <w:rPr>
          <w:rFonts w:hint="eastAsia" w:ascii="宋体" w:hAnsi="宋体"/>
        </w:rPr>
        <w:t>17.8.3.1 根据合同规定的原则计出总价；</w:t>
      </w:r>
    </w:p>
    <w:p>
      <w:pPr>
        <w:tabs>
          <w:tab w:val="left" w:pos="820"/>
        </w:tabs>
        <w:spacing w:before="0" w:afterAutospacing="0"/>
        <w:ind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Autospacing="0"/>
        <w:ind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Autospacing="0"/>
        <w:ind w:right="0" w:firstLine="420" w:firstLineChars="200"/>
        <w:rPr>
          <w:rFonts w:ascii="宋体" w:hAnsi="宋体"/>
        </w:rPr>
      </w:pPr>
      <w:r>
        <w:rPr>
          <w:rFonts w:hint="eastAsia" w:ascii="宋体" w:hAnsi="宋体"/>
        </w:rPr>
        <w:t>17.8.3.4 根据合同规定的相应成本确定；</w:t>
      </w:r>
    </w:p>
    <w:p>
      <w:pPr>
        <w:tabs>
          <w:tab w:val="left" w:pos="820"/>
        </w:tabs>
        <w:spacing w:before="0" w:afterAutospacing="0"/>
        <w:ind w:right="0" w:firstLine="420" w:firstLineChars="200"/>
        <w:rPr>
          <w:rFonts w:ascii="宋体" w:hAnsi="宋体"/>
        </w:rPr>
      </w:pPr>
      <w:r>
        <w:rPr>
          <w:rFonts w:hint="eastAsia" w:ascii="宋体" w:hAnsi="宋体"/>
        </w:rPr>
        <w:t>17.8.3.5 根据当时的市场价格计算。</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rPr>
      </w:pPr>
      <w:r>
        <w:rPr>
          <w:rFonts w:hint="eastAsia" w:ascii="宋体" w:hAnsi="宋体"/>
        </w:rPr>
        <w:t>17.11.1将要实施的工作的说明（如有时）以及工作的实施进度计划；</w:t>
      </w:r>
    </w:p>
    <w:p>
      <w:pPr>
        <w:tabs>
          <w:tab w:val="left" w:pos="540"/>
          <w:tab w:val="left" w:pos="1134"/>
        </w:tabs>
        <w:spacing w:before="0" w:afterAutospacing="0"/>
        <w:ind w:left="420" w:right="0"/>
        <w:rPr>
          <w:rFonts w:ascii="宋体" w:hAnsi="宋体"/>
        </w:rPr>
      </w:pPr>
      <w:r>
        <w:rPr>
          <w:rFonts w:hint="eastAsia" w:ascii="宋体" w:hAnsi="宋体"/>
        </w:rPr>
        <w:t>17.11.2对进度计划或对本合同项下的乙方义务进行任何必要的修改建议；</w:t>
      </w:r>
    </w:p>
    <w:p>
      <w:pPr>
        <w:tabs>
          <w:tab w:val="left" w:pos="540"/>
          <w:tab w:val="left" w:pos="1134"/>
        </w:tabs>
        <w:spacing w:before="0" w:afterAutospacing="0"/>
        <w:ind w:left="420" w:right="0"/>
        <w:rPr>
          <w:rFonts w:ascii="宋体" w:hAnsi="宋体"/>
        </w:rPr>
      </w:pPr>
      <w:r>
        <w:rPr>
          <w:rFonts w:hint="eastAsia" w:ascii="宋体" w:hAnsi="宋体"/>
        </w:rPr>
        <w:t>17.11.3乙方对合同价格调整的建议。</w:t>
      </w:r>
    </w:p>
    <w:p>
      <w:pPr>
        <w:tabs>
          <w:tab w:val="left" w:pos="1558"/>
        </w:tabs>
        <w:spacing w:before="0" w:afterAutospacing="0"/>
        <w:ind w:right="0" w:firstLine="420" w:firstLineChars="200"/>
      </w:pPr>
      <w:r>
        <w:rPr>
          <w:rFonts w:hint="eastAsia" w:ascii="宋体" w:hAnsi="宋体"/>
        </w:rPr>
        <w:t>收到乙方的上述递呈，并在与乙方适当协商后，甲方应尽快决定是否进行变更。</w:t>
      </w:r>
      <w:r>
        <w:rPr>
          <w:rFonts w:hint="eastAsia"/>
        </w:rPr>
        <w:t xml:space="preserve"> </w:t>
      </w:r>
    </w:p>
    <w:p>
      <w:pPr>
        <w:tabs>
          <w:tab w:val="left" w:pos="840"/>
          <w:tab w:val="left" w:pos="1843"/>
        </w:tabs>
        <w:spacing w:before="0" w:afterAutospacing="0"/>
        <w:ind w:left="422" w:right="0"/>
        <w:outlineLvl w:val="1"/>
        <w:rPr>
          <w:rFonts w:ascii="宋体" w:hAnsi="宋体"/>
          <w:b/>
        </w:rPr>
      </w:pPr>
      <w:bookmarkStart w:id="497" w:name="_Toc385427857"/>
      <w:bookmarkStart w:id="498" w:name="_Toc25965"/>
      <w:bookmarkStart w:id="499" w:name="_Toc3081"/>
      <w:bookmarkStart w:id="500" w:name="_Toc27980"/>
      <w:bookmarkStart w:id="501" w:name="_Toc29664"/>
      <w:bookmarkStart w:id="502" w:name="_Toc1259"/>
      <w:bookmarkStart w:id="503" w:name="_Toc4403"/>
      <w:bookmarkStart w:id="504" w:name="_Toc11895"/>
      <w:bookmarkStart w:id="505" w:name="_Toc24029"/>
      <w:bookmarkStart w:id="506" w:name="_Toc18239"/>
      <w:bookmarkStart w:id="507" w:name="_Toc29029"/>
      <w:bookmarkStart w:id="508" w:name="_Toc16088"/>
      <w:bookmarkStart w:id="509" w:name="_Toc378514971"/>
      <w:bookmarkStart w:id="510" w:name="_Toc25750652"/>
      <w:bookmarkStart w:id="511" w:name="_Toc28641"/>
      <w:bookmarkStart w:id="512" w:name="_Toc18453"/>
      <w:bookmarkStart w:id="513" w:name="_Toc370933874"/>
      <w:bookmarkStart w:id="514" w:name="_Toc25195"/>
      <w:bookmarkStart w:id="515" w:name="_Toc17820"/>
      <w:bookmarkStart w:id="516" w:name="_Toc21302"/>
      <w:bookmarkStart w:id="517" w:name="_Toc492478781"/>
      <w:bookmarkStart w:id="518" w:name="_Toc390098483"/>
      <w:bookmarkStart w:id="519" w:name="_Toc15094"/>
      <w:bookmarkStart w:id="520" w:name="_Toc2307"/>
      <w:r>
        <w:rPr>
          <w:rFonts w:hint="eastAsia" w:ascii="宋体" w:hAnsi="宋体"/>
          <w:b/>
        </w:rPr>
        <w:t>18.转让和分包</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tabs>
          <w:tab w:val="left" w:pos="1120"/>
        </w:tabs>
        <w:spacing w:before="0" w:afterAutospacing="0"/>
        <w:ind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Autospacing="0"/>
        <w:ind w:left="422" w:right="0"/>
        <w:outlineLvl w:val="1"/>
        <w:rPr>
          <w:rFonts w:ascii="宋体" w:hAnsi="宋体"/>
          <w:b/>
        </w:rPr>
      </w:pPr>
      <w:bookmarkStart w:id="521" w:name="_Toc24065"/>
      <w:bookmarkStart w:id="522" w:name="_Toc17029"/>
      <w:bookmarkStart w:id="523" w:name="_Toc661"/>
      <w:bookmarkStart w:id="524" w:name="_Toc4396"/>
      <w:bookmarkStart w:id="525" w:name="_Toc25750653"/>
      <w:bookmarkStart w:id="526" w:name="_Toc370933875"/>
      <w:bookmarkStart w:id="527" w:name="_Toc12432"/>
      <w:bookmarkStart w:id="528" w:name="_Toc378514972"/>
      <w:bookmarkStart w:id="529" w:name="_Toc385427858"/>
      <w:bookmarkStart w:id="530" w:name="_Toc6234"/>
      <w:bookmarkStart w:id="531" w:name="_Toc3130"/>
      <w:bookmarkStart w:id="532" w:name="_Toc21413"/>
      <w:bookmarkStart w:id="533" w:name="_Toc13416"/>
      <w:bookmarkStart w:id="534" w:name="_Toc390098484"/>
      <w:bookmarkStart w:id="535" w:name="_Toc19987"/>
      <w:bookmarkStart w:id="536" w:name="_Toc18508"/>
      <w:bookmarkStart w:id="537" w:name="_Toc16315"/>
      <w:bookmarkStart w:id="538" w:name="_Toc25342"/>
      <w:bookmarkStart w:id="539" w:name="_Toc11530"/>
      <w:bookmarkStart w:id="540" w:name="_Toc8696"/>
      <w:bookmarkStart w:id="541" w:name="_Toc492478782"/>
      <w:bookmarkStart w:id="542" w:name="_Toc13888"/>
      <w:bookmarkStart w:id="543" w:name="_Toc24037"/>
      <w:bookmarkStart w:id="544" w:name="_Toc32343"/>
      <w:r>
        <w:rPr>
          <w:rFonts w:hint="eastAsia" w:ascii="宋体" w:hAnsi="宋体"/>
          <w:b/>
        </w:rPr>
        <w:t>19.不可抗力</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rPr>
      </w:pPr>
      <w:bookmarkStart w:id="545" w:name="_Toc25750654"/>
      <w:r>
        <w:rPr>
          <w:rFonts w:hint="eastAsia" w:ascii="宋体" w:hAnsi="宋体"/>
          <w:b/>
        </w:rPr>
        <w:t>20.</w:t>
      </w:r>
      <w:bookmarkStart w:id="546" w:name="_Toc4788"/>
      <w:bookmarkStart w:id="547" w:name="_Toc25233"/>
      <w:bookmarkStart w:id="548" w:name="_Toc15746"/>
      <w:bookmarkStart w:id="549" w:name="_Toc27564"/>
      <w:bookmarkStart w:id="550" w:name="_Toc2649"/>
      <w:bookmarkStart w:id="551" w:name="_Toc390098485"/>
      <w:bookmarkStart w:id="552" w:name="_Toc4745"/>
      <w:bookmarkStart w:id="553" w:name="_Toc22045"/>
      <w:bookmarkStart w:id="554" w:name="_Toc385427859"/>
      <w:bookmarkStart w:id="555" w:name="_Toc19935"/>
      <w:bookmarkStart w:id="556" w:name="_Toc28028"/>
      <w:bookmarkStart w:id="557" w:name="_Toc19672"/>
      <w:bookmarkStart w:id="558" w:name="_Toc8769"/>
      <w:bookmarkStart w:id="559" w:name="_Toc17808"/>
      <w:bookmarkStart w:id="560" w:name="_Toc14033"/>
      <w:bookmarkStart w:id="561" w:name="_Toc370933876"/>
      <w:bookmarkStart w:id="562" w:name="_Toc29383"/>
      <w:bookmarkStart w:id="563" w:name="_Toc6046"/>
      <w:bookmarkStart w:id="564" w:name="_Toc378514973"/>
      <w:bookmarkStart w:id="565" w:name="_Toc13899"/>
      <w:bookmarkStart w:id="566" w:name="_Toc7028"/>
      <w:bookmarkStart w:id="567" w:name="_Toc492478783"/>
      <w:bookmarkStart w:id="568" w:name="_Toc10334"/>
      <w:r>
        <w:rPr>
          <w:rFonts w:hint="eastAsia" w:ascii="宋体" w:hAnsi="宋体"/>
          <w:b/>
        </w:rPr>
        <w:t>乙方履约展期</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numPr>
          <w:ilvl w:val="1"/>
          <w:numId w:val="22"/>
        </w:numPr>
        <w:tabs>
          <w:tab w:val="left" w:pos="980"/>
          <w:tab w:val="clear" w:pos="1134"/>
        </w:tabs>
        <w:spacing w:before="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2"/>
        </w:numPr>
        <w:tabs>
          <w:tab w:val="left" w:pos="980"/>
          <w:tab w:val="clear" w:pos="1134"/>
        </w:tabs>
        <w:spacing w:before="0" w:afterAutospacing="0"/>
        <w:ind w:left="0" w:right="0" w:firstLine="420" w:firstLineChars="200"/>
        <w:rPr>
          <w:rFonts w:ascii="宋体" w:hAnsi="宋体"/>
        </w:rPr>
      </w:pPr>
      <w:r>
        <w:rPr>
          <w:rFonts w:hint="eastAsia" w:ascii="宋体" w:hAnsi="宋体"/>
        </w:rPr>
        <w:t>乙方在下列情况下可要求延期交货：</w:t>
      </w:r>
    </w:p>
    <w:p>
      <w:pPr>
        <w:numPr>
          <w:ilvl w:val="1"/>
          <w:numId w:val="23"/>
        </w:numPr>
        <w:spacing w:before="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23"/>
        </w:numPr>
        <w:spacing w:before="0" w:afterAutospacing="0"/>
        <w:ind w:left="0" w:right="0" w:firstLine="420" w:firstLineChars="200"/>
        <w:rPr>
          <w:rFonts w:ascii="宋体" w:hAnsi="宋体"/>
        </w:rPr>
      </w:pPr>
      <w:r>
        <w:rPr>
          <w:rFonts w:hint="eastAsia" w:ascii="宋体" w:hAnsi="宋体"/>
        </w:rPr>
        <w:t>第19条所述之不可抗力；</w:t>
      </w:r>
    </w:p>
    <w:p>
      <w:pPr>
        <w:numPr>
          <w:ilvl w:val="1"/>
          <w:numId w:val="23"/>
        </w:numPr>
        <w:spacing w:before="0" w:afterAutospacing="0"/>
        <w:ind w:left="0" w:right="0" w:firstLine="420" w:firstLineChars="200"/>
        <w:rPr>
          <w:rFonts w:ascii="宋体" w:hAnsi="宋体"/>
        </w:rPr>
      </w:pPr>
      <w:r>
        <w:rPr>
          <w:rFonts w:hint="eastAsia" w:ascii="宋体" w:hAnsi="宋体"/>
        </w:rPr>
        <w:t>甲方签发的延期执行合同的指令；</w:t>
      </w:r>
    </w:p>
    <w:p>
      <w:pPr>
        <w:pStyle w:val="6"/>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2"/>
        </w:numPr>
        <w:tabs>
          <w:tab w:val="left" w:pos="960"/>
          <w:tab w:val="clear" w:pos="1134"/>
        </w:tabs>
        <w:spacing w:before="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rPr>
      </w:pPr>
      <w:bookmarkStart w:id="569" w:name="_Toc25750655"/>
      <w:bookmarkStart w:id="570" w:name="_Toc28565"/>
      <w:bookmarkStart w:id="571" w:name="_Toc9775"/>
      <w:bookmarkStart w:id="572" w:name="_Toc18456"/>
      <w:bookmarkStart w:id="573" w:name="_Toc28820"/>
      <w:bookmarkStart w:id="574" w:name="_Toc18253"/>
      <w:bookmarkStart w:id="575" w:name="_Toc3878"/>
      <w:bookmarkStart w:id="576" w:name="_Toc385427860"/>
      <w:bookmarkStart w:id="577" w:name="_Toc26944"/>
      <w:bookmarkStart w:id="578" w:name="_Toc492478784"/>
      <w:bookmarkStart w:id="579" w:name="_Toc25987"/>
      <w:bookmarkStart w:id="580" w:name="_Toc390098486"/>
      <w:bookmarkStart w:id="581" w:name="_Toc11763"/>
      <w:bookmarkStart w:id="582" w:name="_Toc370933877"/>
      <w:bookmarkStart w:id="583" w:name="_Toc20929"/>
      <w:bookmarkStart w:id="584" w:name="_Toc1527"/>
      <w:bookmarkStart w:id="585" w:name="_Toc26165"/>
      <w:bookmarkStart w:id="586" w:name="_Toc19750"/>
      <w:bookmarkStart w:id="587" w:name="_Toc24446"/>
      <w:bookmarkStart w:id="588" w:name="_Toc8598"/>
      <w:bookmarkStart w:id="589" w:name="_Toc3952"/>
      <w:bookmarkStart w:id="590" w:name="_Toc378514974"/>
      <w:bookmarkStart w:id="591" w:name="_Toc3388"/>
      <w:bookmarkStart w:id="592" w:name="_Toc16474"/>
      <w:r>
        <w:rPr>
          <w:rFonts w:hint="eastAsia" w:ascii="宋体" w:hAnsi="宋体"/>
          <w:b/>
        </w:rPr>
        <w:t>21.损失补偿</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numPr>
          <w:ilvl w:val="1"/>
          <w:numId w:val="24"/>
        </w:numPr>
        <w:tabs>
          <w:tab w:val="left" w:pos="960"/>
          <w:tab w:val="clear" w:pos="1134"/>
        </w:tabs>
        <w:spacing w:before="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rPr>
      </w:pPr>
      <w:bookmarkStart w:id="593" w:name="_Toc370933878"/>
      <w:bookmarkStart w:id="594" w:name="_Toc11756"/>
      <w:bookmarkStart w:id="595" w:name="_Toc4139"/>
      <w:bookmarkStart w:id="596" w:name="_Toc378514975"/>
      <w:bookmarkStart w:id="597" w:name="_Toc25945"/>
      <w:bookmarkStart w:id="598" w:name="_Toc24190"/>
      <w:bookmarkStart w:id="599" w:name="_Toc12693"/>
      <w:bookmarkStart w:id="600" w:name="_Toc385427861"/>
      <w:bookmarkStart w:id="601" w:name="_Toc390098487"/>
      <w:bookmarkStart w:id="602" w:name="_Toc15242"/>
      <w:bookmarkStart w:id="603" w:name="_Toc6938"/>
      <w:bookmarkStart w:id="604" w:name="_Toc11613"/>
      <w:bookmarkStart w:id="605" w:name="_Toc10295"/>
      <w:bookmarkStart w:id="606" w:name="_Toc8154"/>
      <w:bookmarkStart w:id="607" w:name="_Toc8146"/>
      <w:bookmarkStart w:id="608" w:name="_Toc31151"/>
      <w:bookmarkStart w:id="609" w:name="_Toc25750656"/>
      <w:bookmarkStart w:id="610" w:name="_Toc28076"/>
      <w:bookmarkStart w:id="611" w:name="_Toc10649"/>
      <w:bookmarkStart w:id="612" w:name="_Toc26678"/>
      <w:bookmarkStart w:id="613" w:name="_Toc32687"/>
      <w:bookmarkStart w:id="614" w:name="_Toc20303"/>
      <w:bookmarkStart w:id="615" w:name="_Toc492478785"/>
      <w:bookmarkStart w:id="616" w:name="_Toc4252"/>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numPr>
          <w:ilvl w:val="1"/>
          <w:numId w:val="25"/>
        </w:numPr>
        <w:tabs>
          <w:tab w:val="left" w:pos="940"/>
          <w:tab w:val="clear" w:pos="1134"/>
        </w:tabs>
        <w:spacing w:before="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6"/>
        </w:numPr>
        <w:spacing w:before="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26"/>
        </w:numPr>
        <w:spacing w:before="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6"/>
        </w:numPr>
        <w:spacing w:before="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5"/>
        </w:numPr>
        <w:tabs>
          <w:tab w:val="left" w:pos="980"/>
          <w:tab w:val="clear" w:pos="1134"/>
        </w:tabs>
        <w:spacing w:before="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rPr>
      </w:pPr>
      <w:bookmarkStart w:id="617" w:name="_Toc23635"/>
      <w:bookmarkStart w:id="618" w:name="_Toc19811"/>
      <w:bookmarkStart w:id="619" w:name="_Toc492478786"/>
      <w:bookmarkStart w:id="620" w:name="_Toc26288"/>
      <w:bookmarkStart w:id="621" w:name="_Toc26166"/>
      <w:bookmarkStart w:id="622" w:name="_Toc1299"/>
      <w:bookmarkStart w:id="623" w:name="_Toc370933879"/>
      <w:bookmarkStart w:id="624" w:name="_Toc27804"/>
      <w:bookmarkStart w:id="625" w:name="_Toc27131"/>
      <w:bookmarkStart w:id="626" w:name="_Toc29284"/>
      <w:bookmarkStart w:id="627" w:name="_Toc10559"/>
      <w:bookmarkStart w:id="628" w:name="_Toc378514976"/>
      <w:bookmarkStart w:id="629" w:name="_Toc17552"/>
      <w:bookmarkStart w:id="630" w:name="_Toc15636"/>
      <w:bookmarkStart w:id="631" w:name="_Toc9989"/>
      <w:bookmarkStart w:id="632" w:name="_Toc25750657"/>
      <w:bookmarkStart w:id="633" w:name="_Toc13372"/>
      <w:bookmarkStart w:id="634" w:name="_Toc18938"/>
      <w:bookmarkStart w:id="635" w:name="_Toc9699"/>
      <w:bookmarkStart w:id="636" w:name="_Toc18674"/>
      <w:bookmarkStart w:id="637" w:name="_Toc19130"/>
      <w:bookmarkStart w:id="638" w:name="_Toc390098488"/>
      <w:bookmarkStart w:id="639" w:name="_Toc385427862"/>
      <w:bookmarkStart w:id="640" w:name="_Toc2356"/>
      <w:r>
        <w:rPr>
          <w:rFonts w:hint="eastAsia" w:ascii="宋体" w:hAnsi="宋体"/>
          <w:b/>
        </w:rPr>
        <w:t>23.破产终止</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numPr>
          <w:ilvl w:val="1"/>
          <w:numId w:val="27"/>
        </w:numPr>
        <w:tabs>
          <w:tab w:val="left" w:pos="940"/>
          <w:tab w:val="clear" w:pos="1134"/>
        </w:tabs>
        <w:spacing w:before="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rPr>
      </w:pPr>
      <w:bookmarkStart w:id="641" w:name="_Toc390098489"/>
      <w:bookmarkStart w:id="642" w:name="_Toc25750658"/>
      <w:bookmarkStart w:id="643" w:name="_Toc32601"/>
      <w:bookmarkStart w:id="644" w:name="_Toc14059"/>
      <w:bookmarkStart w:id="645" w:name="_Toc370933880"/>
      <w:bookmarkStart w:id="646" w:name="_Toc5847"/>
      <w:bookmarkStart w:id="647" w:name="_Toc31893"/>
      <w:bookmarkStart w:id="648" w:name="_Toc22731"/>
      <w:bookmarkStart w:id="649" w:name="_Toc378514977"/>
      <w:bookmarkStart w:id="650" w:name="_Toc5275"/>
      <w:bookmarkStart w:id="651" w:name="_Toc14761"/>
      <w:bookmarkStart w:id="652" w:name="_Toc13603"/>
      <w:bookmarkStart w:id="653" w:name="_Toc492478787"/>
      <w:bookmarkStart w:id="654" w:name="_Toc8002"/>
      <w:bookmarkStart w:id="655" w:name="_Toc24032"/>
      <w:bookmarkStart w:id="656" w:name="_Toc10887"/>
      <w:bookmarkStart w:id="657" w:name="_Toc28919"/>
      <w:bookmarkStart w:id="658" w:name="_Toc8795"/>
      <w:bookmarkStart w:id="659" w:name="_Toc11490"/>
      <w:bookmarkStart w:id="660" w:name="_Toc31954"/>
      <w:bookmarkStart w:id="661" w:name="_Toc385427863"/>
      <w:bookmarkStart w:id="662" w:name="_Toc24054"/>
      <w:bookmarkStart w:id="663" w:name="_Toc12574"/>
      <w:bookmarkStart w:id="664" w:name="_Toc28429"/>
      <w:r>
        <w:rPr>
          <w:rFonts w:hint="eastAsia" w:ascii="宋体" w:hAnsi="宋体"/>
          <w:b/>
        </w:rPr>
        <w:t>24.方便终止</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numPr>
          <w:ilvl w:val="1"/>
          <w:numId w:val="28"/>
        </w:numPr>
        <w:tabs>
          <w:tab w:val="left" w:pos="960"/>
          <w:tab w:val="clear" w:pos="1134"/>
        </w:tabs>
        <w:spacing w:before="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Autospacing="0"/>
        <w:ind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Autospacing="0"/>
        <w:ind w:left="422" w:right="0"/>
        <w:outlineLvl w:val="1"/>
        <w:rPr>
          <w:rFonts w:ascii="宋体" w:hAnsi="宋体"/>
          <w:b/>
        </w:rPr>
      </w:pPr>
      <w:bookmarkStart w:id="665" w:name="_Toc10805"/>
      <w:bookmarkStart w:id="666" w:name="_Toc19072"/>
      <w:bookmarkStart w:id="667" w:name="_Toc10764"/>
      <w:bookmarkStart w:id="668" w:name="_Toc492478788"/>
      <w:bookmarkStart w:id="669" w:name="_Toc1972"/>
      <w:bookmarkStart w:id="670" w:name="_Toc25750659"/>
      <w:bookmarkStart w:id="671" w:name="_Toc370933881"/>
      <w:bookmarkStart w:id="672" w:name="_Toc385427864"/>
      <w:bookmarkStart w:id="673" w:name="_Toc378514978"/>
      <w:bookmarkStart w:id="674" w:name="_Toc16121"/>
      <w:bookmarkStart w:id="675" w:name="_Toc26667"/>
      <w:bookmarkStart w:id="676" w:name="_Toc15352"/>
      <w:bookmarkStart w:id="677" w:name="_Toc20850"/>
      <w:bookmarkStart w:id="678" w:name="_Toc390098490"/>
      <w:bookmarkStart w:id="679" w:name="_Toc20058"/>
      <w:bookmarkStart w:id="680" w:name="_Toc21718"/>
      <w:bookmarkStart w:id="681" w:name="_Toc17213"/>
      <w:bookmarkStart w:id="682" w:name="_Toc7691"/>
      <w:bookmarkStart w:id="683" w:name="_Toc4002"/>
      <w:bookmarkStart w:id="684" w:name="_Toc1503"/>
      <w:bookmarkStart w:id="685" w:name="_Toc24354"/>
      <w:bookmarkStart w:id="686" w:name="_Toc26831"/>
      <w:bookmarkStart w:id="687" w:name="_Toc15991"/>
      <w:bookmarkStart w:id="688" w:name="_Toc29365"/>
      <w:r>
        <w:rPr>
          <w:rFonts w:hint="eastAsia" w:ascii="宋体" w:hAnsi="宋体"/>
          <w:b/>
        </w:rPr>
        <w:t>25.争端的解决</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诉讼费应由败诉方负担。</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rPr>
      </w:pPr>
      <w:bookmarkStart w:id="689" w:name="_Toc25167"/>
      <w:bookmarkStart w:id="690" w:name="_Toc385427865"/>
      <w:bookmarkStart w:id="691" w:name="_Toc9395"/>
      <w:bookmarkStart w:id="692" w:name="_Toc21064"/>
      <w:bookmarkStart w:id="693" w:name="_Toc1271"/>
      <w:bookmarkStart w:id="694" w:name="_Toc27659"/>
      <w:bookmarkStart w:id="695" w:name="_Toc28185"/>
      <w:bookmarkStart w:id="696" w:name="_Toc6134"/>
      <w:bookmarkStart w:id="697" w:name="_Toc22003"/>
      <w:bookmarkStart w:id="698" w:name="_Toc492478789"/>
      <w:bookmarkStart w:id="699" w:name="_Toc16935"/>
      <w:bookmarkStart w:id="700" w:name="_Toc390098491"/>
      <w:bookmarkStart w:id="701" w:name="_Toc25750660"/>
      <w:bookmarkStart w:id="702" w:name="_Toc26376"/>
      <w:bookmarkStart w:id="703" w:name="_Toc16475"/>
      <w:bookmarkStart w:id="704" w:name="_Toc378514979"/>
      <w:bookmarkStart w:id="705" w:name="_Toc16769"/>
      <w:bookmarkStart w:id="706" w:name="_Toc28145"/>
      <w:bookmarkStart w:id="707" w:name="_Toc12179"/>
      <w:bookmarkStart w:id="708" w:name="_Toc26624"/>
      <w:bookmarkStart w:id="709" w:name="_Toc11947"/>
      <w:bookmarkStart w:id="710" w:name="_Toc370933882"/>
      <w:bookmarkStart w:id="711" w:name="_Toc19227"/>
      <w:bookmarkStart w:id="712" w:name="_Toc23425"/>
      <w:r>
        <w:rPr>
          <w:rFonts w:hint="eastAsia" w:ascii="宋体" w:hAnsi="宋体"/>
          <w:b/>
        </w:rPr>
        <w:t>26.语言</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本合同语言为中文。</w:t>
      </w:r>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Autospacing="0"/>
        <w:ind w:left="422" w:right="0"/>
        <w:outlineLvl w:val="1"/>
        <w:rPr>
          <w:rFonts w:ascii="宋体" w:hAnsi="宋体"/>
        </w:rPr>
      </w:pPr>
      <w:bookmarkStart w:id="713" w:name="_Toc2075"/>
      <w:bookmarkStart w:id="714" w:name="_Toc12823"/>
      <w:bookmarkStart w:id="715" w:name="_Toc370933883"/>
      <w:bookmarkStart w:id="716" w:name="_Toc10832"/>
      <w:bookmarkStart w:id="717" w:name="_Toc385427866"/>
      <w:bookmarkStart w:id="718" w:name="_Toc12520"/>
      <w:bookmarkStart w:id="719" w:name="_Toc2898"/>
      <w:bookmarkStart w:id="720" w:name="_Toc25403"/>
      <w:bookmarkStart w:id="721" w:name="_Toc14784"/>
      <w:bookmarkStart w:id="722" w:name="_Toc378514980"/>
      <w:bookmarkStart w:id="723" w:name="_Toc390098492"/>
      <w:bookmarkStart w:id="724" w:name="_Toc10209"/>
      <w:bookmarkStart w:id="725" w:name="_Toc25750661"/>
      <w:bookmarkStart w:id="726" w:name="_Toc10482"/>
      <w:bookmarkStart w:id="727" w:name="_Toc8756"/>
      <w:bookmarkStart w:id="728" w:name="_Toc14320"/>
      <w:bookmarkStart w:id="729" w:name="_Toc6951"/>
      <w:bookmarkStart w:id="730" w:name="_Toc27111"/>
      <w:bookmarkStart w:id="731" w:name="_Toc21361"/>
      <w:bookmarkStart w:id="732" w:name="_Toc23513"/>
      <w:bookmarkStart w:id="733" w:name="_Toc19166"/>
      <w:bookmarkStart w:id="734" w:name="_Toc27380"/>
      <w:bookmarkStart w:id="735" w:name="_Toc492478790"/>
      <w:bookmarkStart w:id="736" w:name="_Toc18902"/>
      <w:r>
        <w:rPr>
          <w:rFonts w:hint="eastAsia" w:ascii="宋体" w:hAnsi="宋体"/>
          <w:b/>
        </w:rPr>
        <w:t>27.适用法律</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numPr>
          <w:ilvl w:val="1"/>
          <w:numId w:val="31"/>
        </w:numPr>
        <w:spacing w:before="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Autospacing="0"/>
        <w:ind w:left="422" w:right="0"/>
        <w:outlineLvl w:val="1"/>
        <w:rPr>
          <w:rFonts w:ascii="宋体" w:hAnsi="宋体"/>
          <w:b/>
        </w:rPr>
      </w:pPr>
      <w:bookmarkStart w:id="737" w:name="_Toc10304"/>
      <w:bookmarkStart w:id="738" w:name="_Toc13343"/>
      <w:bookmarkStart w:id="739" w:name="_Toc385427867"/>
      <w:bookmarkStart w:id="740" w:name="_Toc492478791"/>
      <w:bookmarkStart w:id="741" w:name="_Toc28875"/>
      <w:bookmarkStart w:id="742" w:name="_Toc25119"/>
      <w:bookmarkStart w:id="743" w:name="_Toc370933884"/>
      <w:bookmarkStart w:id="744" w:name="_Toc22330"/>
      <w:bookmarkStart w:id="745" w:name="_Toc3785"/>
      <w:bookmarkStart w:id="746" w:name="_Toc6374"/>
      <w:bookmarkStart w:id="747" w:name="_Toc390098493"/>
      <w:bookmarkStart w:id="748" w:name="_Toc17344"/>
      <w:bookmarkStart w:id="749" w:name="_Toc26295"/>
      <w:bookmarkStart w:id="750" w:name="_Toc15635"/>
      <w:bookmarkStart w:id="751" w:name="_Toc3019"/>
      <w:bookmarkStart w:id="752" w:name="_Toc378514981"/>
      <w:bookmarkStart w:id="753" w:name="_Toc19209"/>
      <w:bookmarkStart w:id="754" w:name="_Toc25750662"/>
      <w:bookmarkStart w:id="755" w:name="_Toc23442"/>
      <w:bookmarkStart w:id="756" w:name="_Toc864"/>
      <w:bookmarkStart w:id="757" w:name="_Toc32071"/>
      <w:bookmarkStart w:id="758" w:name="_Toc2458"/>
      <w:bookmarkStart w:id="759" w:name="_Toc6421"/>
      <w:bookmarkStart w:id="760" w:name="_Toc32638"/>
      <w:r>
        <w:rPr>
          <w:rFonts w:hint="eastAsia" w:ascii="宋体" w:hAnsi="宋体"/>
          <w:b/>
        </w:rPr>
        <w:t>28.通知</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rPr>
      </w:pPr>
      <w:bookmarkStart w:id="761" w:name="_Toc370933885"/>
      <w:bookmarkStart w:id="762" w:name="_Toc378514982"/>
      <w:bookmarkStart w:id="763" w:name="_Toc25750663"/>
      <w:bookmarkStart w:id="764" w:name="_Toc7810"/>
      <w:bookmarkStart w:id="765" w:name="_Toc31709"/>
      <w:bookmarkStart w:id="766" w:name="_Toc21067"/>
      <w:bookmarkStart w:id="767" w:name="_Toc11314"/>
      <w:bookmarkStart w:id="768" w:name="_Toc30549"/>
      <w:bookmarkStart w:id="769" w:name="_Toc492478792"/>
      <w:bookmarkStart w:id="770" w:name="_Toc6110"/>
      <w:bookmarkStart w:id="771" w:name="_Toc8544"/>
      <w:bookmarkStart w:id="772" w:name="_Toc11726"/>
      <w:bookmarkStart w:id="773" w:name="_Toc385427868"/>
      <w:bookmarkStart w:id="774" w:name="_Toc12697"/>
      <w:bookmarkStart w:id="775" w:name="_Toc1881"/>
      <w:bookmarkStart w:id="776" w:name="_Toc27428"/>
      <w:bookmarkStart w:id="777" w:name="_Toc29046"/>
      <w:bookmarkStart w:id="778" w:name="_Toc6793"/>
      <w:bookmarkStart w:id="779" w:name="_Toc1446"/>
      <w:bookmarkStart w:id="780" w:name="_Toc17127"/>
      <w:bookmarkStart w:id="781" w:name="_Toc390098494"/>
      <w:bookmarkStart w:id="782" w:name="_Toc13922"/>
      <w:bookmarkStart w:id="783" w:name="_Toc12126"/>
      <w:bookmarkStart w:id="784" w:name="_Toc32680"/>
      <w:r>
        <w:rPr>
          <w:rFonts w:hint="eastAsia" w:ascii="宋体" w:hAnsi="宋体"/>
          <w:b/>
        </w:rPr>
        <w:t>29.税</w:t>
      </w:r>
      <w:bookmarkEnd w:id="761"/>
      <w:bookmarkEnd w:id="762"/>
      <w:r>
        <w:rPr>
          <w:rFonts w:hint="eastAsia" w:ascii="宋体" w:hAnsi="宋体"/>
          <w:b/>
        </w:rPr>
        <w:t>费</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rPr>
      </w:pPr>
      <w:bookmarkStart w:id="785" w:name="_Toc22849"/>
      <w:bookmarkStart w:id="786" w:name="_Toc5973"/>
      <w:bookmarkStart w:id="787" w:name="_Toc24876"/>
      <w:bookmarkStart w:id="788" w:name="_Toc11029"/>
      <w:bookmarkStart w:id="789" w:name="_Toc7487"/>
      <w:bookmarkStart w:id="790" w:name="_Toc14950"/>
      <w:bookmarkStart w:id="791" w:name="_Toc2240"/>
      <w:bookmarkStart w:id="792" w:name="_Toc32531"/>
      <w:bookmarkStart w:id="793" w:name="_Toc25750664"/>
      <w:bookmarkStart w:id="794" w:name="_Toc21199"/>
      <w:bookmarkStart w:id="795" w:name="_Toc26494"/>
      <w:bookmarkStart w:id="796" w:name="_Toc15813"/>
      <w:bookmarkStart w:id="797" w:name="_Toc3452"/>
      <w:bookmarkStart w:id="798" w:name="_Toc1879"/>
      <w:bookmarkStart w:id="799" w:name="_Toc3630"/>
      <w:bookmarkStart w:id="800" w:name="_Toc30561"/>
      <w:bookmarkStart w:id="801" w:name="_Toc3244"/>
      <w:bookmarkStart w:id="802" w:name="_Toc16469"/>
      <w:bookmarkStart w:id="803" w:name="_Toc25511"/>
      <w:r>
        <w:rPr>
          <w:rFonts w:hint="eastAsia" w:ascii="宋体" w:hAnsi="宋体"/>
          <w:b/>
        </w:rPr>
        <w:t>30.合同标的</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4"/>
        </w:numPr>
        <w:spacing w:before="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rPr>
      </w:pPr>
      <w:bookmarkStart w:id="804" w:name="_Toc7765"/>
      <w:bookmarkStart w:id="805" w:name="_Toc23078"/>
      <w:bookmarkStart w:id="806" w:name="_Toc25750665"/>
      <w:bookmarkStart w:id="807" w:name="_Toc16044"/>
      <w:bookmarkStart w:id="808" w:name="_Toc23498"/>
      <w:bookmarkStart w:id="809" w:name="_Toc26768"/>
      <w:bookmarkStart w:id="810" w:name="_Toc7733"/>
      <w:bookmarkStart w:id="811" w:name="_Toc10309"/>
      <w:bookmarkStart w:id="812" w:name="_Toc15369"/>
      <w:bookmarkStart w:id="813" w:name="_Toc23455"/>
      <w:bookmarkStart w:id="814" w:name="_Toc17632"/>
      <w:bookmarkStart w:id="815" w:name="_Toc3619"/>
      <w:bookmarkStart w:id="816" w:name="_Toc6314"/>
      <w:bookmarkStart w:id="817" w:name="_Toc26"/>
      <w:bookmarkStart w:id="818" w:name="_Toc1507"/>
      <w:bookmarkStart w:id="819" w:name="_Toc12112"/>
      <w:bookmarkStart w:id="820" w:name="_Toc18828"/>
      <w:bookmarkStart w:id="821" w:name="_Toc26232"/>
      <w:bookmarkStart w:id="822" w:name="_Toc11108"/>
      <w:r>
        <w:rPr>
          <w:rFonts w:hint="eastAsia" w:ascii="宋体" w:hAnsi="宋体"/>
          <w:b/>
        </w:rPr>
        <w:t>31.开箱验收及现场保管</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rPr>
      </w:pPr>
      <w:bookmarkStart w:id="823" w:name="_Toc2372"/>
      <w:bookmarkStart w:id="824" w:name="_Toc29368"/>
      <w:bookmarkStart w:id="825" w:name="_Toc25750666"/>
      <w:bookmarkStart w:id="826" w:name="_Toc22055"/>
      <w:bookmarkStart w:id="827" w:name="_Toc24673"/>
      <w:bookmarkStart w:id="828" w:name="_Toc18491"/>
      <w:bookmarkStart w:id="829" w:name="_Toc21485"/>
      <w:bookmarkStart w:id="830" w:name="_Toc572"/>
      <w:bookmarkStart w:id="831" w:name="_Toc1489"/>
      <w:bookmarkStart w:id="832" w:name="_Toc378514987"/>
      <w:bookmarkStart w:id="833" w:name="_Toc1011"/>
      <w:bookmarkStart w:id="834" w:name="_Toc8992"/>
      <w:bookmarkStart w:id="835" w:name="_Toc492478796"/>
      <w:bookmarkStart w:id="836" w:name="_Toc25577"/>
      <w:bookmarkStart w:id="837" w:name="_Toc24951"/>
      <w:bookmarkStart w:id="838" w:name="_Toc6480"/>
      <w:bookmarkStart w:id="839" w:name="_Toc27069"/>
      <w:bookmarkStart w:id="840" w:name="_Toc20830"/>
      <w:bookmarkStart w:id="841" w:name="_Toc390098499"/>
      <w:bookmarkStart w:id="842" w:name="_Toc23740"/>
      <w:bookmarkStart w:id="843" w:name="_Toc2474"/>
      <w:bookmarkStart w:id="844" w:name="_Toc10177"/>
      <w:bookmarkStart w:id="845" w:name="_Toc385427873"/>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12"/>
        <w:numPr>
          <w:ilvl w:val="0"/>
          <w:numId w:val="36"/>
        </w:numPr>
        <w:tabs>
          <w:tab w:val="left" w:pos="920"/>
          <w:tab w:val="left" w:pos="1440"/>
        </w:tabs>
        <w:spacing w:before="0" w:afterAutospacing="0"/>
        <w:ind w:left="0" w:right="0" w:firstLine="420" w:firstLineChars="200"/>
        <w:rPr>
          <w:rFonts w:ascii="宋体" w:hAnsi="宋体"/>
        </w:rPr>
      </w:pPr>
      <w:r>
        <w:rPr>
          <w:rFonts w:hint="eastAsia" w:ascii="宋体" w:hAnsi="宋体"/>
        </w:rPr>
        <w:t>短装索赔</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质量索赔</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条所述之检验过程中，发现系统及货物材料的质量不能达到用户需求书中的技术要求，则甲方应事先以书面文件的方式向乙方提出索赔，并附上下列文件之一作为向乙方进行索赔：</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国家确定的认证机构出具的检验证书。</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修理</w:t>
      </w:r>
    </w:p>
    <w:p>
      <w:pPr>
        <w:spacing w:before="0" w:afterAutospacing="0"/>
        <w:ind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替换</w:t>
      </w:r>
    </w:p>
    <w:p>
      <w:pPr>
        <w:spacing w:before="0" w:afterAutospacing="0"/>
        <w:ind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退货</w:t>
      </w:r>
    </w:p>
    <w:p>
      <w:pPr>
        <w:spacing w:before="0" w:afterAutospacing="0"/>
        <w:ind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rPr>
      </w:pPr>
      <w:r>
        <w:rPr>
          <w:rFonts w:hint="eastAsia" w:ascii="宋体" w:hAnsi="宋体"/>
        </w:rPr>
        <w:t>拒收货物的运输和保险费及其它杂费应由乙方支付。</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延迟违约金</w:t>
      </w:r>
    </w:p>
    <w:p>
      <w:pPr>
        <w:spacing w:before="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12"/>
        <w:numPr>
          <w:ilvl w:val="0"/>
          <w:numId w:val="41"/>
        </w:numPr>
        <w:tabs>
          <w:tab w:val="left" w:pos="1134"/>
          <w:tab w:val="left" w:pos="1440"/>
        </w:tabs>
        <w:spacing w:before="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文件提交延误违约金</w:t>
      </w:r>
    </w:p>
    <w:p>
      <w:pPr>
        <w:pStyle w:val="12"/>
        <w:numPr>
          <w:ilvl w:val="0"/>
          <w:numId w:val="42"/>
        </w:numPr>
        <w:tabs>
          <w:tab w:val="left" w:pos="1134"/>
          <w:tab w:val="left" w:pos="1440"/>
        </w:tabs>
        <w:spacing w:before="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质量保证期赔偿</w:t>
      </w:r>
    </w:p>
    <w:p>
      <w:pPr>
        <w:spacing w:before="0" w:afterAutospacing="0"/>
        <w:ind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违约金与赔偿金额计算</w:t>
      </w:r>
    </w:p>
    <w:p>
      <w:pPr>
        <w:spacing w:before="0" w:afterAutospacing="0"/>
        <w:ind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违约金与赔偿金的支付</w:t>
      </w:r>
    </w:p>
    <w:p>
      <w:pPr>
        <w:spacing w:before="0" w:afterAutospacing="0"/>
        <w:ind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12"/>
        <w:numPr>
          <w:ilvl w:val="0"/>
          <w:numId w:val="36"/>
        </w:numPr>
        <w:tabs>
          <w:tab w:val="left" w:pos="1134"/>
          <w:tab w:val="left" w:pos="1440"/>
        </w:tabs>
        <w:spacing w:before="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rPr>
      </w:pPr>
      <w:bookmarkStart w:id="846" w:name="_Toc16726"/>
      <w:bookmarkStart w:id="847" w:name="_Toc26296"/>
      <w:bookmarkStart w:id="848" w:name="_Toc5367"/>
      <w:bookmarkStart w:id="849" w:name="_Toc378514988"/>
      <w:bookmarkStart w:id="850" w:name="_Toc492478797"/>
      <w:bookmarkStart w:id="851" w:name="_Toc12538"/>
      <w:bookmarkStart w:id="852" w:name="_Toc385427874"/>
      <w:bookmarkStart w:id="853" w:name="_Toc30987"/>
      <w:bookmarkStart w:id="854" w:name="_Toc6197"/>
      <w:bookmarkStart w:id="855" w:name="_Toc30838"/>
      <w:bookmarkStart w:id="856" w:name="_Toc4586"/>
      <w:bookmarkStart w:id="857" w:name="_Toc390098500"/>
      <w:bookmarkStart w:id="858" w:name="_Toc6517"/>
      <w:bookmarkStart w:id="859" w:name="_Toc25750667"/>
      <w:bookmarkStart w:id="860" w:name="_Toc1872"/>
      <w:bookmarkStart w:id="861" w:name="_Toc22724"/>
      <w:bookmarkStart w:id="862" w:name="_Toc23798"/>
      <w:bookmarkStart w:id="863" w:name="_Toc5528"/>
      <w:bookmarkStart w:id="864" w:name="_Toc27531"/>
      <w:bookmarkStart w:id="865" w:name="_Toc4656"/>
      <w:bookmarkStart w:id="866" w:name="_Toc2735"/>
      <w:bookmarkStart w:id="867" w:name="_Toc28622"/>
      <w:bookmarkStart w:id="868" w:name="_Toc19741"/>
      <w:r>
        <w:rPr>
          <w:rFonts w:hint="eastAsia" w:ascii="宋体" w:hAnsi="宋体"/>
          <w:b/>
        </w:rPr>
        <w:t>33.合同终止与暂停</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numPr>
          <w:ilvl w:val="1"/>
          <w:numId w:val="43"/>
        </w:numPr>
        <w:tabs>
          <w:tab w:val="left" w:pos="980"/>
          <w:tab w:val="clear" w:pos="1134"/>
        </w:tabs>
        <w:spacing w:before="0" w:afterAutospacing="0"/>
        <w:ind w:left="0" w:right="0" w:firstLine="420" w:firstLineChars="200"/>
        <w:rPr>
          <w:rFonts w:ascii="宋体" w:hAnsi="宋体"/>
        </w:rPr>
      </w:pPr>
      <w:r>
        <w:rPr>
          <w:rFonts w:hint="eastAsia" w:ascii="宋体" w:hAnsi="宋体"/>
        </w:rPr>
        <w:t>合同终止</w:t>
      </w:r>
    </w:p>
    <w:p>
      <w:pPr>
        <w:spacing w:before="0" w:afterAutospacing="0"/>
        <w:ind w:right="0" w:firstLine="420" w:firstLineChars="200"/>
        <w:rPr>
          <w:rFonts w:ascii="宋体" w:hAnsi="宋体"/>
        </w:rPr>
      </w:pPr>
      <w:r>
        <w:rPr>
          <w:rFonts w:hint="eastAsia" w:ascii="宋体" w:hAnsi="宋体"/>
        </w:rPr>
        <w:t>合同终止包括以下几种情形：</w:t>
      </w:r>
    </w:p>
    <w:p>
      <w:pPr>
        <w:numPr>
          <w:ilvl w:val="1"/>
          <w:numId w:val="44"/>
        </w:numPr>
        <w:spacing w:before="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4"/>
        </w:numPr>
        <w:spacing w:before="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4"/>
        </w:numPr>
        <w:spacing w:before="0" w:afterAutospacing="0"/>
        <w:ind w:left="0" w:right="0" w:firstLine="420" w:firstLineChars="200"/>
        <w:rPr>
          <w:rFonts w:ascii="宋体" w:hAnsi="宋体"/>
        </w:rPr>
      </w:pPr>
      <w:r>
        <w:rPr>
          <w:rFonts w:hint="eastAsia" w:ascii="宋体" w:hAnsi="宋体"/>
        </w:rPr>
        <w:t>因甲方的便利而终止合同。</w:t>
      </w:r>
    </w:p>
    <w:p>
      <w:pPr>
        <w:numPr>
          <w:ilvl w:val="1"/>
          <w:numId w:val="43"/>
        </w:numPr>
        <w:tabs>
          <w:tab w:val="left" w:pos="1080"/>
          <w:tab w:val="clear" w:pos="1134"/>
        </w:tabs>
        <w:spacing w:before="0" w:afterAutospacing="0"/>
        <w:ind w:left="0" w:right="0" w:firstLine="420" w:firstLineChars="200"/>
        <w:rPr>
          <w:rFonts w:ascii="宋体" w:hAnsi="宋体"/>
        </w:rPr>
      </w:pPr>
      <w:r>
        <w:rPr>
          <w:rFonts w:hint="eastAsia" w:ascii="宋体" w:hAnsi="宋体"/>
        </w:rPr>
        <w:t>违约通知</w:t>
      </w:r>
    </w:p>
    <w:p>
      <w:pPr>
        <w:spacing w:before="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3"/>
        </w:numPr>
        <w:tabs>
          <w:tab w:val="left" w:pos="1020"/>
          <w:tab w:val="clear" w:pos="1134"/>
        </w:tabs>
        <w:spacing w:before="0" w:afterAutospacing="0"/>
        <w:ind w:left="0" w:right="0" w:firstLine="420" w:firstLineChars="200"/>
        <w:rPr>
          <w:rFonts w:ascii="宋体" w:hAnsi="宋体"/>
        </w:rPr>
      </w:pPr>
      <w:r>
        <w:rPr>
          <w:rFonts w:hint="eastAsia" w:ascii="宋体" w:hAnsi="宋体"/>
        </w:rPr>
        <w:t>乙方违约时的终止</w:t>
      </w:r>
    </w:p>
    <w:p>
      <w:pPr>
        <w:numPr>
          <w:ilvl w:val="1"/>
          <w:numId w:val="45"/>
        </w:numPr>
        <w:spacing w:before="0" w:afterAutospacing="0"/>
        <w:ind w:left="0" w:right="0" w:firstLine="420" w:firstLineChars="200"/>
        <w:rPr>
          <w:rFonts w:ascii="宋体" w:hAnsi="宋体"/>
        </w:rPr>
      </w:pPr>
      <w:r>
        <w:rPr>
          <w:rFonts w:hint="eastAsia" w:ascii="宋体" w:hAnsi="宋体"/>
        </w:rPr>
        <w:t>如果乙方有以下情形之一：</w:t>
      </w:r>
    </w:p>
    <w:p>
      <w:pPr>
        <w:spacing w:before="0" w:afterAutospacing="0"/>
        <w:ind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Autospacing="0"/>
        <w:ind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Autospacing="0"/>
        <w:ind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33.3.1.4 乙方在本合同的竞争和实施过程中有腐败行为和欺诈行为。</w:t>
      </w:r>
    </w:p>
    <w:p>
      <w:pPr>
        <w:spacing w:before="0" w:afterAutospacing="0"/>
        <w:ind w:right="0" w:firstLine="420" w:firstLineChars="200"/>
        <w:rPr>
          <w:rFonts w:ascii="宋体" w:hAnsi="宋体"/>
        </w:rPr>
      </w:pPr>
      <w:r>
        <w:rPr>
          <w:rFonts w:hint="eastAsia" w:ascii="宋体" w:hAnsi="宋体"/>
        </w:rPr>
        <w:t>为此目的，定义下述条件：</w:t>
      </w:r>
    </w:p>
    <w:p>
      <w:pPr>
        <w:tabs>
          <w:tab w:val="left" w:pos="1800"/>
        </w:tabs>
        <w:spacing w:before="0" w:afterAutospacing="0"/>
        <w:ind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Autospacing="0"/>
        <w:ind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Autospacing="0"/>
        <w:ind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Autospacing="0"/>
        <w:ind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Autospacing="0"/>
        <w:ind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.3.2</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Autospacing="0"/>
        <w:ind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43"/>
        </w:numPr>
        <w:tabs>
          <w:tab w:val="left" w:pos="1020"/>
          <w:tab w:val="clear" w:pos="1134"/>
        </w:tabs>
        <w:spacing w:before="0" w:afterAutospacing="0"/>
        <w:ind w:left="0" w:right="0" w:firstLine="420" w:firstLineChars="200"/>
        <w:rPr>
          <w:rFonts w:ascii="宋体" w:hAnsi="宋体"/>
        </w:rPr>
      </w:pPr>
      <w:r>
        <w:rPr>
          <w:rFonts w:hint="eastAsia" w:ascii="宋体" w:hAnsi="宋体"/>
        </w:rPr>
        <w:t>甲方违约时的终止</w:t>
      </w:r>
    </w:p>
    <w:p>
      <w:pPr>
        <w:numPr>
          <w:ilvl w:val="1"/>
          <w:numId w:val="46"/>
        </w:numPr>
        <w:spacing w:before="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Autospacing="0"/>
        <w:ind w:right="0" w:firstLine="420" w:firstLineChars="200"/>
        <w:rPr>
          <w:rFonts w:ascii="宋体" w:hAnsi="宋体"/>
        </w:rPr>
      </w:pPr>
      <w:r>
        <w:rPr>
          <w:rFonts w:hint="eastAsia" w:ascii="宋体" w:hAnsi="宋体"/>
        </w:rPr>
        <w:t>任何此类终止均不应损害本合同项下甲方的任何其它权利。</w:t>
      </w:r>
    </w:p>
    <w:p>
      <w:pPr>
        <w:numPr>
          <w:ilvl w:val="1"/>
          <w:numId w:val="46"/>
        </w:numPr>
        <w:spacing w:before="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rPr>
      </w:pPr>
      <w:bookmarkStart w:id="869" w:name="_Toc459730505"/>
      <w:bookmarkEnd w:id="869"/>
      <w:bookmarkStart w:id="870" w:name="_Toc459797556"/>
      <w:bookmarkEnd w:id="870"/>
      <w:bookmarkStart w:id="871" w:name="_Toc459730490"/>
      <w:bookmarkEnd w:id="871"/>
      <w:bookmarkStart w:id="872" w:name="_Toc459730514"/>
      <w:bookmarkEnd w:id="872"/>
      <w:bookmarkStart w:id="873" w:name="_Toc459797560"/>
      <w:bookmarkEnd w:id="873"/>
      <w:bookmarkStart w:id="874" w:name="_Toc459797548"/>
      <w:bookmarkEnd w:id="874"/>
      <w:bookmarkStart w:id="875" w:name="_Toc459797545"/>
      <w:bookmarkEnd w:id="875"/>
      <w:bookmarkStart w:id="876" w:name="_Toc459730491"/>
      <w:bookmarkEnd w:id="876"/>
      <w:bookmarkStart w:id="877" w:name="_Toc459730516"/>
      <w:bookmarkEnd w:id="877"/>
      <w:bookmarkStart w:id="878" w:name="_Toc459797544"/>
      <w:bookmarkEnd w:id="878"/>
      <w:bookmarkStart w:id="879" w:name="_Toc459730488"/>
      <w:bookmarkEnd w:id="879"/>
      <w:bookmarkStart w:id="880" w:name="_Toc459797562"/>
      <w:bookmarkEnd w:id="880"/>
      <w:bookmarkStart w:id="881" w:name="_Toc459797565"/>
      <w:bookmarkEnd w:id="881"/>
      <w:bookmarkStart w:id="882" w:name="_Toc459797538"/>
      <w:bookmarkEnd w:id="882"/>
      <w:bookmarkStart w:id="883" w:name="_Toc459730503"/>
      <w:bookmarkEnd w:id="883"/>
      <w:bookmarkStart w:id="884" w:name="_Toc459730487"/>
      <w:bookmarkEnd w:id="884"/>
      <w:bookmarkStart w:id="885" w:name="_Toc459797552"/>
      <w:bookmarkEnd w:id="885"/>
      <w:bookmarkStart w:id="886" w:name="_Toc459730500"/>
      <w:bookmarkEnd w:id="886"/>
      <w:bookmarkStart w:id="887" w:name="_Toc459730493"/>
      <w:bookmarkEnd w:id="887"/>
      <w:bookmarkStart w:id="888" w:name="_Toc459797550"/>
      <w:bookmarkEnd w:id="888"/>
      <w:bookmarkStart w:id="889" w:name="_Toc459730489"/>
      <w:bookmarkEnd w:id="889"/>
      <w:bookmarkStart w:id="890" w:name="_Toc459730496"/>
      <w:bookmarkEnd w:id="890"/>
      <w:bookmarkStart w:id="891" w:name="_Toc459797558"/>
      <w:bookmarkEnd w:id="891"/>
      <w:bookmarkStart w:id="892" w:name="_Toc459797567"/>
      <w:bookmarkEnd w:id="892"/>
      <w:bookmarkStart w:id="893" w:name="_Toc459797554"/>
      <w:bookmarkEnd w:id="893"/>
      <w:bookmarkStart w:id="894" w:name="_Toc459797569"/>
      <w:bookmarkEnd w:id="894"/>
      <w:bookmarkStart w:id="895" w:name="_Toc459730510"/>
      <w:bookmarkEnd w:id="895"/>
      <w:bookmarkStart w:id="896" w:name="_Toc459730497"/>
      <w:bookmarkEnd w:id="896"/>
      <w:bookmarkStart w:id="897" w:name="_Toc459730504"/>
      <w:bookmarkEnd w:id="897"/>
      <w:bookmarkStart w:id="898" w:name="_Toc459797553"/>
      <w:bookmarkEnd w:id="898"/>
      <w:bookmarkStart w:id="899" w:name="_Toc459730517"/>
      <w:bookmarkEnd w:id="899"/>
      <w:bookmarkStart w:id="900" w:name="_Toc459730492"/>
      <w:bookmarkEnd w:id="900"/>
      <w:bookmarkStart w:id="901" w:name="_Toc459730495"/>
      <w:bookmarkEnd w:id="901"/>
      <w:bookmarkStart w:id="902" w:name="_Toc459797541"/>
      <w:bookmarkEnd w:id="902"/>
      <w:bookmarkStart w:id="903" w:name="_Toc459730515"/>
      <w:bookmarkEnd w:id="903"/>
      <w:bookmarkStart w:id="904" w:name="_Toc459797551"/>
      <w:bookmarkEnd w:id="904"/>
      <w:bookmarkStart w:id="905" w:name="_Toc459797557"/>
      <w:bookmarkEnd w:id="905"/>
      <w:bookmarkStart w:id="906" w:name="_Toc459797555"/>
      <w:bookmarkEnd w:id="906"/>
      <w:bookmarkStart w:id="907" w:name="_Toc459797543"/>
      <w:bookmarkEnd w:id="907"/>
      <w:bookmarkStart w:id="908" w:name="_Toc459797559"/>
      <w:bookmarkEnd w:id="908"/>
      <w:bookmarkStart w:id="909" w:name="_Toc459730513"/>
      <w:bookmarkEnd w:id="909"/>
      <w:bookmarkStart w:id="910" w:name="_Toc459730509"/>
      <w:bookmarkEnd w:id="910"/>
      <w:bookmarkStart w:id="911" w:name="_Toc459730486"/>
      <w:bookmarkEnd w:id="911"/>
      <w:bookmarkStart w:id="912" w:name="_Toc459797563"/>
      <w:bookmarkEnd w:id="912"/>
      <w:bookmarkStart w:id="913" w:name="_Toc459730506"/>
      <w:bookmarkEnd w:id="913"/>
      <w:bookmarkStart w:id="914" w:name="_Toc459797549"/>
      <w:bookmarkEnd w:id="914"/>
      <w:bookmarkStart w:id="915" w:name="_Toc459797540"/>
      <w:bookmarkEnd w:id="915"/>
      <w:bookmarkStart w:id="916" w:name="_Toc459730499"/>
      <w:bookmarkEnd w:id="916"/>
      <w:bookmarkStart w:id="917" w:name="_Toc459797546"/>
      <w:bookmarkEnd w:id="917"/>
      <w:bookmarkStart w:id="918" w:name="_Toc459797542"/>
      <w:bookmarkEnd w:id="918"/>
      <w:bookmarkStart w:id="919" w:name="_Toc459797570"/>
      <w:bookmarkEnd w:id="919"/>
      <w:bookmarkStart w:id="920" w:name="_Toc459730485"/>
      <w:bookmarkEnd w:id="920"/>
      <w:bookmarkStart w:id="921" w:name="_Toc459797564"/>
      <w:bookmarkEnd w:id="921"/>
      <w:bookmarkStart w:id="922" w:name="_Toc459730511"/>
      <w:bookmarkEnd w:id="922"/>
      <w:bookmarkStart w:id="923" w:name="_Toc459797566"/>
      <w:bookmarkEnd w:id="923"/>
      <w:bookmarkStart w:id="924" w:name="_Toc459730494"/>
      <w:bookmarkEnd w:id="924"/>
      <w:bookmarkStart w:id="925" w:name="_Toc459730498"/>
      <w:bookmarkEnd w:id="925"/>
      <w:bookmarkStart w:id="926" w:name="_Toc459797547"/>
      <w:bookmarkEnd w:id="926"/>
      <w:bookmarkStart w:id="927" w:name="_Toc459730508"/>
      <w:bookmarkEnd w:id="927"/>
      <w:bookmarkStart w:id="928" w:name="_Toc459730507"/>
      <w:bookmarkEnd w:id="928"/>
      <w:bookmarkStart w:id="929" w:name="_Toc459797561"/>
      <w:bookmarkEnd w:id="929"/>
      <w:bookmarkStart w:id="930" w:name="_Toc459730501"/>
      <w:bookmarkEnd w:id="930"/>
      <w:bookmarkStart w:id="931" w:name="_Toc459797539"/>
      <w:bookmarkEnd w:id="931"/>
      <w:bookmarkStart w:id="932" w:name="_Toc459797568"/>
      <w:bookmarkEnd w:id="932"/>
      <w:bookmarkStart w:id="933" w:name="_Toc459730502"/>
      <w:bookmarkEnd w:id="933"/>
      <w:bookmarkStart w:id="934" w:name="_Toc459730512"/>
      <w:bookmarkEnd w:id="934"/>
      <w:bookmarkStart w:id="935" w:name="_Toc2267"/>
      <w:bookmarkStart w:id="936" w:name="_Toc24047"/>
      <w:bookmarkStart w:id="937" w:name="_Toc492478798"/>
      <w:bookmarkStart w:id="938" w:name="_Toc3622"/>
      <w:bookmarkStart w:id="939" w:name="_Toc28979"/>
      <w:bookmarkStart w:id="940" w:name="_Toc29090"/>
      <w:bookmarkStart w:id="941" w:name="_Toc16556"/>
      <w:bookmarkStart w:id="942" w:name="_Toc22885"/>
      <w:bookmarkStart w:id="943" w:name="_Toc17551"/>
      <w:bookmarkStart w:id="944" w:name="_Toc11735"/>
      <w:bookmarkStart w:id="945" w:name="_Toc13350"/>
      <w:bookmarkStart w:id="946" w:name="_Toc10055"/>
      <w:bookmarkStart w:id="947" w:name="_Toc30952"/>
      <w:bookmarkStart w:id="948" w:name="_Toc10048"/>
      <w:bookmarkStart w:id="949" w:name="_Toc28448"/>
      <w:bookmarkStart w:id="950" w:name="_Toc31943"/>
      <w:bookmarkStart w:id="951" w:name="_Toc12929"/>
      <w:bookmarkStart w:id="952" w:name="_Toc16585"/>
      <w:bookmarkStart w:id="953" w:name="_Toc25750668"/>
      <w:bookmarkStart w:id="954" w:name="_Toc2164"/>
      <w:r>
        <w:rPr>
          <w:rFonts w:hint="eastAsia" w:ascii="宋体" w:hAnsi="宋体"/>
          <w:b/>
        </w:rPr>
        <w:t>34.验收</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numPr>
          <w:ilvl w:val="1"/>
          <w:numId w:val="47"/>
        </w:numPr>
        <w:tabs>
          <w:tab w:val="left" w:pos="1060"/>
          <w:tab w:val="clear" w:pos="1134"/>
        </w:tabs>
        <w:spacing w:before="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7"/>
        </w:numPr>
        <w:spacing w:before="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7"/>
        </w:numPr>
        <w:tabs>
          <w:tab w:val="left" w:pos="1080"/>
          <w:tab w:val="clear" w:pos="1134"/>
        </w:tabs>
        <w:spacing w:before="0" w:afterAutospacing="0"/>
        <w:ind w:left="0" w:right="0" w:firstLine="420" w:firstLineChars="200"/>
        <w:rPr>
          <w:rFonts w:ascii="宋体" w:hAnsi="宋体"/>
        </w:rPr>
      </w:pPr>
      <w:r>
        <w:rPr>
          <w:rFonts w:hint="eastAsia" w:ascii="宋体" w:hAnsi="宋体"/>
        </w:rPr>
        <w:t>验收标准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7"/>
        </w:numPr>
        <w:tabs>
          <w:tab w:val="left" w:pos="1060"/>
          <w:tab w:val="clear" w:pos="1134"/>
        </w:tabs>
        <w:spacing w:before="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rPr>
      </w:pPr>
      <w:bookmarkStart w:id="955" w:name="_Toc30584"/>
      <w:bookmarkStart w:id="956" w:name="_Toc408"/>
      <w:bookmarkStart w:id="957" w:name="_Toc6005"/>
      <w:bookmarkStart w:id="958" w:name="_Toc5694"/>
      <w:bookmarkStart w:id="959" w:name="_Toc12087"/>
      <w:bookmarkStart w:id="960" w:name="_Toc13751"/>
      <w:bookmarkStart w:id="961" w:name="_Toc31498"/>
      <w:bookmarkStart w:id="962" w:name="_Toc1713"/>
      <w:bookmarkStart w:id="963" w:name="_Toc30922"/>
      <w:bookmarkStart w:id="964" w:name="_Toc14941"/>
      <w:bookmarkStart w:id="965" w:name="_Toc492478799"/>
      <w:bookmarkStart w:id="966" w:name="_Toc15820"/>
      <w:bookmarkStart w:id="967" w:name="_Toc23559"/>
      <w:bookmarkStart w:id="968" w:name="_Toc13500"/>
      <w:bookmarkStart w:id="969" w:name="_Toc21060"/>
      <w:bookmarkStart w:id="970" w:name="_Toc25750669"/>
      <w:bookmarkStart w:id="971" w:name="_Toc21038"/>
      <w:bookmarkStart w:id="972" w:name="_Toc9798"/>
      <w:bookmarkStart w:id="973" w:name="_Toc12478"/>
      <w:bookmarkStart w:id="974" w:name="_Toc6868"/>
      <w:r>
        <w:rPr>
          <w:rFonts w:hint="eastAsia" w:ascii="宋体" w:hAnsi="宋体"/>
          <w:b/>
        </w:rPr>
        <w:t>35.时间保证</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numPr>
          <w:ilvl w:val="2"/>
          <w:numId w:val="49"/>
        </w:numPr>
        <w:tabs>
          <w:tab w:val="left" w:pos="940"/>
          <w:tab w:val="clear" w:pos="1080"/>
        </w:tabs>
        <w:snapToGrid w:val="0"/>
        <w:spacing w:before="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rPr>
      </w:pPr>
      <w:bookmarkStart w:id="975" w:name="_Toc390098502"/>
      <w:bookmarkStart w:id="976" w:name="_Toc8642"/>
      <w:bookmarkStart w:id="977" w:name="_Toc25406"/>
      <w:bookmarkStart w:id="978" w:name="_Toc309"/>
      <w:bookmarkStart w:id="979" w:name="_Toc20826"/>
      <w:bookmarkStart w:id="980" w:name="_Toc6462"/>
      <w:bookmarkStart w:id="981" w:name="_Toc24789"/>
      <w:bookmarkStart w:id="982" w:name="_Toc27400"/>
      <w:bookmarkStart w:id="983" w:name="_Toc25750670"/>
      <w:bookmarkStart w:id="984" w:name="_Toc11322"/>
      <w:bookmarkStart w:id="985" w:name="_Toc492478800"/>
      <w:bookmarkStart w:id="986" w:name="_Toc20780"/>
      <w:bookmarkStart w:id="987" w:name="_Toc385427876"/>
      <w:bookmarkStart w:id="988" w:name="_Toc14240"/>
      <w:bookmarkStart w:id="989" w:name="_Toc4370"/>
      <w:bookmarkStart w:id="990" w:name="_Toc26446"/>
      <w:bookmarkStart w:id="991" w:name="_Toc925"/>
      <w:bookmarkStart w:id="992" w:name="_Toc27029"/>
      <w:bookmarkStart w:id="993" w:name="_Toc378514990"/>
      <w:bookmarkStart w:id="994" w:name="_Toc11286"/>
      <w:bookmarkStart w:id="995" w:name="_Toc370933887"/>
      <w:bookmarkStart w:id="996" w:name="_Toc16845"/>
      <w:bookmarkStart w:id="997" w:name="_Toc2427"/>
      <w:bookmarkStart w:id="998" w:name="_Toc25859"/>
      <w:r>
        <w:rPr>
          <w:rFonts w:hint="eastAsia" w:ascii="宋体" w:hAnsi="宋体"/>
          <w:b/>
        </w:rPr>
        <w:t>36.其他</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12"/>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乙方确认并认知：</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12"/>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12"/>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Autospacing="0"/>
        <w:ind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rPr>
      </w:pPr>
      <w:bookmarkStart w:id="999" w:name="_Toc15121"/>
      <w:bookmarkStart w:id="1000" w:name="_Toc5033"/>
      <w:bookmarkStart w:id="1001" w:name="_Toc8007"/>
      <w:bookmarkStart w:id="1002" w:name="_Toc16195"/>
      <w:bookmarkStart w:id="1003" w:name="_Toc22187"/>
      <w:bookmarkStart w:id="1004" w:name="_Toc25750671"/>
      <w:bookmarkStart w:id="1005" w:name="_Toc4615"/>
      <w:bookmarkStart w:id="1006" w:name="_Toc2266"/>
      <w:bookmarkStart w:id="1007" w:name="_Toc18173"/>
      <w:bookmarkStart w:id="1008" w:name="_Toc19698"/>
      <w:bookmarkStart w:id="1009" w:name="_Toc24724"/>
      <w:bookmarkStart w:id="1010" w:name="_Toc2305"/>
      <w:bookmarkStart w:id="1011" w:name="_Toc7637"/>
      <w:bookmarkStart w:id="1012" w:name="_Toc7437"/>
      <w:bookmarkStart w:id="1013" w:name="_Toc13166"/>
      <w:bookmarkStart w:id="1014" w:name="_Toc13499"/>
      <w:bookmarkStart w:id="1015" w:name="_Toc24622"/>
      <w:bookmarkStart w:id="1016" w:name="_Toc16684"/>
      <w:bookmarkStart w:id="1017" w:name="_Toc560"/>
      <w:r>
        <w:rPr>
          <w:rFonts w:hint="eastAsia" w:ascii="宋体" w:hAnsi="宋体"/>
          <w:b/>
        </w:rPr>
        <w:t>37.合同生效和签约地</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12"/>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12"/>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12"/>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Autospacing="0"/>
        <w:ind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left="422" w:right="0"/>
        <w:jc w:val="center"/>
        <w:outlineLvl w:val="1"/>
        <w:rPr>
          <w:rFonts w:ascii="宋体" w:hAnsi="宋体"/>
          <w:b/>
        </w:rPr>
        <w:sectPr>
          <w:footerReference r:id="rId6" w:type="default"/>
          <w:pgSz w:w="11905" w:h="16838"/>
          <w:pgMar w:top="1417" w:right="1417" w:bottom="1417" w:left="1417" w:header="454" w:footer="567" w:gutter="0"/>
          <w:pgNumType w:start="1"/>
          <w:cols w:space="720" w:num="1"/>
          <w:docGrid w:linePitch="312" w:charSpace="0"/>
        </w:sectPr>
      </w:pPr>
    </w:p>
    <w:p>
      <w:pPr>
        <w:spacing w:before="0"/>
        <w:ind w:left="420" w:leftChars="200" w:right="0"/>
        <w:jc w:val="center"/>
        <w:outlineLvl w:val="1"/>
        <w:rPr>
          <w:rStyle w:val="13"/>
          <w:szCs w:val="22"/>
        </w:rPr>
      </w:pPr>
      <w:r>
        <w:rPr>
          <w:rStyle w:val="13"/>
          <w:rFonts w:hint="eastAsia"/>
        </w:rPr>
        <w:t xml:space="preserve">第三部分 </w:t>
      </w:r>
      <w:r>
        <w:rPr>
          <w:rStyle w:val="13"/>
          <w:rFonts w:hint="eastAsia"/>
          <w:szCs w:val="22"/>
        </w:rPr>
        <w:t>价格组成文件</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 共 </w:t>
                          </w:r>
                          <w:r>
                            <w:rPr>
                              <w:rFonts w:hint="eastAsia"/>
                              <w:lang w:val="en-US" w:eastAsia="zh-CN"/>
                            </w:rPr>
                            <w:t>22</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 共 </w:t>
                    </w:r>
                    <w:r>
                      <w:rPr>
                        <w:rFonts w:hint="eastAsia"/>
                        <w:lang w:val="en-US" w:eastAsia="zh-CN"/>
                      </w:rPr>
                      <w:t>22</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8240"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5AD0"/>
    <w:multiLevelType w:val="multilevel"/>
    <w:tmpl w:val="28835AD0"/>
    <w:lvl w:ilvl="0" w:tentative="0">
      <w:start w:val="4"/>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9">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0">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1">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3">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4">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5">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7">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8">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1">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5">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6">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7">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9">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4">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7">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8">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9">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0">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2">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4">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5">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6">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7">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8">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9">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1">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7"/>
  </w:num>
  <w:num w:numId="2">
    <w:abstractNumId w:val="21"/>
  </w:num>
  <w:num w:numId="3">
    <w:abstractNumId w:val="11"/>
  </w:num>
  <w:num w:numId="4">
    <w:abstractNumId w:val="18"/>
  </w:num>
  <w:num w:numId="5">
    <w:abstractNumId w:val="3"/>
  </w:num>
  <w:num w:numId="6">
    <w:abstractNumId w:val="20"/>
  </w:num>
  <w:num w:numId="7">
    <w:abstractNumId w:val="2"/>
  </w:num>
  <w:num w:numId="8">
    <w:abstractNumId w:val="19"/>
  </w:num>
  <w:num w:numId="9">
    <w:abstractNumId w:val="9"/>
  </w:num>
  <w:num w:numId="10">
    <w:abstractNumId w:val="22"/>
  </w:num>
  <w:num w:numId="11">
    <w:abstractNumId w:val="6"/>
  </w:num>
  <w:num w:numId="12">
    <w:abstractNumId w:val="15"/>
  </w:num>
  <w:num w:numId="13">
    <w:abstractNumId w:val="16"/>
  </w:num>
  <w:num w:numId="14">
    <w:abstractNumId w:val="12"/>
  </w:num>
  <w:num w:numId="15">
    <w:abstractNumId w:val="24"/>
  </w:num>
  <w:num w:numId="16">
    <w:abstractNumId w:val="0"/>
  </w:num>
  <w:num w:numId="17">
    <w:abstractNumId w:val="5"/>
  </w:num>
  <w:num w:numId="18">
    <w:abstractNumId w:val="28"/>
  </w:num>
  <w:num w:numId="19">
    <w:abstractNumId w:val="1"/>
  </w:num>
  <w:num w:numId="20">
    <w:abstractNumId w:val="37"/>
  </w:num>
  <w:num w:numId="21">
    <w:abstractNumId w:val="48"/>
  </w:num>
  <w:num w:numId="22">
    <w:abstractNumId w:val="4"/>
  </w:num>
  <w:num w:numId="23">
    <w:abstractNumId w:val="27"/>
  </w:num>
  <w:num w:numId="24">
    <w:abstractNumId w:val="10"/>
  </w:num>
  <w:num w:numId="25">
    <w:abstractNumId w:val="13"/>
  </w:num>
  <w:num w:numId="26">
    <w:abstractNumId w:val="38"/>
  </w:num>
  <w:num w:numId="27">
    <w:abstractNumId w:val="25"/>
  </w:num>
  <w:num w:numId="28">
    <w:abstractNumId w:val="41"/>
  </w:num>
  <w:num w:numId="29">
    <w:abstractNumId w:val="23"/>
  </w:num>
  <w:num w:numId="30">
    <w:abstractNumId w:val="17"/>
  </w:num>
  <w:num w:numId="31">
    <w:abstractNumId w:val="47"/>
  </w:num>
  <w:num w:numId="32">
    <w:abstractNumId w:val="8"/>
  </w:num>
  <w:num w:numId="33">
    <w:abstractNumId w:val="50"/>
  </w:num>
  <w:num w:numId="34">
    <w:abstractNumId w:val="44"/>
  </w:num>
  <w:num w:numId="35">
    <w:abstractNumId w:val="46"/>
  </w:num>
  <w:num w:numId="36">
    <w:abstractNumId w:val="30"/>
  </w:num>
  <w:num w:numId="37">
    <w:abstractNumId w:val="42"/>
  </w:num>
  <w:num w:numId="38">
    <w:abstractNumId w:val="29"/>
  </w:num>
  <w:num w:numId="39">
    <w:abstractNumId w:val="35"/>
  </w:num>
  <w:num w:numId="40">
    <w:abstractNumId w:val="26"/>
  </w:num>
  <w:num w:numId="41">
    <w:abstractNumId w:val="34"/>
  </w:num>
  <w:num w:numId="42">
    <w:abstractNumId w:val="43"/>
  </w:num>
  <w:num w:numId="43">
    <w:abstractNumId w:val="31"/>
  </w:num>
  <w:num w:numId="44">
    <w:abstractNumId w:val="32"/>
  </w:num>
  <w:num w:numId="45">
    <w:abstractNumId w:val="33"/>
  </w:num>
  <w:num w:numId="46">
    <w:abstractNumId w:val="45"/>
  </w:num>
  <w:num w:numId="47">
    <w:abstractNumId w:val="14"/>
  </w:num>
  <w:num w:numId="48">
    <w:abstractNumId w:val="39"/>
  </w:num>
  <w:num w:numId="49">
    <w:abstractNumId w:val="36"/>
  </w:num>
  <w:num w:numId="50">
    <w:abstractNumId w:val="40"/>
  </w:num>
  <w:num w:numId="51">
    <w:abstractNumId w:val="51"/>
  </w:num>
  <w:num w:numId="52">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65F2A"/>
    <w:rsid w:val="00210F4D"/>
    <w:rsid w:val="00263760"/>
    <w:rsid w:val="00350D91"/>
    <w:rsid w:val="005C3C48"/>
    <w:rsid w:val="008D0AB9"/>
    <w:rsid w:val="009A268B"/>
    <w:rsid w:val="009D2C94"/>
    <w:rsid w:val="00AF3868"/>
    <w:rsid w:val="00AF4AAB"/>
    <w:rsid w:val="00B9128B"/>
    <w:rsid w:val="00C966D3"/>
    <w:rsid w:val="00EC417D"/>
    <w:rsid w:val="00EE4663"/>
    <w:rsid w:val="01CD45AC"/>
    <w:rsid w:val="02450123"/>
    <w:rsid w:val="02827A4B"/>
    <w:rsid w:val="042A4508"/>
    <w:rsid w:val="052D0CFE"/>
    <w:rsid w:val="057B60E1"/>
    <w:rsid w:val="07FA49AB"/>
    <w:rsid w:val="08F14400"/>
    <w:rsid w:val="0BF45426"/>
    <w:rsid w:val="0C097964"/>
    <w:rsid w:val="0D07455D"/>
    <w:rsid w:val="0D51071B"/>
    <w:rsid w:val="121E77F4"/>
    <w:rsid w:val="12ED4399"/>
    <w:rsid w:val="132C3849"/>
    <w:rsid w:val="14792F82"/>
    <w:rsid w:val="15B00394"/>
    <w:rsid w:val="160055A9"/>
    <w:rsid w:val="16855AD3"/>
    <w:rsid w:val="1A5A63B0"/>
    <w:rsid w:val="1B0A660C"/>
    <w:rsid w:val="1BA6647D"/>
    <w:rsid w:val="1BC21AF9"/>
    <w:rsid w:val="1E3A4D2C"/>
    <w:rsid w:val="208A1627"/>
    <w:rsid w:val="20AA4C03"/>
    <w:rsid w:val="21681DFF"/>
    <w:rsid w:val="24EF6694"/>
    <w:rsid w:val="25B65426"/>
    <w:rsid w:val="27D73AAC"/>
    <w:rsid w:val="28DA7D1A"/>
    <w:rsid w:val="2CA05131"/>
    <w:rsid w:val="2DC3083C"/>
    <w:rsid w:val="2E0D016C"/>
    <w:rsid w:val="2E0E3201"/>
    <w:rsid w:val="2E9473C9"/>
    <w:rsid w:val="30940782"/>
    <w:rsid w:val="30BC0E80"/>
    <w:rsid w:val="30CA1C2C"/>
    <w:rsid w:val="316F24AD"/>
    <w:rsid w:val="317C6BA3"/>
    <w:rsid w:val="35112B28"/>
    <w:rsid w:val="36FF6025"/>
    <w:rsid w:val="371E5229"/>
    <w:rsid w:val="37F40213"/>
    <w:rsid w:val="39C801B0"/>
    <w:rsid w:val="3A355932"/>
    <w:rsid w:val="3C1817DF"/>
    <w:rsid w:val="3CE178DF"/>
    <w:rsid w:val="3E1F7B3F"/>
    <w:rsid w:val="3F584513"/>
    <w:rsid w:val="3F5A7455"/>
    <w:rsid w:val="3F5C7CA7"/>
    <w:rsid w:val="43B72F8D"/>
    <w:rsid w:val="43FA0FC1"/>
    <w:rsid w:val="47072CB2"/>
    <w:rsid w:val="4711639C"/>
    <w:rsid w:val="4782345F"/>
    <w:rsid w:val="47904FB9"/>
    <w:rsid w:val="4BA42C26"/>
    <w:rsid w:val="4D487FDA"/>
    <w:rsid w:val="4D550455"/>
    <w:rsid w:val="4E700907"/>
    <w:rsid w:val="4EAD69ED"/>
    <w:rsid w:val="4F0B266E"/>
    <w:rsid w:val="504A7C44"/>
    <w:rsid w:val="55DE1203"/>
    <w:rsid w:val="568052C3"/>
    <w:rsid w:val="570D22F7"/>
    <w:rsid w:val="572E7817"/>
    <w:rsid w:val="574D099F"/>
    <w:rsid w:val="587D26A1"/>
    <w:rsid w:val="58D7463B"/>
    <w:rsid w:val="590F317D"/>
    <w:rsid w:val="59EB3107"/>
    <w:rsid w:val="5C3C1E1E"/>
    <w:rsid w:val="60C272CD"/>
    <w:rsid w:val="6103349E"/>
    <w:rsid w:val="621B2422"/>
    <w:rsid w:val="62B4510A"/>
    <w:rsid w:val="651D232D"/>
    <w:rsid w:val="66F4687E"/>
    <w:rsid w:val="67B60C43"/>
    <w:rsid w:val="67EE6F8D"/>
    <w:rsid w:val="68A35D71"/>
    <w:rsid w:val="6A475A9A"/>
    <w:rsid w:val="6B2C74C2"/>
    <w:rsid w:val="6D9E6D68"/>
    <w:rsid w:val="7159302D"/>
    <w:rsid w:val="71BE1A4D"/>
    <w:rsid w:val="742D0851"/>
    <w:rsid w:val="74F51C1E"/>
    <w:rsid w:val="75201CD6"/>
    <w:rsid w:val="75F548DD"/>
    <w:rsid w:val="76563F83"/>
    <w:rsid w:val="77527084"/>
    <w:rsid w:val="79B05402"/>
    <w:rsid w:val="79F33210"/>
    <w:rsid w:val="7A726C1A"/>
    <w:rsid w:val="7AE4389D"/>
    <w:rsid w:val="7C0B5867"/>
    <w:rsid w:val="7DA8628F"/>
    <w:rsid w:val="7EB05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360" w:lineRule="auto"/>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Char"/>
    <w:link w:val="2"/>
    <w:qFormat/>
    <w:uiPriority w:val="0"/>
    <w:rPr>
      <w:b/>
      <w:kern w:val="44"/>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2805</Words>
  <Characters>15995</Characters>
  <Lines>133</Lines>
  <Paragraphs>37</Paragraphs>
  <TotalTime>4</TotalTime>
  <ScaleCrop>false</ScaleCrop>
  <LinksUpToDate>false</LinksUpToDate>
  <CharactersWithSpaces>18763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JHCpp6zKeJ3O1nWh3QidKdBODxueHgNgo5tN30DcD8iwBpWQJg0XehyGgOOMipNJCA9ZUiVh0BwE1OgDQsotaQ==</cp:lastModifiedBy>
  <dcterms:modified xsi:type="dcterms:W3CDTF">2020-11-30T02:41:53Z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