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ascii="宋体" w:hAnsi="宋体"/>
          <w:color w:val="auto"/>
          <w:highlight w:val="none"/>
        </w:rPr>
      </w:pPr>
    </w:p>
    <w:p>
      <w:pPr>
        <w:pStyle w:val="27"/>
        <w:spacing w:before="0"/>
        <w:ind w:left="1" w:right="0" w:firstLine="0"/>
        <w:jc w:val="center"/>
        <w:rPr>
          <w:rFonts w:ascii="宋体" w:hAnsi="宋体"/>
          <w:b/>
          <w:color w:val="auto"/>
          <w:spacing w:val="-4"/>
          <w:sz w:val="44"/>
          <w:szCs w:val="44"/>
          <w:highlight w:val="none"/>
        </w:rPr>
      </w:pPr>
      <w:r>
        <w:rPr>
          <w:rFonts w:hint="eastAsia" w:ascii="宋体" w:hAnsi="宋体"/>
          <w:b/>
          <w:color w:val="auto"/>
          <w:spacing w:val="-4"/>
          <w:sz w:val="44"/>
          <w:szCs w:val="44"/>
          <w:highlight w:val="none"/>
        </w:rPr>
        <w:t>南宁轨道交通运营有限公司2022年VR全景培训与展示系统采购项目</w:t>
      </w:r>
    </w:p>
    <w:p>
      <w:pPr>
        <w:pStyle w:val="27"/>
        <w:spacing w:before="0"/>
        <w:ind w:left="1" w:right="-57" w:firstLine="0"/>
        <w:jc w:val="center"/>
        <w:rPr>
          <w:rFonts w:ascii="宋体" w:hAnsi="宋体"/>
          <w:b/>
          <w:color w:val="auto"/>
          <w:spacing w:val="-4"/>
          <w:sz w:val="44"/>
          <w:szCs w:val="44"/>
          <w:highlight w:val="none"/>
        </w:rPr>
      </w:pPr>
    </w:p>
    <w:p>
      <w:pPr>
        <w:spacing w:before="0"/>
        <w:ind w:left="0" w:right="-57" w:firstLine="0"/>
        <w:jc w:val="center"/>
        <w:rPr>
          <w:rFonts w:ascii="宋体" w:hAnsi="宋体"/>
          <w:color w:val="auto"/>
          <w:sz w:val="72"/>
          <w:szCs w:val="72"/>
          <w:highlight w:val="none"/>
        </w:rPr>
      </w:pPr>
      <w:r>
        <w:rPr>
          <w:rFonts w:hint="eastAsia" w:ascii="宋体" w:hAnsi="宋体"/>
          <w:color w:val="auto"/>
          <w:sz w:val="72"/>
          <w:szCs w:val="72"/>
          <w:highlight w:val="none"/>
        </w:rPr>
        <w:t>比选</w:t>
      </w:r>
      <w:r>
        <w:rPr>
          <w:rFonts w:ascii="宋体" w:hAnsi="宋体"/>
          <w:color w:val="auto"/>
          <w:sz w:val="72"/>
          <w:szCs w:val="72"/>
          <w:highlight w:val="none"/>
        </w:rPr>
        <w:t>文件</w:t>
      </w:r>
    </w:p>
    <w:p>
      <w:pPr>
        <w:spacing w:before="0"/>
        <w:ind w:left="0" w:right="-57" w:firstLine="0"/>
        <w:jc w:val="center"/>
        <w:rPr>
          <w:rFonts w:ascii="宋体" w:hAnsi="宋体"/>
          <w:color w:val="auto"/>
          <w:sz w:val="72"/>
          <w:szCs w:val="72"/>
          <w:highlight w:val="none"/>
        </w:rPr>
      </w:pPr>
      <w:r>
        <w:rPr>
          <w:rFonts w:ascii="宋体" w:hAnsi="宋体"/>
          <w:color w:val="auto"/>
          <w:sz w:val="72"/>
          <w:szCs w:val="72"/>
          <w:highlight w:val="none"/>
        </w:rPr>
        <w:t>（20</w:t>
      </w:r>
      <w:r>
        <w:rPr>
          <w:rFonts w:hint="eastAsia" w:ascii="宋体" w:hAnsi="宋体"/>
          <w:color w:val="auto"/>
          <w:sz w:val="72"/>
          <w:szCs w:val="72"/>
          <w:highlight w:val="none"/>
        </w:rPr>
        <w:t>22年</w:t>
      </w:r>
      <w:r>
        <w:rPr>
          <w:rFonts w:ascii="宋体" w:hAnsi="宋体"/>
          <w:color w:val="auto"/>
          <w:sz w:val="72"/>
          <w:szCs w:val="72"/>
          <w:highlight w:val="none"/>
        </w:rPr>
        <w:t>版</w:t>
      </w:r>
      <w:r>
        <w:rPr>
          <w:rFonts w:hint="eastAsia" w:ascii="宋体" w:hAnsi="宋体"/>
          <w:color w:val="auto"/>
          <w:sz w:val="72"/>
          <w:szCs w:val="72"/>
          <w:highlight w:val="none"/>
        </w:rPr>
        <w:t>）</w:t>
      </w:r>
    </w:p>
    <w:p>
      <w:pPr>
        <w:spacing w:before="720"/>
        <w:ind w:left="1801" w:right="-57" w:hanging="180"/>
        <w:rPr>
          <w:rFonts w:ascii="宋体" w:hAnsi="宋体"/>
          <w:b/>
          <w:color w:val="auto"/>
          <w:sz w:val="32"/>
          <w:szCs w:val="32"/>
          <w:highlight w:val="none"/>
        </w:rPr>
      </w:pPr>
    </w:p>
    <w:p>
      <w:pPr>
        <w:pStyle w:val="2"/>
        <w:rPr>
          <w:color w:val="auto"/>
          <w:highlight w:val="none"/>
        </w:rPr>
      </w:pPr>
    </w:p>
    <w:p>
      <w:pPr>
        <w:spacing w:before="0"/>
        <w:ind w:left="1801" w:right="-57" w:hanging="180"/>
        <w:rPr>
          <w:rFonts w:hint="eastAsia" w:ascii="宋体" w:hAnsi="宋体" w:eastAsia="宋体"/>
          <w:b/>
          <w:color w:val="auto"/>
          <w:sz w:val="32"/>
          <w:szCs w:val="32"/>
          <w:highlight w:val="none"/>
          <w:u w:val="single"/>
          <w:lang w:eastAsia="zh-CN"/>
        </w:rPr>
      </w:pPr>
      <w:r>
        <w:rPr>
          <w:rFonts w:hint="eastAsia" w:ascii="宋体" w:hAnsi="宋体"/>
          <w:b/>
          <w:color w:val="auto"/>
          <w:sz w:val="32"/>
          <w:szCs w:val="32"/>
          <w:highlight w:val="none"/>
        </w:rPr>
        <w:t>项目编号：202209090004</w:t>
      </w:r>
    </w:p>
    <w:p>
      <w:pPr>
        <w:spacing w:before="0"/>
        <w:ind w:left="1801" w:right="-57" w:hanging="180"/>
        <w:rPr>
          <w:rFonts w:ascii="宋体" w:hAnsi="宋体"/>
          <w:b/>
          <w:color w:val="auto"/>
          <w:sz w:val="32"/>
          <w:szCs w:val="32"/>
          <w:highlight w:val="none"/>
          <w:u w:val="single"/>
        </w:rPr>
      </w:pPr>
      <w:r>
        <w:rPr>
          <w:rFonts w:ascii="宋体" w:hAnsi="宋体"/>
          <w:b/>
          <w:color w:val="auto"/>
          <w:sz w:val="32"/>
          <w:szCs w:val="32"/>
          <w:highlight w:val="none"/>
        </w:rPr>
        <w:t>比选人：</w:t>
      </w:r>
      <w:r>
        <w:rPr>
          <w:rFonts w:ascii="宋体" w:hAnsi="宋体"/>
          <w:b/>
          <w:color w:val="auto"/>
          <w:sz w:val="32"/>
          <w:szCs w:val="32"/>
          <w:highlight w:val="none"/>
          <w:u w:val="single"/>
        </w:rPr>
        <w:t>南宁轨道交通</w:t>
      </w:r>
      <w:r>
        <w:rPr>
          <w:rFonts w:hint="eastAsia" w:ascii="宋体" w:hAnsi="宋体"/>
          <w:b/>
          <w:color w:val="auto"/>
          <w:sz w:val="32"/>
          <w:szCs w:val="32"/>
          <w:highlight w:val="none"/>
          <w:u w:val="single"/>
          <w:lang w:val="en-US" w:eastAsia="zh-CN"/>
        </w:rPr>
        <w:t>运营有限</w:t>
      </w:r>
      <w:r>
        <w:rPr>
          <w:rFonts w:ascii="宋体" w:hAnsi="宋体"/>
          <w:b/>
          <w:color w:val="auto"/>
          <w:sz w:val="32"/>
          <w:szCs w:val="32"/>
          <w:highlight w:val="none"/>
          <w:u w:val="single"/>
        </w:rPr>
        <w:t>公司</w:t>
      </w:r>
    </w:p>
    <w:p>
      <w:pPr>
        <w:spacing w:before="0"/>
        <w:ind w:right="-57" w:firstLine="435"/>
        <w:jc w:val="center"/>
        <w:rPr>
          <w:rFonts w:ascii="宋体" w:hAnsi="宋体"/>
          <w:color w:val="auto"/>
          <w:sz w:val="30"/>
          <w:szCs w:val="30"/>
          <w:highlight w:val="none"/>
        </w:rPr>
      </w:pPr>
    </w:p>
    <w:p>
      <w:pPr>
        <w:spacing w:before="0"/>
        <w:ind w:right="-57" w:firstLine="0"/>
        <w:jc w:val="center"/>
        <w:rPr>
          <w:rFonts w:ascii="宋体" w:hAnsi="宋体"/>
          <w:color w:val="auto"/>
          <w:highlight w:val="none"/>
        </w:rPr>
      </w:pPr>
      <w:r>
        <w:rPr>
          <w:rFonts w:hint="eastAsia" w:ascii="宋体" w:hAnsi="宋体"/>
          <w:b/>
          <w:color w:val="auto"/>
          <w:sz w:val="36"/>
          <w:szCs w:val="36"/>
          <w:highlight w:val="none"/>
          <w:lang w:val="en-US" w:eastAsia="zh-CN"/>
        </w:rPr>
        <w:t>2022</w:t>
      </w:r>
      <w:r>
        <w:rPr>
          <w:rFonts w:ascii="宋体" w:hAnsi="宋体"/>
          <w:b/>
          <w:color w:val="auto"/>
          <w:sz w:val="36"/>
          <w:szCs w:val="36"/>
          <w:highlight w:val="none"/>
        </w:rPr>
        <w:t>年</w:t>
      </w:r>
      <w:r>
        <w:rPr>
          <w:rFonts w:hint="eastAsia" w:ascii="宋体" w:hAnsi="宋体"/>
          <w:b/>
          <w:color w:val="auto"/>
          <w:sz w:val="36"/>
          <w:szCs w:val="36"/>
          <w:highlight w:val="none"/>
        </w:rPr>
        <w:t xml:space="preserve">  </w:t>
      </w:r>
      <w:r>
        <w:rPr>
          <w:rFonts w:ascii="宋体" w:hAnsi="宋体"/>
          <w:b/>
          <w:color w:val="auto"/>
          <w:sz w:val="36"/>
          <w:szCs w:val="36"/>
          <w:highlight w:val="none"/>
        </w:rPr>
        <w:t>月</w:t>
      </w:r>
    </w:p>
    <w:p>
      <w:pPr>
        <w:spacing w:before="0"/>
        <w:ind w:right="-57" w:firstLine="0"/>
        <w:jc w:val="center"/>
        <w:rPr>
          <w:rFonts w:ascii="宋体" w:hAnsi="宋体" w:cs="宋体"/>
          <w:b/>
          <w:color w:val="auto"/>
          <w:sz w:val="36"/>
          <w:szCs w:val="36"/>
          <w:highlight w:val="none"/>
        </w:rPr>
        <w:sectPr>
          <w:headerReference r:id="rId3" w:type="default"/>
          <w:footerReference r:id="rId4" w:type="default"/>
          <w:pgSz w:w="11905" w:h="16838"/>
          <w:pgMar w:top="1417" w:right="1417" w:bottom="1417" w:left="1417" w:header="454" w:footer="567" w:gutter="0"/>
          <w:pgNumType w:start="1" w:chapStyle="1"/>
          <w:cols w:space="720" w:num="1"/>
          <w:docGrid w:linePitch="312" w:charSpace="0"/>
        </w:sectPr>
      </w:pPr>
    </w:p>
    <w:p>
      <w:pPr>
        <w:ind w:left="0" w:firstLine="0"/>
        <w:rPr>
          <w:rFonts w:ascii="宋体" w:hAnsi="宋体"/>
          <w:color w:val="auto"/>
          <w:highlight w:val="none"/>
        </w:rPr>
      </w:pPr>
    </w:p>
    <w:p>
      <w:pPr>
        <w:pStyle w:val="49"/>
        <w:spacing w:before="0" w:line="240" w:lineRule="auto"/>
        <w:jc w:val="center"/>
        <w:rPr>
          <w:rFonts w:ascii="宋体" w:hAnsi="宋体" w:eastAsia="宋体"/>
          <w:color w:val="auto"/>
          <w:highlight w:val="none"/>
        </w:rPr>
      </w:pPr>
      <w:r>
        <w:rPr>
          <w:rFonts w:hint="eastAsia" w:ascii="宋体" w:hAnsi="宋体" w:eastAsia="宋体" w:cs="宋体"/>
          <w:color w:val="auto"/>
          <w:highlight w:val="none"/>
          <w:lang w:val="zh-CN"/>
        </w:rPr>
        <w:t>目录</w:t>
      </w:r>
    </w:p>
    <w:p>
      <w:pPr>
        <w:pStyle w:val="20"/>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TOC \o "1-2" \h \z \u </w:instrText>
      </w:r>
      <w:r>
        <w:rPr>
          <w:rFonts w:ascii="宋体" w:hAnsi="宋体"/>
          <w:color w:val="auto"/>
          <w:highlight w:val="none"/>
        </w:rPr>
        <w:fldChar w:fldCharType="separate"/>
      </w:r>
      <w:r>
        <w:rPr>
          <w:rFonts w:ascii="宋体" w:hAnsi="宋体"/>
          <w:color w:val="auto"/>
          <w:highlight w:val="none"/>
        </w:rPr>
        <w:fldChar w:fldCharType="begin"/>
      </w:r>
      <w:r>
        <w:rPr>
          <w:rFonts w:ascii="宋体" w:hAnsi="宋体"/>
          <w:color w:val="auto"/>
          <w:highlight w:val="none"/>
        </w:rPr>
        <w:instrText xml:space="preserve"> HYPERLINK \l _Toc26523 </w:instrText>
      </w:r>
      <w:r>
        <w:rPr>
          <w:rFonts w:ascii="宋体" w:hAnsi="宋体"/>
          <w:color w:val="auto"/>
          <w:highlight w:val="none"/>
        </w:rPr>
        <w:fldChar w:fldCharType="separate"/>
      </w:r>
      <w:r>
        <w:rPr>
          <w:rFonts w:hint="eastAsia" w:ascii="宋体" w:hAnsi="宋体" w:eastAsia="宋体"/>
          <w:color w:val="auto"/>
          <w:highlight w:val="none"/>
        </w:rPr>
        <w:t>第一章比选公告</w:t>
      </w:r>
      <w:r>
        <w:rPr>
          <w:color w:val="auto"/>
          <w:highlight w:val="none"/>
        </w:rPr>
        <w:tab/>
      </w:r>
      <w:r>
        <w:rPr>
          <w:color w:val="auto"/>
          <w:highlight w:val="none"/>
        </w:rPr>
        <w:fldChar w:fldCharType="begin"/>
      </w:r>
      <w:r>
        <w:rPr>
          <w:color w:val="auto"/>
          <w:highlight w:val="none"/>
        </w:rPr>
        <w:instrText xml:space="preserve"> PAGEREF _Toc26523 \h </w:instrText>
      </w:r>
      <w:r>
        <w:rPr>
          <w:color w:val="auto"/>
          <w:highlight w:val="none"/>
        </w:rPr>
        <w:fldChar w:fldCharType="separate"/>
      </w:r>
      <w:r>
        <w:rPr>
          <w:color w:val="auto"/>
          <w:highlight w:val="none"/>
        </w:rPr>
        <w:t>4</w:t>
      </w:r>
      <w:r>
        <w:rPr>
          <w:color w:val="auto"/>
          <w:highlight w:val="none"/>
        </w:rPr>
        <w:fldChar w:fldCharType="end"/>
      </w:r>
      <w:r>
        <w:rPr>
          <w:rFonts w:ascii="宋体" w:hAnsi="宋体"/>
          <w:color w:val="auto"/>
          <w:highlight w:val="none"/>
        </w:rPr>
        <w:fldChar w:fldCharType="end"/>
      </w:r>
    </w:p>
    <w:p>
      <w:pPr>
        <w:pStyle w:val="20"/>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_Toc17539 </w:instrText>
      </w:r>
      <w:r>
        <w:rPr>
          <w:rFonts w:ascii="宋体" w:hAnsi="宋体"/>
          <w:color w:val="auto"/>
          <w:highlight w:val="none"/>
        </w:rPr>
        <w:fldChar w:fldCharType="separate"/>
      </w:r>
      <w:r>
        <w:rPr>
          <w:rFonts w:hint="eastAsia" w:ascii="宋体" w:hAnsi="宋体" w:eastAsia="宋体"/>
          <w:color w:val="auto"/>
          <w:highlight w:val="none"/>
        </w:rPr>
        <w:t>第二章比选申请须知</w:t>
      </w:r>
      <w:r>
        <w:rPr>
          <w:color w:val="auto"/>
          <w:highlight w:val="none"/>
        </w:rPr>
        <w:tab/>
      </w:r>
      <w:r>
        <w:rPr>
          <w:color w:val="auto"/>
          <w:highlight w:val="none"/>
        </w:rPr>
        <w:fldChar w:fldCharType="begin"/>
      </w:r>
      <w:r>
        <w:rPr>
          <w:color w:val="auto"/>
          <w:highlight w:val="none"/>
        </w:rPr>
        <w:instrText xml:space="preserve"> PAGEREF _Toc17539 \h </w:instrText>
      </w:r>
      <w:r>
        <w:rPr>
          <w:color w:val="auto"/>
          <w:highlight w:val="none"/>
        </w:rPr>
        <w:fldChar w:fldCharType="separate"/>
      </w:r>
      <w:r>
        <w:rPr>
          <w:color w:val="auto"/>
          <w:highlight w:val="none"/>
        </w:rPr>
        <w:t>6</w:t>
      </w:r>
      <w:r>
        <w:rPr>
          <w:color w:val="auto"/>
          <w:highlight w:val="none"/>
        </w:rPr>
        <w:fldChar w:fldCharType="end"/>
      </w:r>
      <w:r>
        <w:rPr>
          <w:rFonts w:ascii="宋体" w:hAnsi="宋体"/>
          <w:color w:val="auto"/>
          <w:highlight w:val="none"/>
        </w:rPr>
        <w:fldChar w:fldCharType="end"/>
      </w:r>
    </w:p>
    <w:p>
      <w:pPr>
        <w:pStyle w:val="25"/>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_Toc31229 </w:instrText>
      </w:r>
      <w:r>
        <w:rPr>
          <w:rFonts w:ascii="宋体" w:hAnsi="宋体"/>
          <w:color w:val="auto"/>
          <w:highlight w:val="none"/>
        </w:rPr>
        <w:fldChar w:fldCharType="separate"/>
      </w:r>
      <w:r>
        <w:rPr>
          <w:rFonts w:hint="eastAsia" w:ascii="宋体" w:hAnsi="宋体" w:eastAsia="宋体"/>
          <w:color w:val="auto"/>
          <w:szCs w:val="24"/>
          <w:highlight w:val="none"/>
        </w:rPr>
        <w:t>一、项目概况</w:t>
      </w:r>
      <w:r>
        <w:rPr>
          <w:color w:val="auto"/>
          <w:highlight w:val="none"/>
        </w:rPr>
        <w:tab/>
      </w:r>
      <w:r>
        <w:rPr>
          <w:color w:val="auto"/>
          <w:highlight w:val="none"/>
        </w:rPr>
        <w:fldChar w:fldCharType="begin"/>
      </w:r>
      <w:r>
        <w:rPr>
          <w:color w:val="auto"/>
          <w:highlight w:val="none"/>
        </w:rPr>
        <w:instrText xml:space="preserve"> PAGEREF _Toc31229 \h </w:instrText>
      </w:r>
      <w:r>
        <w:rPr>
          <w:color w:val="auto"/>
          <w:highlight w:val="none"/>
        </w:rPr>
        <w:fldChar w:fldCharType="separate"/>
      </w:r>
      <w:r>
        <w:rPr>
          <w:color w:val="auto"/>
          <w:highlight w:val="none"/>
        </w:rPr>
        <w:t>6</w:t>
      </w:r>
      <w:r>
        <w:rPr>
          <w:color w:val="auto"/>
          <w:highlight w:val="none"/>
        </w:rPr>
        <w:fldChar w:fldCharType="end"/>
      </w:r>
      <w:r>
        <w:rPr>
          <w:rFonts w:ascii="宋体" w:hAnsi="宋体"/>
          <w:color w:val="auto"/>
          <w:highlight w:val="none"/>
        </w:rPr>
        <w:fldChar w:fldCharType="end"/>
      </w:r>
    </w:p>
    <w:p>
      <w:pPr>
        <w:pStyle w:val="25"/>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_Toc21228 </w:instrText>
      </w:r>
      <w:r>
        <w:rPr>
          <w:rFonts w:ascii="宋体" w:hAnsi="宋体"/>
          <w:color w:val="auto"/>
          <w:highlight w:val="none"/>
        </w:rPr>
        <w:fldChar w:fldCharType="separate"/>
      </w:r>
      <w:r>
        <w:rPr>
          <w:rFonts w:hint="eastAsia" w:ascii="宋体" w:hAnsi="宋体" w:eastAsia="宋体"/>
          <w:color w:val="auto"/>
          <w:szCs w:val="24"/>
          <w:highlight w:val="none"/>
        </w:rPr>
        <w:t>二、</w:t>
      </w:r>
      <w:r>
        <w:rPr>
          <w:rFonts w:ascii="宋体" w:hAnsi="宋体" w:eastAsia="宋体"/>
          <w:color w:val="auto"/>
          <w:szCs w:val="24"/>
          <w:highlight w:val="none"/>
        </w:rPr>
        <w:t>比选</w:t>
      </w:r>
      <w:r>
        <w:rPr>
          <w:rFonts w:hint="eastAsia" w:ascii="宋体" w:hAnsi="宋体" w:eastAsia="宋体"/>
          <w:color w:val="auto"/>
          <w:szCs w:val="24"/>
          <w:highlight w:val="none"/>
          <w:lang w:val="en-US" w:eastAsia="zh-CN"/>
        </w:rPr>
        <w:t>申请</w:t>
      </w:r>
      <w:r>
        <w:rPr>
          <w:rFonts w:hint="eastAsia" w:ascii="宋体" w:hAnsi="宋体" w:eastAsia="宋体"/>
          <w:color w:val="auto"/>
          <w:szCs w:val="24"/>
          <w:highlight w:val="none"/>
        </w:rPr>
        <w:t>人资格要求</w:t>
      </w:r>
      <w:r>
        <w:rPr>
          <w:color w:val="auto"/>
          <w:highlight w:val="none"/>
        </w:rPr>
        <w:tab/>
      </w:r>
      <w:r>
        <w:rPr>
          <w:color w:val="auto"/>
          <w:highlight w:val="none"/>
        </w:rPr>
        <w:fldChar w:fldCharType="begin"/>
      </w:r>
      <w:r>
        <w:rPr>
          <w:color w:val="auto"/>
          <w:highlight w:val="none"/>
        </w:rPr>
        <w:instrText xml:space="preserve"> PAGEREF _Toc21228 \h </w:instrText>
      </w:r>
      <w:r>
        <w:rPr>
          <w:color w:val="auto"/>
          <w:highlight w:val="none"/>
        </w:rPr>
        <w:fldChar w:fldCharType="separate"/>
      </w:r>
      <w:r>
        <w:rPr>
          <w:color w:val="auto"/>
          <w:highlight w:val="none"/>
        </w:rPr>
        <w:t>6</w:t>
      </w:r>
      <w:r>
        <w:rPr>
          <w:color w:val="auto"/>
          <w:highlight w:val="none"/>
        </w:rPr>
        <w:fldChar w:fldCharType="end"/>
      </w:r>
      <w:r>
        <w:rPr>
          <w:rFonts w:ascii="宋体" w:hAnsi="宋体"/>
          <w:color w:val="auto"/>
          <w:highlight w:val="none"/>
        </w:rPr>
        <w:fldChar w:fldCharType="end"/>
      </w:r>
    </w:p>
    <w:p>
      <w:pPr>
        <w:pStyle w:val="25"/>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_Toc20121 </w:instrText>
      </w:r>
      <w:r>
        <w:rPr>
          <w:rFonts w:ascii="宋体" w:hAnsi="宋体"/>
          <w:color w:val="auto"/>
          <w:highlight w:val="none"/>
        </w:rPr>
        <w:fldChar w:fldCharType="separate"/>
      </w:r>
      <w:r>
        <w:rPr>
          <w:rFonts w:hint="eastAsia" w:ascii="宋体" w:hAnsi="宋体" w:eastAsia="宋体"/>
          <w:color w:val="auto"/>
          <w:szCs w:val="24"/>
          <w:highlight w:val="none"/>
        </w:rPr>
        <w:t>三、比选申请文件内容</w:t>
      </w:r>
      <w:r>
        <w:rPr>
          <w:color w:val="auto"/>
          <w:highlight w:val="none"/>
        </w:rPr>
        <w:tab/>
      </w:r>
      <w:r>
        <w:rPr>
          <w:color w:val="auto"/>
          <w:highlight w:val="none"/>
        </w:rPr>
        <w:fldChar w:fldCharType="begin"/>
      </w:r>
      <w:r>
        <w:rPr>
          <w:color w:val="auto"/>
          <w:highlight w:val="none"/>
        </w:rPr>
        <w:instrText xml:space="preserve"> PAGEREF _Toc20121 \h </w:instrText>
      </w:r>
      <w:r>
        <w:rPr>
          <w:color w:val="auto"/>
          <w:highlight w:val="none"/>
        </w:rPr>
        <w:fldChar w:fldCharType="separate"/>
      </w:r>
      <w:r>
        <w:rPr>
          <w:color w:val="auto"/>
          <w:highlight w:val="none"/>
        </w:rPr>
        <w:t>6</w:t>
      </w:r>
      <w:r>
        <w:rPr>
          <w:color w:val="auto"/>
          <w:highlight w:val="none"/>
        </w:rPr>
        <w:fldChar w:fldCharType="end"/>
      </w:r>
      <w:r>
        <w:rPr>
          <w:rFonts w:ascii="宋体" w:hAnsi="宋体"/>
          <w:color w:val="auto"/>
          <w:highlight w:val="none"/>
        </w:rPr>
        <w:fldChar w:fldCharType="end"/>
      </w:r>
    </w:p>
    <w:p>
      <w:pPr>
        <w:pStyle w:val="25"/>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_Toc1620 </w:instrText>
      </w:r>
      <w:r>
        <w:rPr>
          <w:rFonts w:ascii="宋体" w:hAnsi="宋体"/>
          <w:color w:val="auto"/>
          <w:highlight w:val="none"/>
        </w:rPr>
        <w:fldChar w:fldCharType="separate"/>
      </w:r>
      <w:r>
        <w:rPr>
          <w:rFonts w:hint="eastAsia" w:ascii="宋体" w:hAnsi="宋体" w:eastAsia="宋体"/>
          <w:color w:val="auto"/>
          <w:szCs w:val="24"/>
          <w:highlight w:val="none"/>
        </w:rPr>
        <w:t>四、比选申请文件签字及装订要求</w:t>
      </w:r>
      <w:r>
        <w:rPr>
          <w:color w:val="auto"/>
          <w:highlight w:val="none"/>
        </w:rPr>
        <w:tab/>
      </w:r>
      <w:r>
        <w:rPr>
          <w:color w:val="auto"/>
          <w:highlight w:val="none"/>
        </w:rPr>
        <w:fldChar w:fldCharType="begin"/>
      </w:r>
      <w:r>
        <w:rPr>
          <w:color w:val="auto"/>
          <w:highlight w:val="none"/>
        </w:rPr>
        <w:instrText xml:space="preserve"> PAGEREF _Toc1620 \h </w:instrText>
      </w:r>
      <w:r>
        <w:rPr>
          <w:color w:val="auto"/>
          <w:highlight w:val="none"/>
        </w:rPr>
        <w:fldChar w:fldCharType="separate"/>
      </w:r>
      <w:r>
        <w:rPr>
          <w:color w:val="auto"/>
          <w:highlight w:val="none"/>
        </w:rPr>
        <w:t>7</w:t>
      </w:r>
      <w:r>
        <w:rPr>
          <w:color w:val="auto"/>
          <w:highlight w:val="none"/>
        </w:rPr>
        <w:fldChar w:fldCharType="end"/>
      </w:r>
      <w:r>
        <w:rPr>
          <w:rFonts w:ascii="宋体" w:hAnsi="宋体"/>
          <w:color w:val="auto"/>
          <w:highlight w:val="none"/>
        </w:rPr>
        <w:fldChar w:fldCharType="end"/>
      </w:r>
    </w:p>
    <w:p>
      <w:pPr>
        <w:pStyle w:val="25"/>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_Toc25675 </w:instrText>
      </w:r>
      <w:r>
        <w:rPr>
          <w:rFonts w:ascii="宋体" w:hAnsi="宋体"/>
          <w:color w:val="auto"/>
          <w:highlight w:val="none"/>
        </w:rPr>
        <w:fldChar w:fldCharType="separate"/>
      </w:r>
      <w:r>
        <w:rPr>
          <w:rFonts w:hint="eastAsia" w:ascii="宋体" w:hAnsi="宋体" w:eastAsia="宋体"/>
          <w:color w:val="auto"/>
          <w:szCs w:val="24"/>
          <w:highlight w:val="none"/>
        </w:rPr>
        <w:t>五、比选申请文件的递交</w:t>
      </w:r>
      <w:r>
        <w:rPr>
          <w:color w:val="auto"/>
          <w:highlight w:val="none"/>
        </w:rPr>
        <w:tab/>
      </w:r>
      <w:r>
        <w:rPr>
          <w:color w:val="auto"/>
          <w:highlight w:val="none"/>
        </w:rPr>
        <w:fldChar w:fldCharType="begin"/>
      </w:r>
      <w:r>
        <w:rPr>
          <w:color w:val="auto"/>
          <w:highlight w:val="none"/>
        </w:rPr>
        <w:instrText xml:space="preserve"> PAGEREF _Toc25675 \h </w:instrText>
      </w:r>
      <w:r>
        <w:rPr>
          <w:color w:val="auto"/>
          <w:highlight w:val="none"/>
        </w:rPr>
        <w:fldChar w:fldCharType="separate"/>
      </w:r>
      <w:r>
        <w:rPr>
          <w:color w:val="auto"/>
          <w:highlight w:val="none"/>
        </w:rPr>
        <w:t>7</w:t>
      </w:r>
      <w:r>
        <w:rPr>
          <w:color w:val="auto"/>
          <w:highlight w:val="none"/>
        </w:rPr>
        <w:fldChar w:fldCharType="end"/>
      </w:r>
      <w:r>
        <w:rPr>
          <w:rFonts w:ascii="宋体" w:hAnsi="宋体"/>
          <w:color w:val="auto"/>
          <w:highlight w:val="none"/>
        </w:rPr>
        <w:fldChar w:fldCharType="end"/>
      </w:r>
    </w:p>
    <w:p>
      <w:pPr>
        <w:pStyle w:val="25"/>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_Toc27293 </w:instrText>
      </w:r>
      <w:r>
        <w:rPr>
          <w:rFonts w:ascii="宋体" w:hAnsi="宋体"/>
          <w:color w:val="auto"/>
          <w:highlight w:val="none"/>
        </w:rPr>
        <w:fldChar w:fldCharType="separate"/>
      </w:r>
      <w:r>
        <w:rPr>
          <w:rFonts w:hint="eastAsia" w:ascii="宋体" w:hAnsi="宋体" w:eastAsia="宋体"/>
          <w:color w:val="auto"/>
          <w:szCs w:val="24"/>
          <w:highlight w:val="none"/>
        </w:rPr>
        <w:t>六、比选申请人提出问题的截止时间</w:t>
      </w:r>
      <w:r>
        <w:rPr>
          <w:color w:val="auto"/>
          <w:highlight w:val="none"/>
        </w:rPr>
        <w:tab/>
      </w:r>
      <w:r>
        <w:rPr>
          <w:color w:val="auto"/>
          <w:highlight w:val="none"/>
        </w:rPr>
        <w:fldChar w:fldCharType="begin"/>
      </w:r>
      <w:r>
        <w:rPr>
          <w:color w:val="auto"/>
          <w:highlight w:val="none"/>
        </w:rPr>
        <w:instrText xml:space="preserve"> PAGEREF _Toc27293 \h </w:instrText>
      </w:r>
      <w:r>
        <w:rPr>
          <w:color w:val="auto"/>
          <w:highlight w:val="none"/>
        </w:rPr>
        <w:fldChar w:fldCharType="separate"/>
      </w:r>
      <w:r>
        <w:rPr>
          <w:color w:val="auto"/>
          <w:highlight w:val="none"/>
        </w:rPr>
        <w:t>7</w:t>
      </w:r>
      <w:r>
        <w:rPr>
          <w:color w:val="auto"/>
          <w:highlight w:val="none"/>
        </w:rPr>
        <w:fldChar w:fldCharType="end"/>
      </w:r>
      <w:r>
        <w:rPr>
          <w:rFonts w:ascii="宋体" w:hAnsi="宋体"/>
          <w:color w:val="auto"/>
          <w:highlight w:val="none"/>
        </w:rPr>
        <w:fldChar w:fldCharType="end"/>
      </w:r>
    </w:p>
    <w:p>
      <w:pPr>
        <w:pStyle w:val="25"/>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_Toc10226 </w:instrText>
      </w:r>
      <w:r>
        <w:rPr>
          <w:rFonts w:ascii="宋体" w:hAnsi="宋体"/>
          <w:color w:val="auto"/>
          <w:highlight w:val="none"/>
        </w:rPr>
        <w:fldChar w:fldCharType="separate"/>
      </w:r>
      <w:r>
        <w:rPr>
          <w:rFonts w:hint="eastAsia" w:ascii="宋体" w:hAnsi="宋体" w:eastAsia="宋体"/>
          <w:color w:val="auto"/>
          <w:szCs w:val="24"/>
          <w:highlight w:val="none"/>
        </w:rPr>
        <w:t>七、报价要求</w:t>
      </w:r>
      <w:r>
        <w:rPr>
          <w:color w:val="auto"/>
          <w:highlight w:val="none"/>
        </w:rPr>
        <w:tab/>
      </w:r>
      <w:r>
        <w:rPr>
          <w:color w:val="auto"/>
          <w:highlight w:val="none"/>
        </w:rPr>
        <w:fldChar w:fldCharType="begin"/>
      </w:r>
      <w:r>
        <w:rPr>
          <w:color w:val="auto"/>
          <w:highlight w:val="none"/>
        </w:rPr>
        <w:instrText xml:space="preserve"> PAGEREF _Toc10226 \h </w:instrText>
      </w:r>
      <w:r>
        <w:rPr>
          <w:color w:val="auto"/>
          <w:highlight w:val="none"/>
        </w:rPr>
        <w:fldChar w:fldCharType="separate"/>
      </w:r>
      <w:r>
        <w:rPr>
          <w:color w:val="auto"/>
          <w:highlight w:val="none"/>
        </w:rPr>
        <w:t>8</w:t>
      </w:r>
      <w:r>
        <w:rPr>
          <w:color w:val="auto"/>
          <w:highlight w:val="none"/>
        </w:rPr>
        <w:fldChar w:fldCharType="end"/>
      </w:r>
      <w:r>
        <w:rPr>
          <w:rFonts w:ascii="宋体" w:hAnsi="宋体"/>
          <w:color w:val="auto"/>
          <w:highlight w:val="none"/>
        </w:rPr>
        <w:fldChar w:fldCharType="end"/>
      </w:r>
    </w:p>
    <w:p>
      <w:pPr>
        <w:pStyle w:val="25"/>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_Toc11335 </w:instrText>
      </w:r>
      <w:r>
        <w:rPr>
          <w:rFonts w:ascii="宋体" w:hAnsi="宋体"/>
          <w:color w:val="auto"/>
          <w:highlight w:val="none"/>
        </w:rPr>
        <w:fldChar w:fldCharType="separate"/>
      </w:r>
      <w:r>
        <w:rPr>
          <w:rFonts w:hint="eastAsia" w:ascii="宋体" w:hAnsi="宋体" w:eastAsia="宋体"/>
          <w:color w:val="auto"/>
          <w:szCs w:val="24"/>
          <w:highlight w:val="none"/>
        </w:rPr>
        <w:t>八、评审规则</w:t>
      </w:r>
      <w:r>
        <w:rPr>
          <w:color w:val="auto"/>
          <w:highlight w:val="none"/>
        </w:rPr>
        <w:tab/>
      </w:r>
      <w:r>
        <w:rPr>
          <w:color w:val="auto"/>
          <w:highlight w:val="none"/>
        </w:rPr>
        <w:fldChar w:fldCharType="begin"/>
      </w:r>
      <w:r>
        <w:rPr>
          <w:color w:val="auto"/>
          <w:highlight w:val="none"/>
        </w:rPr>
        <w:instrText xml:space="preserve"> PAGEREF _Toc11335 \h </w:instrText>
      </w:r>
      <w:r>
        <w:rPr>
          <w:color w:val="auto"/>
          <w:highlight w:val="none"/>
        </w:rPr>
        <w:fldChar w:fldCharType="separate"/>
      </w:r>
      <w:r>
        <w:rPr>
          <w:color w:val="auto"/>
          <w:highlight w:val="none"/>
        </w:rPr>
        <w:t>8</w:t>
      </w:r>
      <w:r>
        <w:rPr>
          <w:color w:val="auto"/>
          <w:highlight w:val="none"/>
        </w:rPr>
        <w:fldChar w:fldCharType="end"/>
      </w:r>
      <w:r>
        <w:rPr>
          <w:rFonts w:ascii="宋体" w:hAnsi="宋体"/>
          <w:color w:val="auto"/>
          <w:highlight w:val="none"/>
        </w:rPr>
        <w:fldChar w:fldCharType="end"/>
      </w:r>
    </w:p>
    <w:p>
      <w:pPr>
        <w:pStyle w:val="25"/>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_Toc8894 </w:instrText>
      </w:r>
      <w:r>
        <w:rPr>
          <w:rFonts w:ascii="宋体" w:hAnsi="宋体"/>
          <w:color w:val="auto"/>
          <w:highlight w:val="none"/>
        </w:rPr>
        <w:fldChar w:fldCharType="separate"/>
      </w:r>
      <w:r>
        <w:rPr>
          <w:rFonts w:hint="eastAsia" w:ascii="宋体" w:hAnsi="宋体" w:eastAsia="宋体"/>
          <w:color w:val="auto"/>
          <w:szCs w:val="24"/>
          <w:highlight w:val="none"/>
        </w:rPr>
        <w:t>九、重新比选或不再比选</w:t>
      </w:r>
      <w:r>
        <w:rPr>
          <w:color w:val="auto"/>
          <w:highlight w:val="none"/>
        </w:rPr>
        <w:tab/>
      </w:r>
      <w:r>
        <w:rPr>
          <w:color w:val="auto"/>
          <w:highlight w:val="none"/>
        </w:rPr>
        <w:fldChar w:fldCharType="begin"/>
      </w:r>
      <w:r>
        <w:rPr>
          <w:color w:val="auto"/>
          <w:highlight w:val="none"/>
        </w:rPr>
        <w:instrText xml:space="preserve"> PAGEREF _Toc8894 \h </w:instrText>
      </w:r>
      <w:r>
        <w:rPr>
          <w:color w:val="auto"/>
          <w:highlight w:val="none"/>
        </w:rPr>
        <w:fldChar w:fldCharType="separate"/>
      </w:r>
      <w:r>
        <w:rPr>
          <w:color w:val="auto"/>
          <w:highlight w:val="none"/>
        </w:rPr>
        <w:t>9</w:t>
      </w:r>
      <w:r>
        <w:rPr>
          <w:color w:val="auto"/>
          <w:highlight w:val="none"/>
        </w:rPr>
        <w:fldChar w:fldCharType="end"/>
      </w:r>
      <w:r>
        <w:rPr>
          <w:rFonts w:ascii="宋体" w:hAnsi="宋体"/>
          <w:color w:val="auto"/>
          <w:highlight w:val="none"/>
        </w:rPr>
        <w:fldChar w:fldCharType="end"/>
      </w:r>
    </w:p>
    <w:p>
      <w:pPr>
        <w:pStyle w:val="25"/>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_Toc19365 </w:instrText>
      </w:r>
      <w:r>
        <w:rPr>
          <w:rFonts w:ascii="宋体" w:hAnsi="宋体"/>
          <w:color w:val="auto"/>
          <w:highlight w:val="none"/>
        </w:rPr>
        <w:fldChar w:fldCharType="separate"/>
      </w:r>
      <w:r>
        <w:rPr>
          <w:rFonts w:hint="eastAsia" w:ascii="宋体" w:hAnsi="宋体" w:eastAsia="宋体"/>
          <w:color w:val="auto"/>
          <w:szCs w:val="24"/>
          <w:highlight w:val="none"/>
        </w:rPr>
        <w:t>九、比选申请有效期</w:t>
      </w:r>
      <w:r>
        <w:rPr>
          <w:color w:val="auto"/>
          <w:highlight w:val="none"/>
        </w:rPr>
        <w:tab/>
      </w:r>
      <w:r>
        <w:rPr>
          <w:color w:val="auto"/>
          <w:highlight w:val="none"/>
        </w:rPr>
        <w:fldChar w:fldCharType="begin"/>
      </w:r>
      <w:r>
        <w:rPr>
          <w:color w:val="auto"/>
          <w:highlight w:val="none"/>
        </w:rPr>
        <w:instrText xml:space="preserve"> PAGEREF _Toc19365 \h </w:instrText>
      </w:r>
      <w:r>
        <w:rPr>
          <w:color w:val="auto"/>
          <w:highlight w:val="none"/>
        </w:rPr>
        <w:fldChar w:fldCharType="separate"/>
      </w:r>
      <w:r>
        <w:rPr>
          <w:color w:val="auto"/>
          <w:highlight w:val="none"/>
        </w:rPr>
        <w:t>9</w:t>
      </w:r>
      <w:r>
        <w:rPr>
          <w:color w:val="auto"/>
          <w:highlight w:val="none"/>
        </w:rPr>
        <w:fldChar w:fldCharType="end"/>
      </w:r>
      <w:r>
        <w:rPr>
          <w:rFonts w:ascii="宋体" w:hAnsi="宋体"/>
          <w:color w:val="auto"/>
          <w:highlight w:val="none"/>
        </w:rPr>
        <w:fldChar w:fldCharType="end"/>
      </w:r>
    </w:p>
    <w:p>
      <w:pPr>
        <w:pStyle w:val="25"/>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_Toc10231 </w:instrText>
      </w:r>
      <w:r>
        <w:rPr>
          <w:rFonts w:ascii="宋体" w:hAnsi="宋体"/>
          <w:color w:val="auto"/>
          <w:highlight w:val="none"/>
        </w:rPr>
        <w:fldChar w:fldCharType="separate"/>
      </w:r>
      <w:r>
        <w:rPr>
          <w:rFonts w:hint="eastAsia" w:ascii="宋体" w:hAnsi="宋体" w:eastAsia="宋体"/>
          <w:color w:val="auto"/>
          <w:szCs w:val="24"/>
          <w:highlight w:val="none"/>
        </w:rPr>
        <w:t>十、比选保证金</w:t>
      </w:r>
      <w:r>
        <w:rPr>
          <w:color w:val="auto"/>
          <w:highlight w:val="none"/>
        </w:rPr>
        <w:tab/>
      </w:r>
      <w:r>
        <w:rPr>
          <w:color w:val="auto"/>
          <w:highlight w:val="none"/>
        </w:rPr>
        <w:fldChar w:fldCharType="begin"/>
      </w:r>
      <w:r>
        <w:rPr>
          <w:color w:val="auto"/>
          <w:highlight w:val="none"/>
        </w:rPr>
        <w:instrText xml:space="preserve"> PAGEREF _Toc10231 \h </w:instrText>
      </w:r>
      <w:r>
        <w:rPr>
          <w:color w:val="auto"/>
          <w:highlight w:val="none"/>
        </w:rPr>
        <w:fldChar w:fldCharType="separate"/>
      </w:r>
      <w:r>
        <w:rPr>
          <w:color w:val="auto"/>
          <w:highlight w:val="none"/>
        </w:rPr>
        <w:t>9</w:t>
      </w:r>
      <w:r>
        <w:rPr>
          <w:color w:val="auto"/>
          <w:highlight w:val="none"/>
        </w:rPr>
        <w:fldChar w:fldCharType="end"/>
      </w:r>
      <w:r>
        <w:rPr>
          <w:rFonts w:ascii="宋体" w:hAnsi="宋体"/>
          <w:color w:val="auto"/>
          <w:highlight w:val="none"/>
        </w:rPr>
        <w:fldChar w:fldCharType="end"/>
      </w:r>
    </w:p>
    <w:p>
      <w:pPr>
        <w:pStyle w:val="25"/>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_Toc23074 </w:instrText>
      </w:r>
      <w:r>
        <w:rPr>
          <w:rFonts w:ascii="宋体" w:hAnsi="宋体"/>
          <w:color w:val="auto"/>
          <w:highlight w:val="none"/>
        </w:rPr>
        <w:fldChar w:fldCharType="separate"/>
      </w:r>
      <w:r>
        <w:rPr>
          <w:rFonts w:hint="eastAsia" w:ascii="宋体" w:hAnsi="宋体" w:eastAsia="宋体"/>
          <w:color w:val="auto"/>
          <w:szCs w:val="24"/>
          <w:highlight w:val="none"/>
        </w:rPr>
        <w:t>十一、</w:t>
      </w:r>
      <w:r>
        <w:rPr>
          <w:rFonts w:hint="eastAsia" w:ascii="宋体" w:hAnsi="宋体"/>
          <w:color w:val="auto"/>
          <w:szCs w:val="24"/>
          <w:highlight w:val="none"/>
          <w:lang w:eastAsia="zh-CN"/>
        </w:rPr>
        <w:t>履约保证金</w:t>
      </w:r>
      <w:r>
        <w:rPr>
          <w:color w:val="auto"/>
          <w:highlight w:val="none"/>
        </w:rPr>
        <w:tab/>
      </w:r>
      <w:r>
        <w:rPr>
          <w:color w:val="auto"/>
          <w:highlight w:val="none"/>
        </w:rPr>
        <w:fldChar w:fldCharType="begin"/>
      </w:r>
      <w:r>
        <w:rPr>
          <w:color w:val="auto"/>
          <w:highlight w:val="none"/>
        </w:rPr>
        <w:instrText xml:space="preserve"> PAGEREF _Toc23074 \h </w:instrText>
      </w:r>
      <w:r>
        <w:rPr>
          <w:color w:val="auto"/>
          <w:highlight w:val="none"/>
        </w:rPr>
        <w:fldChar w:fldCharType="separate"/>
      </w:r>
      <w:r>
        <w:rPr>
          <w:color w:val="auto"/>
          <w:highlight w:val="none"/>
        </w:rPr>
        <w:t>9</w:t>
      </w:r>
      <w:r>
        <w:rPr>
          <w:color w:val="auto"/>
          <w:highlight w:val="none"/>
        </w:rPr>
        <w:fldChar w:fldCharType="end"/>
      </w:r>
      <w:r>
        <w:rPr>
          <w:rFonts w:ascii="宋体" w:hAnsi="宋体"/>
          <w:color w:val="auto"/>
          <w:highlight w:val="none"/>
        </w:rPr>
        <w:fldChar w:fldCharType="end"/>
      </w:r>
    </w:p>
    <w:p>
      <w:pPr>
        <w:pStyle w:val="25"/>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_Toc18864 </w:instrText>
      </w:r>
      <w:r>
        <w:rPr>
          <w:rFonts w:ascii="宋体" w:hAnsi="宋体"/>
          <w:color w:val="auto"/>
          <w:highlight w:val="none"/>
        </w:rPr>
        <w:fldChar w:fldCharType="separate"/>
      </w:r>
      <w:r>
        <w:rPr>
          <w:rFonts w:hint="eastAsia" w:ascii="宋体" w:hAnsi="宋体" w:eastAsia="宋体"/>
          <w:color w:val="auto"/>
          <w:szCs w:val="24"/>
          <w:highlight w:val="none"/>
        </w:rPr>
        <w:t>十二、不良信用名单条款</w:t>
      </w:r>
      <w:r>
        <w:rPr>
          <w:color w:val="auto"/>
          <w:highlight w:val="none"/>
        </w:rPr>
        <w:tab/>
      </w:r>
      <w:r>
        <w:rPr>
          <w:color w:val="auto"/>
          <w:highlight w:val="none"/>
        </w:rPr>
        <w:fldChar w:fldCharType="begin"/>
      </w:r>
      <w:r>
        <w:rPr>
          <w:color w:val="auto"/>
          <w:highlight w:val="none"/>
        </w:rPr>
        <w:instrText xml:space="preserve"> PAGEREF _Toc18864 \h </w:instrText>
      </w:r>
      <w:r>
        <w:rPr>
          <w:color w:val="auto"/>
          <w:highlight w:val="none"/>
        </w:rPr>
        <w:fldChar w:fldCharType="separate"/>
      </w:r>
      <w:r>
        <w:rPr>
          <w:color w:val="auto"/>
          <w:highlight w:val="none"/>
        </w:rPr>
        <w:t>10</w:t>
      </w:r>
      <w:r>
        <w:rPr>
          <w:color w:val="auto"/>
          <w:highlight w:val="none"/>
        </w:rPr>
        <w:fldChar w:fldCharType="end"/>
      </w:r>
      <w:r>
        <w:rPr>
          <w:rFonts w:ascii="宋体" w:hAnsi="宋体"/>
          <w:color w:val="auto"/>
          <w:highlight w:val="none"/>
        </w:rPr>
        <w:fldChar w:fldCharType="end"/>
      </w:r>
    </w:p>
    <w:p>
      <w:pPr>
        <w:pStyle w:val="20"/>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_Toc5766 </w:instrText>
      </w:r>
      <w:r>
        <w:rPr>
          <w:rFonts w:ascii="宋体" w:hAnsi="宋体"/>
          <w:color w:val="auto"/>
          <w:highlight w:val="none"/>
        </w:rPr>
        <w:fldChar w:fldCharType="separate"/>
      </w:r>
      <w:r>
        <w:rPr>
          <w:rFonts w:hint="eastAsia" w:hAnsi="宋体"/>
          <w:color w:val="auto"/>
          <w:szCs w:val="44"/>
          <w:highlight w:val="none"/>
        </w:rPr>
        <w:t>第三章 合同条款及格式</w:t>
      </w:r>
      <w:r>
        <w:rPr>
          <w:color w:val="auto"/>
          <w:highlight w:val="none"/>
        </w:rPr>
        <w:tab/>
      </w:r>
      <w:r>
        <w:rPr>
          <w:color w:val="auto"/>
          <w:highlight w:val="none"/>
        </w:rPr>
        <w:fldChar w:fldCharType="begin"/>
      </w:r>
      <w:r>
        <w:rPr>
          <w:color w:val="auto"/>
          <w:highlight w:val="none"/>
        </w:rPr>
        <w:instrText xml:space="preserve"> PAGEREF _Toc5766 \h </w:instrText>
      </w:r>
      <w:r>
        <w:rPr>
          <w:color w:val="auto"/>
          <w:highlight w:val="none"/>
        </w:rPr>
        <w:fldChar w:fldCharType="separate"/>
      </w:r>
      <w:r>
        <w:rPr>
          <w:color w:val="auto"/>
          <w:highlight w:val="none"/>
        </w:rPr>
        <w:t>11</w:t>
      </w:r>
      <w:r>
        <w:rPr>
          <w:color w:val="auto"/>
          <w:highlight w:val="none"/>
        </w:rPr>
        <w:fldChar w:fldCharType="end"/>
      </w:r>
      <w:r>
        <w:rPr>
          <w:rFonts w:ascii="宋体" w:hAnsi="宋体"/>
          <w:color w:val="auto"/>
          <w:highlight w:val="none"/>
        </w:rPr>
        <w:fldChar w:fldCharType="end"/>
      </w:r>
    </w:p>
    <w:p>
      <w:pPr>
        <w:pStyle w:val="25"/>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_Toc5235 </w:instrText>
      </w:r>
      <w:r>
        <w:rPr>
          <w:rFonts w:ascii="宋体" w:hAnsi="宋体"/>
          <w:color w:val="auto"/>
          <w:highlight w:val="none"/>
        </w:rPr>
        <w:fldChar w:fldCharType="separate"/>
      </w:r>
      <w:r>
        <w:rPr>
          <w:rFonts w:hint="eastAsia" w:ascii="宋体" w:hAnsi="宋体"/>
          <w:color w:val="auto"/>
          <w:szCs w:val="32"/>
          <w:highlight w:val="none"/>
        </w:rPr>
        <w:t>第一部分 合同协议书</w:t>
      </w:r>
      <w:r>
        <w:rPr>
          <w:color w:val="auto"/>
          <w:highlight w:val="none"/>
        </w:rPr>
        <w:tab/>
      </w:r>
      <w:r>
        <w:rPr>
          <w:color w:val="auto"/>
          <w:highlight w:val="none"/>
        </w:rPr>
        <w:fldChar w:fldCharType="begin"/>
      </w:r>
      <w:r>
        <w:rPr>
          <w:color w:val="auto"/>
          <w:highlight w:val="none"/>
        </w:rPr>
        <w:instrText xml:space="preserve"> PAGEREF _Toc5235 \h </w:instrText>
      </w:r>
      <w:r>
        <w:rPr>
          <w:color w:val="auto"/>
          <w:highlight w:val="none"/>
        </w:rPr>
        <w:fldChar w:fldCharType="separate"/>
      </w:r>
      <w:r>
        <w:rPr>
          <w:color w:val="auto"/>
          <w:highlight w:val="none"/>
        </w:rPr>
        <w:t>16</w:t>
      </w:r>
      <w:r>
        <w:rPr>
          <w:color w:val="auto"/>
          <w:highlight w:val="none"/>
        </w:rPr>
        <w:fldChar w:fldCharType="end"/>
      </w:r>
      <w:r>
        <w:rPr>
          <w:rFonts w:ascii="宋体" w:hAnsi="宋体"/>
          <w:color w:val="auto"/>
          <w:highlight w:val="none"/>
        </w:rPr>
        <w:fldChar w:fldCharType="end"/>
      </w:r>
    </w:p>
    <w:p>
      <w:pPr>
        <w:pStyle w:val="25"/>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_Toc2196 </w:instrText>
      </w:r>
      <w:r>
        <w:rPr>
          <w:rFonts w:ascii="宋体" w:hAnsi="宋体"/>
          <w:color w:val="auto"/>
          <w:highlight w:val="none"/>
        </w:rPr>
        <w:fldChar w:fldCharType="separate"/>
      </w:r>
      <w:r>
        <w:rPr>
          <w:rFonts w:ascii="Times New Roman" w:hAnsi="Times New Roman" w:eastAsia="宋体"/>
          <w:color w:val="auto"/>
          <w:highlight w:val="none"/>
        </w:rPr>
        <w:t>第二部分</w:t>
      </w:r>
      <w:r>
        <w:rPr>
          <w:rFonts w:hint="eastAsia" w:ascii="Times New Roman" w:hAnsi="Times New Roman" w:eastAsia="宋体"/>
          <w:color w:val="auto"/>
          <w:highlight w:val="none"/>
        </w:rPr>
        <w:t xml:space="preserve"> 中选通知书</w:t>
      </w:r>
      <w:r>
        <w:rPr>
          <w:color w:val="auto"/>
          <w:highlight w:val="none"/>
        </w:rPr>
        <w:tab/>
      </w:r>
      <w:r>
        <w:rPr>
          <w:color w:val="auto"/>
          <w:highlight w:val="none"/>
        </w:rPr>
        <w:fldChar w:fldCharType="begin"/>
      </w:r>
      <w:r>
        <w:rPr>
          <w:color w:val="auto"/>
          <w:highlight w:val="none"/>
        </w:rPr>
        <w:instrText xml:space="preserve"> PAGEREF _Toc2196 \h </w:instrText>
      </w:r>
      <w:r>
        <w:rPr>
          <w:color w:val="auto"/>
          <w:highlight w:val="none"/>
        </w:rPr>
        <w:fldChar w:fldCharType="separate"/>
      </w:r>
      <w:r>
        <w:rPr>
          <w:color w:val="auto"/>
          <w:highlight w:val="none"/>
        </w:rPr>
        <w:t>18</w:t>
      </w:r>
      <w:r>
        <w:rPr>
          <w:color w:val="auto"/>
          <w:highlight w:val="none"/>
        </w:rPr>
        <w:fldChar w:fldCharType="end"/>
      </w:r>
      <w:r>
        <w:rPr>
          <w:rFonts w:ascii="宋体" w:hAnsi="宋体"/>
          <w:color w:val="auto"/>
          <w:highlight w:val="none"/>
        </w:rPr>
        <w:fldChar w:fldCharType="end"/>
      </w:r>
    </w:p>
    <w:p>
      <w:pPr>
        <w:pStyle w:val="25"/>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_Toc20710 </w:instrText>
      </w:r>
      <w:r>
        <w:rPr>
          <w:rFonts w:ascii="宋体" w:hAnsi="宋体"/>
          <w:color w:val="auto"/>
          <w:highlight w:val="none"/>
        </w:rPr>
        <w:fldChar w:fldCharType="separate"/>
      </w:r>
      <w:r>
        <w:rPr>
          <w:rFonts w:hint="eastAsia" w:ascii="宋体" w:hAnsi="宋体"/>
          <w:color w:val="auto"/>
          <w:szCs w:val="32"/>
          <w:highlight w:val="none"/>
        </w:rPr>
        <w:t>第</w:t>
      </w:r>
      <w:r>
        <w:rPr>
          <w:rFonts w:hint="eastAsia" w:ascii="宋体" w:hAnsi="宋体"/>
          <w:color w:val="auto"/>
          <w:szCs w:val="32"/>
          <w:highlight w:val="none"/>
          <w:lang w:val="en-US" w:eastAsia="zh-CN"/>
        </w:rPr>
        <w:t>三</w:t>
      </w:r>
      <w:r>
        <w:rPr>
          <w:rFonts w:hint="eastAsia" w:ascii="宋体" w:hAnsi="宋体"/>
          <w:color w:val="auto"/>
          <w:szCs w:val="32"/>
          <w:highlight w:val="none"/>
        </w:rPr>
        <w:t>部分 合同条款</w:t>
      </w:r>
      <w:r>
        <w:rPr>
          <w:color w:val="auto"/>
          <w:highlight w:val="none"/>
        </w:rPr>
        <w:tab/>
      </w:r>
      <w:r>
        <w:rPr>
          <w:color w:val="auto"/>
          <w:highlight w:val="none"/>
        </w:rPr>
        <w:fldChar w:fldCharType="begin"/>
      </w:r>
      <w:r>
        <w:rPr>
          <w:color w:val="auto"/>
          <w:highlight w:val="none"/>
        </w:rPr>
        <w:instrText xml:space="preserve"> PAGEREF _Toc20710 \h </w:instrText>
      </w:r>
      <w:r>
        <w:rPr>
          <w:color w:val="auto"/>
          <w:highlight w:val="none"/>
        </w:rPr>
        <w:fldChar w:fldCharType="separate"/>
      </w:r>
      <w:r>
        <w:rPr>
          <w:color w:val="auto"/>
          <w:highlight w:val="none"/>
        </w:rPr>
        <w:t>19</w:t>
      </w:r>
      <w:r>
        <w:rPr>
          <w:color w:val="auto"/>
          <w:highlight w:val="none"/>
        </w:rPr>
        <w:fldChar w:fldCharType="end"/>
      </w:r>
      <w:r>
        <w:rPr>
          <w:rFonts w:ascii="宋体" w:hAnsi="宋体"/>
          <w:color w:val="auto"/>
          <w:highlight w:val="none"/>
        </w:rPr>
        <w:fldChar w:fldCharType="end"/>
      </w:r>
    </w:p>
    <w:p>
      <w:pPr>
        <w:pStyle w:val="25"/>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_Toc32383 </w:instrText>
      </w:r>
      <w:r>
        <w:rPr>
          <w:rFonts w:ascii="宋体" w:hAnsi="宋体"/>
          <w:color w:val="auto"/>
          <w:highlight w:val="none"/>
        </w:rPr>
        <w:fldChar w:fldCharType="separate"/>
      </w:r>
      <w:r>
        <w:rPr>
          <w:rFonts w:ascii="Times New Roman" w:hAnsi="Times New Roman" w:eastAsia="宋体"/>
          <w:color w:val="auto"/>
          <w:highlight w:val="none"/>
        </w:rPr>
        <w:t>第</w:t>
      </w:r>
      <w:r>
        <w:rPr>
          <w:rFonts w:hint="eastAsia" w:ascii="Times New Roman" w:hAnsi="Times New Roman" w:eastAsia="宋体"/>
          <w:color w:val="auto"/>
          <w:highlight w:val="none"/>
          <w:lang w:val="en-US" w:eastAsia="zh-CN"/>
        </w:rPr>
        <w:t>四</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价格组成文件</w:t>
      </w:r>
      <w:r>
        <w:rPr>
          <w:color w:val="auto"/>
          <w:highlight w:val="none"/>
        </w:rPr>
        <w:tab/>
      </w:r>
      <w:r>
        <w:rPr>
          <w:color w:val="auto"/>
          <w:highlight w:val="none"/>
        </w:rPr>
        <w:fldChar w:fldCharType="begin"/>
      </w:r>
      <w:r>
        <w:rPr>
          <w:color w:val="auto"/>
          <w:highlight w:val="none"/>
        </w:rPr>
        <w:instrText xml:space="preserve"> PAGEREF _Toc32383 \h </w:instrText>
      </w:r>
      <w:r>
        <w:rPr>
          <w:color w:val="auto"/>
          <w:highlight w:val="none"/>
        </w:rPr>
        <w:fldChar w:fldCharType="separate"/>
      </w:r>
      <w:r>
        <w:rPr>
          <w:color w:val="auto"/>
          <w:highlight w:val="none"/>
        </w:rPr>
        <w:t>30</w:t>
      </w:r>
      <w:r>
        <w:rPr>
          <w:color w:val="auto"/>
          <w:highlight w:val="none"/>
        </w:rPr>
        <w:fldChar w:fldCharType="end"/>
      </w:r>
      <w:r>
        <w:rPr>
          <w:rFonts w:ascii="宋体" w:hAnsi="宋体"/>
          <w:color w:val="auto"/>
          <w:highlight w:val="none"/>
        </w:rPr>
        <w:fldChar w:fldCharType="end"/>
      </w:r>
    </w:p>
    <w:p>
      <w:pPr>
        <w:pStyle w:val="25"/>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_Toc17399 </w:instrText>
      </w:r>
      <w:r>
        <w:rPr>
          <w:rFonts w:ascii="宋体" w:hAnsi="宋体"/>
          <w:color w:val="auto"/>
          <w:highlight w:val="none"/>
        </w:rPr>
        <w:fldChar w:fldCharType="separate"/>
      </w:r>
      <w:r>
        <w:rPr>
          <w:rFonts w:ascii="Times New Roman" w:hAnsi="Times New Roman" w:eastAsia="宋体"/>
          <w:color w:val="auto"/>
          <w:highlight w:val="none"/>
        </w:rPr>
        <w:t>第</w:t>
      </w:r>
      <w:r>
        <w:rPr>
          <w:rFonts w:hint="eastAsia" w:ascii="Times New Roman" w:hAnsi="Times New Roman" w:eastAsia="宋体"/>
          <w:color w:val="auto"/>
          <w:highlight w:val="none"/>
        </w:rPr>
        <w:t>五</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技术规格书</w:t>
      </w:r>
      <w:r>
        <w:rPr>
          <w:color w:val="auto"/>
          <w:highlight w:val="none"/>
        </w:rPr>
        <w:tab/>
      </w:r>
      <w:r>
        <w:rPr>
          <w:color w:val="auto"/>
          <w:highlight w:val="none"/>
        </w:rPr>
        <w:fldChar w:fldCharType="begin"/>
      </w:r>
      <w:r>
        <w:rPr>
          <w:color w:val="auto"/>
          <w:highlight w:val="none"/>
        </w:rPr>
        <w:instrText xml:space="preserve"> PAGEREF _Toc17399 \h </w:instrText>
      </w:r>
      <w:r>
        <w:rPr>
          <w:color w:val="auto"/>
          <w:highlight w:val="none"/>
        </w:rPr>
        <w:fldChar w:fldCharType="separate"/>
      </w:r>
      <w:r>
        <w:rPr>
          <w:color w:val="auto"/>
          <w:highlight w:val="none"/>
        </w:rPr>
        <w:t>31</w:t>
      </w:r>
      <w:r>
        <w:rPr>
          <w:color w:val="auto"/>
          <w:highlight w:val="none"/>
        </w:rPr>
        <w:fldChar w:fldCharType="end"/>
      </w:r>
      <w:r>
        <w:rPr>
          <w:rFonts w:ascii="宋体" w:hAnsi="宋体"/>
          <w:color w:val="auto"/>
          <w:highlight w:val="none"/>
        </w:rPr>
        <w:fldChar w:fldCharType="end"/>
      </w:r>
    </w:p>
    <w:p>
      <w:pPr>
        <w:pStyle w:val="25"/>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_Toc8955 </w:instrText>
      </w:r>
      <w:r>
        <w:rPr>
          <w:rFonts w:ascii="宋体" w:hAnsi="宋体"/>
          <w:color w:val="auto"/>
          <w:highlight w:val="none"/>
        </w:rPr>
        <w:fldChar w:fldCharType="separate"/>
      </w:r>
      <w:r>
        <w:rPr>
          <w:rFonts w:ascii="宋体" w:hAnsi="宋体" w:eastAsia="宋体"/>
          <w:iCs/>
          <w:color w:val="auto"/>
          <w:highlight w:val="none"/>
        </w:rPr>
        <w:t>第</w:t>
      </w:r>
      <w:r>
        <w:rPr>
          <w:rFonts w:hint="eastAsia" w:ascii="宋体" w:hAnsi="宋体" w:eastAsia="宋体"/>
          <w:iCs/>
          <w:color w:val="auto"/>
          <w:highlight w:val="none"/>
        </w:rPr>
        <w:t>六</w:t>
      </w:r>
      <w:r>
        <w:rPr>
          <w:rFonts w:ascii="宋体" w:hAnsi="宋体" w:eastAsia="宋体"/>
          <w:iCs/>
          <w:color w:val="auto"/>
          <w:highlight w:val="none"/>
        </w:rPr>
        <w:t>部分</w:t>
      </w:r>
      <w:r>
        <w:rPr>
          <w:rFonts w:hint="eastAsia" w:ascii="宋体" w:hAnsi="宋体" w:eastAsia="宋体"/>
          <w:iCs/>
          <w:color w:val="auto"/>
          <w:highlight w:val="none"/>
        </w:rPr>
        <w:t xml:space="preserve"> </w:t>
      </w:r>
      <w:r>
        <w:rPr>
          <w:rFonts w:ascii="宋体" w:hAnsi="宋体" w:eastAsia="宋体"/>
          <w:iCs/>
          <w:color w:val="auto"/>
          <w:highlight w:val="none"/>
        </w:rPr>
        <w:t>合同附件</w:t>
      </w:r>
      <w:r>
        <w:rPr>
          <w:color w:val="auto"/>
          <w:highlight w:val="none"/>
        </w:rPr>
        <w:tab/>
      </w:r>
      <w:r>
        <w:rPr>
          <w:color w:val="auto"/>
          <w:highlight w:val="none"/>
        </w:rPr>
        <w:fldChar w:fldCharType="begin"/>
      </w:r>
      <w:r>
        <w:rPr>
          <w:color w:val="auto"/>
          <w:highlight w:val="none"/>
        </w:rPr>
        <w:instrText xml:space="preserve"> PAGEREF _Toc8955 \h </w:instrText>
      </w:r>
      <w:r>
        <w:rPr>
          <w:color w:val="auto"/>
          <w:highlight w:val="none"/>
        </w:rPr>
        <w:fldChar w:fldCharType="separate"/>
      </w:r>
      <w:r>
        <w:rPr>
          <w:color w:val="auto"/>
          <w:highlight w:val="none"/>
        </w:rPr>
        <w:t>32</w:t>
      </w:r>
      <w:r>
        <w:rPr>
          <w:color w:val="auto"/>
          <w:highlight w:val="none"/>
        </w:rPr>
        <w:fldChar w:fldCharType="end"/>
      </w:r>
      <w:r>
        <w:rPr>
          <w:rFonts w:ascii="宋体" w:hAnsi="宋体"/>
          <w:color w:val="auto"/>
          <w:highlight w:val="none"/>
        </w:rPr>
        <w:fldChar w:fldCharType="end"/>
      </w:r>
    </w:p>
    <w:p>
      <w:pPr>
        <w:pStyle w:val="25"/>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_Toc26901 </w:instrText>
      </w:r>
      <w:r>
        <w:rPr>
          <w:rFonts w:ascii="宋体" w:hAnsi="宋体"/>
          <w:color w:val="auto"/>
          <w:highlight w:val="none"/>
        </w:rPr>
        <w:fldChar w:fldCharType="separate"/>
      </w:r>
      <w:r>
        <w:rPr>
          <w:rFonts w:ascii="Times New Roman" w:hAnsi="Times New Roman" w:eastAsia="宋体"/>
          <w:color w:val="auto"/>
          <w:highlight w:val="none"/>
        </w:rPr>
        <w:t>第</w:t>
      </w:r>
      <w:r>
        <w:rPr>
          <w:rFonts w:hint="eastAsia" w:ascii="Times New Roman" w:hAnsi="Times New Roman" w:eastAsia="宋体"/>
          <w:color w:val="auto"/>
          <w:highlight w:val="none"/>
        </w:rPr>
        <w:t>七</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比选文件</w:t>
      </w:r>
      <w:r>
        <w:rPr>
          <w:color w:val="auto"/>
          <w:highlight w:val="none"/>
        </w:rPr>
        <w:tab/>
      </w:r>
      <w:r>
        <w:rPr>
          <w:color w:val="auto"/>
          <w:highlight w:val="none"/>
        </w:rPr>
        <w:fldChar w:fldCharType="begin"/>
      </w:r>
      <w:r>
        <w:rPr>
          <w:color w:val="auto"/>
          <w:highlight w:val="none"/>
        </w:rPr>
        <w:instrText xml:space="preserve"> PAGEREF _Toc26901 \h </w:instrText>
      </w:r>
      <w:r>
        <w:rPr>
          <w:color w:val="auto"/>
          <w:highlight w:val="none"/>
        </w:rPr>
        <w:fldChar w:fldCharType="separate"/>
      </w:r>
      <w:r>
        <w:rPr>
          <w:color w:val="auto"/>
          <w:highlight w:val="none"/>
        </w:rPr>
        <w:t>33</w:t>
      </w:r>
      <w:r>
        <w:rPr>
          <w:color w:val="auto"/>
          <w:highlight w:val="none"/>
        </w:rPr>
        <w:fldChar w:fldCharType="end"/>
      </w:r>
      <w:r>
        <w:rPr>
          <w:rFonts w:ascii="宋体" w:hAnsi="宋体"/>
          <w:color w:val="auto"/>
          <w:highlight w:val="none"/>
        </w:rPr>
        <w:fldChar w:fldCharType="end"/>
      </w:r>
    </w:p>
    <w:p>
      <w:pPr>
        <w:pStyle w:val="25"/>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_Toc22786 </w:instrText>
      </w:r>
      <w:r>
        <w:rPr>
          <w:rFonts w:ascii="宋体" w:hAnsi="宋体"/>
          <w:color w:val="auto"/>
          <w:highlight w:val="none"/>
        </w:rPr>
        <w:fldChar w:fldCharType="separate"/>
      </w:r>
      <w:r>
        <w:rPr>
          <w:rFonts w:ascii="Times New Roman" w:hAnsi="Times New Roman" w:eastAsia="宋体"/>
          <w:color w:val="auto"/>
          <w:highlight w:val="none"/>
        </w:rPr>
        <w:t>第</w:t>
      </w:r>
      <w:r>
        <w:rPr>
          <w:rFonts w:hint="eastAsia" w:ascii="Times New Roman" w:hAnsi="Times New Roman" w:eastAsia="宋体"/>
          <w:color w:val="auto"/>
          <w:highlight w:val="none"/>
        </w:rPr>
        <w:t>八</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比选申请文件</w:t>
      </w:r>
      <w:r>
        <w:rPr>
          <w:color w:val="auto"/>
          <w:highlight w:val="none"/>
        </w:rPr>
        <w:tab/>
      </w:r>
      <w:r>
        <w:rPr>
          <w:color w:val="auto"/>
          <w:highlight w:val="none"/>
        </w:rPr>
        <w:fldChar w:fldCharType="begin"/>
      </w:r>
      <w:r>
        <w:rPr>
          <w:color w:val="auto"/>
          <w:highlight w:val="none"/>
        </w:rPr>
        <w:instrText xml:space="preserve"> PAGEREF _Toc22786 \h </w:instrText>
      </w:r>
      <w:r>
        <w:rPr>
          <w:color w:val="auto"/>
          <w:highlight w:val="none"/>
        </w:rPr>
        <w:fldChar w:fldCharType="separate"/>
      </w:r>
      <w:r>
        <w:rPr>
          <w:color w:val="auto"/>
          <w:highlight w:val="none"/>
        </w:rPr>
        <w:t>34</w:t>
      </w:r>
      <w:r>
        <w:rPr>
          <w:color w:val="auto"/>
          <w:highlight w:val="none"/>
        </w:rPr>
        <w:fldChar w:fldCharType="end"/>
      </w:r>
      <w:r>
        <w:rPr>
          <w:rFonts w:ascii="宋体" w:hAnsi="宋体"/>
          <w:color w:val="auto"/>
          <w:highlight w:val="none"/>
        </w:rPr>
        <w:fldChar w:fldCharType="end"/>
      </w:r>
    </w:p>
    <w:p>
      <w:pPr>
        <w:pStyle w:val="20"/>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_Toc16253 </w:instrText>
      </w:r>
      <w:r>
        <w:rPr>
          <w:rFonts w:ascii="宋体" w:hAnsi="宋体"/>
          <w:color w:val="auto"/>
          <w:highlight w:val="none"/>
        </w:rPr>
        <w:fldChar w:fldCharType="separate"/>
      </w:r>
      <w:r>
        <w:rPr>
          <w:rFonts w:hint="eastAsia" w:ascii="宋体" w:hAnsi="宋体" w:eastAsia="宋体"/>
          <w:color w:val="auto"/>
          <w:highlight w:val="none"/>
        </w:rPr>
        <w:t>第四章比选申请文件格式</w:t>
      </w:r>
      <w:r>
        <w:rPr>
          <w:color w:val="auto"/>
          <w:highlight w:val="none"/>
        </w:rPr>
        <w:tab/>
      </w:r>
      <w:r>
        <w:rPr>
          <w:color w:val="auto"/>
          <w:highlight w:val="none"/>
        </w:rPr>
        <w:fldChar w:fldCharType="begin"/>
      </w:r>
      <w:r>
        <w:rPr>
          <w:color w:val="auto"/>
          <w:highlight w:val="none"/>
        </w:rPr>
        <w:instrText xml:space="preserve"> PAGEREF _Toc16253 \h </w:instrText>
      </w:r>
      <w:r>
        <w:rPr>
          <w:color w:val="auto"/>
          <w:highlight w:val="none"/>
        </w:rPr>
        <w:fldChar w:fldCharType="separate"/>
      </w:r>
      <w:r>
        <w:rPr>
          <w:color w:val="auto"/>
          <w:highlight w:val="none"/>
        </w:rPr>
        <w:t>35</w:t>
      </w:r>
      <w:r>
        <w:rPr>
          <w:color w:val="auto"/>
          <w:highlight w:val="none"/>
        </w:rPr>
        <w:fldChar w:fldCharType="end"/>
      </w:r>
      <w:r>
        <w:rPr>
          <w:rFonts w:ascii="宋体" w:hAnsi="宋体"/>
          <w:color w:val="auto"/>
          <w:highlight w:val="none"/>
        </w:rPr>
        <w:fldChar w:fldCharType="end"/>
      </w:r>
    </w:p>
    <w:p>
      <w:pPr>
        <w:pStyle w:val="25"/>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_Toc12923 </w:instrText>
      </w:r>
      <w:r>
        <w:rPr>
          <w:rFonts w:ascii="宋体" w:hAnsi="宋体"/>
          <w:color w:val="auto"/>
          <w:highlight w:val="none"/>
        </w:rPr>
        <w:fldChar w:fldCharType="separate"/>
      </w:r>
      <w:r>
        <w:rPr>
          <w:rFonts w:hint="eastAsia" w:ascii="Times New Roman" w:hAnsi="Times New Roman" w:eastAsia="宋体"/>
          <w:color w:val="auto"/>
          <w:highlight w:val="none"/>
        </w:rPr>
        <w:t>一、比选申请函</w:t>
      </w:r>
      <w:r>
        <w:rPr>
          <w:color w:val="auto"/>
          <w:highlight w:val="none"/>
        </w:rPr>
        <w:tab/>
      </w:r>
      <w:r>
        <w:rPr>
          <w:color w:val="auto"/>
          <w:highlight w:val="none"/>
        </w:rPr>
        <w:fldChar w:fldCharType="begin"/>
      </w:r>
      <w:r>
        <w:rPr>
          <w:color w:val="auto"/>
          <w:highlight w:val="none"/>
        </w:rPr>
        <w:instrText xml:space="preserve"> PAGEREF _Toc12923 \h </w:instrText>
      </w:r>
      <w:r>
        <w:rPr>
          <w:color w:val="auto"/>
          <w:highlight w:val="none"/>
        </w:rPr>
        <w:fldChar w:fldCharType="separate"/>
      </w:r>
      <w:r>
        <w:rPr>
          <w:color w:val="auto"/>
          <w:highlight w:val="none"/>
        </w:rPr>
        <w:t>36</w:t>
      </w:r>
      <w:r>
        <w:rPr>
          <w:color w:val="auto"/>
          <w:highlight w:val="none"/>
        </w:rPr>
        <w:fldChar w:fldCharType="end"/>
      </w:r>
      <w:r>
        <w:rPr>
          <w:rFonts w:ascii="宋体" w:hAnsi="宋体"/>
          <w:color w:val="auto"/>
          <w:highlight w:val="none"/>
        </w:rPr>
        <w:fldChar w:fldCharType="end"/>
      </w:r>
    </w:p>
    <w:p>
      <w:pPr>
        <w:pStyle w:val="25"/>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_Toc19109 </w:instrText>
      </w:r>
      <w:r>
        <w:rPr>
          <w:rFonts w:ascii="宋体" w:hAnsi="宋体"/>
          <w:color w:val="auto"/>
          <w:highlight w:val="none"/>
        </w:rPr>
        <w:fldChar w:fldCharType="separate"/>
      </w:r>
      <w:r>
        <w:rPr>
          <w:rFonts w:hint="eastAsia" w:ascii="Times New Roman" w:hAnsi="Times New Roman" w:eastAsia="宋体"/>
          <w:color w:val="auto"/>
          <w:highlight w:val="none"/>
        </w:rPr>
        <w:t>二、比选承诺函</w:t>
      </w:r>
      <w:r>
        <w:rPr>
          <w:color w:val="auto"/>
          <w:highlight w:val="none"/>
        </w:rPr>
        <w:tab/>
      </w:r>
      <w:r>
        <w:rPr>
          <w:color w:val="auto"/>
          <w:highlight w:val="none"/>
        </w:rPr>
        <w:fldChar w:fldCharType="begin"/>
      </w:r>
      <w:r>
        <w:rPr>
          <w:color w:val="auto"/>
          <w:highlight w:val="none"/>
        </w:rPr>
        <w:instrText xml:space="preserve"> PAGEREF _Toc19109 \h </w:instrText>
      </w:r>
      <w:r>
        <w:rPr>
          <w:color w:val="auto"/>
          <w:highlight w:val="none"/>
        </w:rPr>
        <w:fldChar w:fldCharType="separate"/>
      </w:r>
      <w:r>
        <w:rPr>
          <w:color w:val="auto"/>
          <w:highlight w:val="none"/>
        </w:rPr>
        <w:t>37</w:t>
      </w:r>
      <w:r>
        <w:rPr>
          <w:color w:val="auto"/>
          <w:highlight w:val="none"/>
        </w:rPr>
        <w:fldChar w:fldCharType="end"/>
      </w:r>
      <w:r>
        <w:rPr>
          <w:rFonts w:ascii="宋体" w:hAnsi="宋体"/>
          <w:color w:val="auto"/>
          <w:highlight w:val="none"/>
        </w:rPr>
        <w:fldChar w:fldCharType="end"/>
      </w:r>
    </w:p>
    <w:p>
      <w:pPr>
        <w:pStyle w:val="25"/>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_Toc16744 </w:instrText>
      </w:r>
      <w:r>
        <w:rPr>
          <w:rFonts w:ascii="宋体" w:hAnsi="宋体"/>
          <w:color w:val="auto"/>
          <w:highlight w:val="none"/>
        </w:rPr>
        <w:fldChar w:fldCharType="separate"/>
      </w:r>
      <w:r>
        <w:rPr>
          <w:rFonts w:hint="eastAsia" w:ascii="Times New Roman" w:hAnsi="Times New Roman" w:eastAsia="宋体"/>
          <w:color w:val="auto"/>
          <w:highlight w:val="none"/>
        </w:rPr>
        <w:t>三、比选申请报价</w:t>
      </w:r>
      <w:r>
        <w:rPr>
          <w:rFonts w:hint="eastAsia" w:ascii="Times New Roman" w:hAnsi="Times New Roman" w:eastAsia="宋体"/>
          <w:color w:val="auto"/>
          <w:highlight w:val="none"/>
          <w:lang w:eastAsia="zh-CN"/>
        </w:rPr>
        <w:t>表</w:t>
      </w:r>
      <w:r>
        <w:rPr>
          <w:color w:val="auto"/>
          <w:highlight w:val="none"/>
        </w:rPr>
        <w:tab/>
      </w:r>
      <w:r>
        <w:rPr>
          <w:color w:val="auto"/>
          <w:highlight w:val="none"/>
        </w:rPr>
        <w:fldChar w:fldCharType="begin"/>
      </w:r>
      <w:r>
        <w:rPr>
          <w:color w:val="auto"/>
          <w:highlight w:val="none"/>
        </w:rPr>
        <w:instrText xml:space="preserve"> PAGEREF _Toc16744 \h </w:instrText>
      </w:r>
      <w:r>
        <w:rPr>
          <w:color w:val="auto"/>
          <w:highlight w:val="none"/>
        </w:rPr>
        <w:fldChar w:fldCharType="separate"/>
      </w:r>
      <w:r>
        <w:rPr>
          <w:color w:val="auto"/>
          <w:highlight w:val="none"/>
        </w:rPr>
        <w:t>38</w:t>
      </w:r>
      <w:r>
        <w:rPr>
          <w:color w:val="auto"/>
          <w:highlight w:val="none"/>
        </w:rPr>
        <w:fldChar w:fldCharType="end"/>
      </w:r>
      <w:r>
        <w:rPr>
          <w:rFonts w:ascii="宋体" w:hAnsi="宋体"/>
          <w:color w:val="auto"/>
          <w:highlight w:val="none"/>
        </w:rPr>
        <w:fldChar w:fldCharType="end"/>
      </w:r>
    </w:p>
    <w:p>
      <w:pPr>
        <w:pStyle w:val="25"/>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_Toc10059 </w:instrText>
      </w:r>
      <w:r>
        <w:rPr>
          <w:rFonts w:ascii="宋体" w:hAnsi="宋体"/>
          <w:color w:val="auto"/>
          <w:highlight w:val="none"/>
        </w:rPr>
        <w:fldChar w:fldCharType="separate"/>
      </w:r>
      <w:r>
        <w:rPr>
          <w:rFonts w:hint="eastAsia" w:ascii="Times New Roman" w:hAnsi="Times New Roman" w:eastAsia="宋体"/>
          <w:color w:val="auto"/>
          <w:highlight w:val="none"/>
        </w:rPr>
        <w:t>四、法定代表人身份证明及授权书</w:t>
      </w:r>
      <w:r>
        <w:rPr>
          <w:color w:val="auto"/>
          <w:highlight w:val="none"/>
        </w:rPr>
        <w:tab/>
      </w:r>
      <w:r>
        <w:rPr>
          <w:color w:val="auto"/>
          <w:highlight w:val="none"/>
        </w:rPr>
        <w:fldChar w:fldCharType="begin"/>
      </w:r>
      <w:r>
        <w:rPr>
          <w:color w:val="auto"/>
          <w:highlight w:val="none"/>
        </w:rPr>
        <w:instrText xml:space="preserve"> PAGEREF _Toc10059 \h </w:instrText>
      </w:r>
      <w:r>
        <w:rPr>
          <w:color w:val="auto"/>
          <w:highlight w:val="none"/>
        </w:rPr>
        <w:fldChar w:fldCharType="separate"/>
      </w:r>
      <w:r>
        <w:rPr>
          <w:color w:val="auto"/>
          <w:highlight w:val="none"/>
        </w:rPr>
        <w:t>39</w:t>
      </w:r>
      <w:r>
        <w:rPr>
          <w:color w:val="auto"/>
          <w:highlight w:val="none"/>
        </w:rPr>
        <w:fldChar w:fldCharType="end"/>
      </w:r>
      <w:r>
        <w:rPr>
          <w:rFonts w:ascii="宋体" w:hAnsi="宋体"/>
          <w:color w:val="auto"/>
          <w:highlight w:val="none"/>
        </w:rPr>
        <w:fldChar w:fldCharType="end"/>
      </w:r>
    </w:p>
    <w:p>
      <w:pPr>
        <w:pStyle w:val="25"/>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_Toc16205 </w:instrText>
      </w:r>
      <w:r>
        <w:rPr>
          <w:rFonts w:ascii="宋体" w:hAnsi="宋体"/>
          <w:color w:val="auto"/>
          <w:highlight w:val="none"/>
        </w:rPr>
        <w:fldChar w:fldCharType="separate"/>
      </w:r>
      <w:r>
        <w:rPr>
          <w:rFonts w:hint="eastAsia" w:ascii="Times New Roman" w:hAnsi="Times New Roman" w:eastAsia="宋体"/>
          <w:color w:val="auto"/>
          <w:highlight w:val="none"/>
        </w:rPr>
        <w:t>五、企业证照</w:t>
      </w:r>
      <w:r>
        <w:rPr>
          <w:color w:val="auto"/>
          <w:highlight w:val="none"/>
        </w:rPr>
        <w:tab/>
      </w:r>
      <w:r>
        <w:rPr>
          <w:color w:val="auto"/>
          <w:highlight w:val="none"/>
        </w:rPr>
        <w:fldChar w:fldCharType="begin"/>
      </w:r>
      <w:r>
        <w:rPr>
          <w:color w:val="auto"/>
          <w:highlight w:val="none"/>
        </w:rPr>
        <w:instrText xml:space="preserve"> PAGEREF _Toc16205 \h </w:instrText>
      </w:r>
      <w:r>
        <w:rPr>
          <w:color w:val="auto"/>
          <w:highlight w:val="none"/>
        </w:rPr>
        <w:fldChar w:fldCharType="separate"/>
      </w:r>
      <w:r>
        <w:rPr>
          <w:color w:val="auto"/>
          <w:highlight w:val="none"/>
        </w:rPr>
        <w:t>41</w:t>
      </w:r>
      <w:r>
        <w:rPr>
          <w:color w:val="auto"/>
          <w:highlight w:val="none"/>
        </w:rPr>
        <w:fldChar w:fldCharType="end"/>
      </w:r>
      <w:r>
        <w:rPr>
          <w:rFonts w:ascii="宋体" w:hAnsi="宋体"/>
          <w:color w:val="auto"/>
          <w:highlight w:val="none"/>
        </w:rPr>
        <w:fldChar w:fldCharType="end"/>
      </w:r>
    </w:p>
    <w:p>
      <w:pPr>
        <w:pStyle w:val="25"/>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_Toc25012 </w:instrText>
      </w:r>
      <w:r>
        <w:rPr>
          <w:rFonts w:ascii="宋体" w:hAnsi="宋体"/>
          <w:color w:val="auto"/>
          <w:highlight w:val="none"/>
        </w:rPr>
        <w:fldChar w:fldCharType="separate"/>
      </w:r>
      <w:r>
        <w:rPr>
          <w:rFonts w:hint="eastAsia" w:ascii="Times New Roman" w:hAnsi="Times New Roman" w:eastAsia="宋体"/>
          <w:color w:val="auto"/>
          <w:highlight w:val="none"/>
        </w:rPr>
        <w:t>六、类似项目业绩表</w:t>
      </w:r>
      <w:r>
        <w:rPr>
          <w:color w:val="auto"/>
          <w:highlight w:val="none"/>
        </w:rPr>
        <w:tab/>
      </w:r>
      <w:r>
        <w:rPr>
          <w:color w:val="auto"/>
          <w:highlight w:val="none"/>
        </w:rPr>
        <w:fldChar w:fldCharType="begin"/>
      </w:r>
      <w:r>
        <w:rPr>
          <w:color w:val="auto"/>
          <w:highlight w:val="none"/>
        </w:rPr>
        <w:instrText xml:space="preserve"> PAGEREF _Toc25012 \h </w:instrText>
      </w:r>
      <w:r>
        <w:rPr>
          <w:color w:val="auto"/>
          <w:highlight w:val="none"/>
        </w:rPr>
        <w:fldChar w:fldCharType="separate"/>
      </w:r>
      <w:r>
        <w:rPr>
          <w:color w:val="auto"/>
          <w:highlight w:val="none"/>
        </w:rPr>
        <w:t>42</w:t>
      </w:r>
      <w:r>
        <w:rPr>
          <w:color w:val="auto"/>
          <w:highlight w:val="none"/>
        </w:rPr>
        <w:fldChar w:fldCharType="end"/>
      </w:r>
      <w:r>
        <w:rPr>
          <w:rFonts w:ascii="宋体" w:hAnsi="宋体"/>
          <w:color w:val="auto"/>
          <w:highlight w:val="none"/>
        </w:rPr>
        <w:fldChar w:fldCharType="end"/>
      </w:r>
    </w:p>
    <w:p>
      <w:pPr>
        <w:pStyle w:val="25"/>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_Toc9444 </w:instrText>
      </w:r>
      <w:r>
        <w:rPr>
          <w:rFonts w:ascii="宋体" w:hAnsi="宋体"/>
          <w:color w:val="auto"/>
          <w:highlight w:val="none"/>
        </w:rPr>
        <w:fldChar w:fldCharType="separate"/>
      </w:r>
      <w:r>
        <w:rPr>
          <w:rFonts w:hint="eastAsia" w:ascii="Times New Roman" w:hAnsi="Times New Roman" w:eastAsia="宋体"/>
          <w:color w:val="auto"/>
          <w:highlight w:val="none"/>
        </w:rPr>
        <w:t>七、商务响应表</w:t>
      </w:r>
      <w:r>
        <w:rPr>
          <w:color w:val="auto"/>
          <w:highlight w:val="none"/>
        </w:rPr>
        <w:tab/>
      </w:r>
      <w:r>
        <w:rPr>
          <w:color w:val="auto"/>
          <w:highlight w:val="none"/>
        </w:rPr>
        <w:fldChar w:fldCharType="begin"/>
      </w:r>
      <w:r>
        <w:rPr>
          <w:color w:val="auto"/>
          <w:highlight w:val="none"/>
        </w:rPr>
        <w:instrText xml:space="preserve"> PAGEREF _Toc9444 \h </w:instrText>
      </w:r>
      <w:r>
        <w:rPr>
          <w:color w:val="auto"/>
          <w:highlight w:val="none"/>
        </w:rPr>
        <w:fldChar w:fldCharType="separate"/>
      </w:r>
      <w:r>
        <w:rPr>
          <w:color w:val="auto"/>
          <w:highlight w:val="none"/>
        </w:rPr>
        <w:t>43</w:t>
      </w:r>
      <w:r>
        <w:rPr>
          <w:color w:val="auto"/>
          <w:highlight w:val="none"/>
        </w:rPr>
        <w:fldChar w:fldCharType="end"/>
      </w:r>
      <w:r>
        <w:rPr>
          <w:rFonts w:ascii="宋体" w:hAnsi="宋体"/>
          <w:color w:val="auto"/>
          <w:highlight w:val="none"/>
        </w:rPr>
        <w:fldChar w:fldCharType="end"/>
      </w:r>
    </w:p>
    <w:p>
      <w:pPr>
        <w:pStyle w:val="25"/>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_Toc24346 </w:instrText>
      </w:r>
      <w:r>
        <w:rPr>
          <w:rFonts w:ascii="宋体" w:hAnsi="宋体"/>
          <w:color w:val="auto"/>
          <w:highlight w:val="none"/>
        </w:rPr>
        <w:fldChar w:fldCharType="separate"/>
      </w:r>
      <w:r>
        <w:rPr>
          <w:rFonts w:hint="eastAsia" w:ascii="Times New Roman" w:hAnsi="Times New Roman" w:eastAsia="宋体"/>
          <w:color w:val="auto"/>
          <w:highlight w:val="none"/>
        </w:rPr>
        <w:t>八、技术响应表</w:t>
      </w:r>
      <w:r>
        <w:rPr>
          <w:color w:val="auto"/>
          <w:highlight w:val="none"/>
        </w:rPr>
        <w:tab/>
      </w:r>
      <w:r>
        <w:rPr>
          <w:color w:val="auto"/>
          <w:highlight w:val="none"/>
        </w:rPr>
        <w:fldChar w:fldCharType="begin"/>
      </w:r>
      <w:r>
        <w:rPr>
          <w:color w:val="auto"/>
          <w:highlight w:val="none"/>
        </w:rPr>
        <w:instrText xml:space="preserve"> PAGEREF _Toc24346 \h </w:instrText>
      </w:r>
      <w:r>
        <w:rPr>
          <w:color w:val="auto"/>
          <w:highlight w:val="none"/>
        </w:rPr>
        <w:fldChar w:fldCharType="separate"/>
      </w:r>
      <w:r>
        <w:rPr>
          <w:color w:val="auto"/>
          <w:highlight w:val="none"/>
        </w:rPr>
        <w:t>44</w:t>
      </w:r>
      <w:r>
        <w:rPr>
          <w:color w:val="auto"/>
          <w:highlight w:val="none"/>
        </w:rPr>
        <w:fldChar w:fldCharType="end"/>
      </w:r>
      <w:r>
        <w:rPr>
          <w:rFonts w:ascii="宋体" w:hAnsi="宋体"/>
          <w:color w:val="auto"/>
          <w:highlight w:val="none"/>
        </w:rPr>
        <w:fldChar w:fldCharType="end"/>
      </w:r>
    </w:p>
    <w:p>
      <w:pPr>
        <w:pStyle w:val="25"/>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_Toc23642 </w:instrText>
      </w:r>
      <w:r>
        <w:rPr>
          <w:rFonts w:ascii="宋体" w:hAnsi="宋体"/>
          <w:color w:val="auto"/>
          <w:highlight w:val="none"/>
        </w:rPr>
        <w:fldChar w:fldCharType="separate"/>
      </w:r>
      <w:r>
        <w:rPr>
          <w:rFonts w:hint="eastAsia" w:ascii="Times New Roman" w:hAnsi="Times New Roman" w:eastAsia="宋体"/>
          <w:color w:val="auto"/>
          <w:highlight w:val="none"/>
        </w:rPr>
        <w:t>九、项目实施方案</w:t>
      </w:r>
      <w:r>
        <w:rPr>
          <w:color w:val="auto"/>
          <w:highlight w:val="none"/>
        </w:rPr>
        <w:tab/>
      </w:r>
      <w:r>
        <w:rPr>
          <w:color w:val="auto"/>
          <w:highlight w:val="none"/>
        </w:rPr>
        <w:fldChar w:fldCharType="begin"/>
      </w:r>
      <w:r>
        <w:rPr>
          <w:color w:val="auto"/>
          <w:highlight w:val="none"/>
        </w:rPr>
        <w:instrText xml:space="preserve"> PAGEREF _Toc23642 \h </w:instrText>
      </w:r>
      <w:r>
        <w:rPr>
          <w:color w:val="auto"/>
          <w:highlight w:val="none"/>
        </w:rPr>
        <w:fldChar w:fldCharType="separate"/>
      </w:r>
      <w:r>
        <w:rPr>
          <w:color w:val="auto"/>
          <w:highlight w:val="none"/>
        </w:rPr>
        <w:t>45</w:t>
      </w:r>
      <w:r>
        <w:rPr>
          <w:color w:val="auto"/>
          <w:highlight w:val="none"/>
        </w:rPr>
        <w:fldChar w:fldCharType="end"/>
      </w:r>
      <w:r>
        <w:rPr>
          <w:rFonts w:ascii="宋体" w:hAnsi="宋体"/>
          <w:color w:val="auto"/>
          <w:highlight w:val="none"/>
        </w:rPr>
        <w:fldChar w:fldCharType="end"/>
      </w:r>
    </w:p>
    <w:p>
      <w:pPr>
        <w:pStyle w:val="20"/>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_Toc31582 </w:instrText>
      </w:r>
      <w:r>
        <w:rPr>
          <w:rFonts w:ascii="宋体" w:hAnsi="宋体"/>
          <w:color w:val="auto"/>
          <w:highlight w:val="none"/>
        </w:rPr>
        <w:fldChar w:fldCharType="separate"/>
      </w:r>
      <w:r>
        <w:rPr>
          <w:rFonts w:hint="eastAsia" w:ascii="宋体" w:hAnsi="宋体" w:eastAsia="宋体"/>
          <w:color w:val="auto"/>
          <w:highlight w:val="none"/>
        </w:rPr>
        <w:t>第五章用户需求书</w:t>
      </w:r>
      <w:r>
        <w:rPr>
          <w:color w:val="auto"/>
          <w:highlight w:val="none"/>
        </w:rPr>
        <w:tab/>
      </w:r>
      <w:r>
        <w:rPr>
          <w:color w:val="auto"/>
          <w:highlight w:val="none"/>
        </w:rPr>
        <w:fldChar w:fldCharType="begin"/>
      </w:r>
      <w:r>
        <w:rPr>
          <w:color w:val="auto"/>
          <w:highlight w:val="none"/>
        </w:rPr>
        <w:instrText xml:space="preserve"> PAGEREF _Toc31582 \h </w:instrText>
      </w:r>
      <w:r>
        <w:rPr>
          <w:color w:val="auto"/>
          <w:highlight w:val="none"/>
        </w:rPr>
        <w:fldChar w:fldCharType="separate"/>
      </w:r>
      <w:r>
        <w:rPr>
          <w:color w:val="auto"/>
          <w:highlight w:val="none"/>
        </w:rPr>
        <w:t>46</w:t>
      </w:r>
      <w:r>
        <w:rPr>
          <w:color w:val="auto"/>
          <w:highlight w:val="none"/>
        </w:rPr>
        <w:fldChar w:fldCharType="end"/>
      </w:r>
      <w:r>
        <w:rPr>
          <w:rFonts w:ascii="宋体" w:hAnsi="宋体"/>
          <w:color w:val="auto"/>
          <w:highlight w:val="none"/>
        </w:rPr>
        <w:fldChar w:fldCharType="end"/>
      </w:r>
    </w:p>
    <w:p>
      <w:pPr>
        <w:pStyle w:val="14"/>
        <w:pageBreakBefore/>
        <w:ind w:right="-57" w:firstLine="0"/>
        <w:jc w:val="center"/>
        <w:outlineLvl w:val="0"/>
        <w:rPr>
          <w:rStyle w:val="42"/>
          <w:rFonts w:ascii="宋体" w:hAnsi="宋体" w:eastAsia="宋体"/>
          <w:color w:val="auto"/>
          <w:highlight w:val="none"/>
        </w:rPr>
      </w:pPr>
      <w:r>
        <w:rPr>
          <w:rFonts w:ascii="宋体" w:hAnsi="宋体"/>
          <w:color w:val="auto"/>
          <w:highlight w:val="none"/>
        </w:rPr>
        <w:fldChar w:fldCharType="end"/>
      </w:r>
      <w:bookmarkStart w:id="0" w:name="_Toc23367"/>
      <w:bookmarkStart w:id="1" w:name="_Toc23476"/>
      <w:bookmarkStart w:id="2" w:name="_Toc15211"/>
      <w:bookmarkStart w:id="3" w:name="_Toc481"/>
      <w:bookmarkStart w:id="4" w:name="_Toc17906"/>
      <w:bookmarkStart w:id="5" w:name="_Toc26523"/>
      <w:bookmarkStart w:id="6" w:name="_Toc26620"/>
      <w:bookmarkStart w:id="7" w:name="_Toc5910"/>
      <w:bookmarkStart w:id="8" w:name="_Toc375039061"/>
      <w:bookmarkStart w:id="9" w:name="_Toc492478714"/>
      <w:bookmarkStart w:id="10" w:name="_Toc3658"/>
      <w:bookmarkStart w:id="11" w:name="_Toc1227"/>
      <w:bookmarkStart w:id="12" w:name="_Toc3400"/>
      <w:bookmarkStart w:id="13" w:name="_Toc25355"/>
      <w:bookmarkStart w:id="14" w:name="_Toc26939"/>
      <w:bookmarkStart w:id="15" w:name="_Toc26192"/>
      <w:bookmarkStart w:id="16" w:name="_Toc100643440"/>
      <w:bookmarkStart w:id="17" w:name="_Toc237"/>
      <w:bookmarkStart w:id="18" w:name="_Toc14762"/>
      <w:bookmarkStart w:id="19" w:name="_Toc1363"/>
      <w:bookmarkStart w:id="20" w:name="_Toc30647"/>
      <w:r>
        <w:rPr>
          <w:rStyle w:val="42"/>
          <w:rFonts w:hint="eastAsia" w:ascii="宋体" w:hAnsi="宋体" w:eastAsia="宋体"/>
          <w:color w:val="auto"/>
          <w:highlight w:val="none"/>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spacing w:before="0" w:after="0" w:afterAutospacing="0"/>
        <w:ind w:right="-57" w:firstLine="0"/>
        <w:jc w:val="center"/>
        <w:rPr>
          <w:rFonts w:hint="eastAsia" w:ascii="宋体" w:hAnsi="宋体"/>
          <w:b/>
          <w:color w:val="auto"/>
          <w:sz w:val="28"/>
          <w:szCs w:val="28"/>
          <w:highlight w:val="none"/>
        </w:rPr>
      </w:pPr>
      <w:r>
        <w:rPr>
          <w:rFonts w:hint="eastAsia" w:ascii="宋体" w:hAnsi="宋体"/>
          <w:b/>
          <w:color w:val="auto"/>
          <w:sz w:val="28"/>
          <w:szCs w:val="28"/>
          <w:highlight w:val="none"/>
        </w:rPr>
        <w:t>南宁轨道交通运营有限公司2022年VR全景培训与展示系统采购项目比选公告</w:t>
      </w:r>
    </w:p>
    <w:p>
      <w:pPr>
        <w:spacing w:before="0" w:after="0" w:afterAutospacing="0"/>
        <w:ind w:left="0" w:right="0" w:firstLine="422" w:firstLineChars="200"/>
        <w:rPr>
          <w:rFonts w:ascii="宋体" w:hAnsi="宋体"/>
          <w:b/>
          <w:color w:val="auto"/>
          <w:highlight w:val="none"/>
        </w:rPr>
      </w:pPr>
      <w:bookmarkStart w:id="21" w:name="OLE_LINK4"/>
      <w:bookmarkEnd w:id="21"/>
      <w:r>
        <w:rPr>
          <w:rFonts w:hint="eastAsia" w:ascii="宋体" w:hAnsi="宋体"/>
          <w:b/>
          <w:color w:val="auto"/>
          <w:highlight w:val="none"/>
        </w:rPr>
        <w:t>1.比选条件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本比选项目</w:t>
      </w:r>
      <w:r>
        <w:rPr>
          <w:rFonts w:hint="eastAsia" w:ascii="宋体" w:hAnsi="宋体"/>
          <w:color w:val="auto"/>
          <w:highlight w:val="none"/>
          <w:u w:val="single"/>
        </w:rPr>
        <w:t>南宁轨道交通运营有限公司2022年VR全景培训与展示系统采购项目</w:t>
      </w:r>
      <w:r>
        <w:rPr>
          <w:rFonts w:hint="eastAsia" w:ascii="宋体" w:hAnsi="宋体"/>
          <w:color w:val="auto"/>
          <w:highlight w:val="none"/>
        </w:rPr>
        <w:t>比选人为</w:t>
      </w:r>
      <w:r>
        <w:rPr>
          <w:rFonts w:ascii="宋体" w:hAnsi="宋体"/>
          <w:color w:val="auto"/>
          <w:highlight w:val="none"/>
          <w:u w:val="single"/>
        </w:rPr>
        <w:t>南宁轨道交通</w:t>
      </w:r>
      <w:r>
        <w:rPr>
          <w:rFonts w:hint="eastAsia" w:ascii="宋体" w:hAnsi="宋体"/>
          <w:color w:val="auto"/>
          <w:highlight w:val="none"/>
          <w:u w:val="single"/>
          <w:lang w:val="en-US" w:eastAsia="zh-CN"/>
        </w:rPr>
        <w:t>运营有限</w:t>
      </w:r>
      <w:r>
        <w:rPr>
          <w:rFonts w:ascii="宋体" w:hAnsi="宋体"/>
          <w:color w:val="auto"/>
          <w:highlight w:val="none"/>
          <w:u w:val="single"/>
        </w:rPr>
        <w:t>公司</w:t>
      </w:r>
      <w:r>
        <w:rPr>
          <w:rFonts w:hint="eastAsia" w:ascii="宋体" w:hAnsi="宋体"/>
          <w:color w:val="auto"/>
          <w:highlight w:val="none"/>
        </w:rPr>
        <w:t>，比选项目资金来源为企业自有资金。</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2.项目概况与比选范围</w:t>
      </w:r>
    </w:p>
    <w:p>
      <w:pPr>
        <w:spacing w:before="0" w:after="0" w:afterAutospacing="0"/>
        <w:ind w:left="0" w:right="0" w:firstLine="420" w:firstLineChars="200"/>
        <w:rPr>
          <w:rFonts w:hint="default" w:ascii="宋体" w:hAnsi="宋体" w:eastAsia="宋体"/>
          <w:color w:val="auto"/>
          <w:highlight w:val="none"/>
          <w:u w:val="single"/>
          <w:lang w:val="en-US" w:eastAsia="zh-CN"/>
        </w:rPr>
      </w:pPr>
      <w:r>
        <w:rPr>
          <w:rFonts w:hint="eastAsia" w:ascii="宋体" w:hAnsi="宋体"/>
          <w:color w:val="auto"/>
          <w:highlight w:val="none"/>
        </w:rPr>
        <w:t>项目编号：</w:t>
      </w:r>
      <w:r>
        <w:rPr>
          <w:rFonts w:hint="eastAsia" w:ascii="宋体" w:hAnsi="宋体"/>
          <w:color w:val="auto"/>
          <w:highlight w:val="none"/>
          <w:u w:val="single"/>
          <w:lang w:val="en-US" w:eastAsia="zh-CN"/>
        </w:rPr>
        <w:t>202209090004</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项目名称：</w:t>
      </w:r>
      <w:r>
        <w:rPr>
          <w:rFonts w:hint="eastAsia" w:ascii="宋体" w:hAnsi="宋体"/>
          <w:color w:val="auto"/>
          <w:highlight w:val="none"/>
          <w:u w:val="single"/>
        </w:rPr>
        <w:t>南宁轨道交通运营有限公司2022年VR全景培训与展示系统采购项目</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上限控制价：</w:t>
      </w:r>
      <w:r>
        <w:rPr>
          <w:rFonts w:hint="eastAsia" w:ascii="宋体" w:hAnsi="宋体"/>
          <w:color w:val="auto"/>
          <w:highlight w:val="none"/>
          <w:u w:val="single"/>
        </w:rPr>
        <w:t>不含税上限控制价为人民币159</w:t>
      </w:r>
      <w:r>
        <w:rPr>
          <w:rFonts w:hint="eastAsia" w:ascii="宋体" w:hAnsi="宋体"/>
          <w:color w:val="auto"/>
          <w:highlight w:val="none"/>
          <w:u w:val="single"/>
          <w:lang w:val="en-US" w:eastAsia="zh-CN"/>
        </w:rPr>
        <w:t>000</w:t>
      </w:r>
      <w:r>
        <w:rPr>
          <w:rFonts w:hint="eastAsia" w:ascii="宋体" w:hAnsi="宋体"/>
          <w:color w:val="auto"/>
          <w:highlight w:val="none"/>
          <w:u w:val="single"/>
        </w:rPr>
        <w:t>.00元</w:t>
      </w:r>
      <w:r>
        <w:rPr>
          <w:rFonts w:hint="eastAsia" w:ascii="宋体" w:hAnsi="宋体"/>
          <w:color w:val="auto"/>
          <w:highlight w:val="none"/>
        </w:rPr>
        <w:t>。</w:t>
      </w:r>
    </w:p>
    <w:p>
      <w:pPr>
        <w:spacing w:before="0" w:after="0" w:afterAutospacing="0"/>
        <w:ind w:left="0" w:right="0" w:firstLine="420" w:firstLineChars="200"/>
        <w:rPr>
          <w:rFonts w:hint="default" w:ascii="宋体" w:hAnsi="宋体" w:eastAsia="宋体"/>
          <w:color w:val="auto"/>
          <w:highlight w:val="none"/>
          <w:lang w:val="en-US" w:eastAsia="zh-CN"/>
        </w:rPr>
      </w:pPr>
      <w:r>
        <w:rPr>
          <w:rFonts w:hint="eastAsia" w:ascii="宋体" w:hAnsi="宋体"/>
          <w:color w:val="auto"/>
          <w:highlight w:val="none"/>
          <w:lang w:val="en-US" w:eastAsia="zh-CN"/>
        </w:rPr>
        <w:t>交货</w:t>
      </w:r>
      <w:r>
        <w:rPr>
          <w:rFonts w:hint="eastAsia" w:ascii="宋体" w:hAnsi="宋体"/>
          <w:color w:val="auto"/>
          <w:highlight w:val="none"/>
        </w:rPr>
        <w:t>期：</w:t>
      </w:r>
      <w:r>
        <w:rPr>
          <w:rFonts w:hint="eastAsia" w:ascii="宋体" w:hAnsi="宋体"/>
          <w:color w:val="auto"/>
          <w:highlight w:val="none"/>
          <w:lang w:val="en-US" w:eastAsia="zh-CN"/>
        </w:rPr>
        <w:t>2022年11-12月（暂定），并于2022年12月15前完成交货。</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项目地点：</w:t>
      </w:r>
      <w:r>
        <w:rPr>
          <w:rFonts w:hint="eastAsia" w:ascii="宋体" w:hAnsi="宋体"/>
          <w:color w:val="auto"/>
          <w:highlight w:val="none"/>
          <w:lang w:eastAsia="zh-CN"/>
        </w:rPr>
        <w:t>南宁市内</w:t>
      </w:r>
      <w:r>
        <w:rPr>
          <w:rFonts w:hint="eastAsia" w:ascii="宋体" w:hAnsi="宋体"/>
          <w:color w:val="auto"/>
          <w:highlight w:val="none"/>
          <w:u w:val="none"/>
        </w:rPr>
        <w:t>，</w:t>
      </w:r>
      <w:r>
        <w:rPr>
          <w:rFonts w:hint="eastAsia" w:ascii="宋体" w:hAnsi="宋体"/>
          <w:color w:val="auto"/>
          <w:highlight w:val="none"/>
        </w:rPr>
        <w:t>具体详见用户需求书。</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比选范围：具体详见用户需求书。</w:t>
      </w:r>
    </w:p>
    <w:p>
      <w:pPr>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3.比选申请人资格要求</w:t>
      </w:r>
    </w:p>
    <w:p>
      <w:pPr>
        <w:spacing w:before="0" w:after="0" w:afterAutospacing="0"/>
        <w:ind w:left="0" w:right="0" w:firstLine="420" w:firstLineChars="200"/>
        <w:rPr>
          <w:rFonts w:hint="eastAsia" w:ascii="宋体" w:hAnsi="宋体"/>
          <w:color w:val="auto"/>
          <w:highlight w:val="none"/>
          <w:lang w:eastAsia="zh-CN"/>
        </w:rPr>
      </w:pPr>
      <w:r>
        <w:rPr>
          <w:rFonts w:hint="eastAsia" w:ascii="宋体" w:hAnsi="宋体"/>
          <w:color w:val="auto"/>
          <w:highlight w:val="none"/>
        </w:rPr>
        <w:t>3.1为中华人民共和国境内依法设立的法人或其他组织。（若以分公司名义参与比选申请，必须出具总公司授权参与的证明）</w:t>
      </w:r>
      <w:r>
        <w:rPr>
          <w:rFonts w:hint="eastAsia" w:ascii="宋体" w:hAnsi="宋体"/>
          <w:color w:val="auto"/>
          <w:highlight w:val="none"/>
          <w:lang w:eastAsia="zh-CN"/>
        </w:rPr>
        <w:t>。</w:t>
      </w:r>
    </w:p>
    <w:p>
      <w:pPr>
        <w:spacing w:before="0" w:after="0" w:afterAutospacing="0"/>
        <w:ind w:left="0" w:right="0"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3.2资质条件：无。</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val="en-US" w:eastAsia="zh-CN"/>
        </w:rPr>
        <w:t>3.3业绩条件：比选申请</w:t>
      </w:r>
      <w:r>
        <w:rPr>
          <w:rFonts w:hint="eastAsia" w:ascii="宋体" w:hAnsi="宋体"/>
          <w:color w:val="auto"/>
          <w:highlight w:val="none"/>
          <w:lang w:eastAsia="zh-CN"/>
        </w:rPr>
        <w:t>人</w:t>
      </w:r>
      <w:r>
        <w:rPr>
          <w:rFonts w:hint="eastAsia" w:ascii="宋体" w:hAnsi="宋体"/>
          <w:color w:val="auto"/>
          <w:highlight w:val="none"/>
          <w:lang w:val="en-US" w:eastAsia="zh-CN"/>
        </w:rPr>
        <w:t>自2019年1月1日起至截标时间</w:t>
      </w:r>
      <w:r>
        <w:rPr>
          <w:rFonts w:hint="eastAsia" w:ascii="宋体" w:hAnsi="宋体" w:eastAsia="宋体"/>
          <w:color w:val="auto"/>
          <w:highlight w:val="none"/>
          <w:lang w:eastAsia="zh-CN"/>
        </w:rPr>
        <w:t>内</w:t>
      </w:r>
      <w:r>
        <w:rPr>
          <w:rFonts w:hint="eastAsia" w:ascii="宋体" w:hAnsi="宋体"/>
          <w:color w:val="auto"/>
          <w:highlight w:val="none"/>
          <w:lang w:eastAsia="zh-CN"/>
        </w:rPr>
        <w:t>须至少具有1个合同金额大于20万元的VR全景</w:t>
      </w:r>
      <w:r>
        <w:rPr>
          <w:rFonts w:hint="eastAsia" w:ascii="宋体" w:hAnsi="宋体"/>
          <w:color w:val="auto"/>
          <w:highlight w:val="none"/>
          <w:lang w:val="en-US" w:eastAsia="zh-CN"/>
        </w:rPr>
        <w:t>系统</w:t>
      </w:r>
      <w:r>
        <w:rPr>
          <w:rFonts w:hint="eastAsia" w:ascii="宋体" w:hAnsi="宋体"/>
          <w:color w:val="auto"/>
          <w:highlight w:val="none"/>
          <w:lang w:eastAsia="zh-CN"/>
        </w:rPr>
        <w:t>制作项目（提供业绩证明材料：合同文件或用户证明，证明文件中应能体现出合同买方、合同签订时间、合同金额、合同服务内容等，否则视为无效证明文件）。</w:t>
      </w:r>
    </w:p>
    <w:p>
      <w:pPr>
        <w:spacing w:before="0" w:after="0" w:afterAutospacing="0"/>
        <w:ind w:left="0" w:right="0" w:firstLine="420" w:firstLineChars="200"/>
        <w:rPr>
          <w:rFonts w:hint="eastAsia" w:ascii="宋体" w:hAnsi="宋体"/>
          <w:color w:val="auto"/>
          <w:highlight w:val="none"/>
          <w:lang w:eastAsia="zh-CN"/>
        </w:rPr>
      </w:pPr>
      <w:r>
        <w:rPr>
          <w:rFonts w:hint="eastAsia" w:ascii="宋体" w:hAnsi="宋体"/>
          <w:color w:val="auto"/>
          <w:highlight w:val="none"/>
        </w:rPr>
        <w:t>3.</w:t>
      </w:r>
      <w:r>
        <w:rPr>
          <w:rFonts w:hint="eastAsia" w:ascii="宋体" w:hAnsi="宋体"/>
          <w:color w:val="auto"/>
          <w:highlight w:val="none"/>
          <w:lang w:val="en-US" w:eastAsia="zh-CN"/>
        </w:rPr>
        <w:t>4</w:t>
      </w:r>
      <w:r>
        <w:rPr>
          <w:rFonts w:hint="eastAsia" w:ascii="宋体" w:hAnsi="宋体"/>
          <w:color w:val="auto"/>
          <w:highlight w:val="none"/>
        </w:rPr>
        <w:t>经营范围</w:t>
      </w:r>
      <w:r>
        <w:rPr>
          <w:rFonts w:hint="eastAsia" w:ascii="宋体" w:hAnsi="宋体"/>
          <w:color w:val="auto"/>
          <w:highlight w:val="none"/>
          <w:lang w:eastAsia="zh-CN"/>
        </w:rPr>
        <w:t>：</w:t>
      </w:r>
      <w:r>
        <w:rPr>
          <w:rFonts w:hint="eastAsia" w:ascii="宋体" w:hAnsi="宋体"/>
          <w:color w:val="auto"/>
          <w:highlight w:val="none"/>
          <w:lang w:val="en-US" w:eastAsia="zh-CN"/>
        </w:rPr>
        <w:t>①</w:t>
      </w:r>
      <w:r>
        <w:rPr>
          <w:rFonts w:hint="eastAsia" w:ascii="宋体" w:hAnsi="宋体"/>
          <w:color w:val="auto"/>
          <w:highlight w:val="none"/>
        </w:rPr>
        <w:t>软件开发</w:t>
      </w:r>
      <w:r>
        <w:rPr>
          <w:rFonts w:hint="eastAsia" w:ascii="宋体" w:hAnsi="宋体"/>
          <w:color w:val="auto"/>
          <w:highlight w:val="none"/>
          <w:lang w:val="en-US" w:eastAsia="zh-CN"/>
        </w:rPr>
        <w:t>②</w:t>
      </w:r>
      <w:r>
        <w:rPr>
          <w:rFonts w:hint="eastAsia" w:ascii="宋体" w:hAnsi="宋体"/>
          <w:color w:val="auto"/>
          <w:highlight w:val="none"/>
        </w:rPr>
        <w:t>软件销售</w:t>
      </w:r>
      <w:r>
        <w:rPr>
          <w:rFonts w:hint="eastAsia" w:ascii="宋体" w:hAnsi="宋体"/>
          <w:color w:val="auto"/>
          <w:highlight w:val="none"/>
          <w:lang w:val="en-US" w:eastAsia="zh-CN"/>
        </w:rPr>
        <w:t>③</w:t>
      </w:r>
      <w:r>
        <w:rPr>
          <w:rFonts w:hint="eastAsia" w:ascii="宋体" w:hAnsi="宋体"/>
          <w:color w:val="auto"/>
          <w:highlight w:val="none"/>
        </w:rPr>
        <w:t>信息系统集成服务</w:t>
      </w:r>
      <w:r>
        <w:rPr>
          <w:rFonts w:hint="eastAsia" w:ascii="宋体" w:hAnsi="宋体"/>
          <w:color w:val="auto"/>
          <w:highlight w:val="none"/>
          <w:lang w:val="en-US" w:eastAsia="zh-CN"/>
        </w:rPr>
        <w:t>④</w:t>
      </w:r>
      <w:r>
        <w:rPr>
          <w:rFonts w:hint="eastAsia" w:ascii="宋体" w:hAnsi="宋体"/>
          <w:color w:val="auto"/>
          <w:highlight w:val="none"/>
        </w:rPr>
        <w:t>多媒体设计服务</w:t>
      </w:r>
      <w:r>
        <w:rPr>
          <w:rFonts w:hint="eastAsia" w:ascii="宋体" w:hAnsi="宋体"/>
          <w:color w:val="auto"/>
          <w:highlight w:val="none"/>
          <w:lang w:val="en-US" w:eastAsia="zh-CN"/>
        </w:rPr>
        <w:t>⑤</w:t>
      </w:r>
      <w:r>
        <w:rPr>
          <w:rFonts w:hint="eastAsia" w:ascii="宋体" w:hAnsi="宋体"/>
          <w:color w:val="auto"/>
          <w:highlight w:val="none"/>
        </w:rPr>
        <w:t>策划创意服务</w:t>
      </w:r>
      <w:r>
        <w:rPr>
          <w:rFonts w:hint="eastAsia" w:ascii="宋体" w:hAnsi="宋体"/>
          <w:color w:val="auto"/>
          <w:highlight w:val="none"/>
          <w:lang w:val="en-US" w:eastAsia="zh-CN"/>
        </w:rPr>
        <w:t>⑥</w:t>
      </w:r>
      <w:r>
        <w:rPr>
          <w:rFonts w:hint="eastAsia" w:ascii="宋体" w:hAnsi="宋体"/>
          <w:color w:val="auto"/>
          <w:highlight w:val="none"/>
        </w:rPr>
        <w:t>广播电视节目制作等类似经营范围。</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hint="eastAsia" w:ascii="宋体" w:hAnsi="宋体"/>
          <w:color w:val="auto"/>
          <w:highlight w:val="none"/>
          <w:lang w:val="en-US" w:eastAsia="zh-CN"/>
        </w:rPr>
        <w:t>5</w:t>
      </w:r>
      <w:r>
        <w:rPr>
          <w:rFonts w:hint="eastAsia" w:ascii="宋体" w:hAnsi="宋体"/>
          <w:color w:val="auto"/>
          <w:highlight w:val="none"/>
        </w:rPr>
        <w:t>比选申请人没有处于被行政主管部门或业主取消比选申请资格的处罚期内，且没有处于被责令停业，财产被接管、破产状态；比选申请截止时间前3年内没有骗取中选、严重违约或重大质量安全责任事故的情况。</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hint="eastAsia" w:ascii="宋体" w:hAnsi="宋体"/>
          <w:color w:val="auto"/>
          <w:highlight w:val="none"/>
          <w:lang w:val="en-US" w:eastAsia="zh-CN"/>
        </w:rPr>
        <w:t>6</w:t>
      </w:r>
      <w:r>
        <w:rPr>
          <w:rFonts w:hint="eastAsia" w:ascii="宋体" w:hAnsi="宋体"/>
          <w:color w:val="auto"/>
          <w:highlight w:val="none"/>
        </w:rPr>
        <w:t>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hint="eastAsia" w:ascii="宋体" w:hAnsi="宋体"/>
          <w:color w:val="auto"/>
          <w:highlight w:val="none"/>
          <w:lang w:val="en-US" w:eastAsia="zh-CN"/>
        </w:rPr>
        <w:t>7</w:t>
      </w:r>
      <w:r>
        <w:rPr>
          <w:rFonts w:hint="eastAsia" w:ascii="宋体" w:hAnsi="宋体"/>
          <w:color w:val="auto"/>
          <w:highlight w:val="none"/>
        </w:rPr>
        <w:t>本项目不接受联合体比选申请。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hint="eastAsia" w:ascii="宋体" w:hAnsi="宋体"/>
          <w:color w:val="auto"/>
          <w:highlight w:val="none"/>
          <w:lang w:val="en-US" w:eastAsia="zh-CN"/>
        </w:rPr>
        <w:t>8</w:t>
      </w:r>
      <w:r>
        <w:rPr>
          <w:rFonts w:hint="eastAsia" w:ascii="宋体" w:hAnsi="宋体"/>
          <w:color w:val="auto"/>
          <w:highlight w:val="none"/>
        </w:rPr>
        <w:t>未列入比选人不良信用名单的。</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4.资格审查方式</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5.比选文件的获取</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5.1比选文件获取：</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6.</w:t>
      </w:r>
      <w:r>
        <w:rPr>
          <w:rFonts w:ascii="宋体" w:hAnsi="宋体"/>
          <w:b/>
          <w:color w:val="auto"/>
          <w:highlight w:val="none"/>
        </w:rPr>
        <w:t>比选申请截止时间</w:t>
      </w:r>
      <w:r>
        <w:rPr>
          <w:rFonts w:hint="eastAsia" w:ascii="宋体" w:hAnsi="宋体"/>
          <w:b/>
          <w:color w:val="auto"/>
          <w:highlight w:val="none"/>
        </w:rPr>
        <w:t>和</w:t>
      </w:r>
      <w:r>
        <w:rPr>
          <w:rFonts w:ascii="宋体" w:hAnsi="宋体"/>
          <w:b/>
          <w:color w:val="auto"/>
          <w:highlight w:val="none"/>
        </w:rPr>
        <w:t>地点</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6.1</w:t>
      </w:r>
      <w:r>
        <w:rPr>
          <w:rFonts w:hint="eastAsia" w:ascii="宋体" w:hAnsi="宋体"/>
          <w:color w:val="auto"/>
          <w:highlight w:val="none"/>
          <w:lang w:eastAsia="zh-CN"/>
        </w:rPr>
        <w:t>比选申请文件须密封后于</w:t>
      </w:r>
      <w:r>
        <w:rPr>
          <w:rFonts w:hint="eastAsia" w:ascii="宋体" w:hAnsi="宋体" w:cs="Times New Roman"/>
          <w:color w:val="auto"/>
          <w:highlight w:val="none"/>
          <w:u w:val="single"/>
          <w:lang w:val="en-US" w:eastAsia="zh-CN"/>
        </w:rPr>
        <w:t>2022</w:t>
      </w:r>
      <w:r>
        <w:rPr>
          <w:rFonts w:hint="eastAsia" w:ascii="宋体" w:hAnsi="宋体"/>
          <w:color w:val="auto"/>
          <w:highlight w:val="none"/>
          <w:lang w:eastAsia="zh-CN"/>
        </w:rPr>
        <w:t>年</w:t>
      </w:r>
      <w:r>
        <w:rPr>
          <w:rFonts w:hint="eastAsia" w:ascii="宋体" w:hAnsi="宋体"/>
          <w:color w:val="auto"/>
          <w:highlight w:val="none"/>
          <w:u w:val="single"/>
          <w:lang w:val="en-US" w:eastAsia="zh-CN"/>
        </w:rPr>
        <w:t>11</w:t>
      </w:r>
      <w:r>
        <w:rPr>
          <w:rFonts w:hint="eastAsia" w:ascii="宋体" w:hAnsi="宋体"/>
          <w:color w:val="auto"/>
          <w:highlight w:val="none"/>
          <w:lang w:eastAsia="zh-CN"/>
        </w:rPr>
        <w:t>月</w:t>
      </w:r>
      <w:r>
        <w:rPr>
          <w:rFonts w:hint="eastAsia" w:ascii="宋体" w:hAnsi="宋体" w:cs="Times New Roman"/>
          <w:color w:val="auto"/>
          <w:highlight w:val="none"/>
          <w:u w:val="single"/>
          <w:lang w:val="en-US" w:eastAsia="zh-CN"/>
        </w:rPr>
        <w:t>17</w:t>
      </w:r>
      <w:r>
        <w:rPr>
          <w:rFonts w:hint="eastAsia" w:ascii="宋体" w:hAnsi="宋体"/>
          <w:color w:val="auto"/>
          <w:highlight w:val="none"/>
          <w:lang w:eastAsia="zh-CN"/>
        </w:rPr>
        <w:t>日</w:t>
      </w:r>
      <w:r>
        <w:rPr>
          <w:rFonts w:hint="eastAsia" w:ascii="宋体" w:hAnsi="宋体" w:cs="Times New Roman"/>
          <w:color w:val="auto"/>
          <w:highlight w:val="none"/>
          <w:u w:val="single"/>
          <w:lang w:val="en-US" w:eastAsia="zh-CN"/>
        </w:rPr>
        <w:t>8</w:t>
      </w:r>
      <w:r>
        <w:rPr>
          <w:rFonts w:hint="eastAsia" w:ascii="宋体" w:hAnsi="宋体"/>
          <w:color w:val="auto"/>
          <w:highlight w:val="none"/>
          <w:lang w:eastAsia="zh-CN"/>
        </w:rPr>
        <w:t>时</w:t>
      </w:r>
      <w:r>
        <w:rPr>
          <w:rFonts w:hint="eastAsia" w:ascii="宋体" w:hAnsi="宋体"/>
          <w:color w:val="auto"/>
          <w:highlight w:val="none"/>
          <w:u w:val="single"/>
          <w:lang w:val="en-US" w:eastAsia="zh-CN"/>
        </w:rPr>
        <w:t>30</w:t>
      </w:r>
      <w:r>
        <w:rPr>
          <w:rFonts w:hint="eastAsia" w:ascii="宋体" w:hAnsi="宋体"/>
          <w:color w:val="auto"/>
          <w:highlight w:val="none"/>
          <w:lang w:eastAsia="zh-CN"/>
        </w:rPr>
        <w:t>分至</w:t>
      </w:r>
      <w:r>
        <w:rPr>
          <w:rFonts w:hint="eastAsia" w:ascii="宋体" w:hAnsi="宋体" w:cs="Times New Roman"/>
          <w:color w:val="auto"/>
          <w:highlight w:val="none"/>
          <w:u w:val="single"/>
          <w:lang w:val="en-US" w:eastAsia="zh-CN"/>
        </w:rPr>
        <w:t>9</w:t>
      </w:r>
      <w:r>
        <w:rPr>
          <w:rFonts w:hint="eastAsia" w:ascii="宋体" w:hAnsi="宋体"/>
          <w:color w:val="auto"/>
          <w:highlight w:val="none"/>
          <w:lang w:eastAsia="zh-CN"/>
        </w:rPr>
        <w:t>时</w:t>
      </w:r>
      <w:r>
        <w:rPr>
          <w:rFonts w:hint="eastAsia" w:ascii="宋体" w:hAnsi="宋体" w:cs="Times New Roman"/>
          <w:color w:val="auto"/>
          <w:highlight w:val="none"/>
          <w:u w:val="single"/>
          <w:lang w:val="en-US" w:eastAsia="zh-CN"/>
        </w:rPr>
        <w:t>00</w:t>
      </w:r>
      <w:r>
        <w:rPr>
          <w:rFonts w:hint="eastAsia" w:ascii="宋体" w:hAnsi="宋体"/>
          <w:color w:val="auto"/>
          <w:highlight w:val="none"/>
          <w:lang w:eastAsia="zh-CN"/>
        </w:rPr>
        <w:t>分递交，递交地点在广西壮族自治区南宁市青秀区云景路83号南宁轨道交通运营有限公司屯里车辆段综合楼205会议室。</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w:t>
      </w:r>
      <w:r>
        <w:rPr>
          <w:rFonts w:ascii="宋体" w:hAnsi="宋体"/>
          <w:color w:val="auto"/>
          <w:highlight w:val="none"/>
        </w:rPr>
        <w:t>逾期送达的或者未送达指定地点</w:t>
      </w:r>
      <w:r>
        <w:rPr>
          <w:rFonts w:hint="eastAsia" w:ascii="宋体" w:hAnsi="宋体"/>
          <w:color w:val="auto"/>
          <w:highlight w:val="none"/>
        </w:rPr>
        <w:t>或者</w:t>
      </w:r>
      <w:r>
        <w:rPr>
          <w:rFonts w:ascii="宋体" w:hAnsi="宋体"/>
          <w:color w:val="auto"/>
          <w:highlight w:val="none"/>
        </w:rPr>
        <w:t>未按</w:t>
      </w:r>
      <w:r>
        <w:rPr>
          <w:rFonts w:hint="eastAsia" w:ascii="宋体" w:hAnsi="宋体"/>
          <w:color w:val="auto"/>
          <w:highlight w:val="none"/>
        </w:rPr>
        <w:t>比选</w:t>
      </w:r>
      <w:r>
        <w:rPr>
          <w:rFonts w:ascii="宋体" w:hAnsi="宋体"/>
          <w:color w:val="auto"/>
          <w:highlight w:val="none"/>
        </w:rPr>
        <w:t>文件要求密封的</w:t>
      </w:r>
      <w:r>
        <w:rPr>
          <w:rFonts w:hint="eastAsia" w:ascii="宋体" w:hAnsi="宋体"/>
          <w:color w:val="auto"/>
          <w:highlight w:val="none"/>
        </w:rPr>
        <w:t>比选申请</w:t>
      </w:r>
      <w:r>
        <w:rPr>
          <w:rFonts w:ascii="宋体" w:hAnsi="宋体"/>
          <w:color w:val="auto"/>
          <w:highlight w:val="none"/>
        </w:rPr>
        <w:t>文件将被拒绝</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6.3请比选申请人法定代表人或其授权代表携法人委托书原件准时参加。</w:t>
      </w:r>
      <w:r>
        <w:rPr>
          <w:rFonts w:ascii="宋体" w:hAnsi="宋体"/>
          <w:color w:val="auto"/>
          <w:highlight w:val="none"/>
        </w:rPr>
        <w:t>比选申请文件必须由</w:t>
      </w:r>
      <w:r>
        <w:rPr>
          <w:rFonts w:hint="eastAsia" w:ascii="宋体" w:hAnsi="宋体"/>
          <w:color w:val="auto"/>
          <w:highlight w:val="none"/>
        </w:rPr>
        <w:t>比选申请人</w:t>
      </w:r>
      <w:r>
        <w:rPr>
          <w:rFonts w:ascii="宋体" w:hAnsi="宋体"/>
          <w:color w:val="auto"/>
          <w:highlight w:val="none"/>
        </w:rPr>
        <w:t>法定代表人或其授权代表递交，否则比选人不予受理。</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7.发布公告的媒介</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本次比选公告同时在南宁轨道交通集团有限责任公司官网(http://www.nngdjt.com)、中国e车网(http://www.ecrrc.com)发布。</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8.联系方式</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比</w:t>
      </w:r>
      <w:r>
        <w:rPr>
          <w:rFonts w:hint="eastAsia" w:ascii="宋体" w:hAnsi="宋体"/>
          <w:color w:val="auto"/>
          <w:highlight w:val="none"/>
          <w:lang w:val="en-US" w:eastAsia="zh-CN"/>
        </w:rPr>
        <w:t xml:space="preserve"> </w:t>
      </w:r>
      <w:r>
        <w:rPr>
          <w:rFonts w:hint="eastAsia" w:ascii="宋体" w:hAnsi="宋体"/>
          <w:color w:val="auto"/>
          <w:highlight w:val="none"/>
        </w:rPr>
        <w:t>选 人：南宁轨道交通</w:t>
      </w:r>
      <w:r>
        <w:rPr>
          <w:rFonts w:hint="eastAsia" w:ascii="宋体" w:hAnsi="宋体"/>
          <w:color w:val="auto"/>
          <w:highlight w:val="none"/>
          <w:lang w:val="en-US" w:eastAsia="zh-CN"/>
        </w:rPr>
        <w:t>运营有限公司</w:t>
      </w:r>
      <w:r>
        <w:rPr>
          <w:rFonts w:hint="eastAsia" w:ascii="宋体" w:hAnsi="宋体"/>
          <w:color w:val="auto"/>
          <w:highlight w:val="none"/>
        </w:rPr>
        <w:t xml:space="preserve">    </w:t>
      </w:r>
    </w:p>
    <w:p>
      <w:pPr>
        <w:spacing w:before="0" w:after="0" w:afterAutospacing="0"/>
        <w:ind w:left="0" w:right="0" w:firstLine="420" w:firstLineChars="200"/>
        <w:rPr>
          <w:rFonts w:hint="default" w:ascii="宋体" w:hAnsi="宋体"/>
          <w:color w:val="auto"/>
          <w:highlight w:val="none"/>
          <w:u w:val="single"/>
          <w:lang w:val="en-US"/>
        </w:rPr>
      </w:pPr>
      <w:r>
        <w:rPr>
          <w:rFonts w:hint="eastAsia" w:ascii="宋体" w:hAnsi="宋体"/>
          <w:color w:val="auto"/>
          <w:highlight w:val="none"/>
        </w:rPr>
        <w:t>地    址：</w:t>
      </w:r>
      <w:r>
        <w:rPr>
          <w:rFonts w:hint="eastAsia" w:ascii="宋体" w:hAnsi="宋体"/>
          <w:color w:val="auto"/>
          <w:highlight w:val="none"/>
          <w:lang w:eastAsia="zh-CN"/>
        </w:rPr>
        <w:t>广西南宁市云景路</w:t>
      </w:r>
      <w:r>
        <w:rPr>
          <w:rFonts w:hint="eastAsia" w:ascii="宋体" w:hAnsi="宋体"/>
          <w:color w:val="auto"/>
          <w:highlight w:val="none"/>
          <w:lang w:val="en-US" w:eastAsia="zh-CN"/>
        </w:rPr>
        <w:t>83</w:t>
      </w:r>
      <w:r>
        <w:rPr>
          <w:rFonts w:hint="eastAsia" w:ascii="宋体" w:hAnsi="宋体"/>
          <w:color w:val="auto"/>
          <w:highlight w:val="none"/>
          <w:lang w:eastAsia="zh-CN"/>
        </w:rPr>
        <w:t>号南宁市轨道交通</w:t>
      </w:r>
      <w:r>
        <w:rPr>
          <w:rFonts w:hint="eastAsia" w:ascii="宋体" w:hAnsi="宋体"/>
          <w:color w:val="auto"/>
          <w:highlight w:val="none"/>
          <w:lang w:val="en-US" w:eastAsia="zh-CN"/>
        </w:rPr>
        <w:t>屯里车辆段综合楼205会议室</w:t>
      </w:r>
    </w:p>
    <w:p>
      <w:pPr>
        <w:spacing w:before="0" w:after="0" w:afterAutospacing="0"/>
        <w:ind w:left="0" w:right="0" w:firstLine="420" w:firstLineChars="200"/>
        <w:rPr>
          <w:color w:val="auto"/>
          <w:highlight w:val="none"/>
        </w:rPr>
      </w:pPr>
      <w:r>
        <w:rPr>
          <w:rFonts w:hint="eastAsia" w:ascii="宋体" w:hAnsi="宋体"/>
          <w:color w:val="auto"/>
          <w:highlight w:val="none"/>
        </w:rPr>
        <w:t xml:space="preserve">邮    编：530022                         </w:t>
      </w:r>
    </w:p>
    <w:p>
      <w:pPr>
        <w:spacing w:before="0" w:after="0" w:afterAutospacing="0"/>
        <w:ind w:left="0" w:right="0" w:firstLine="420" w:firstLineChars="200"/>
        <w:rPr>
          <w:rFonts w:hint="eastAsia" w:ascii="宋体" w:hAnsi="宋体" w:eastAsia="宋体"/>
          <w:color w:val="auto"/>
          <w:highlight w:val="none"/>
          <w:u w:val="single"/>
          <w:lang w:eastAsia="zh-CN"/>
        </w:rPr>
      </w:pPr>
      <w:r>
        <w:rPr>
          <w:rFonts w:hint="eastAsia" w:ascii="宋体" w:hAnsi="宋体"/>
          <w:color w:val="auto"/>
          <w:highlight w:val="none"/>
        </w:rPr>
        <w:t>联 系 人：</w:t>
      </w:r>
      <w:r>
        <w:rPr>
          <w:rFonts w:hint="eastAsia" w:ascii="宋体" w:hAnsi="宋体"/>
          <w:color w:val="auto"/>
          <w:highlight w:val="none"/>
          <w:lang w:val="en-US" w:eastAsia="zh-CN"/>
        </w:rPr>
        <w:t>莫工</w:t>
      </w:r>
      <w:r>
        <w:rPr>
          <w:rFonts w:hint="eastAsia" w:ascii="宋体" w:hAnsi="宋体"/>
          <w:color w:val="auto"/>
          <w:highlight w:val="none"/>
        </w:rPr>
        <w:t>、</w:t>
      </w:r>
      <w:r>
        <w:rPr>
          <w:rFonts w:hint="eastAsia" w:ascii="宋体" w:hAnsi="宋体"/>
          <w:color w:val="auto"/>
          <w:highlight w:val="none"/>
          <w:lang w:val="en-US" w:eastAsia="zh-CN"/>
        </w:rPr>
        <w:t>苏工</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电    话：0771-2778</w:t>
      </w:r>
      <w:r>
        <w:rPr>
          <w:rFonts w:hint="eastAsia" w:ascii="宋体" w:hAnsi="宋体"/>
          <w:color w:val="auto"/>
          <w:highlight w:val="none"/>
          <w:lang w:val="en-US" w:eastAsia="zh-CN"/>
        </w:rPr>
        <w:t>374、0771-2778625</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招标纪律监督部门及电话：南宁轨道交通运营有限公司纪检监察室0771-2778084</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传    真：</w:t>
      </w:r>
    </w:p>
    <w:p>
      <w:pPr>
        <w:spacing w:before="0" w:after="0" w:afterAutospacing="0"/>
        <w:ind w:left="0" w:right="0" w:firstLine="420" w:firstLineChars="200"/>
        <w:rPr>
          <w:rFonts w:hint="default" w:ascii="宋体" w:hAnsi="宋体" w:eastAsia="宋体"/>
          <w:color w:val="auto"/>
          <w:highlight w:val="none"/>
          <w:u w:val="single"/>
          <w:lang w:val="en-US" w:eastAsia="zh-CN"/>
        </w:rPr>
      </w:pPr>
      <w:r>
        <w:rPr>
          <w:rFonts w:hint="eastAsia" w:ascii="宋体" w:hAnsi="宋体"/>
          <w:color w:val="auto"/>
          <w:highlight w:val="none"/>
        </w:rPr>
        <w:t>电子邮件：</w:t>
      </w:r>
      <w:r>
        <w:rPr>
          <w:rFonts w:hint="eastAsia" w:ascii="宋体" w:hAnsi="宋体"/>
          <w:color w:val="auto"/>
          <w:highlight w:val="none"/>
          <w:lang w:val="en-US" w:eastAsia="zh-CN"/>
        </w:rPr>
        <w:t>2606712063@qq.com</w:t>
      </w:r>
    </w:p>
    <w:p>
      <w:pPr>
        <w:spacing w:before="0" w:after="120" w:line="380" w:lineRule="exact"/>
        <w:ind w:left="430" w:right="-57" w:firstLine="200"/>
        <w:rPr>
          <w:rFonts w:ascii="宋体" w:hAnsi="宋体"/>
          <w:color w:val="auto"/>
          <w:highlight w:val="none"/>
        </w:rPr>
      </w:pPr>
    </w:p>
    <w:p>
      <w:pPr>
        <w:spacing w:before="0" w:after="120" w:line="380" w:lineRule="exact"/>
        <w:ind w:left="430" w:right="-57" w:firstLine="200"/>
        <w:rPr>
          <w:rFonts w:ascii="宋体" w:hAnsi="宋体"/>
          <w:color w:val="auto"/>
          <w:highlight w:val="none"/>
        </w:rPr>
      </w:pPr>
    </w:p>
    <w:p>
      <w:pPr>
        <w:pStyle w:val="14"/>
        <w:pageBreakBefore/>
        <w:ind w:right="-57" w:firstLine="0"/>
        <w:jc w:val="center"/>
        <w:outlineLvl w:val="0"/>
        <w:rPr>
          <w:rStyle w:val="42"/>
          <w:rFonts w:ascii="宋体" w:hAnsi="宋体" w:eastAsia="宋体"/>
          <w:color w:val="auto"/>
          <w:highlight w:val="none"/>
        </w:rPr>
      </w:pPr>
      <w:bookmarkStart w:id="22" w:name="_Toc322528192"/>
      <w:bookmarkEnd w:id="22"/>
      <w:bookmarkStart w:id="23" w:name="_Toc512357502"/>
      <w:bookmarkStart w:id="24" w:name="_Toc15976"/>
      <w:bookmarkStart w:id="25" w:name="_Toc17594"/>
      <w:bookmarkStart w:id="26" w:name="_Toc22273"/>
      <w:bookmarkStart w:id="27" w:name="_Toc12635"/>
      <w:bookmarkStart w:id="28" w:name="_Toc24972"/>
      <w:bookmarkStart w:id="29" w:name="_Toc24390"/>
      <w:bookmarkStart w:id="30" w:name="_Toc17539"/>
      <w:bookmarkStart w:id="31" w:name="_Toc29836"/>
      <w:bookmarkStart w:id="32" w:name="_Toc30725"/>
      <w:bookmarkStart w:id="33" w:name="_Toc100643441"/>
      <w:bookmarkStart w:id="34" w:name="_Toc1230"/>
      <w:bookmarkStart w:id="35" w:name="_Toc21830"/>
      <w:bookmarkStart w:id="36" w:name="_Toc30950"/>
      <w:bookmarkStart w:id="37" w:name="_Toc20201"/>
      <w:bookmarkStart w:id="38" w:name="_Toc17240"/>
      <w:bookmarkStart w:id="39" w:name="_Toc30883"/>
      <w:bookmarkStart w:id="40" w:name="_Toc17735"/>
      <w:bookmarkStart w:id="41" w:name="_Toc18454"/>
      <w:bookmarkStart w:id="42" w:name="_Toc3495"/>
      <w:r>
        <w:rPr>
          <w:rStyle w:val="42"/>
          <w:rFonts w:hint="eastAsia" w:ascii="宋体" w:hAnsi="宋体" w:eastAsia="宋体"/>
          <w:color w:val="auto"/>
          <w:highlight w:val="none"/>
        </w:rPr>
        <w:t>第二章</w:t>
      </w:r>
      <w:bookmarkEnd w:id="23"/>
      <w:r>
        <w:rPr>
          <w:rStyle w:val="42"/>
          <w:rFonts w:hint="eastAsia" w:ascii="宋体" w:hAnsi="宋体" w:eastAsia="宋体"/>
          <w:color w:val="auto"/>
          <w:highlight w:val="none"/>
        </w:rPr>
        <w:t>比选申请须知</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5"/>
        <w:spacing w:after="0" w:afterAutospacing="0" w:line="360" w:lineRule="auto"/>
        <w:ind w:left="468" w:leftChars="200" w:right="0" w:hanging="48" w:hangingChars="20"/>
        <w:rPr>
          <w:rFonts w:ascii="宋体" w:hAnsi="宋体" w:eastAsia="宋体"/>
          <w:color w:val="auto"/>
          <w:sz w:val="24"/>
          <w:szCs w:val="24"/>
          <w:highlight w:val="none"/>
        </w:rPr>
      </w:pPr>
      <w:bookmarkStart w:id="43" w:name="_Toc322528193"/>
      <w:bookmarkEnd w:id="43"/>
      <w:bookmarkStart w:id="44" w:name="_Toc100643442"/>
      <w:bookmarkStart w:id="45" w:name="_Toc31229"/>
      <w:r>
        <w:rPr>
          <w:rFonts w:hint="eastAsia" w:ascii="宋体" w:hAnsi="宋体" w:eastAsia="宋体"/>
          <w:color w:val="auto"/>
          <w:sz w:val="24"/>
          <w:szCs w:val="24"/>
          <w:highlight w:val="none"/>
        </w:rPr>
        <w:t>一、项目概况</w:t>
      </w:r>
      <w:bookmarkEnd w:id="44"/>
      <w:bookmarkEnd w:id="45"/>
    </w:p>
    <w:p>
      <w:pPr>
        <w:spacing w:before="0" w:after="0" w:afterAutospacing="0"/>
        <w:ind w:left="0" w:right="0" w:firstLine="420" w:firstLineChars="200"/>
        <w:rPr>
          <w:rFonts w:hint="default" w:ascii="宋体" w:hAnsi="宋体" w:eastAsia="宋体"/>
          <w:color w:val="auto"/>
          <w:highlight w:val="none"/>
          <w:u w:val="single"/>
          <w:lang w:val="en-US" w:eastAsia="zh-CN"/>
        </w:rPr>
      </w:pPr>
      <w:r>
        <w:rPr>
          <w:rFonts w:hint="eastAsia" w:ascii="宋体" w:hAnsi="宋体"/>
          <w:color w:val="auto"/>
          <w:highlight w:val="none"/>
        </w:rPr>
        <w:t>项目编号：</w:t>
      </w:r>
      <w:r>
        <w:rPr>
          <w:rFonts w:hint="eastAsia" w:ascii="宋体" w:hAnsi="宋体"/>
          <w:color w:val="auto"/>
          <w:highlight w:val="none"/>
          <w:u w:val="single"/>
          <w:lang w:val="en-US" w:eastAsia="zh-CN"/>
        </w:rPr>
        <w:t>202209090004</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项目名称：</w:t>
      </w:r>
      <w:r>
        <w:rPr>
          <w:rFonts w:hint="eastAsia" w:ascii="宋体" w:hAnsi="宋体"/>
          <w:color w:val="auto"/>
          <w:highlight w:val="none"/>
          <w:u w:val="single"/>
        </w:rPr>
        <w:t>南宁轨道交通运营有限公司2022年VR全景培训与展示系统采购项目</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上限控制价：</w:t>
      </w:r>
      <w:r>
        <w:rPr>
          <w:rFonts w:hint="eastAsia" w:ascii="宋体" w:hAnsi="宋体"/>
          <w:color w:val="auto"/>
          <w:highlight w:val="none"/>
          <w:u w:val="single"/>
        </w:rPr>
        <w:t>不含税上限控制价为人民币</w:t>
      </w:r>
      <w:r>
        <w:rPr>
          <w:rFonts w:hint="eastAsia" w:ascii="宋体" w:hAnsi="宋体"/>
          <w:color w:val="auto"/>
          <w:highlight w:val="none"/>
          <w:u w:val="single"/>
          <w:lang w:val="en-US" w:eastAsia="zh-CN"/>
        </w:rPr>
        <w:t>159000</w:t>
      </w:r>
      <w:r>
        <w:rPr>
          <w:rFonts w:hint="eastAsia" w:ascii="宋体" w:hAnsi="宋体"/>
          <w:color w:val="auto"/>
          <w:highlight w:val="none"/>
          <w:u w:val="single"/>
        </w:rPr>
        <w:t>.00元</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lang w:val="en-US" w:eastAsia="zh-CN"/>
        </w:rPr>
        <w:t>交货</w:t>
      </w:r>
      <w:r>
        <w:rPr>
          <w:rFonts w:hint="eastAsia" w:ascii="宋体" w:hAnsi="宋体"/>
          <w:color w:val="auto"/>
          <w:highlight w:val="none"/>
        </w:rPr>
        <w:t>期：</w:t>
      </w:r>
      <w:r>
        <w:rPr>
          <w:rFonts w:hint="eastAsia" w:ascii="宋体" w:hAnsi="宋体"/>
          <w:color w:val="auto"/>
          <w:highlight w:val="none"/>
          <w:lang w:val="en-US" w:eastAsia="zh-CN"/>
        </w:rPr>
        <w:t>2022年11-12月（暂定），并于2022年12月15前完成交货。</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项目地点：</w:t>
      </w:r>
      <w:r>
        <w:rPr>
          <w:rFonts w:hint="eastAsia" w:ascii="宋体" w:hAnsi="宋体"/>
          <w:color w:val="auto"/>
          <w:highlight w:val="none"/>
          <w:lang w:eastAsia="zh-CN"/>
        </w:rPr>
        <w:t>南宁市内</w:t>
      </w:r>
      <w:r>
        <w:rPr>
          <w:rFonts w:hint="eastAsia" w:ascii="宋体" w:hAnsi="宋体"/>
          <w:color w:val="auto"/>
          <w:highlight w:val="none"/>
          <w:u w:val="single"/>
        </w:rPr>
        <w:t>，</w:t>
      </w:r>
      <w:r>
        <w:rPr>
          <w:rFonts w:hint="eastAsia" w:ascii="宋体" w:hAnsi="宋体"/>
          <w:color w:val="auto"/>
          <w:highlight w:val="none"/>
        </w:rPr>
        <w:t>具体详见用户需求书。</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比选范围：具体详见用户需求书。</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46" w:name="_Toc5160"/>
      <w:bookmarkStart w:id="47" w:name="_Toc9677"/>
      <w:bookmarkStart w:id="48" w:name="_Toc7339"/>
      <w:bookmarkStart w:id="49" w:name="_Toc19617"/>
      <w:bookmarkStart w:id="50" w:name="_Toc492478722"/>
      <w:bookmarkStart w:id="51" w:name="_Toc2986"/>
      <w:bookmarkStart w:id="52" w:name="_Toc2609"/>
      <w:bookmarkStart w:id="53" w:name="_Toc29160"/>
      <w:bookmarkStart w:id="54" w:name="_Toc28220"/>
      <w:bookmarkStart w:id="55" w:name="_Toc6528"/>
      <w:bookmarkStart w:id="56" w:name="_Toc3854"/>
      <w:bookmarkStart w:id="57" w:name="_Toc16530"/>
      <w:bookmarkStart w:id="58" w:name="_Toc390098423"/>
      <w:bookmarkStart w:id="59" w:name="_Toc16131"/>
      <w:bookmarkStart w:id="60" w:name="_Toc12983509"/>
      <w:bookmarkStart w:id="61" w:name="_Toc8562"/>
      <w:bookmarkStart w:id="62" w:name="_Toc16608"/>
      <w:bookmarkStart w:id="63" w:name="_Toc15763"/>
      <w:bookmarkStart w:id="64" w:name="_Toc385427797"/>
      <w:bookmarkStart w:id="65" w:name="_Toc375039068"/>
      <w:bookmarkStart w:id="66" w:name="_Toc5487"/>
      <w:bookmarkStart w:id="67" w:name="_Toc383891172"/>
      <w:bookmarkStart w:id="68" w:name="_Toc18528"/>
      <w:bookmarkStart w:id="69" w:name="_Toc100643443"/>
      <w:bookmarkStart w:id="70" w:name="_Toc21228"/>
      <w:r>
        <w:rPr>
          <w:rFonts w:hint="eastAsia" w:ascii="宋体" w:hAnsi="宋体" w:eastAsia="宋体"/>
          <w:color w:val="auto"/>
          <w:sz w:val="24"/>
          <w:szCs w:val="24"/>
          <w:highlight w:val="none"/>
        </w:rPr>
        <w:t>二、</w:t>
      </w:r>
      <w:r>
        <w:rPr>
          <w:rFonts w:ascii="宋体" w:hAnsi="宋体" w:eastAsia="宋体"/>
          <w:color w:val="auto"/>
          <w:sz w:val="24"/>
          <w:szCs w:val="24"/>
          <w:highlight w:val="none"/>
        </w:rPr>
        <w:t>比选</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Fonts w:hint="eastAsia" w:ascii="宋体" w:hAnsi="宋体" w:eastAsia="宋体"/>
          <w:color w:val="auto"/>
          <w:sz w:val="24"/>
          <w:szCs w:val="24"/>
          <w:highlight w:val="none"/>
          <w:lang w:val="en-US" w:eastAsia="zh-CN"/>
        </w:rPr>
        <w:t>申请</w:t>
      </w:r>
      <w:r>
        <w:rPr>
          <w:rFonts w:hint="eastAsia" w:ascii="宋体" w:hAnsi="宋体" w:eastAsia="宋体"/>
          <w:color w:val="auto"/>
          <w:sz w:val="24"/>
          <w:szCs w:val="24"/>
          <w:highlight w:val="none"/>
        </w:rPr>
        <w:t>人资格要求</w:t>
      </w:r>
      <w:bookmarkEnd w:id="69"/>
      <w:bookmarkEnd w:id="70"/>
    </w:p>
    <w:p>
      <w:pPr>
        <w:spacing w:before="0" w:after="0" w:afterAutospacing="0"/>
        <w:ind w:left="0" w:right="0" w:firstLine="420" w:firstLineChars="200"/>
        <w:rPr>
          <w:rFonts w:hint="eastAsia" w:ascii="宋体" w:hAnsi="宋体"/>
          <w:color w:val="auto"/>
          <w:highlight w:val="none"/>
          <w:lang w:eastAsia="zh-CN"/>
        </w:rPr>
      </w:pPr>
      <w:bookmarkStart w:id="71" w:name="_Toc2902"/>
      <w:bookmarkStart w:id="72" w:name="_Toc7604"/>
      <w:bookmarkStart w:id="73" w:name="_Toc24557"/>
      <w:bookmarkStart w:id="74" w:name="_Toc24759"/>
      <w:bookmarkStart w:id="75" w:name="_Toc4718"/>
      <w:bookmarkStart w:id="76" w:name="_Toc16406"/>
      <w:bookmarkStart w:id="77" w:name="_Toc25361"/>
      <w:bookmarkStart w:id="78" w:name="_Toc28044"/>
      <w:bookmarkStart w:id="79" w:name="_Toc10869"/>
      <w:bookmarkStart w:id="80" w:name="_Toc30363"/>
      <w:bookmarkStart w:id="81" w:name="_Toc95"/>
      <w:bookmarkStart w:id="82" w:name="_Toc18679"/>
      <w:bookmarkStart w:id="83" w:name="_Toc17335"/>
      <w:bookmarkStart w:id="84" w:name="_Toc17692"/>
      <w:bookmarkStart w:id="85" w:name="_Toc375039072"/>
      <w:bookmarkStart w:id="86" w:name="_Toc492478726"/>
      <w:bookmarkStart w:id="87" w:name="_Toc385427801"/>
      <w:bookmarkStart w:id="88" w:name="_Toc14185"/>
      <w:bookmarkStart w:id="89" w:name="_Toc12983513"/>
      <w:bookmarkStart w:id="90" w:name="_Toc390098427"/>
      <w:bookmarkStart w:id="91" w:name="_Toc383891176"/>
      <w:bookmarkStart w:id="92" w:name="_Toc5805"/>
      <w:bookmarkStart w:id="93" w:name="_Toc27913"/>
      <w:r>
        <w:rPr>
          <w:rFonts w:hint="eastAsia" w:ascii="宋体" w:hAnsi="宋体"/>
          <w:color w:val="auto"/>
          <w:highlight w:val="none"/>
        </w:rPr>
        <w:t>2.1为中华人民共和国境内依法设立的法人或其他组织（若以分公司名义参与比选申请，必须出具总公司授权参与的证明）</w:t>
      </w:r>
      <w:r>
        <w:rPr>
          <w:rFonts w:hint="eastAsia" w:ascii="宋体" w:hAnsi="宋体"/>
          <w:color w:val="auto"/>
          <w:highlight w:val="none"/>
          <w:lang w:eastAsia="zh-CN"/>
        </w:rPr>
        <w:t>。</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lang w:val="en-US" w:eastAsia="zh-CN"/>
        </w:rPr>
        <w:t>2</w:t>
      </w:r>
      <w:r>
        <w:rPr>
          <w:rFonts w:hint="eastAsia" w:ascii="宋体" w:hAnsi="宋体" w:eastAsia="宋体"/>
          <w:color w:val="auto"/>
          <w:highlight w:val="none"/>
          <w:lang w:eastAsia="zh-CN"/>
        </w:rPr>
        <w:t>.2资质条件：无。</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lang w:val="en-US" w:eastAsia="zh-CN"/>
        </w:rPr>
        <w:t>2</w:t>
      </w:r>
      <w:r>
        <w:rPr>
          <w:rFonts w:hint="eastAsia" w:ascii="宋体" w:hAnsi="宋体" w:eastAsia="宋体"/>
          <w:color w:val="auto"/>
          <w:highlight w:val="none"/>
          <w:lang w:eastAsia="zh-CN"/>
        </w:rPr>
        <w:t>.3业绩条件：比选申请人</w:t>
      </w:r>
      <w:r>
        <w:rPr>
          <w:rFonts w:hint="eastAsia" w:ascii="宋体" w:hAnsi="宋体"/>
          <w:color w:val="auto"/>
          <w:highlight w:val="none"/>
          <w:lang w:val="en-US" w:eastAsia="zh-CN"/>
        </w:rPr>
        <w:t>自2019年1月1日起至截标时间</w:t>
      </w:r>
      <w:r>
        <w:rPr>
          <w:rFonts w:hint="eastAsia" w:ascii="宋体" w:hAnsi="宋体" w:eastAsia="宋体"/>
          <w:color w:val="auto"/>
          <w:highlight w:val="none"/>
          <w:lang w:eastAsia="zh-CN"/>
        </w:rPr>
        <w:t>内须至少具有1个合同金额大于20万元的VR全景系统制作项目（提供业绩证明材料：合同文件或用户证明，证明文件中应能体现出合同买方、合同签订时间、合同金额、合同服务内容等，否则视为无效证明文件）。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hint="eastAsia" w:ascii="宋体" w:hAnsi="宋体"/>
          <w:color w:val="auto"/>
          <w:highlight w:val="none"/>
          <w:lang w:val="en-US" w:eastAsia="zh-CN"/>
        </w:rPr>
        <w:t>4</w:t>
      </w:r>
      <w:r>
        <w:rPr>
          <w:rFonts w:hint="eastAsia" w:ascii="宋体" w:hAnsi="宋体"/>
          <w:color w:val="auto"/>
          <w:highlight w:val="none"/>
        </w:rPr>
        <w:t>经营范围</w:t>
      </w:r>
      <w:r>
        <w:rPr>
          <w:rFonts w:hint="eastAsia" w:ascii="宋体" w:hAnsi="宋体"/>
          <w:color w:val="auto"/>
          <w:highlight w:val="none"/>
          <w:lang w:eastAsia="zh-CN"/>
        </w:rPr>
        <w:t>：</w:t>
      </w:r>
      <w:r>
        <w:rPr>
          <w:rFonts w:hint="eastAsia" w:ascii="宋体" w:hAnsi="宋体"/>
          <w:color w:val="auto"/>
          <w:highlight w:val="none"/>
          <w:lang w:val="en-US" w:eastAsia="zh-CN"/>
        </w:rPr>
        <w:t>①</w:t>
      </w:r>
      <w:r>
        <w:rPr>
          <w:rFonts w:hint="eastAsia" w:ascii="宋体" w:hAnsi="宋体"/>
          <w:color w:val="auto"/>
          <w:highlight w:val="none"/>
        </w:rPr>
        <w:t>软件开发</w:t>
      </w:r>
      <w:r>
        <w:rPr>
          <w:rFonts w:hint="eastAsia" w:ascii="宋体" w:hAnsi="宋体"/>
          <w:color w:val="auto"/>
          <w:highlight w:val="none"/>
          <w:lang w:val="en-US" w:eastAsia="zh-CN"/>
        </w:rPr>
        <w:t>②</w:t>
      </w:r>
      <w:r>
        <w:rPr>
          <w:rFonts w:hint="eastAsia" w:ascii="宋体" w:hAnsi="宋体"/>
          <w:color w:val="auto"/>
          <w:highlight w:val="none"/>
        </w:rPr>
        <w:t>软件销售</w:t>
      </w:r>
      <w:r>
        <w:rPr>
          <w:rFonts w:hint="eastAsia" w:ascii="宋体" w:hAnsi="宋体"/>
          <w:color w:val="auto"/>
          <w:highlight w:val="none"/>
          <w:lang w:val="en-US" w:eastAsia="zh-CN"/>
        </w:rPr>
        <w:t>③</w:t>
      </w:r>
      <w:r>
        <w:rPr>
          <w:rFonts w:hint="eastAsia" w:ascii="宋体" w:hAnsi="宋体"/>
          <w:color w:val="auto"/>
          <w:highlight w:val="none"/>
        </w:rPr>
        <w:t>信息系统集成服务</w:t>
      </w:r>
      <w:r>
        <w:rPr>
          <w:rFonts w:hint="eastAsia" w:ascii="宋体" w:hAnsi="宋体"/>
          <w:color w:val="auto"/>
          <w:highlight w:val="none"/>
          <w:lang w:val="en-US" w:eastAsia="zh-CN"/>
        </w:rPr>
        <w:t>④</w:t>
      </w:r>
      <w:r>
        <w:rPr>
          <w:rFonts w:hint="eastAsia" w:ascii="宋体" w:hAnsi="宋体"/>
          <w:color w:val="auto"/>
          <w:highlight w:val="none"/>
        </w:rPr>
        <w:t>多媒体设计服务</w:t>
      </w:r>
      <w:r>
        <w:rPr>
          <w:rFonts w:hint="eastAsia" w:ascii="宋体" w:hAnsi="宋体"/>
          <w:color w:val="auto"/>
          <w:highlight w:val="none"/>
          <w:lang w:val="en-US" w:eastAsia="zh-CN"/>
        </w:rPr>
        <w:t>⑤</w:t>
      </w:r>
      <w:r>
        <w:rPr>
          <w:rFonts w:hint="eastAsia" w:ascii="宋体" w:hAnsi="宋体"/>
          <w:color w:val="auto"/>
          <w:highlight w:val="none"/>
        </w:rPr>
        <w:t>策划创意服务</w:t>
      </w:r>
      <w:r>
        <w:rPr>
          <w:rFonts w:hint="eastAsia" w:ascii="宋体" w:hAnsi="宋体"/>
          <w:color w:val="auto"/>
          <w:highlight w:val="none"/>
          <w:lang w:val="en-US" w:eastAsia="zh-CN"/>
        </w:rPr>
        <w:t>⑥</w:t>
      </w:r>
      <w:r>
        <w:rPr>
          <w:rFonts w:hint="eastAsia" w:ascii="宋体" w:hAnsi="宋体"/>
          <w:color w:val="auto"/>
          <w:highlight w:val="none"/>
        </w:rPr>
        <w:t>广播电视节目制作等类似经营范围。</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hint="eastAsia" w:ascii="宋体" w:hAnsi="宋体"/>
          <w:color w:val="auto"/>
          <w:highlight w:val="none"/>
          <w:lang w:val="en-US" w:eastAsia="zh-CN"/>
        </w:rPr>
        <w:t>5</w:t>
      </w:r>
      <w:r>
        <w:rPr>
          <w:rFonts w:hint="eastAsia" w:ascii="宋体" w:hAnsi="宋体"/>
          <w:color w:val="auto"/>
          <w:highlight w:val="none"/>
        </w:rPr>
        <w:t>比选申请人没有处于被行政主管部门或业主取消比选申请资格的处罚期内，且没有处于被责令停业，财产被接管、破产状态；比选申请截止时间前3年内没有骗取中选、严重违约或重大质量安全责任事故的情况。</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hint="eastAsia" w:ascii="宋体" w:hAnsi="宋体"/>
          <w:color w:val="auto"/>
          <w:highlight w:val="none"/>
          <w:lang w:val="en-US" w:eastAsia="zh-CN"/>
        </w:rPr>
        <w:t>6</w:t>
      </w:r>
      <w:r>
        <w:rPr>
          <w:rFonts w:hint="eastAsia" w:ascii="宋体" w:hAnsi="宋体"/>
          <w:color w:val="auto"/>
          <w:highlight w:val="none"/>
        </w:rPr>
        <w:t>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hint="eastAsia" w:ascii="宋体" w:hAnsi="宋体"/>
          <w:color w:val="auto"/>
          <w:highlight w:val="none"/>
          <w:lang w:val="en-US" w:eastAsia="zh-CN"/>
        </w:rPr>
        <w:t>7</w:t>
      </w:r>
      <w:r>
        <w:rPr>
          <w:rFonts w:hint="eastAsia" w:ascii="宋体" w:hAnsi="宋体"/>
          <w:color w:val="auto"/>
          <w:highlight w:val="none"/>
        </w:rPr>
        <w:t>本项目不接受联合体比选申请。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hint="eastAsia" w:ascii="宋体" w:hAnsi="宋体"/>
          <w:color w:val="auto"/>
          <w:highlight w:val="none"/>
          <w:lang w:val="en-US" w:eastAsia="zh-CN"/>
        </w:rPr>
        <w:t>8</w:t>
      </w:r>
      <w:r>
        <w:rPr>
          <w:rFonts w:hint="eastAsia" w:ascii="宋体" w:hAnsi="宋体"/>
          <w:color w:val="auto"/>
          <w:highlight w:val="none"/>
        </w:rPr>
        <w:t>未列入比选人不良信用名单的。</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94" w:name="_Toc20121"/>
      <w:bookmarkStart w:id="95" w:name="_Toc100643444"/>
      <w:r>
        <w:rPr>
          <w:rFonts w:hint="eastAsia" w:ascii="宋体" w:hAnsi="宋体" w:eastAsia="宋体"/>
          <w:color w:val="auto"/>
          <w:sz w:val="24"/>
          <w:szCs w:val="24"/>
          <w:highlight w:val="none"/>
        </w:rPr>
        <w:t>三、</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Fonts w:hint="eastAsia" w:ascii="宋体" w:hAnsi="宋体" w:eastAsia="宋体"/>
          <w:color w:val="auto"/>
          <w:sz w:val="24"/>
          <w:szCs w:val="24"/>
          <w:highlight w:val="none"/>
        </w:rPr>
        <w:t>比选申请文件内容</w:t>
      </w:r>
      <w:bookmarkEnd w:id="94"/>
      <w:bookmarkEnd w:id="95"/>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（1）比选申请函</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（2）比选承诺函</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（3）比选申请报价表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（4）法定代表人身份证明及授权书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（5）企业证照</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（6）类似项目业绩表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（7）商务响应表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（8）技术响应表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（9）项目实施方案</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96" w:name="_Toc1620"/>
      <w:bookmarkStart w:id="97" w:name="_Toc100643445"/>
      <w:r>
        <w:rPr>
          <w:rFonts w:hint="eastAsia" w:ascii="宋体" w:hAnsi="宋体" w:eastAsia="宋体"/>
          <w:color w:val="auto"/>
          <w:sz w:val="24"/>
          <w:szCs w:val="24"/>
          <w:highlight w:val="none"/>
        </w:rPr>
        <w:t>四、比选申请文件签字及装订要求</w:t>
      </w:r>
      <w:bookmarkEnd w:id="96"/>
      <w:bookmarkEnd w:id="97"/>
    </w:p>
    <w:p>
      <w:pPr>
        <w:spacing w:before="0" w:after="0" w:afterAutospacing="0"/>
        <w:ind w:left="0" w:right="0" w:firstLine="420" w:firstLineChars="200"/>
        <w:rPr>
          <w:rFonts w:ascii="宋体" w:hAnsi="宋体"/>
          <w:color w:val="auto"/>
          <w:highlight w:val="none"/>
        </w:rPr>
      </w:pPr>
      <w:bookmarkStart w:id="98" w:name="_Toc383891177"/>
      <w:bookmarkStart w:id="99" w:name="_Toc25750600"/>
      <w:bookmarkStart w:id="100" w:name="_Toc375039073"/>
      <w:bookmarkStart w:id="101" w:name="_Toc16186"/>
      <w:bookmarkStart w:id="102" w:name="_Toc29862"/>
      <w:bookmarkStart w:id="103" w:name="_Toc13418"/>
      <w:bookmarkStart w:id="104" w:name="_Toc4384"/>
      <w:bookmarkStart w:id="105" w:name="_Toc16435"/>
      <w:bookmarkStart w:id="106" w:name="_Toc2819"/>
      <w:bookmarkStart w:id="107" w:name="_Toc390098428"/>
      <w:bookmarkStart w:id="108" w:name="_Toc26150"/>
      <w:bookmarkStart w:id="109" w:name="_Toc12456"/>
      <w:bookmarkStart w:id="110" w:name="_Toc23794"/>
      <w:bookmarkStart w:id="111" w:name="_Toc21673"/>
      <w:bookmarkStart w:id="112" w:name="_Toc12983514"/>
      <w:bookmarkStart w:id="113" w:name="_Toc26680"/>
      <w:bookmarkStart w:id="114" w:name="_Toc11259"/>
      <w:bookmarkStart w:id="115" w:name="_Toc12074"/>
      <w:bookmarkStart w:id="116" w:name="_Toc20025"/>
      <w:bookmarkStart w:id="117" w:name="_Toc492478727"/>
      <w:bookmarkStart w:id="118" w:name="_Toc9592"/>
      <w:bookmarkStart w:id="119" w:name="_Toc1733"/>
      <w:bookmarkStart w:id="120" w:name="_Toc18350"/>
      <w:bookmarkStart w:id="121" w:name="_Toc385427802"/>
      <w:r>
        <w:rPr>
          <w:rFonts w:hint="eastAsia" w:ascii="宋体" w:hAnsi="宋体"/>
          <w:color w:val="auto"/>
          <w:highlight w:val="none"/>
        </w:rPr>
        <w:t>4.1比选申请文件应提交纸质版5份（正本1份，副本4份）、U盘电子版1份（内存</w:t>
      </w:r>
      <w:r>
        <w:rPr>
          <w:rFonts w:ascii="宋体" w:hAnsi="宋体"/>
          <w:color w:val="auto"/>
          <w:highlight w:val="none"/>
        </w:rPr>
        <w:t>office</w:t>
      </w:r>
      <w:r>
        <w:rPr>
          <w:rFonts w:hint="eastAsia" w:ascii="宋体" w:hAnsi="宋体"/>
          <w:color w:val="auto"/>
          <w:highlight w:val="none"/>
        </w:rPr>
        <w:t>或WPS版本）。副本可使用正本复印件。</w:t>
      </w:r>
      <w:r>
        <w:rPr>
          <w:rFonts w:ascii="宋体" w:hAnsi="宋体"/>
          <w:color w:val="auto"/>
          <w:highlight w:val="none"/>
        </w:rPr>
        <w:t>若正本和副本</w:t>
      </w:r>
      <w:r>
        <w:rPr>
          <w:rFonts w:hint="eastAsia" w:ascii="宋体" w:hAnsi="宋体"/>
          <w:color w:val="auto"/>
          <w:highlight w:val="none"/>
        </w:rPr>
        <w:t>不一致时</w:t>
      </w:r>
      <w:r>
        <w:rPr>
          <w:rFonts w:ascii="宋体" w:hAnsi="宋体"/>
          <w:color w:val="auto"/>
          <w:highlight w:val="none"/>
        </w:rPr>
        <w:t>，以正本为准</w:t>
      </w:r>
      <w:r>
        <w:rPr>
          <w:rFonts w:hint="eastAsia" w:ascii="宋体" w:hAnsi="宋体"/>
          <w:color w:val="auto"/>
          <w:highlight w:val="none"/>
        </w:rPr>
        <w:t>；</w:t>
      </w:r>
      <w:r>
        <w:rPr>
          <w:rFonts w:ascii="宋体" w:hAnsi="宋体"/>
          <w:color w:val="auto"/>
          <w:highlight w:val="none"/>
        </w:rPr>
        <w:t>电子版与纸</w:t>
      </w:r>
      <w:r>
        <w:rPr>
          <w:rFonts w:hint="eastAsia" w:ascii="宋体" w:hAnsi="宋体"/>
          <w:color w:val="auto"/>
          <w:highlight w:val="none"/>
        </w:rPr>
        <w:t>质</w:t>
      </w:r>
      <w:r>
        <w:rPr>
          <w:rFonts w:ascii="宋体" w:hAnsi="宋体"/>
          <w:color w:val="auto"/>
          <w:highlight w:val="none"/>
        </w:rPr>
        <w:t>文件</w:t>
      </w:r>
      <w:r>
        <w:rPr>
          <w:rFonts w:hint="eastAsia" w:ascii="宋体" w:hAnsi="宋体"/>
          <w:color w:val="auto"/>
          <w:highlight w:val="none"/>
        </w:rPr>
        <w:t>不一致时，</w:t>
      </w:r>
      <w:r>
        <w:rPr>
          <w:rFonts w:ascii="宋体" w:hAnsi="宋体"/>
          <w:color w:val="auto"/>
          <w:highlight w:val="none"/>
        </w:rPr>
        <w:t>以纸</w:t>
      </w:r>
      <w:r>
        <w:rPr>
          <w:rFonts w:hint="eastAsia" w:ascii="宋体" w:hAnsi="宋体"/>
          <w:color w:val="auto"/>
          <w:highlight w:val="none"/>
        </w:rPr>
        <w:t>质</w:t>
      </w:r>
      <w:r>
        <w:rPr>
          <w:rFonts w:ascii="宋体" w:hAnsi="宋体"/>
          <w:color w:val="auto"/>
          <w:highlight w:val="none"/>
        </w:rPr>
        <w:t>文件为准</w:t>
      </w:r>
      <w:r>
        <w:rPr>
          <w:rFonts w:hint="eastAsia" w:ascii="宋体" w:hAnsi="宋体"/>
          <w:color w:val="auto"/>
          <w:highlight w:val="none"/>
        </w:rPr>
        <w:t>。但由此不一致造成的评标差错由比选申请人</w:t>
      </w:r>
      <w:r>
        <w:rPr>
          <w:rFonts w:hint="eastAsia" w:ascii="宋体" w:hAnsi="宋体"/>
          <w:color w:val="auto"/>
          <w:highlight w:val="none"/>
          <w:lang w:val="en-US" w:eastAsia="zh-CN"/>
        </w:rPr>
        <w:t>自行</w:t>
      </w:r>
      <w:r>
        <w:rPr>
          <w:rFonts w:hint="eastAsia" w:ascii="宋体" w:hAnsi="宋体"/>
          <w:color w:val="auto"/>
          <w:highlight w:val="none"/>
        </w:rPr>
        <w:t>承担。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4.2</w:t>
      </w:r>
      <w:r>
        <w:rPr>
          <w:rFonts w:hint="eastAsia" w:ascii="宋体" w:hAnsi="宋体"/>
          <w:b/>
          <w:color w:val="auto"/>
          <w:highlight w:val="none"/>
        </w:rPr>
        <w:t>比选申请</w:t>
      </w:r>
      <w:r>
        <w:rPr>
          <w:rFonts w:ascii="宋体" w:hAnsi="宋体"/>
          <w:b/>
          <w:color w:val="auto"/>
          <w:highlight w:val="none"/>
        </w:rPr>
        <w:t>文件的正本需打印，并由比选申请人法定代表人或其授权委托人</w:t>
      </w:r>
      <w:r>
        <w:rPr>
          <w:rFonts w:hint="eastAsia" w:ascii="宋体" w:hAnsi="宋体"/>
          <w:b/>
          <w:color w:val="auto"/>
          <w:highlight w:val="none"/>
        </w:rPr>
        <w:t>在比选文件规定的相关位置</w:t>
      </w:r>
      <w:r>
        <w:rPr>
          <w:rFonts w:ascii="宋体" w:hAnsi="宋体"/>
          <w:b/>
          <w:color w:val="auto"/>
          <w:highlight w:val="none"/>
        </w:rPr>
        <w:t>签字并加盖公章。</w:t>
      </w:r>
      <w:r>
        <w:rPr>
          <w:rFonts w:ascii="宋体" w:hAnsi="宋体"/>
          <w:color w:val="auto"/>
          <w:highlight w:val="none"/>
        </w:rPr>
        <w:t>“</w:t>
      </w:r>
      <w:r>
        <w:rPr>
          <w:rFonts w:hint="eastAsia" w:ascii="宋体" w:hAnsi="宋体"/>
          <w:color w:val="auto"/>
          <w:highlight w:val="none"/>
        </w:rPr>
        <w:t>公章</w:t>
      </w:r>
      <w:r>
        <w:rPr>
          <w:rFonts w:ascii="宋体" w:hAnsi="宋体"/>
          <w:color w:val="auto"/>
          <w:highlight w:val="none"/>
        </w:rPr>
        <w:t>”</w:t>
      </w:r>
      <w:r>
        <w:rPr>
          <w:rFonts w:hint="eastAsia" w:ascii="宋体" w:hAnsi="宋体"/>
          <w:color w:val="auto"/>
          <w:highlight w:val="none"/>
        </w:rPr>
        <w:t>是指用比选申请人法定主体行为名称制作的印章，除有特殊规定外，比选申请人的财务章、部门章、分公司章、工会章、合同章、比选申请专用章、业务专用章等其它形式印章均不能代替公章。</w:t>
      </w:r>
      <w:r>
        <w:rPr>
          <w:rFonts w:ascii="宋体" w:hAnsi="宋体"/>
          <w:color w:val="auto"/>
          <w:highlight w:val="none"/>
        </w:rPr>
        <w:t>“</w:t>
      </w:r>
      <w:r>
        <w:rPr>
          <w:rFonts w:hint="eastAsia" w:ascii="宋体" w:hAnsi="宋体"/>
          <w:color w:val="auto"/>
          <w:highlight w:val="none"/>
        </w:rPr>
        <w:t>签字</w:t>
      </w:r>
      <w:r>
        <w:rPr>
          <w:rFonts w:ascii="宋体" w:hAnsi="宋体"/>
          <w:color w:val="auto"/>
          <w:highlight w:val="none"/>
        </w:rPr>
        <w:t>”</w:t>
      </w:r>
      <w:r>
        <w:rPr>
          <w:rFonts w:hint="eastAsia" w:ascii="宋体" w:hAnsi="宋体"/>
          <w:color w:val="auto"/>
          <w:highlight w:val="none"/>
        </w:rPr>
        <w:t>是指比选申请人的法定代表人或被授权人亲自在比选文件规定签署处亲笔写上个人的名字的行为，私章、签字章、印鉴、影印等其它形式均不能代替亲笔签字。</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4.3比选申请文件</w:t>
      </w:r>
      <w:r>
        <w:rPr>
          <w:rFonts w:ascii="宋体" w:hAnsi="宋体"/>
          <w:color w:val="auto"/>
          <w:highlight w:val="none"/>
        </w:rPr>
        <w:t>统一为A4</w:t>
      </w:r>
      <w:r>
        <w:rPr>
          <w:rFonts w:hint="eastAsia" w:ascii="宋体" w:hAnsi="宋体"/>
          <w:color w:val="auto"/>
          <w:highlight w:val="none"/>
        </w:rPr>
        <w:t>版大小（图、表及证件等可折叠成A4大小）</w:t>
      </w:r>
      <w:r>
        <w:rPr>
          <w:rFonts w:ascii="宋体" w:hAnsi="宋体"/>
          <w:color w:val="auto"/>
          <w:highlight w:val="none"/>
        </w:rPr>
        <w:t>，纸质封面，装订</w:t>
      </w:r>
      <w:r>
        <w:rPr>
          <w:rFonts w:hint="eastAsia" w:ascii="宋体" w:hAnsi="宋体"/>
          <w:color w:val="auto"/>
          <w:highlight w:val="none"/>
        </w:rPr>
        <w:t>成册，不得有零散页</w:t>
      </w:r>
      <w:r>
        <w:rPr>
          <w:rFonts w:ascii="宋体" w:hAnsi="宋体"/>
          <w:color w:val="auto"/>
          <w:highlight w:val="none"/>
        </w:rPr>
        <w:t>。</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4.4响应文件需密封包装，且封面注明：</w:t>
      </w:r>
    </w:p>
    <w:p>
      <w:pPr>
        <w:tabs>
          <w:tab w:val="left" w:pos="1155"/>
        </w:tabs>
        <w:spacing w:before="0" w:after="0" w:afterAutospacing="0"/>
        <w:ind w:left="0" w:right="0" w:firstLine="525" w:firstLineChars="250"/>
        <w:rPr>
          <w:rFonts w:ascii="宋体" w:hAnsi="宋体"/>
          <w:color w:val="auto"/>
          <w:highlight w:val="none"/>
        </w:rPr>
      </w:pPr>
      <w:r>
        <w:rPr>
          <w:rFonts w:ascii="宋体" w:hAnsi="宋体"/>
          <w:color w:val="auto"/>
          <w:highlight w:val="none"/>
        </w:rPr>
        <w:t>项目名称：</w:t>
      </w:r>
      <w:r>
        <w:rPr>
          <w:rFonts w:hint="eastAsia" w:ascii="宋体" w:hAnsi="宋体"/>
          <w:color w:val="auto"/>
          <w:highlight w:val="none"/>
          <w:u w:val="single"/>
        </w:rPr>
        <w:t xml:space="preserve">  </w:t>
      </w:r>
      <w:r>
        <w:rPr>
          <w:rFonts w:ascii="宋体" w:hAnsi="宋体"/>
          <w:color w:val="auto"/>
          <w:highlight w:val="none"/>
          <w:u w:val="single"/>
        </w:rPr>
        <w:t>（</w:t>
      </w:r>
      <w:r>
        <w:rPr>
          <w:rFonts w:hint="eastAsia" w:ascii="宋体" w:hAnsi="宋体"/>
          <w:color w:val="auto"/>
          <w:highlight w:val="none"/>
          <w:u w:val="single"/>
        </w:rPr>
        <w:t>填写</w:t>
      </w:r>
      <w:r>
        <w:rPr>
          <w:rFonts w:ascii="宋体" w:hAnsi="宋体"/>
          <w:color w:val="auto"/>
          <w:highlight w:val="none"/>
          <w:u w:val="single"/>
        </w:rPr>
        <w:t>）</w:t>
      </w:r>
      <w:r>
        <w:rPr>
          <w:rFonts w:hint="eastAsia" w:ascii="宋体" w:hAnsi="宋体"/>
          <w:color w:val="auto"/>
          <w:highlight w:val="none"/>
          <w:u w:val="single"/>
        </w:rPr>
        <w:t xml:space="preserve">   </w:t>
      </w:r>
    </w:p>
    <w:p>
      <w:pPr>
        <w:tabs>
          <w:tab w:val="left" w:pos="420"/>
          <w:tab w:val="left" w:pos="720"/>
          <w:tab w:val="left" w:pos="1134"/>
        </w:tabs>
        <w:spacing w:before="0" w:after="0" w:afterAutospacing="0"/>
        <w:ind w:left="0" w:right="0" w:firstLine="525" w:firstLineChars="250"/>
        <w:rPr>
          <w:rFonts w:ascii="宋体" w:hAnsi="宋体"/>
          <w:color w:val="auto"/>
          <w:highlight w:val="none"/>
          <w:u w:val="single"/>
        </w:rPr>
      </w:pPr>
      <w:r>
        <w:rPr>
          <w:rFonts w:ascii="宋体" w:hAnsi="宋体"/>
          <w:color w:val="auto"/>
          <w:highlight w:val="none"/>
        </w:rPr>
        <w:t>项目编号：</w:t>
      </w:r>
      <w:r>
        <w:rPr>
          <w:rFonts w:hint="eastAsia" w:ascii="宋体" w:hAnsi="宋体"/>
          <w:color w:val="auto"/>
          <w:highlight w:val="none"/>
          <w:u w:val="single"/>
        </w:rPr>
        <w:t xml:space="preserve">  </w:t>
      </w:r>
      <w:r>
        <w:rPr>
          <w:rFonts w:ascii="宋体" w:hAnsi="宋体"/>
          <w:color w:val="auto"/>
          <w:highlight w:val="none"/>
          <w:u w:val="single"/>
        </w:rPr>
        <w:t>（</w:t>
      </w:r>
      <w:r>
        <w:rPr>
          <w:rFonts w:hint="eastAsia" w:ascii="宋体" w:hAnsi="宋体"/>
          <w:color w:val="auto"/>
          <w:highlight w:val="none"/>
          <w:u w:val="single"/>
        </w:rPr>
        <w:t>填写</w:t>
      </w:r>
      <w:r>
        <w:rPr>
          <w:rFonts w:ascii="宋体" w:hAnsi="宋体"/>
          <w:color w:val="auto"/>
          <w:highlight w:val="none"/>
          <w:u w:val="single"/>
        </w:rPr>
        <w:t>）</w:t>
      </w:r>
      <w:r>
        <w:rPr>
          <w:rFonts w:hint="eastAsia" w:ascii="宋体" w:hAnsi="宋体"/>
          <w:color w:val="auto"/>
          <w:highlight w:val="none"/>
          <w:u w:val="single"/>
        </w:rPr>
        <w:t xml:space="preserve">   </w:t>
      </w:r>
    </w:p>
    <w:p>
      <w:pPr>
        <w:tabs>
          <w:tab w:val="left" w:pos="420"/>
          <w:tab w:val="left" w:pos="720"/>
          <w:tab w:val="left" w:pos="1134"/>
        </w:tabs>
        <w:spacing w:before="0" w:after="0" w:afterAutospacing="0"/>
        <w:ind w:left="0" w:right="0" w:firstLine="525" w:firstLineChars="250"/>
        <w:rPr>
          <w:rFonts w:ascii="宋体" w:hAnsi="宋体"/>
          <w:color w:val="auto"/>
          <w:highlight w:val="none"/>
          <w:u w:val="single"/>
        </w:rPr>
      </w:pPr>
      <w:r>
        <w:rPr>
          <w:rFonts w:hint="eastAsia" w:ascii="宋体" w:hAnsi="宋体"/>
          <w:color w:val="auto"/>
          <w:highlight w:val="none"/>
        </w:rPr>
        <w:t>比选申请人名称：</w:t>
      </w:r>
      <w:r>
        <w:rPr>
          <w:rFonts w:hint="eastAsia" w:ascii="宋体" w:hAnsi="宋体"/>
          <w:color w:val="auto"/>
          <w:highlight w:val="none"/>
          <w:u w:val="single"/>
        </w:rPr>
        <w:t xml:space="preserve">  </w:t>
      </w:r>
      <w:r>
        <w:rPr>
          <w:rFonts w:ascii="宋体" w:hAnsi="宋体"/>
          <w:color w:val="auto"/>
          <w:highlight w:val="none"/>
          <w:u w:val="single"/>
        </w:rPr>
        <w:t>（</w:t>
      </w:r>
      <w:r>
        <w:rPr>
          <w:rFonts w:hint="eastAsia" w:ascii="宋体" w:hAnsi="宋体"/>
          <w:color w:val="auto"/>
          <w:highlight w:val="none"/>
          <w:u w:val="single"/>
        </w:rPr>
        <w:t>填写</w:t>
      </w:r>
      <w:r>
        <w:rPr>
          <w:rFonts w:ascii="宋体" w:hAnsi="宋体"/>
          <w:color w:val="auto"/>
          <w:highlight w:val="none"/>
          <w:u w:val="single"/>
        </w:rPr>
        <w:t>）</w:t>
      </w:r>
      <w:r>
        <w:rPr>
          <w:rFonts w:hint="eastAsia" w:ascii="宋体" w:hAnsi="宋体"/>
          <w:color w:val="auto"/>
          <w:highlight w:val="none"/>
          <w:u w:val="single"/>
        </w:rPr>
        <w:t xml:space="preserve">   </w:t>
      </w:r>
    </w:p>
    <w:p>
      <w:pPr>
        <w:tabs>
          <w:tab w:val="left" w:pos="420"/>
          <w:tab w:val="left" w:pos="720"/>
          <w:tab w:val="left" w:pos="1134"/>
        </w:tabs>
        <w:spacing w:before="0" w:after="0" w:afterAutospacing="0"/>
        <w:ind w:left="0" w:right="0" w:firstLine="525" w:firstLineChars="250"/>
        <w:rPr>
          <w:rFonts w:ascii="宋体" w:hAnsi="宋体"/>
          <w:color w:val="auto"/>
          <w:highlight w:val="none"/>
          <w:u w:val="single"/>
        </w:rPr>
      </w:pPr>
      <w:r>
        <w:rPr>
          <w:rFonts w:hint="eastAsia" w:ascii="宋体" w:hAnsi="宋体"/>
          <w:color w:val="auto"/>
          <w:highlight w:val="none"/>
        </w:rPr>
        <w:t>比选申请人电话：</w:t>
      </w:r>
      <w:r>
        <w:rPr>
          <w:rFonts w:hint="eastAsia" w:ascii="宋体" w:hAnsi="宋体"/>
          <w:color w:val="auto"/>
          <w:highlight w:val="none"/>
          <w:u w:val="single"/>
        </w:rPr>
        <w:t xml:space="preserve">  </w:t>
      </w:r>
      <w:r>
        <w:rPr>
          <w:rFonts w:ascii="宋体" w:hAnsi="宋体"/>
          <w:color w:val="auto"/>
          <w:highlight w:val="none"/>
          <w:u w:val="single"/>
        </w:rPr>
        <w:t>（</w:t>
      </w:r>
      <w:r>
        <w:rPr>
          <w:rFonts w:hint="eastAsia" w:ascii="宋体" w:hAnsi="宋体"/>
          <w:color w:val="auto"/>
          <w:highlight w:val="none"/>
          <w:u w:val="single"/>
        </w:rPr>
        <w:t>填写</w:t>
      </w:r>
      <w:r>
        <w:rPr>
          <w:rFonts w:ascii="宋体" w:hAnsi="宋体"/>
          <w:color w:val="auto"/>
          <w:highlight w:val="none"/>
          <w:u w:val="single"/>
        </w:rPr>
        <w:t>）</w:t>
      </w:r>
      <w:r>
        <w:rPr>
          <w:rFonts w:hint="eastAsia" w:ascii="宋体" w:hAnsi="宋体"/>
          <w:color w:val="auto"/>
          <w:highlight w:val="none"/>
          <w:u w:val="single"/>
        </w:rPr>
        <w:t xml:space="preserve">   </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22" w:name="_Toc25675"/>
      <w:bookmarkStart w:id="123" w:name="_Toc100643446"/>
      <w:r>
        <w:rPr>
          <w:rFonts w:hint="eastAsia" w:ascii="宋体" w:hAnsi="宋体" w:eastAsia="宋体"/>
          <w:color w:val="auto"/>
          <w:sz w:val="24"/>
          <w:szCs w:val="24"/>
          <w:highlight w:val="none"/>
        </w:rPr>
        <w:t>五、比选申请文件的递交</w:t>
      </w:r>
      <w:bookmarkEnd w:id="122"/>
      <w:bookmarkEnd w:id="123"/>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5.1</w:t>
      </w:r>
      <w:r>
        <w:rPr>
          <w:rFonts w:hint="eastAsia" w:ascii="宋体" w:hAnsi="宋体"/>
          <w:color w:val="auto"/>
          <w:highlight w:val="none"/>
          <w:lang w:eastAsia="zh-CN"/>
        </w:rPr>
        <w:t>比选申请文件须密封后于</w:t>
      </w:r>
      <w:r>
        <w:rPr>
          <w:rFonts w:hint="eastAsia" w:ascii="宋体" w:hAnsi="宋体" w:cs="Times New Roman"/>
          <w:color w:val="auto"/>
          <w:highlight w:val="none"/>
          <w:u w:val="single"/>
          <w:lang w:val="en-US" w:eastAsia="zh-CN"/>
        </w:rPr>
        <w:t>2022</w:t>
      </w:r>
      <w:r>
        <w:rPr>
          <w:rFonts w:hint="eastAsia" w:ascii="宋体" w:hAnsi="宋体"/>
          <w:color w:val="auto"/>
          <w:highlight w:val="none"/>
          <w:lang w:eastAsia="zh-CN"/>
        </w:rPr>
        <w:t>年</w:t>
      </w:r>
      <w:r>
        <w:rPr>
          <w:rFonts w:hint="eastAsia" w:ascii="宋体" w:hAnsi="宋体" w:cs="Times New Roman"/>
          <w:color w:val="auto"/>
          <w:highlight w:val="none"/>
          <w:u w:val="single"/>
          <w:lang w:val="en-US" w:eastAsia="zh-CN"/>
        </w:rPr>
        <w:t>11</w:t>
      </w:r>
      <w:r>
        <w:rPr>
          <w:rFonts w:hint="eastAsia" w:ascii="宋体" w:hAnsi="宋体"/>
          <w:color w:val="auto"/>
          <w:highlight w:val="none"/>
          <w:lang w:eastAsia="zh-CN"/>
        </w:rPr>
        <w:t>月</w:t>
      </w:r>
      <w:r>
        <w:rPr>
          <w:rFonts w:hint="eastAsia" w:ascii="宋体" w:hAnsi="宋体" w:cs="Times New Roman"/>
          <w:color w:val="auto"/>
          <w:highlight w:val="none"/>
          <w:u w:val="single"/>
          <w:lang w:val="en-US" w:eastAsia="zh-CN"/>
        </w:rPr>
        <w:t>17</w:t>
      </w:r>
      <w:r>
        <w:rPr>
          <w:rFonts w:hint="eastAsia" w:ascii="宋体" w:hAnsi="宋体"/>
          <w:color w:val="auto"/>
          <w:highlight w:val="none"/>
          <w:lang w:eastAsia="zh-CN"/>
        </w:rPr>
        <w:t>日</w:t>
      </w:r>
      <w:r>
        <w:rPr>
          <w:rFonts w:hint="eastAsia" w:ascii="宋体" w:hAnsi="宋体" w:cs="Times New Roman"/>
          <w:color w:val="auto"/>
          <w:highlight w:val="none"/>
          <w:u w:val="single"/>
          <w:lang w:val="en-US" w:eastAsia="zh-CN"/>
        </w:rPr>
        <w:t>8</w:t>
      </w:r>
      <w:r>
        <w:rPr>
          <w:rFonts w:hint="eastAsia" w:ascii="宋体" w:hAnsi="宋体"/>
          <w:color w:val="auto"/>
          <w:highlight w:val="none"/>
          <w:lang w:eastAsia="zh-CN"/>
        </w:rPr>
        <w:t>时</w:t>
      </w:r>
      <w:r>
        <w:rPr>
          <w:rFonts w:hint="eastAsia" w:ascii="宋体" w:hAnsi="宋体" w:cs="Times New Roman"/>
          <w:color w:val="auto"/>
          <w:highlight w:val="none"/>
          <w:u w:val="single"/>
          <w:lang w:val="en-US" w:eastAsia="zh-CN"/>
        </w:rPr>
        <w:t>30</w:t>
      </w:r>
      <w:r>
        <w:rPr>
          <w:rFonts w:hint="eastAsia" w:ascii="宋体" w:hAnsi="宋体"/>
          <w:color w:val="auto"/>
          <w:highlight w:val="none"/>
          <w:lang w:eastAsia="zh-CN"/>
        </w:rPr>
        <w:t>分至</w:t>
      </w:r>
      <w:r>
        <w:rPr>
          <w:rFonts w:hint="eastAsia" w:ascii="宋体" w:hAnsi="宋体" w:cs="Times New Roman"/>
          <w:color w:val="auto"/>
          <w:highlight w:val="none"/>
          <w:u w:val="single"/>
          <w:lang w:val="en-US" w:eastAsia="zh-CN"/>
        </w:rPr>
        <w:t>9</w:t>
      </w:r>
      <w:r>
        <w:rPr>
          <w:rFonts w:hint="eastAsia" w:ascii="宋体" w:hAnsi="宋体"/>
          <w:color w:val="auto"/>
          <w:highlight w:val="none"/>
          <w:lang w:eastAsia="zh-CN"/>
        </w:rPr>
        <w:t>时</w:t>
      </w:r>
      <w:r>
        <w:rPr>
          <w:rFonts w:hint="eastAsia" w:ascii="宋体" w:hAnsi="宋体" w:cs="Times New Roman"/>
          <w:color w:val="auto"/>
          <w:highlight w:val="none"/>
          <w:u w:val="single"/>
          <w:lang w:val="en-US" w:eastAsia="zh-CN"/>
        </w:rPr>
        <w:t>00</w:t>
      </w:r>
      <w:r>
        <w:rPr>
          <w:rFonts w:hint="eastAsia" w:ascii="宋体" w:hAnsi="宋体"/>
          <w:color w:val="auto"/>
          <w:highlight w:val="none"/>
          <w:lang w:eastAsia="zh-CN"/>
        </w:rPr>
        <w:t>分递交，递交地点在广西壮族自治区南宁市青秀区云景路83号南宁轨道交通运营有限公司主里车辆段综合楼205会议室。</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5.2逾期送达或未送达指定地点的比选申请文件，比选人不予受理。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5.3未按本文件要求密封的比选申请文件不予受理。</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24" w:name="_Toc100643447"/>
      <w:bookmarkStart w:id="125" w:name="_Toc27293"/>
      <w:r>
        <w:rPr>
          <w:rFonts w:hint="eastAsia" w:ascii="宋体" w:hAnsi="宋体" w:eastAsia="宋体"/>
          <w:color w:val="auto"/>
          <w:sz w:val="24"/>
          <w:szCs w:val="24"/>
          <w:highlight w:val="none"/>
        </w:rPr>
        <w:t>六、比选申请人提出问题的截止时间</w:t>
      </w:r>
      <w:bookmarkEnd w:id="124"/>
      <w:bookmarkEnd w:id="125"/>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6.1比选申请人提出问题的截止时间为</w:t>
      </w:r>
      <w:r>
        <w:rPr>
          <w:rFonts w:hint="eastAsia" w:ascii="宋体" w:hAnsi="宋体"/>
          <w:color w:val="auto"/>
          <w:highlight w:val="none"/>
          <w:u w:val="single"/>
          <w:lang w:val="en-US" w:eastAsia="zh-CN"/>
        </w:rPr>
        <w:t>2022</w:t>
      </w:r>
      <w:r>
        <w:rPr>
          <w:rFonts w:hint="eastAsia" w:ascii="宋体" w:hAnsi="宋体"/>
          <w:color w:val="auto"/>
          <w:highlight w:val="none"/>
        </w:rPr>
        <w:t>年</w:t>
      </w:r>
      <w:r>
        <w:rPr>
          <w:rFonts w:hint="eastAsia" w:ascii="宋体" w:hAnsi="宋体"/>
          <w:color w:val="auto"/>
          <w:highlight w:val="none"/>
          <w:u w:val="single"/>
          <w:lang w:val="en-US" w:eastAsia="zh-CN"/>
        </w:rPr>
        <w:t>11</w:t>
      </w:r>
      <w:r>
        <w:rPr>
          <w:rFonts w:hint="eastAsia" w:ascii="宋体" w:hAnsi="宋体"/>
          <w:color w:val="auto"/>
          <w:highlight w:val="none"/>
        </w:rPr>
        <w:t>月</w:t>
      </w:r>
      <w:r>
        <w:rPr>
          <w:rFonts w:hint="eastAsia" w:ascii="宋体" w:hAnsi="宋体"/>
          <w:color w:val="auto"/>
          <w:highlight w:val="none"/>
          <w:u w:val="single"/>
          <w:lang w:val="en-US" w:eastAsia="zh-CN"/>
        </w:rPr>
        <w:t>9</w:t>
      </w:r>
      <w:r>
        <w:rPr>
          <w:rFonts w:hint="eastAsia" w:ascii="宋体" w:hAnsi="宋体"/>
          <w:color w:val="auto"/>
          <w:highlight w:val="none"/>
        </w:rPr>
        <w:t>日</w:t>
      </w:r>
      <w:r>
        <w:rPr>
          <w:rFonts w:hint="eastAsia" w:ascii="宋体" w:hAnsi="宋体"/>
          <w:color w:val="auto"/>
          <w:highlight w:val="none"/>
          <w:u w:val="single"/>
          <w:lang w:val="en-US" w:eastAsia="zh-CN"/>
        </w:rPr>
        <w:t>18</w:t>
      </w:r>
      <w:r>
        <w:rPr>
          <w:rFonts w:hint="eastAsia" w:ascii="宋体" w:hAnsi="宋体"/>
          <w:color w:val="auto"/>
          <w:highlight w:val="none"/>
        </w:rPr>
        <w:t>时</w:t>
      </w:r>
      <w:r>
        <w:rPr>
          <w:rFonts w:hint="eastAsia" w:ascii="宋体" w:hAnsi="宋体"/>
          <w:color w:val="auto"/>
          <w:highlight w:val="none"/>
          <w:u w:val="single"/>
          <w:lang w:val="en-US" w:eastAsia="zh-CN"/>
        </w:rPr>
        <w:t>00</w:t>
      </w:r>
      <w:bookmarkStart w:id="1437" w:name="_GoBack"/>
      <w:bookmarkEnd w:id="1437"/>
      <w:r>
        <w:rPr>
          <w:rFonts w:hint="eastAsia" w:ascii="宋体" w:hAnsi="宋体"/>
          <w:color w:val="auto"/>
          <w:highlight w:val="none"/>
        </w:rPr>
        <w:t>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6.2需澄清的问题需以书面形式于上述提出问题截止时间前将加盖法人公章的电子版扫描件发到</w:t>
      </w:r>
      <w:r>
        <w:rPr>
          <w:rFonts w:hint="eastAsia" w:ascii="宋体" w:hAnsi="宋体"/>
          <w:color w:val="auto"/>
          <w:highlight w:val="none"/>
          <w:u w:val="single"/>
          <w:lang w:val="en-US" w:eastAsia="zh-CN"/>
        </w:rPr>
        <w:t>2606712063@qq.com</w:t>
      </w:r>
      <w:r>
        <w:rPr>
          <w:rFonts w:hint="eastAsia" w:ascii="宋体" w:hAnsi="宋体"/>
          <w:color w:val="auto"/>
          <w:highlight w:val="none"/>
        </w:rPr>
        <w:t>邮箱。</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6.3比选申请人不在规定期限内提出，比选人有权不予答复。答复后比选申请截止时间由比选人确定是否顺延。</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26" w:name="_Toc10226"/>
      <w:bookmarkStart w:id="127" w:name="_Toc100643448"/>
      <w:r>
        <w:rPr>
          <w:rFonts w:hint="eastAsia" w:ascii="宋体" w:hAnsi="宋体" w:eastAsia="宋体"/>
          <w:color w:val="auto"/>
          <w:sz w:val="24"/>
          <w:szCs w:val="24"/>
          <w:highlight w:val="none"/>
        </w:rPr>
        <w:t>七、报价要求</w:t>
      </w:r>
      <w:bookmarkEnd w:id="126"/>
      <w:bookmarkEnd w:id="127"/>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7.1本项目合同价格形式采用以下方式：</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sym w:font="Wingdings 2" w:char="0052"/>
      </w:r>
      <w:r>
        <w:rPr>
          <w:rFonts w:hint="eastAsia" w:ascii="宋体" w:hAnsi="宋体"/>
          <w:color w:val="auto"/>
          <w:highlight w:val="none"/>
        </w:rPr>
        <w:t>单价合同，暂定总价。根据实际完成的供货数量/工程量/工作内容据实结算，</w:t>
      </w:r>
      <w:r>
        <w:rPr>
          <w:rFonts w:hint="eastAsia" w:ascii="宋体" w:hAnsi="宋体"/>
          <w:color w:val="auto"/>
          <w:highlight w:val="none"/>
          <w:lang w:eastAsia="zh-CN"/>
        </w:rPr>
        <w:t>服务期</w:t>
      </w:r>
      <w:r>
        <w:rPr>
          <w:rFonts w:hint="eastAsia" w:ascii="宋体" w:hAnsi="宋体"/>
          <w:color w:val="auto"/>
          <w:highlight w:val="none"/>
        </w:rPr>
        <w:t>满或合同执行金额到达签约合同额时合同终止。</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不含税总价</w:t>
      </w:r>
      <w:r>
        <w:rPr>
          <w:rFonts w:hint="eastAsia" w:ascii="宋体" w:hAnsi="宋体"/>
          <w:color w:val="auto"/>
          <w:highlight w:val="none"/>
        </w:rPr>
        <w:t>应包括</w:t>
      </w:r>
      <w:r>
        <w:rPr>
          <w:rFonts w:hint="eastAsia" w:ascii="宋体" w:hAnsi="宋体"/>
          <w:color w:val="auto"/>
          <w:highlight w:val="none"/>
          <w:lang w:eastAsia="zh-CN"/>
        </w:rPr>
        <w:t>提供的所有的</w:t>
      </w:r>
      <w:r>
        <w:rPr>
          <w:rFonts w:hint="eastAsia" w:ascii="宋体" w:hAnsi="宋体"/>
          <w:b w:val="0"/>
          <w:color w:val="auto"/>
          <w:highlight w:val="none"/>
        </w:rPr>
        <w:t>设备投入</w:t>
      </w:r>
      <w:r>
        <w:rPr>
          <w:rFonts w:hint="eastAsia" w:ascii="宋体" w:hAnsi="宋体"/>
          <w:b w:val="0"/>
          <w:color w:val="auto"/>
          <w:highlight w:val="none"/>
          <w:lang w:eastAsia="zh-CN"/>
        </w:rPr>
        <w:t>、</w:t>
      </w:r>
      <w:r>
        <w:rPr>
          <w:rFonts w:hint="eastAsia" w:ascii="宋体" w:hAnsi="宋体"/>
          <w:b w:val="0"/>
          <w:color w:val="auto"/>
          <w:highlight w:val="none"/>
          <w:lang w:val="en-US" w:eastAsia="zh-CN"/>
        </w:rPr>
        <w:t>全景</w:t>
      </w:r>
      <w:r>
        <w:rPr>
          <w:rFonts w:hint="eastAsia" w:ascii="宋体" w:hAnsi="宋体"/>
          <w:color w:val="auto"/>
          <w:highlight w:val="none"/>
          <w:lang w:eastAsia="zh-CN"/>
        </w:rPr>
        <w:t>拍摄投入</w:t>
      </w:r>
      <w:r>
        <w:rPr>
          <w:rFonts w:hint="eastAsia" w:ascii="宋体" w:hAnsi="宋体"/>
          <w:b w:val="0"/>
          <w:color w:val="auto"/>
          <w:highlight w:val="none"/>
          <w:lang w:eastAsia="zh-CN"/>
        </w:rPr>
        <w:t>、</w:t>
      </w:r>
      <w:r>
        <w:rPr>
          <w:rFonts w:hint="eastAsia" w:ascii="宋体" w:hAnsi="宋体"/>
          <w:b w:val="0"/>
          <w:color w:val="auto"/>
          <w:highlight w:val="none"/>
          <w:lang w:val="en-US" w:eastAsia="zh-CN"/>
        </w:rPr>
        <w:t>软件开发费用</w:t>
      </w:r>
      <w:r>
        <w:rPr>
          <w:rFonts w:hint="eastAsia" w:ascii="宋体" w:hAnsi="宋体"/>
          <w:color w:val="auto"/>
          <w:highlight w:val="none"/>
        </w:rPr>
        <w:t>、培训、人工工资、管理费、利润、保险等一切履行合同标的全过程产生的除增值税外</w:t>
      </w:r>
      <w:r>
        <w:rPr>
          <w:rFonts w:hint="eastAsia" w:ascii="宋体" w:hAnsi="宋体"/>
          <w:color w:val="auto"/>
          <w:highlight w:val="none"/>
          <w:lang w:eastAsia="zh-CN"/>
        </w:rPr>
        <w:t>的</w:t>
      </w:r>
      <w:r>
        <w:rPr>
          <w:rFonts w:hint="eastAsia" w:ascii="宋体" w:hAnsi="宋体"/>
          <w:color w:val="auto"/>
          <w:highlight w:val="none"/>
        </w:rPr>
        <w:t>所有费用。本合同税率将遵照国家现行税法执行，随国家税率调整而调整。本合同最终税金在结算阶段，按实际产生的税金进行核算，但合同不含税价格不因国家税率调整而调整</w:t>
      </w:r>
      <w:r>
        <w:rPr>
          <w:rFonts w:hint="eastAsia" w:ascii="宋体" w:hAnsi="宋体"/>
          <w:color w:val="auto"/>
          <w:highlight w:val="none"/>
          <w:lang w:eastAsia="zh-CN"/>
        </w:rPr>
        <w:t>。</w:t>
      </w:r>
      <w:r>
        <w:rPr>
          <w:rFonts w:hint="eastAsia" w:ascii="宋体" w:hAnsi="宋体"/>
          <w:color w:val="auto"/>
          <w:highlight w:val="none"/>
        </w:rPr>
        <w:t>比选申请人</w:t>
      </w:r>
      <w:r>
        <w:rPr>
          <w:rFonts w:hint="eastAsia" w:ascii="宋体" w:hAnsi="宋体"/>
          <w:color w:val="auto"/>
          <w:highlight w:val="none"/>
          <w:lang w:eastAsia="zh-CN"/>
        </w:rPr>
        <w:t>根据用户需求书</w:t>
      </w:r>
      <w:r>
        <w:rPr>
          <w:rFonts w:hint="eastAsia" w:ascii="宋体" w:hAnsi="宋体"/>
          <w:color w:val="auto"/>
          <w:highlight w:val="none"/>
        </w:rPr>
        <w:t>报价，比选申请人应已充分考虑项目可能因</w:t>
      </w:r>
      <w:r>
        <w:rPr>
          <w:rFonts w:hint="eastAsia" w:ascii="宋体" w:hAnsi="宋体"/>
          <w:color w:val="auto"/>
          <w:highlight w:val="none"/>
          <w:lang w:eastAsia="zh-CN"/>
        </w:rPr>
        <w:t>实际情况、</w:t>
      </w:r>
      <w:r>
        <w:rPr>
          <w:rFonts w:hint="eastAsia" w:ascii="宋体" w:hAnsi="宋体"/>
          <w:color w:val="auto"/>
          <w:highlight w:val="none"/>
        </w:rPr>
        <w:t>气候和其他一切客观因素造成</w:t>
      </w:r>
      <w:r>
        <w:rPr>
          <w:rFonts w:hint="eastAsia" w:ascii="宋体" w:hAnsi="宋体"/>
          <w:color w:val="auto"/>
          <w:highlight w:val="none"/>
          <w:lang w:eastAsia="zh-CN"/>
        </w:rPr>
        <w:t>的其他费用</w:t>
      </w:r>
      <w:r>
        <w:rPr>
          <w:rFonts w:hint="eastAsia" w:ascii="宋体" w:hAnsi="宋体"/>
          <w:color w:val="auto"/>
          <w:highlight w:val="none"/>
        </w:rPr>
        <w:t>。在合同执行过程中，双方均不能因为工程量、设备、材料价格、工资等变动和地质条件恶劣、气候恶劣等理由，提出对合同总价</w:t>
      </w:r>
      <w:r>
        <w:rPr>
          <w:rFonts w:hint="eastAsia" w:ascii="宋体" w:hAnsi="宋体"/>
          <w:color w:val="auto"/>
          <w:highlight w:val="none"/>
          <w:lang w:eastAsia="zh-CN"/>
        </w:rPr>
        <w:t>调整</w:t>
      </w:r>
      <w:r>
        <w:rPr>
          <w:rFonts w:hint="eastAsia" w:ascii="宋体" w:hAnsi="宋体"/>
          <w:color w:val="auto"/>
          <w:highlight w:val="none"/>
        </w:rPr>
        <w:t>的要求。</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7.2比选申请报价应包括完成所有项目内容及质量保证期服务等履行合同标的全过程产生的所有成本、合理利润、税金及其他费用等全部费用以及比选申请人应承担的费用。</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7.3同一规格、型号、标准、内容的项目在各分项报价中应为同一单价。比选申请人对同类项目只允许有一个报价，如有不同报价，则以最低报价为准。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7.4比选申请人应充分理解本文件中“用户需求书”的要求及项目的实际需要自行考虑并完善完成项目、服务和安装调试（如有）等内容。比选申请人不得对报价表中的项目进行删减，但可增补，对已有清单内容项不得漏项或缺项。比选申请人应逐项计算并填写单价、合价和总价，比选申请人没有填写单价和合价的项目将视为缺项。</w:t>
      </w:r>
    </w:p>
    <w:p>
      <w:pPr>
        <w:tabs>
          <w:tab w:val="left" w:pos="1134"/>
          <w:tab w:val="left" w:pos="8364"/>
        </w:tabs>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7.5比选申请人报价有计算错误的，可按下述原则对报价进行修正：</w:t>
      </w:r>
    </w:p>
    <w:p>
      <w:pPr>
        <w:tabs>
          <w:tab w:val="left" w:pos="4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）评标价以不含税总报价为基准。</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（2）比选申请报价大写金额与小写金额不一致的，以大写金额为准；</w:t>
      </w:r>
      <w:r>
        <w:rPr>
          <w:rFonts w:ascii="宋体" w:hAnsi="宋体"/>
          <w:color w:val="auto"/>
          <w:highlight w:val="none"/>
        </w:rPr>
        <w:t>总价金额与单价</w:t>
      </w:r>
      <w:r>
        <w:rPr>
          <w:rFonts w:hint="eastAsia" w:ascii="宋体" w:hAnsi="宋体"/>
          <w:color w:val="auto"/>
          <w:highlight w:val="none"/>
        </w:rPr>
        <w:t>乘以数量的合计</w:t>
      </w:r>
      <w:r>
        <w:rPr>
          <w:rFonts w:ascii="宋体" w:hAnsi="宋体"/>
          <w:color w:val="auto"/>
          <w:highlight w:val="none"/>
        </w:rPr>
        <w:t>计算出的结果不一致的，以单价为准修正总价，但单价金额小数点有明显错误的除外。</w:t>
      </w:r>
    </w:p>
    <w:p>
      <w:pPr>
        <w:pStyle w:val="37"/>
        <w:tabs>
          <w:tab w:val="left" w:pos="851"/>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（3）同一规格、型号的货物、材料在各分项报价中应为同一单价。比选申请人对每种货物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（4）当单价与数量相乘不等于合价时，以单价计算为准，如果单价有明显的小数点位置差错，应以标出的合价为准，同时对单价予以修正。</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（5）当各子目的合价累计不等于总价时，应以各子目合价累计数为准，修正总价。</w:t>
      </w:r>
    </w:p>
    <w:p>
      <w:pPr>
        <w:pStyle w:val="37"/>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（6）按上述（2）-（5）规则对比选申请报价进行修正。</w:t>
      </w:r>
      <w:r>
        <w:rPr>
          <w:rFonts w:hint="eastAsia" w:ascii="宋体" w:hAnsi="宋体" w:cs="Arial"/>
          <w:color w:val="auto"/>
          <w:highlight w:val="none"/>
        </w:rPr>
        <w:t>评标价格及中标价均以修正后的报价为准。</w:t>
      </w:r>
      <w:r>
        <w:rPr>
          <w:rFonts w:hint="eastAsia" w:ascii="宋体" w:hAnsi="宋体"/>
          <w:color w:val="auto"/>
          <w:highlight w:val="none"/>
        </w:rPr>
        <w:t>如比选申请人不接受按以上规则确定的评标价格和中标价，则其比选申请将被拒绝。</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7.6报价保留小数点后两位。</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7.7比选申请人只允许有一个报价，比选人不接受任何选择性报价，否则比选申请将被否决。</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28" w:name="_Toc11335"/>
      <w:bookmarkStart w:id="129" w:name="_Toc100643449"/>
      <w:r>
        <w:rPr>
          <w:rFonts w:hint="eastAsia" w:ascii="宋体" w:hAnsi="宋体" w:eastAsia="宋体"/>
          <w:color w:val="auto"/>
          <w:sz w:val="24"/>
          <w:szCs w:val="24"/>
          <w:highlight w:val="none"/>
        </w:rPr>
        <w:t>八、评审规则</w:t>
      </w:r>
      <w:bookmarkEnd w:id="128"/>
      <w:bookmarkEnd w:id="129"/>
    </w:p>
    <w:p>
      <w:pPr>
        <w:tabs>
          <w:tab w:val="left" w:pos="1134"/>
          <w:tab w:val="left" w:pos="8364"/>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8.1本项目评标办法采用以下方式：</w:t>
      </w:r>
    </w:p>
    <w:p>
      <w:pPr>
        <w:tabs>
          <w:tab w:val="left" w:pos="1134"/>
          <w:tab w:val="left" w:pos="8364"/>
        </w:tabs>
        <w:spacing w:before="0" w:after="0" w:afterAutospacing="0"/>
        <w:ind w:left="0" w:right="0" w:firstLine="422" w:firstLineChars="200"/>
        <w:rPr>
          <w:rFonts w:ascii="宋体" w:hAnsi="宋体"/>
          <w:color w:val="auto"/>
          <w:highlight w:val="none"/>
        </w:rPr>
      </w:pPr>
      <w:r>
        <w:rPr>
          <w:rFonts w:hint="eastAsia" w:ascii="宋体" w:hAnsi="宋体"/>
          <w:b/>
          <w:bCs/>
          <w:color w:val="auto"/>
          <w:highlight w:val="none"/>
        </w:rPr>
        <w:t>最低评审价法</w:t>
      </w:r>
      <w:r>
        <w:rPr>
          <w:rFonts w:hint="eastAsia" w:ascii="宋体" w:hAnsi="宋体"/>
          <w:color w:val="auto"/>
          <w:highlight w:val="none"/>
        </w:rPr>
        <w:t>。最低的有效报价作为推荐中选候选人依据。</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8.2比选申请人有下述情况之一的，其比选申请将被否决：</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（1）不满足比选人资格要求的。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（2）未按本文件要求签字、盖章、打印、装订或封装的。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（3）比选申请实质性内容未按本文件规定格式填写且内容不齐全的。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（4）技术需求响应表及商务响应表出现负偏离的。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（5）在比选申请文件中出现虚假文件或资料的。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（6）评标价超出本项目控制价的。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（7）出现比选文件、法律法规规定的其他否决比选申请条件的。</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30" w:name="_Toc100643450"/>
      <w:bookmarkStart w:id="131" w:name="_Toc8894"/>
      <w:r>
        <w:rPr>
          <w:rFonts w:hint="eastAsia" w:ascii="宋体" w:hAnsi="宋体" w:eastAsia="宋体"/>
          <w:color w:val="auto"/>
          <w:sz w:val="24"/>
          <w:szCs w:val="24"/>
          <w:highlight w:val="none"/>
        </w:rPr>
        <w:t>九、重新比选或不再比选</w:t>
      </w:r>
      <w:bookmarkEnd w:id="130"/>
      <w:bookmarkEnd w:id="131"/>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9.1比选申请人</w:t>
      </w:r>
      <w:r>
        <w:rPr>
          <w:rFonts w:ascii="宋体" w:hAnsi="宋体"/>
          <w:b/>
          <w:color w:val="auto"/>
          <w:highlight w:val="none"/>
        </w:rPr>
        <w:t>出现下列特殊情况之一时，可重新</w:t>
      </w:r>
      <w:r>
        <w:rPr>
          <w:rFonts w:hint="eastAsia" w:ascii="宋体" w:hAnsi="宋体"/>
          <w:b/>
          <w:color w:val="auto"/>
          <w:highlight w:val="none"/>
        </w:rPr>
        <w:t>比选：</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在比选申请截止时间到达时提交比选申请文件的比选申请人</w:t>
      </w:r>
      <w:r>
        <w:rPr>
          <w:rFonts w:hint="eastAsia" w:ascii="宋体" w:hAnsi="宋体"/>
          <w:color w:val="auto"/>
          <w:highlight w:val="none"/>
        </w:rPr>
        <w:t>不足3家</w:t>
      </w:r>
      <w:r>
        <w:rPr>
          <w:rFonts w:ascii="宋体" w:hAnsi="宋体"/>
          <w:color w:val="auto"/>
          <w:highlight w:val="none"/>
        </w:rPr>
        <w:t>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ascii="宋体" w:hAnsi="宋体"/>
          <w:color w:val="auto"/>
          <w:highlight w:val="none"/>
        </w:rPr>
        <w:t>评审委员会否决不合格比选申请或者界定为否决比选申请后，因有效比选申请不足三</w:t>
      </w:r>
      <w:r>
        <w:rPr>
          <w:rFonts w:hint="eastAsia" w:ascii="宋体" w:hAnsi="宋体"/>
          <w:color w:val="auto"/>
          <w:highlight w:val="none"/>
        </w:rPr>
        <w:t>家</w:t>
      </w:r>
      <w:r>
        <w:rPr>
          <w:rFonts w:ascii="宋体" w:hAnsi="宋体"/>
          <w:color w:val="auto"/>
          <w:highlight w:val="none"/>
        </w:rPr>
        <w:t>使得比选申请明显缺乏竞争性的（当有效比选申请</w:t>
      </w:r>
      <w:r>
        <w:rPr>
          <w:rFonts w:hint="eastAsia" w:ascii="宋体" w:hAnsi="宋体"/>
          <w:color w:val="auto"/>
          <w:highlight w:val="none"/>
        </w:rPr>
        <w:t>只剩余两家</w:t>
      </w:r>
      <w:r>
        <w:rPr>
          <w:rFonts w:ascii="宋体" w:hAnsi="宋体"/>
          <w:color w:val="auto"/>
          <w:highlight w:val="none"/>
        </w:rPr>
        <w:t>时，评审委员会认为剩余的比选申请文件仍具有竞争性的，应继续评审）；</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评审委员会决定否决全部比选申请的；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中选候选人均放弃中选资格</w:t>
      </w:r>
      <w:r>
        <w:rPr>
          <w:rFonts w:hint="eastAsia" w:ascii="宋体" w:hAnsi="宋体"/>
          <w:color w:val="auto"/>
          <w:highlight w:val="none"/>
        </w:rPr>
        <w:t>的</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（5）比选文件中规定的其他情况。</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9.2不再比选</w:t>
      </w:r>
    </w:p>
    <w:p>
      <w:pPr>
        <w:tabs>
          <w:tab w:val="left" w:pos="1155"/>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项目</w:t>
      </w:r>
      <w:r>
        <w:rPr>
          <w:rFonts w:hint="eastAsia" w:ascii="宋体" w:hAnsi="宋体"/>
          <w:color w:val="auto"/>
          <w:highlight w:val="none"/>
        </w:rPr>
        <w:t>比选</w:t>
      </w:r>
      <w:r>
        <w:rPr>
          <w:rFonts w:ascii="宋体" w:hAnsi="宋体"/>
          <w:color w:val="auto"/>
          <w:highlight w:val="none"/>
        </w:rPr>
        <w:t>经两次发布信息后比选申请人仍少于三个或重新</w:t>
      </w:r>
      <w:r>
        <w:rPr>
          <w:rFonts w:hint="eastAsia" w:ascii="宋体" w:hAnsi="宋体"/>
          <w:color w:val="auto"/>
          <w:highlight w:val="none"/>
        </w:rPr>
        <w:t>比选</w:t>
      </w:r>
      <w:r>
        <w:rPr>
          <w:rFonts w:ascii="宋体" w:hAnsi="宋体"/>
          <w:color w:val="auto"/>
          <w:highlight w:val="none"/>
        </w:rPr>
        <w:t>后有效比选申请人仍少于三个或者所有比选申请被否决的，比选人可不再进行</w:t>
      </w:r>
      <w:r>
        <w:rPr>
          <w:rFonts w:hint="eastAsia" w:ascii="宋体" w:hAnsi="宋体"/>
          <w:color w:val="auto"/>
          <w:highlight w:val="none"/>
        </w:rPr>
        <w:t>比选</w:t>
      </w:r>
      <w:r>
        <w:rPr>
          <w:rFonts w:ascii="宋体" w:hAnsi="宋体"/>
          <w:color w:val="auto"/>
          <w:highlight w:val="none"/>
        </w:rPr>
        <w:t>。</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32" w:name="_Toc100643451"/>
      <w:bookmarkStart w:id="133" w:name="_Toc19365"/>
      <w:r>
        <w:rPr>
          <w:rFonts w:hint="eastAsia" w:ascii="宋体" w:hAnsi="宋体" w:eastAsia="宋体"/>
          <w:color w:val="auto"/>
          <w:sz w:val="24"/>
          <w:szCs w:val="24"/>
          <w:highlight w:val="none"/>
        </w:rPr>
        <w:t>九、比选申请有效期</w:t>
      </w:r>
      <w:bookmarkEnd w:id="132"/>
      <w:bookmarkEnd w:id="133"/>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自比选申请截止时间起90天。</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34" w:name="_Toc100643452"/>
      <w:bookmarkStart w:id="135" w:name="_Toc10231"/>
      <w:r>
        <w:rPr>
          <w:rFonts w:hint="eastAsia" w:ascii="宋体" w:hAnsi="宋体" w:eastAsia="宋体"/>
          <w:color w:val="auto"/>
          <w:sz w:val="24"/>
          <w:szCs w:val="24"/>
          <w:highlight w:val="none"/>
        </w:rPr>
        <w:t>十、比选保证金</w:t>
      </w:r>
      <w:bookmarkEnd w:id="134"/>
      <w:bookmarkEnd w:id="135"/>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本项目不要求递交比选保证金。</w:t>
      </w:r>
    </w:p>
    <w:p>
      <w:pPr>
        <w:pStyle w:val="5"/>
        <w:spacing w:after="0" w:afterAutospacing="0" w:line="360" w:lineRule="auto"/>
        <w:ind w:left="0" w:right="0" w:firstLine="482" w:firstLineChars="200"/>
        <w:rPr>
          <w:rFonts w:hint="eastAsia" w:ascii="宋体" w:hAnsi="宋体" w:eastAsia="宋体"/>
          <w:color w:val="auto"/>
          <w:sz w:val="24"/>
          <w:szCs w:val="24"/>
          <w:highlight w:val="none"/>
          <w:lang w:val="en-US" w:eastAsia="zh-CN"/>
        </w:rPr>
      </w:pPr>
      <w:bookmarkStart w:id="136" w:name="_Toc23074"/>
      <w:bookmarkStart w:id="137" w:name="_Toc100643453"/>
      <w:r>
        <w:rPr>
          <w:rFonts w:hint="eastAsia" w:ascii="宋体" w:hAnsi="宋体" w:eastAsia="宋体"/>
          <w:color w:val="auto"/>
          <w:sz w:val="24"/>
          <w:szCs w:val="24"/>
          <w:highlight w:val="none"/>
        </w:rPr>
        <w:t>十一、履约</w:t>
      </w:r>
      <w:bookmarkEnd w:id="136"/>
      <w:bookmarkEnd w:id="137"/>
      <w:r>
        <w:rPr>
          <w:rFonts w:hint="eastAsia" w:ascii="宋体" w:hAnsi="宋体" w:eastAsia="宋体"/>
          <w:color w:val="auto"/>
          <w:sz w:val="24"/>
          <w:szCs w:val="24"/>
          <w:highlight w:val="none"/>
          <w:lang w:val="en-US" w:eastAsia="zh-CN"/>
        </w:rPr>
        <w:t>保证金</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11.1履约</w:t>
      </w:r>
      <w:r>
        <w:rPr>
          <w:rFonts w:hint="eastAsia" w:ascii="宋体" w:hAnsi="宋体"/>
          <w:color w:val="auto"/>
          <w:highlight w:val="none"/>
          <w:lang w:val="en-US" w:eastAsia="zh-CN"/>
        </w:rPr>
        <w:t>保证金</w:t>
      </w:r>
      <w:r>
        <w:rPr>
          <w:rFonts w:hint="eastAsia" w:ascii="宋体" w:hAnsi="宋体"/>
          <w:color w:val="auto"/>
          <w:highlight w:val="none"/>
        </w:rPr>
        <w:t>的金额：</w:t>
      </w:r>
      <w:r>
        <w:rPr>
          <w:rFonts w:hint="eastAsia" w:ascii="宋体" w:hAnsi="宋体"/>
          <w:color w:val="auto"/>
          <w:highlight w:val="none"/>
          <w:lang w:eastAsia="zh-CN"/>
        </w:rPr>
        <w:t>中标</w:t>
      </w:r>
      <w:r>
        <w:rPr>
          <w:rFonts w:hint="eastAsia" w:ascii="宋体" w:hAnsi="宋体"/>
          <w:color w:val="auto"/>
          <w:highlight w:val="none"/>
        </w:rPr>
        <w:t>价格的</w:t>
      </w:r>
      <w:r>
        <w:rPr>
          <w:rFonts w:ascii="宋体" w:hAnsi="宋体"/>
          <w:color w:val="auto"/>
          <w:highlight w:val="none"/>
        </w:rPr>
        <w:t>5%</w:t>
      </w:r>
      <w:r>
        <w:rPr>
          <w:rFonts w:hint="eastAsia"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11.2履约</w:t>
      </w:r>
      <w:r>
        <w:rPr>
          <w:rFonts w:hint="eastAsia" w:ascii="宋体" w:hAnsi="宋体"/>
          <w:color w:val="auto"/>
          <w:highlight w:val="none"/>
          <w:lang w:val="en-US" w:eastAsia="zh-CN"/>
        </w:rPr>
        <w:t>保证金</w:t>
      </w:r>
      <w:r>
        <w:rPr>
          <w:rFonts w:hint="eastAsia" w:ascii="宋体" w:hAnsi="宋体"/>
          <w:color w:val="auto"/>
          <w:highlight w:val="none"/>
        </w:rPr>
        <w:t>的形式：转账或电汇或银行保函。</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11.3银行保函由中国境内各商业银行支行及其以上的银行开具的银行保函。</w:t>
      </w:r>
    </w:p>
    <w:p>
      <w:pPr>
        <w:tabs>
          <w:tab w:val="left" w:pos="1134"/>
          <w:tab w:val="left" w:pos="8364"/>
        </w:tabs>
        <w:spacing w:before="0" w:after="0" w:afterAutospacing="0"/>
        <w:ind w:left="0" w:right="0" w:firstLine="420" w:firstLineChars="200"/>
        <w:rPr>
          <w:rFonts w:hint="eastAsia" w:ascii="宋体" w:hAnsi="宋体"/>
          <w:color w:val="auto"/>
          <w:highlight w:val="none"/>
          <w:lang w:eastAsia="zh-CN"/>
        </w:rPr>
      </w:pPr>
      <w:r>
        <w:rPr>
          <w:rFonts w:hint="eastAsia" w:ascii="宋体" w:hAnsi="宋体"/>
          <w:color w:val="auto"/>
          <w:highlight w:val="none"/>
        </w:rPr>
        <w:t>11.4递交地点：广西南宁市云景路83号</w:t>
      </w:r>
      <w:r>
        <w:rPr>
          <w:rFonts w:hint="eastAsia" w:ascii="宋体" w:hAnsi="宋体"/>
          <w:color w:val="auto"/>
          <w:highlight w:val="none"/>
          <w:lang w:eastAsia="zh-CN"/>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11.5提交履约</w:t>
      </w:r>
      <w:r>
        <w:rPr>
          <w:rFonts w:hint="eastAsia" w:ascii="宋体" w:hAnsi="宋体"/>
          <w:color w:val="auto"/>
          <w:highlight w:val="none"/>
          <w:lang w:val="en-US" w:eastAsia="zh-CN"/>
        </w:rPr>
        <w:t>保证金</w:t>
      </w:r>
      <w:r>
        <w:rPr>
          <w:rFonts w:hint="eastAsia" w:ascii="宋体" w:hAnsi="宋体"/>
          <w:color w:val="auto"/>
          <w:highlight w:val="none"/>
        </w:rPr>
        <w:t>的时间：应在合同签订前、且最迟应在中选通知书发出之日起</w:t>
      </w:r>
      <w:r>
        <w:rPr>
          <w:rFonts w:ascii="宋体" w:hAnsi="宋体"/>
          <w:color w:val="auto"/>
          <w:highlight w:val="none"/>
        </w:rPr>
        <w:t>20</w:t>
      </w:r>
      <w:r>
        <w:rPr>
          <w:rFonts w:hint="eastAsia" w:ascii="宋体" w:hAnsi="宋体"/>
          <w:color w:val="auto"/>
          <w:highlight w:val="none"/>
        </w:rPr>
        <w:t>日内。</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11.6若中选人未在规定时间内足额缴纳履约</w:t>
      </w:r>
      <w:r>
        <w:rPr>
          <w:rFonts w:hint="eastAsia" w:ascii="宋体" w:hAnsi="宋体"/>
          <w:color w:val="auto"/>
          <w:highlight w:val="none"/>
          <w:lang w:val="en-US" w:eastAsia="zh-CN"/>
        </w:rPr>
        <w:t>保证金</w:t>
      </w:r>
      <w:r>
        <w:rPr>
          <w:rFonts w:hint="eastAsia" w:ascii="宋体" w:hAnsi="宋体"/>
          <w:color w:val="auto"/>
          <w:highlight w:val="none"/>
        </w:rPr>
        <w:t>，比选人有权取消其中选资格。</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11.7履约保函应采用合同规定格式，其开具银行应为中国境内商业银行地市级以上支行（含地市级支行），并须是以甲方为受益人，见索即付无条件付款的、不可撤销的银行保函。</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38" w:name="_Toc18864"/>
      <w:bookmarkStart w:id="139" w:name="_Toc100643454"/>
      <w:r>
        <w:rPr>
          <w:rFonts w:hint="eastAsia" w:ascii="宋体" w:hAnsi="宋体" w:eastAsia="宋体"/>
          <w:color w:val="auto"/>
          <w:sz w:val="24"/>
          <w:szCs w:val="24"/>
          <w:highlight w:val="none"/>
        </w:rPr>
        <w:t>十二、不良信用名单条款</w:t>
      </w:r>
      <w:bookmarkEnd w:id="138"/>
      <w:bookmarkEnd w:id="139"/>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采购及合同执行的任何阶段，如果比选人发现比选申请人存在下述行为之一的，比选人有权取消其比选申请/中选资格，且比选申请/中选无效。情节严重的，报同级或上级监管部门依法进行处理；同时将其列入招标人的不良信用名单：</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（1）比选申请人在比选申请截止期后撤回其比选申请的。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（2）提供虚假材料谋取中选的。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（3）采取不正当手段诋毁、排挤其他供应商的。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（4）恶意串通等不正当竞争行为的。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（5）中选后无正当理由拒不与比选人签订合同的。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（6）未照比选、比选申请文件确定的事项签订合同的。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（7）将合同转包的。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（8）提供假冒伪劣产品的。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（9）擅自变更、中止或者终止合同的。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（10）中选人签订合同后，不能履约或无故拖延履约期的。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（11）中选</w:t>
      </w:r>
      <w:r>
        <w:rPr>
          <w:rFonts w:ascii="宋体" w:hAnsi="宋体"/>
          <w:color w:val="auto"/>
          <w:highlight w:val="none"/>
        </w:rPr>
        <w:t>人未按</w:t>
      </w:r>
      <w:r>
        <w:rPr>
          <w:rFonts w:hint="eastAsia" w:ascii="宋体" w:hAnsi="宋体"/>
          <w:color w:val="auto"/>
          <w:highlight w:val="none"/>
        </w:rPr>
        <w:t>比选申请须知</w:t>
      </w:r>
      <w:r>
        <w:rPr>
          <w:rFonts w:ascii="宋体" w:hAnsi="宋体"/>
          <w:color w:val="auto"/>
          <w:highlight w:val="none"/>
        </w:rPr>
        <w:t>要求</w:t>
      </w:r>
      <w:r>
        <w:rPr>
          <w:rFonts w:hint="eastAsia" w:ascii="宋体" w:hAnsi="宋体"/>
          <w:color w:val="auto"/>
          <w:highlight w:val="none"/>
        </w:rPr>
        <w:t>在比选申请阶段</w:t>
      </w:r>
      <w:r>
        <w:rPr>
          <w:rFonts w:ascii="宋体" w:hAnsi="宋体"/>
          <w:color w:val="auto"/>
          <w:highlight w:val="none"/>
        </w:rPr>
        <w:t>提出</w:t>
      </w:r>
      <w:r>
        <w:rPr>
          <w:rFonts w:hint="eastAsia" w:ascii="宋体" w:hAnsi="宋体"/>
          <w:color w:val="auto"/>
          <w:highlight w:val="none"/>
        </w:rPr>
        <w:t>异议或疑问</w:t>
      </w:r>
      <w:r>
        <w:rPr>
          <w:rFonts w:ascii="宋体" w:hAnsi="宋体"/>
          <w:color w:val="auto"/>
          <w:highlight w:val="none"/>
        </w:rPr>
        <w:t>，在成交后无法满足采购需求被认定为无效报价或主动放弃成交资格的。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（12）中选人在成交后无正当理由放弃成交资格的。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（13）比选文件、法律、法规规定的其他情形。</w:t>
      </w:r>
    </w:p>
    <w:p>
      <w:pPr>
        <w:spacing w:before="0" w:after="0" w:afterAutospacing="0"/>
        <w:ind w:left="0" w:right="0" w:firstLine="420" w:firstLineChars="200"/>
        <w:rPr>
          <w:rFonts w:ascii="宋体" w:hAnsi="宋体"/>
          <w:color w:val="auto"/>
          <w:highlight w:val="none"/>
        </w:rPr>
      </w:pPr>
    </w:p>
    <w:p>
      <w:pPr>
        <w:spacing w:before="0" w:after="0" w:afterAutospacing="0"/>
        <w:ind w:left="0" w:right="0" w:firstLine="420" w:firstLineChars="200"/>
        <w:rPr>
          <w:rFonts w:ascii="宋体" w:hAnsi="宋体"/>
          <w:color w:val="auto"/>
          <w:highlight w:val="none"/>
        </w:rPr>
      </w:pPr>
    </w:p>
    <w:p>
      <w:pPr>
        <w:pageBreakBefore/>
        <w:spacing w:line="300" w:lineRule="exact"/>
        <w:ind w:left="950" w:right="-28" w:hanging="950" w:hangingChars="338"/>
        <w:jc w:val="center"/>
        <w:rPr>
          <w:rFonts w:ascii="宋体"/>
          <w:b/>
          <w:color w:val="auto"/>
          <w:sz w:val="28"/>
          <w:szCs w:val="30"/>
          <w:highlight w:val="none"/>
        </w:rPr>
      </w:pPr>
      <w:bookmarkStart w:id="140" w:name="_Toc32432"/>
    </w:p>
    <w:p>
      <w:pPr>
        <w:spacing w:line="300" w:lineRule="exact"/>
        <w:jc w:val="center"/>
        <w:rPr>
          <w:rFonts w:ascii="宋体"/>
          <w:b/>
          <w:color w:val="auto"/>
          <w:sz w:val="28"/>
          <w:szCs w:val="30"/>
          <w:highlight w:val="none"/>
        </w:rPr>
      </w:pPr>
    </w:p>
    <w:p>
      <w:pPr>
        <w:spacing w:line="300" w:lineRule="exact"/>
        <w:jc w:val="center"/>
        <w:rPr>
          <w:rFonts w:ascii="宋体"/>
          <w:b/>
          <w:color w:val="auto"/>
          <w:sz w:val="28"/>
          <w:szCs w:val="30"/>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spacing w:line="300" w:lineRule="exact"/>
        <w:jc w:val="center"/>
        <w:rPr>
          <w:rFonts w:ascii="宋体"/>
          <w:b/>
          <w:color w:val="auto"/>
          <w:sz w:val="28"/>
          <w:szCs w:val="30"/>
          <w:highlight w:val="none"/>
        </w:rPr>
      </w:pPr>
    </w:p>
    <w:p>
      <w:pPr>
        <w:pStyle w:val="14"/>
        <w:ind w:right="-57" w:firstLine="0"/>
        <w:jc w:val="center"/>
        <w:outlineLvl w:val="0"/>
        <w:rPr>
          <w:rStyle w:val="42"/>
          <w:rFonts w:hAnsi="宋体"/>
          <w:color w:val="auto"/>
          <w:sz w:val="44"/>
          <w:szCs w:val="44"/>
          <w:highlight w:val="none"/>
        </w:rPr>
      </w:pPr>
      <w:bookmarkStart w:id="141" w:name="_Toc100643455"/>
      <w:bookmarkStart w:id="142" w:name="_Toc5766"/>
      <w:r>
        <w:rPr>
          <w:rStyle w:val="42"/>
          <w:rFonts w:hint="eastAsia" w:hAnsi="宋体"/>
          <w:color w:val="auto"/>
          <w:sz w:val="44"/>
          <w:szCs w:val="44"/>
          <w:highlight w:val="none"/>
        </w:rPr>
        <w:t>第三章 合同条款及格式</w:t>
      </w:r>
      <w:bookmarkEnd w:id="140"/>
      <w:bookmarkEnd w:id="141"/>
      <w:bookmarkEnd w:id="142"/>
    </w:p>
    <w:p>
      <w:pPr>
        <w:spacing w:after="120" w:afterLines="50"/>
        <w:jc w:val="center"/>
        <w:rPr>
          <w:b/>
          <w:color w:val="auto"/>
          <w:sz w:val="44"/>
          <w:szCs w:val="44"/>
          <w:highlight w:val="none"/>
        </w:rPr>
      </w:pPr>
    </w:p>
    <w:p>
      <w:pPr>
        <w:spacing w:after="120" w:afterLines="50"/>
        <w:jc w:val="center"/>
        <w:rPr>
          <w:b/>
          <w:color w:val="auto"/>
          <w:sz w:val="44"/>
          <w:szCs w:val="44"/>
          <w:highlight w:val="none"/>
        </w:rPr>
      </w:pPr>
    </w:p>
    <w:p>
      <w:pPr>
        <w:spacing w:after="120" w:afterLines="50"/>
        <w:ind w:right="448"/>
        <w:jc w:val="right"/>
        <w:rPr>
          <w:rFonts w:ascii="宋体" w:hAnsi="宋体"/>
          <w:color w:val="auto"/>
          <w:sz w:val="30"/>
          <w:szCs w:val="30"/>
          <w:highlight w:val="none"/>
        </w:rPr>
      </w:pPr>
      <w:bookmarkStart w:id="143" w:name="_Toc114052410"/>
      <w:bookmarkStart w:id="144" w:name="_Toc114052336"/>
      <w:bookmarkStart w:id="145" w:name="_Toc286386830"/>
    </w:p>
    <w:p>
      <w:pPr>
        <w:pageBreakBefore/>
        <w:spacing w:after="120" w:afterLines="50" w:afterAutospacing="0"/>
        <w:ind w:left="1014" w:right="448" w:hanging="1014" w:hangingChars="338"/>
        <w:jc w:val="right"/>
        <w:rPr>
          <w:rFonts w:ascii="宋体" w:hAnsi="宋体"/>
          <w:color w:val="auto"/>
          <w:sz w:val="30"/>
          <w:szCs w:val="30"/>
          <w:highlight w:val="none"/>
        </w:rPr>
      </w:pPr>
    </w:p>
    <w:p>
      <w:pPr>
        <w:spacing w:after="120" w:afterLines="50"/>
        <w:ind w:right="448"/>
        <w:jc w:val="right"/>
        <w:rPr>
          <w:rFonts w:ascii="宋体" w:hAnsi="宋体"/>
          <w:color w:val="auto"/>
          <w:sz w:val="30"/>
          <w:szCs w:val="30"/>
          <w:highlight w:val="none"/>
        </w:rPr>
      </w:pPr>
      <w:r>
        <w:rPr>
          <w:rFonts w:hint="eastAsia" w:ascii="宋体" w:hAnsi="宋体"/>
          <w:color w:val="auto"/>
          <w:sz w:val="30"/>
          <w:szCs w:val="30"/>
          <w:highlight w:val="none"/>
        </w:rPr>
        <w:t>【×本】</w:t>
      </w:r>
    </w:p>
    <w:bookmarkEnd w:id="143"/>
    <w:bookmarkEnd w:id="144"/>
    <w:bookmarkEnd w:id="145"/>
    <w:p>
      <w:pPr>
        <w:snapToGrid w:val="0"/>
        <w:spacing w:before="0" w:line="800" w:lineRule="exact"/>
        <w:ind w:left="1493" w:right="-28" w:hanging="1493" w:hangingChars="338"/>
        <w:jc w:val="center"/>
        <w:rPr>
          <w:rFonts w:ascii="楷体_GB2312" w:eastAsia="楷体_GB2312"/>
          <w:b/>
          <w:color w:val="auto"/>
          <w:sz w:val="44"/>
          <w:szCs w:val="44"/>
          <w:highlight w:val="none"/>
        </w:rPr>
      </w:pPr>
      <w:r>
        <w:rPr>
          <w:rFonts w:hint="eastAsia"/>
          <w:b/>
          <w:color w:val="auto"/>
          <w:sz w:val="44"/>
          <w:szCs w:val="44"/>
          <w:highlight w:val="none"/>
        </w:rPr>
        <w:t>南宁轨道交通运营有限公司2022年VR全景培训与展示系统采购项目</w:t>
      </w:r>
    </w:p>
    <w:tbl>
      <w:tblPr>
        <w:tblStyle w:val="30"/>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spacing w:line="300" w:lineRule="exact"/>
              <w:jc w:val="center"/>
              <w:rPr>
                <w:rFonts w:ascii="宋体" w:hAnsi="宋体"/>
                <w:color w:val="auto"/>
                <w:sz w:val="28"/>
                <w:szCs w:val="30"/>
                <w:highlight w:val="none"/>
              </w:rPr>
            </w:pPr>
            <w:r>
              <w:rPr>
                <w:rFonts w:hint="eastAsia" w:ascii="宋体" w:hAnsi="宋体"/>
                <w:color w:val="auto"/>
                <w:sz w:val="28"/>
                <w:szCs w:val="30"/>
                <w:highlight w:val="none"/>
              </w:rPr>
              <w:t>项目编号：</w:t>
            </w:r>
          </w:p>
        </w:tc>
        <w:tc>
          <w:tcPr>
            <w:tcW w:w="4761" w:type="dxa"/>
          </w:tcPr>
          <w:p>
            <w:pPr>
              <w:spacing w:line="300" w:lineRule="exact"/>
              <w:jc w:val="center"/>
              <w:rPr>
                <w:rFonts w:ascii="宋体" w:hAnsi="宋体"/>
                <w:color w:val="auto"/>
                <w:sz w:val="28"/>
                <w:szCs w:val="30"/>
                <w:highlight w:val="none"/>
              </w:rPr>
            </w:pPr>
            <w:r>
              <w:rPr>
                <w:rFonts w:hint="eastAsia" w:ascii="宋体" w:hAnsi="宋体"/>
                <w:color w:val="auto"/>
                <w:sz w:val="28"/>
                <w:szCs w:val="30"/>
                <w:highlight w:val="none"/>
              </w:rPr>
              <w:t>202209090004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spacing w:line="300" w:lineRule="exact"/>
              <w:jc w:val="center"/>
              <w:rPr>
                <w:rFonts w:ascii="宋体" w:hAnsi="宋体"/>
                <w:color w:val="auto"/>
                <w:sz w:val="28"/>
                <w:szCs w:val="30"/>
                <w:highlight w:val="none"/>
              </w:rPr>
            </w:pPr>
            <w:r>
              <w:rPr>
                <w:rFonts w:hint="eastAsia" w:ascii="宋体" w:hAnsi="宋体"/>
                <w:color w:val="auto"/>
                <w:sz w:val="28"/>
                <w:szCs w:val="30"/>
                <w:highlight w:val="none"/>
              </w:rPr>
              <w:t>合同编号：</w:t>
            </w:r>
          </w:p>
        </w:tc>
        <w:tc>
          <w:tcPr>
            <w:tcW w:w="4761" w:type="dxa"/>
          </w:tcPr>
          <w:p>
            <w:pPr>
              <w:spacing w:line="300" w:lineRule="exact"/>
              <w:jc w:val="left"/>
              <w:rPr>
                <w:rFonts w:ascii="宋体" w:hAnsi="宋体"/>
                <w:color w:val="auto"/>
                <w:sz w:val="28"/>
                <w:szCs w:val="30"/>
                <w:highlight w:val="none"/>
              </w:rPr>
            </w:pPr>
          </w:p>
        </w:tc>
      </w:tr>
    </w:tbl>
    <w:p>
      <w:pPr>
        <w:spacing w:line="800" w:lineRule="exact"/>
        <w:ind w:left="2443" w:right="-28" w:hanging="2443" w:hangingChars="338"/>
        <w:jc w:val="center"/>
        <w:rPr>
          <w:rFonts w:ascii="楷体_GB2312" w:eastAsia="楷体_GB2312"/>
          <w:b/>
          <w:color w:val="auto"/>
          <w:sz w:val="72"/>
          <w:szCs w:val="52"/>
          <w:highlight w:val="none"/>
        </w:rPr>
      </w:pPr>
      <w:r>
        <w:rPr>
          <w:rFonts w:hint="eastAsia"/>
          <w:b/>
          <w:color w:val="auto"/>
          <w:sz w:val="72"/>
          <w:szCs w:val="52"/>
          <w:highlight w:val="none"/>
        </w:rPr>
        <w:t>合</w:t>
      </w:r>
    </w:p>
    <w:p>
      <w:pPr>
        <w:spacing w:line="800" w:lineRule="exact"/>
        <w:ind w:left="2443" w:right="-28" w:hanging="2443" w:hangingChars="338"/>
        <w:jc w:val="center"/>
        <w:rPr>
          <w:rFonts w:ascii="宋体" w:hAnsi="宋体"/>
          <w:b/>
          <w:color w:val="auto"/>
          <w:sz w:val="72"/>
          <w:szCs w:val="52"/>
          <w:highlight w:val="none"/>
        </w:rPr>
      </w:pPr>
      <w:r>
        <w:rPr>
          <w:rFonts w:hint="eastAsia"/>
          <w:b/>
          <w:color w:val="auto"/>
          <w:sz w:val="72"/>
          <w:szCs w:val="52"/>
          <w:highlight w:val="none"/>
        </w:rPr>
        <w:t>同</w:t>
      </w:r>
    </w:p>
    <w:p>
      <w:pPr>
        <w:spacing w:line="800" w:lineRule="exact"/>
        <w:ind w:left="2443" w:right="-28" w:hanging="2443" w:hangingChars="338"/>
        <w:jc w:val="center"/>
        <w:rPr>
          <w:b/>
          <w:color w:val="auto"/>
          <w:sz w:val="72"/>
          <w:szCs w:val="52"/>
          <w:highlight w:val="none"/>
        </w:rPr>
      </w:pPr>
      <w:r>
        <w:rPr>
          <w:rFonts w:hint="eastAsia"/>
          <w:b/>
          <w:color w:val="auto"/>
          <w:sz w:val="72"/>
          <w:szCs w:val="52"/>
          <w:highlight w:val="none"/>
        </w:rPr>
        <w:t>书</w:t>
      </w:r>
    </w:p>
    <w:p>
      <w:pPr>
        <w:jc w:val="center"/>
        <w:rPr>
          <w:rFonts w:ascii="宋体" w:hAnsi="宋体"/>
          <w:b/>
          <w:color w:val="auto"/>
          <w:sz w:val="52"/>
          <w:highlight w:val="none"/>
        </w:rPr>
      </w:pPr>
      <w:r>
        <w:rPr>
          <w:rFonts w:hint="eastAsia" w:ascii="宋体" w:hAnsi="宋体"/>
          <w:b/>
          <w:color w:val="auto"/>
          <w:sz w:val="52"/>
          <w:highlight w:val="none"/>
        </w:rPr>
        <w:drawing>
          <wp:inline distT="0" distB="0" distL="0" distR="0">
            <wp:extent cx="1551940" cy="1725295"/>
            <wp:effectExtent l="0" t="0" r="0" b="8255"/>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110189142466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555790" cy="1729621"/>
                    </a:xfrm>
                    <a:prstGeom prst="rect">
                      <a:avLst/>
                    </a:prstGeom>
                    <a:noFill/>
                    <a:ln>
                      <a:noFill/>
                    </a:ln>
                  </pic:spPr>
                </pic:pic>
              </a:graphicData>
            </a:graphic>
          </wp:inline>
        </w:drawing>
      </w:r>
    </w:p>
    <w:p>
      <w:pPr>
        <w:snapToGrid w:val="0"/>
        <w:spacing w:before="0" w:line="400" w:lineRule="exact"/>
        <w:ind w:firstLine="1405" w:firstLineChars="500"/>
        <w:rPr>
          <w:rFonts w:hint="eastAsia" w:ascii="宋体" w:hAnsi="宋体" w:eastAsia="宋体"/>
          <w:b/>
          <w:color w:val="auto"/>
          <w:sz w:val="28"/>
          <w:szCs w:val="28"/>
          <w:highlight w:val="none"/>
          <w:lang w:eastAsia="zh-CN"/>
        </w:rPr>
      </w:pPr>
      <w:r>
        <w:rPr>
          <w:rFonts w:hint="eastAsia" w:ascii="宋体" w:hAnsi="宋体"/>
          <w:b/>
          <w:color w:val="auto"/>
          <w:sz w:val="28"/>
          <w:szCs w:val="28"/>
          <w:highlight w:val="none"/>
        </w:rPr>
        <w:t>甲    方：</w:t>
      </w:r>
      <w:r>
        <w:rPr>
          <w:rFonts w:hint="eastAsia"/>
          <w:color w:val="auto"/>
          <w:sz w:val="28"/>
          <w:szCs w:val="28"/>
          <w:highlight w:val="none"/>
        </w:rPr>
        <w:t>南宁轨道交通</w:t>
      </w:r>
      <w:r>
        <w:rPr>
          <w:rFonts w:hint="eastAsia"/>
          <w:color w:val="auto"/>
          <w:sz w:val="28"/>
          <w:szCs w:val="28"/>
          <w:highlight w:val="none"/>
          <w:lang w:val="en-US" w:eastAsia="zh-CN"/>
        </w:rPr>
        <w:t>运营有限公司</w:t>
      </w:r>
    </w:p>
    <w:p>
      <w:pPr>
        <w:snapToGrid w:val="0"/>
        <w:spacing w:before="0" w:line="400" w:lineRule="exact"/>
        <w:ind w:firstLine="1405" w:firstLineChars="500"/>
        <w:rPr>
          <w:color w:val="auto"/>
          <w:sz w:val="28"/>
          <w:szCs w:val="28"/>
          <w:highlight w:val="none"/>
        </w:rPr>
      </w:pPr>
      <w:r>
        <w:rPr>
          <w:rFonts w:hint="eastAsia" w:ascii="宋体" w:hAnsi="宋体"/>
          <w:b/>
          <w:color w:val="auto"/>
          <w:sz w:val="28"/>
          <w:szCs w:val="28"/>
          <w:highlight w:val="none"/>
        </w:rPr>
        <w:t>乙    方：</w:t>
      </w:r>
      <w:r>
        <w:rPr>
          <w:color w:val="auto"/>
          <w:sz w:val="28"/>
          <w:szCs w:val="28"/>
          <w:highlight w:val="none"/>
        </w:rPr>
        <w:t xml:space="preserve"> </w:t>
      </w:r>
    </w:p>
    <w:p>
      <w:pPr>
        <w:snapToGrid w:val="0"/>
        <w:spacing w:before="0" w:line="400" w:lineRule="exact"/>
        <w:ind w:firstLine="1405" w:firstLineChars="500"/>
        <w:rPr>
          <w:rFonts w:ascii="宋体" w:hAnsi="宋体"/>
          <w:b/>
          <w:color w:val="auto"/>
          <w:sz w:val="28"/>
          <w:szCs w:val="28"/>
          <w:highlight w:val="none"/>
        </w:rPr>
      </w:pPr>
      <w:r>
        <w:rPr>
          <w:rFonts w:hint="eastAsia" w:ascii="宋体" w:hAnsi="宋体"/>
          <w:b/>
          <w:color w:val="auto"/>
          <w:sz w:val="28"/>
          <w:szCs w:val="28"/>
          <w:highlight w:val="none"/>
        </w:rPr>
        <w:t>签约日期：</w:t>
      </w:r>
      <w:r>
        <w:rPr>
          <w:rFonts w:hint="eastAsia" w:ascii="宋体" w:hAnsi="宋体"/>
          <w:b/>
          <w:color w:val="auto"/>
          <w:sz w:val="28"/>
          <w:szCs w:val="28"/>
          <w:highlight w:val="none"/>
          <w:u w:val="single"/>
        </w:rPr>
        <w:t xml:space="preserve">       </w:t>
      </w:r>
      <w:r>
        <w:rPr>
          <w:rFonts w:hint="eastAsia" w:ascii="宋体" w:hAnsi="宋体"/>
          <w:color w:val="auto"/>
          <w:sz w:val="28"/>
          <w:szCs w:val="28"/>
          <w:highlight w:val="none"/>
        </w:rPr>
        <w:t>年</w:t>
      </w:r>
      <w:r>
        <w:rPr>
          <w:rFonts w:hint="eastAsia" w:ascii="宋体" w:hAnsi="宋体"/>
          <w:b/>
          <w:bCs/>
          <w:color w:val="auto"/>
          <w:sz w:val="28"/>
          <w:szCs w:val="28"/>
          <w:highlight w:val="none"/>
          <w:u w:val="single"/>
        </w:rPr>
        <w:t xml:space="preserve">　 </w:t>
      </w:r>
      <w:r>
        <w:rPr>
          <w:rFonts w:hint="eastAsia" w:ascii="宋体" w:hAnsi="宋体"/>
          <w:color w:val="auto"/>
          <w:sz w:val="28"/>
          <w:szCs w:val="28"/>
          <w:highlight w:val="none"/>
          <w:u w:val="single"/>
        </w:rPr>
        <w:t>　</w:t>
      </w:r>
      <w:r>
        <w:rPr>
          <w:rFonts w:hint="eastAsia" w:ascii="宋体" w:hAnsi="宋体"/>
          <w:color w:val="auto"/>
          <w:sz w:val="28"/>
          <w:szCs w:val="28"/>
          <w:highlight w:val="none"/>
        </w:rPr>
        <w:t>月</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日</w:t>
      </w:r>
    </w:p>
    <w:p>
      <w:pPr>
        <w:snapToGrid w:val="0"/>
        <w:spacing w:before="0" w:line="400" w:lineRule="exact"/>
        <w:ind w:right="-86" w:rightChars="-41" w:firstLine="1405" w:firstLineChars="500"/>
        <w:rPr>
          <w:rFonts w:ascii="宋体" w:hAnsi="宋体"/>
          <w:b/>
          <w:bCs/>
          <w:color w:val="auto"/>
          <w:sz w:val="28"/>
          <w:szCs w:val="28"/>
          <w:highlight w:val="none"/>
        </w:rPr>
      </w:pPr>
      <w:r>
        <w:rPr>
          <w:rFonts w:hint="eastAsia" w:ascii="宋体" w:hAnsi="宋体"/>
          <w:b/>
          <w:color w:val="auto"/>
          <w:sz w:val="28"/>
          <w:szCs w:val="28"/>
          <w:highlight w:val="none"/>
        </w:rPr>
        <w:t>签约</w:t>
      </w:r>
      <w:r>
        <w:rPr>
          <w:rFonts w:hint="eastAsia" w:ascii="宋体" w:hAnsi="宋体"/>
          <w:b/>
          <w:bCs/>
          <w:color w:val="auto"/>
          <w:sz w:val="28"/>
          <w:szCs w:val="28"/>
          <w:highlight w:val="none"/>
        </w:rPr>
        <w:t>地点：</w:t>
      </w:r>
      <w:r>
        <w:rPr>
          <w:rFonts w:hint="eastAsia" w:ascii="宋体" w:hAnsi="宋体"/>
          <w:color w:val="auto"/>
          <w:sz w:val="28"/>
          <w:szCs w:val="28"/>
          <w:highlight w:val="none"/>
        </w:rPr>
        <w:t>广西壮族自治区南宁市</w:t>
      </w:r>
      <w:bookmarkStart w:id="146" w:name="_Toc369787000"/>
      <w:bookmarkEnd w:id="146"/>
    </w:p>
    <w:p>
      <w:pPr>
        <w:pStyle w:val="25"/>
        <w:tabs>
          <w:tab w:val="right" w:leader="dot" w:pos="9069"/>
        </w:tabs>
        <w:snapToGrid w:val="0"/>
        <w:spacing w:line="240" w:lineRule="auto"/>
        <w:jc w:val="center"/>
        <w:rPr>
          <w:rFonts w:ascii="宋体" w:hAnsi="宋体"/>
          <w:b/>
          <w:bCs/>
          <w:color w:val="auto"/>
          <w:sz w:val="28"/>
          <w:szCs w:val="28"/>
          <w:highlight w:val="none"/>
        </w:rPr>
      </w:pPr>
    </w:p>
    <w:p>
      <w:pPr>
        <w:pStyle w:val="25"/>
        <w:pageBreakBefore/>
        <w:tabs>
          <w:tab w:val="right" w:leader="dot" w:pos="9069"/>
        </w:tabs>
        <w:snapToGrid w:val="0"/>
        <w:spacing w:line="240" w:lineRule="auto"/>
        <w:ind w:right="-28"/>
        <w:jc w:val="center"/>
        <w:rPr>
          <w:rFonts w:ascii="宋体" w:hAnsi="宋体"/>
          <w:b/>
          <w:bCs/>
          <w:color w:val="auto"/>
          <w:sz w:val="28"/>
          <w:szCs w:val="28"/>
          <w:highlight w:val="none"/>
        </w:rPr>
      </w:pPr>
      <w:r>
        <w:rPr>
          <w:rFonts w:hint="eastAsia" w:ascii="宋体" w:hAnsi="宋体"/>
          <w:b/>
          <w:bCs/>
          <w:color w:val="auto"/>
          <w:sz w:val="28"/>
          <w:szCs w:val="28"/>
          <w:highlight w:val="none"/>
        </w:rPr>
        <w:t>合同目录</w:t>
      </w:r>
    </w:p>
    <w:p>
      <w:pPr>
        <w:pStyle w:val="25"/>
        <w:tabs>
          <w:tab w:val="right" w:leader="dot" w:pos="9069"/>
        </w:tabs>
        <w:snapToGrid w:val="0"/>
        <w:spacing w:line="240" w:lineRule="auto"/>
        <w:ind w:right="-28"/>
        <w:rPr>
          <w:b/>
          <w:bCs/>
          <w:color w:val="auto"/>
          <w:highlight w:val="none"/>
        </w:rPr>
      </w:pPr>
      <w:r>
        <w:rPr>
          <w:color w:val="auto"/>
          <w:highlight w:val="none"/>
        </w:rPr>
        <w:fldChar w:fldCharType="begin"/>
      </w:r>
      <w:r>
        <w:rPr>
          <w:color w:val="auto"/>
          <w:highlight w:val="none"/>
        </w:rPr>
        <w:instrText xml:space="preserve"> HYPERLINK \l "_Toc7011" </w:instrText>
      </w:r>
      <w:r>
        <w:rPr>
          <w:color w:val="auto"/>
          <w:highlight w:val="none"/>
        </w:rPr>
        <w:fldChar w:fldCharType="separate"/>
      </w:r>
      <w:r>
        <w:rPr>
          <w:rFonts w:hint="eastAsia" w:ascii="宋体" w:hAnsi="宋体"/>
          <w:b/>
          <w:bCs/>
          <w:color w:val="auto"/>
          <w:szCs w:val="24"/>
          <w:highlight w:val="none"/>
        </w:rPr>
        <w:t>第一部分 合同协议书</w:t>
      </w:r>
      <w:r>
        <w:rPr>
          <w:b/>
          <w:bCs/>
          <w:color w:val="auto"/>
          <w:highlight w:val="none"/>
        </w:rPr>
        <w:tab/>
      </w:r>
      <w:r>
        <w:rPr>
          <w:b/>
          <w:bCs/>
          <w:color w:val="auto"/>
          <w:highlight w:val="none"/>
        </w:rPr>
        <w:fldChar w:fldCharType="end"/>
      </w:r>
    </w:p>
    <w:p>
      <w:pPr>
        <w:pStyle w:val="25"/>
        <w:tabs>
          <w:tab w:val="right" w:leader="dot" w:pos="9069"/>
        </w:tabs>
        <w:snapToGrid w:val="0"/>
        <w:spacing w:line="240" w:lineRule="auto"/>
        <w:ind w:right="-28"/>
        <w:rPr>
          <w:b/>
          <w:bCs/>
          <w:color w:val="auto"/>
          <w:highlight w:val="none"/>
        </w:rPr>
      </w:pPr>
      <w:r>
        <w:rPr>
          <w:color w:val="auto"/>
          <w:highlight w:val="none"/>
        </w:rPr>
        <w:fldChar w:fldCharType="begin"/>
      </w:r>
      <w:r>
        <w:rPr>
          <w:color w:val="auto"/>
          <w:highlight w:val="none"/>
        </w:rPr>
        <w:instrText xml:space="preserve"> HYPERLINK \l "_Toc29350" </w:instrText>
      </w:r>
      <w:r>
        <w:rPr>
          <w:color w:val="auto"/>
          <w:highlight w:val="none"/>
        </w:rPr>
        <w:fldChar w:fldCharType="separate"/>
      </w:r>
      <w:r>
        <w:rPr>
          <w:b/>
          <w:bCs/>
          <w:color w:val="auto"/>
          <w:highlight w:val="none"/>
        </w:rPr>
        <w:t>第二部分</w:t>
      </w:r>
      <w:r>
        <w:rPr>
          <w:rFonts w:hint="eastAsia"/>
          <w:b/>
          <w:bCs/>
          <w:color w:val="auto"/>
          <w:highlight w:val="none"/>
        </w:rPr>
        <w:t xml:space="preserve"> 中</w:t>
      </w:r>
      <w:r>
        <w:rPr>
          <w:rFonts w:hint="eastAsia"/>
          <w:b/>
          <w:bCs/>
          <w:color w:val="auto"/>
          <w:highlight w:val="none"/>
          <w:lang w:val="en-US" w:eastAsia="zh-CN"/>
        </w:rPr>
        <w:t>选</w:t>
      </w:r>
      <w:r>
        <w:rPr>
          <w:rFonts w:hint="eastAsia"/>
          <w:b/>
          <w:bCs/>
          <w:color w:val="auto"/>
          <w:highlight w:val="none"/>
        </w:rPr>
        <w:t>通知书</w:t>
      </w:r>
      <w:r>
        <w:rPr>
          <w:b/>
          <w:bCs/>
          <w:color w:val="auto"/>
          <w:highlight w:val="none"/>
        </w:rPr>
        <w:tab/>
      </w:r>
      <w:r>
        <w:rPr>
          <w:b/>
          <w:bCs/>
          <w:color w:val="auto"/>
          <w:highlight w:val="none"/>
        </w:rPr>
        <w:fldChar w:fldCharType="end"/>
      </w:r>
    </w:p>
    <w:p>
      <w:pPr>
        <w:pStyle w:val="25"/>
        <w:tabs>
          <w:tab w:val="right" w:leader="dot" w:pos="9069"/>
        </w:tabs>
        <w:snapToGrid w:val="0"/>
        <w:spacing w:line="240" w:lineRule="auto"/>
        <w:ind w:right="-28"/>
        <w:rPr>
          <w:b/>
          <w:bCs/>
          <w:color w:val="auto"/>
          <w:highlight w:val="none"/>
        </w:rPr>
      </w:pPr>
      <w:r>
        <w:rPr>
          <w:color w:val="auto"/>
          <w:highlight w:val="none"/>
        </w:rPr>
        <w:fldChar w:fldCharType="begin"/>
      </w:r>
      <w:r>
        <w:rPr>
          <w:color w:val="auto"/>
          <w:highlight w:val="none"/>
        </w:rPr>
        <w:instrText xml:space="preserve"> HYPERLINK \l "_Toc16859" </w:instrText>
      </w:r>
      <w:r>
        <w:rPr>
          <w:color w:val="auto"/>
          <w:highlight w:val="none"/>
        </w:rPr>
        <w:fldChar w:fldCharType="separate"/>
      </w:r>
      <w:r>
        <w:rPr>
          <w:rFonts w:hint="eastAsia" w:ascii="宋体" w:hAnsi="宋体"/>
          <w:b/>
          <w:bCs/>
          <w:color w:val="auto"/>
          <w:szCs w:val="24"/>
          <w:highlight w:val="none"/>
        </w:rPr>
        <w:t>第</w:t>
      </w:r>
      <w:r>
        <w:rPr>
          <w:rFonts w:hint="eastAsia" w:ascii="宋体" w:hAnsi="宋体"/>
          <w:b/>
          <w:bCs/>
          <w:color w:val="auto"/>
          <w:szCs w:val="24"/>
          <w:highlight w:val="none"/>
          <w:lang w:val="en-US" w:eastAsia="zh-CN"/>
        </w:rPr>
        <w:t>三</w:t>
      </w:r>
      <w:r>
        <w:rPr>
          <w:rFonts w:hint="eastAsia" w:ascii="宋体" w:hAnsi="宋体"/>
          <w:b/>
          <w:bCs/>
          <w:color w:val="auto"/>
          <w:szCs w:val="24"/>
          <w:highlight w:val="none"/>
        </w:rPr>
        <w:t>部分 合同条款</w:t>
      </w:r>
      <w:r>
        <w:rPr>
          <w:b/>
          <w:bCs/>
          <w:color w:val="auto"/>
          <w:highlight w:val="none"/>
        </w:rPr>
        <w:tab/>
      </w:r>
      <w:r>
        <w:rPr>
          <w:b/>
          <w:bCs/>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"_Toc21094" </w:instrText>
      </w:r>
      <w:r>
        <w:rPr>
          <w:color w:val="auto"/>
          <w:highlight w:val="none"/>
        </w:rPr>
        <w:fldChar w:fldCharType="separate"/>
      </w:r>
      <w:r>
        <w:rPr>
          <w:rFonts w:hint="eastAsia" w:ascii="宋体" w:hAnsi="宋体"/>
          <w:color w:val="auto"/>
          <w:highlight w:val="none"/>
        </w:rPr>
        <w:t>1.定义及解释</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"_Toc14242" </w:instrText>
      </w:r>
      <w:r>
        <w:rPr>
          <w:color w:val="auto"/>
          <w:highlight w:val="none"/>
        </w:rPr>
        <w:fldChar w:fldCharType="separate"/>
      </w:r>
      <w:r>
        <w:rPr>
          <w:rFonts w:hint="eastAsia" w:ascii="宋体" w:hAnsi="宋体"/>
          <w:color w:val="auto"/>
          <w:highlight w:val="none"/>
        </w:rPr>
        <w:t>2.适用性</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"_Toc3784" </w:instrText>
      </w:r>
      <w:r>
        <w:rPr>
          <w:color w:val="auto"/>
          <w:highlight w:val="none"/>
        </w:rPr>
        <w:fldChar w:fldCharType="separate"/>
      </w:r>
      <w:r>
        <w:rPr>
          <w:rFonts w:hint="eastAsia" w:ascii="宋体" w:hAnsi="宋体"/>
          <w:color w:val="auto"/>
          <w:highlight w:val="none"/>
        </w:rPr>
        <w:t>3.语言文字</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"_Toc21254" </w:instrText>
      </w:r>
      <w:r>
        <w:rPr>
          <w:color w:val="auto"/>
          <w:highlight w:val="none"/>
        </w:rPr>
        <w:fldChar w:fldCharType="separate"/>
      </w:r>
      <w:r>
        <w:rPr>
          <w:rFonts w:hint="eastAsia" w:ascii="宋体" w:hAnsi="宋体"/>
          <w:color w:val="auto"/>
          <w:highlight w:val="none"/>
        </w:rPr>
        <w:t>4.适用法律、标准和规范</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"_Toc14774" </w:instrText>
      </w:r>
      <w:r>
        <w:rPr>
          <w:color w:val="auto"/>
          <w:highlight w:val="none"/>
        </w:rPr>
        <w:fldChar w:fldCharType="separate"/>
      </w:r>
      <w:r>
        <w:rPr>
          <w:rFonts w:hint="eastAsia" w:ascii="宋体" w:hAnsi="宋体"/>
          <w:color w:val="auto"/>
          <w:highlight w:val="none"/>
        </w:rPr>
        <w:t>5.合同文件、资料及使用</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"_Toc10985" </w:instrText>
      </w:r>
      <w:r>
        <w:rPr>
          <w:color w:val="auto"/>
          <w:highlight w:val="none"/>
        </w:rPr>
        <w:fldChar w:fldCharType="separate"/>
      </w:r>
      <w:r>
        <w:rPr>
          <w:rFonts w:hint="eastAsia" w:ascii="宋体" w:hAnsi="宋体"/>
          <w:color w:val="auto"/>
          <w:highlight w:val="none"/>
        </w:rPr>
        <w:t>6.知识产权</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"_Toc10985" </w:instrText>
      </w:r>
      <w:r>
        <w:rPr>
          <w:color w:val="auto"/>
          <w:highlight w:val="none"/>
        </w:rPr>
        <w:fldChar w:fldCharType="separate"/>
      </w:r>
      <w:r>
        <w:rPr>
          <w:rFonts w:hint="eastAsia" w:ascii="宋体" w:hAnsi="宋体"/>
          <w:color w:val="auto"/>
          <w:highlight w:val="none"/>
        </w:rPr>
        <w:t>7.</w:t>
      </w:r>
      <w:r>
        <w:rPr>
          <w:rFonts w:hint="eastAsia" w:ascii="宋体" w:hAnsi="宋体"/>
          <w:color w:val="auto"/>
          <w:highlight w:val="none"/>
          <w:lang w:eastAsia="zh-CN"/>
        </w:rPr>
        <w:t>履约保证金</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"_Toc3133" </w:instrText>
      </w:r>
      <w:r>
        <w:rPr>
          <w:color w:val="auto"/>
          <w:highlight w:val="none"/>
        </w:rPr>
        <w:fldChar w:fldCharType="separate"/>
      </w:r>
      <w:r>
        <w:rPr>
          <w:rFonts w:hint="eastAsia" w:ascii="宋体" w:hAnsi="宋体"/>
          <w:color w:val="auto"/>
          <w:highlight w:val="none"/>
        </w:rPr>
        <w:t>8.合同价格</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"_Toc7020" </w:instrText>
      </w:r>
      <w:r>
        <w:rPr>
          <w:color w:val="auto"/>
          <w:highlight w:val="none"/>
        </w:rPr>
        <w:fldChar w:fldCharType="separate"/>
      </w:r>
      <w:r>
        <w:rPr>
          <w:rFonts w:hint="eastAsia" w:ascii="宋体" w:hAnsi="宋体"/>
          <w:color w:val="auto"/>
          <w:highlight w:val="none"/>
        </w:rPr>
        <w:t>9.</w:t>
      </w:r>
      <w:r>
        <w:rPr>
          <w:rFonts w:hint="eastAsia" w:ascii="宋体" w:hAnsi="宋体"/>
          <w:color w:val="auto"/>
          <w:highlight w:val="none"/>
          <w:lang w:val="en-US" w:eastAsia="zh-CN"/>
        </w:rPr>
        <w:t>交货</w:t>
      </w:r>
      <w:r>
        <w:rPr>
          <w:rFonts w:hint="eastAsia" w:ascii="宋体" w:hAnsi="宋体"/>
          <w:color w:val="auto"/>
          <w:highlight w:val="none"/>
          <w:lang w:eastAsia="zh-CN"/>
        </w:rPr>
        <w:t>期</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"_Toc7816" </w:instrText>
      </w:r>
      <w:r>
        <w:rPr>
          <w:color w:val="auto"/>
          <w:highlight w:val="none"/>
        </w:rPr>
        <w:fldChar w:fldCharType="separate"/>
      </w:r>
      <w:r>
        <w:rPr>
          <w:rFonts w:hint="eastAsia" w:ascii="宋体" w:hAnsi="宋体"/>
          <w:color w:val="auto"/>
          <w:highlight w:val="none"/>
        </w:rPr>
        <w:t>10.合同价款支付方式</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"_Toc16282" </w:instrText>
      </w:r>
      <w:r>
        <w:rPr>
          <w:color w:val="auto"/>
          <w:highlight w:val="none"/>
        </w:rPr>
        <w:fldChar w:fldCharType="separate"/>
      </w:r>
      <w:r>
        <w:rPr>
          <w:rFonts w:hint="eastAsia" w:ascii="宋体" w:hAnsi="宋体"/>
          <w:color w:val="auto"/>
          <w:highlight w:val="none"/>
        </w:rPr>
        <w:t>11.合同变更与修改</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"_Toc5045" </w:instrText>
      </w:r>
      <w:r>
        <w:rPr>
          <w:color w:val="auto"/>
          <w:highlight w:val="none"/>
        </w:rPr>
        <w:fldChar w:fldCharType="separate"/>
      </w:r>
      <w:r>
        <w:rPr>
          <w:rFonts w:hint="eastAsia" w:ascii="宋体" w:hAnsi="宋体"/>
          <w:color w:val="auto"/>
          <w:highlight w:val="none"/>
        </w:rPr>
        <w:t>11.违约责任</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"_Toc25037" </w:instrText>
      </w:r>
      <w:r>
        <w:rPr>
          <w:color w:val="auto"/>
          <w:highlight w:val="none"/>
        </w:rPr>
        <w:fldChar w:fldCharType="separate"/>
      </w:r>
      <w:r>
        <w:rPr>
          <w:rFonts w:hint="eastAsia" w:ascii="宋体" w:hAnsi="宋体"/>
          <w:color w:val="auto"/>
          <w:highlight w:val="none"/>
        </w:rPr>
        <w:t>13.</w:t>
      </w:r>
      <w:r>
        <w:rPr>
          <w:rFonts w:hint="eastAsia" w:ascii="宋体" w:hAnsi="宋体"/>
          <w:color w:val="auto"/>
          <w:highlight w:val="none"/>
          <w:lang w:val="en-US" w:eastAsia="zh-CN"/>
        </w:rPr>
        <w:t>甲、乙权利义务</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"_Toc27831" </w:instrText>
      </w:r>
      <w:r>
        <w:rPr>
          <w:color w:val="auto"/>
          <w:highlight w:val="none"/>
        </w:rPr>
        <w:fldChar w:fldCharType="separate"/>
      </w:r>
      <w:r>
        <w:rPr>
          <w:rFonts w:hint="eastAsia" w:ascii="宋体" w:hAnsi="宋体"/>
          <w:color w:val="auto"/>
          <w:highlight w:val="none"/>
        </w:rPr>
        <w:t>14.合同转让、分包和中止</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"_Toc12056" </w:instrText>
      </w:r>
      <w:r>
        <w:rPr>
          <w:color w:val="auto"/>
          <w:highlight w:val="none"/>
        </w:rPr>
        <w:fldChar w:fldCharType="separate"/>
      </w:r>
      <w:r>
        <w:rPr>
          <w:rFonts w:hint="eastAsia" w:ascii="宋体" w:hAnsi="宋体"/>
          <w:color w:val="auto"/>
          <w:highlight w:val="none"/>
        </w:rPr>
        <w:t>15.合同终止</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"_Toc13964" </w:instrText>
      </w:r>
      <w:r>
        <w:rPr>
          <w:color w:val="auto"/>
          <w:highlight w:val="none"/>
        </w:rPr>
        <w:fldChar w:fldCharType="separate"/>
      </w:r>
      <w:r>
        <w:rPr>
          <w:rFonts w:hint="eastAsia" w:ascii="宋体" w:hAnsi="宋体"/>
          <w:color w:val="auto"/>
          <w:highlight w:val="none"/>
        </w:rPr>
        <w:t>16.不可抗力</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"_Toc864" </w:instrText>
      </w:r>
      <w:r>
        <w:rPr>
          <w:color w:val="auto"/>
          <w:highlight w:val="none"/>
        </w:rPr>
        <w:fldChar w:fldCharType="separate"/>
      </w:r>
      <w:r>
        <w:rPr>
          <w:rFonts w:hint="eastAsia" w:ascii="宋体" w:hAnsi="宋体"/>
          <w:color w:val="auto"/>
          <w:highlight w:val="none"/>
        </w:rPr>
        <w:t>17.通知</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"_Toc1293" </w:instrText>
      </w:r>
      <w:r>
        <w:rPr>
          <w:color w:val="auto"/>
          <w:highlight w:val="none"/>
        </w:rPr>
        <w:fldChar w:fldCharType="separate"/>
      </w:r>
      <w:r>
        <w:rPr>
          <w:rFonts w:hint="eastAsia" w:ascii="宋体" w:hAnsi="宋体"/>
          <w:color w:val="auto"/>
          <w:highlight w:val="none"/>
        </w:rPr>
        <w:t>18.争端的解决</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"_Toc30322" </w:instrText>
      </w:r>
      <w:r>
        <w:rPr>
          <w:color w:val="auto"/>
          <w:highlight w:val="none"/>
        </w:rPr>
        <w:fldChar w:fldCharType="separate"/>
      </w:r>
      <w:r>
        <w:rPr>
          <w:rFonts w:hint="eastAsia" w:ascii="宋体" w:hAnsi="宋体"/>
          <w:color w:val="auto"/>
          <w:highlight w:val="none"/>
        </w:rPr>
        <w:t>19.适用法律</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"_Toc2284" </w:instrText>
      </w:r>
      <w:r>
        <w:rPr>
          <w:color w:val="auto"/>
          <w:highlight w:val="none"/>
        </w:rPr>
        <w:fldChar w:fldCharType="separate"/>
      </w:r>
      <w:r>
        <w:rPr>
          <w:rFonts w:hint="eastAsia" w:ascii="宋体" w:hAnsi="宋体"/>
          <w:color w:val="auto"/>
          <w:highlight w:val="none"/>
        </w:rPr>
        <w:t>20.其他</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"_Toc2284" </w:instrText>
      </w:r>
      <w:r>
        <w:rPr>
          <w:color w:val="auto"/>
          <w:highlight w:val="none"/>
        </w:rPr>
        <w:fldChar w:fldCharType="separate"/>
      </w:r>
      <w:r>
        <w:rPr>
          <w:rFonts w:hint="eastAsia" w:ascii="宋体" w:hAnsi="宋体"/>
          <w:color w:val="auto"/>
          <w:highlight w:val="none"/>
        </w:rPr>
        <w:t>21.廉洁条款特别约定</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"_Toc11519" </w:instrText>
      </w:r>
      <w:r>
        <w:rPr>
          <w:color w:val="auto"/>
          <w:highlight w:val="none"/>
        </w:rPr>
        <w:fldChar w:fldCharType="separate"/>
      </w:r>
      <w:r>
        <w:rPr>
          <w:rFonts w:hint="eastAsia" w:ascii="宋体" w:hAnsi="宋体"/>
          <w:color w:val="auto"/>
          <w:highlight w:val="none"/>
        </w:rPr>
        <w:t>22.合同生效和签约地</w:t>
      </w:r>
      <w:r>
        <w:rPr>
          <w:color w:val="auto"/>
          <w:highlight w:val="none"/>
        </w:rPr>
        <w:tab/>
      </w:r>
      <w:r>
        <w:rPr>
          <w:color w:val="auto"/>
          <w:highlight w:val="none"/>
        </w:rPr>
        <w:fldChar w:fldCharType="end"/>
      </w:r>
    </w:p>
    <w:p>
      <w:pPr>
        <w:pStyle w:val="25"/>
        <w:tabs>
          <w:tab w:val="right" w:leader="dot" w:pos="9069"/>
        </w:tabs>
        <w:snapToGrid w:val="0"/>
        <w:spacing w:line="240" w:lineRule="auto"/>
        <w:ind w:right="-28"/>
        <w:rPr>
          <w:b/>
          <w:bCs/>
          <w:color w:val="auto"/>
          <w:highlight w:val="none"/>
        </w:rPr>
      </w:pPr>
      <w:r>
        <w:rPr>
          <w:color w:val="auto"/>
          <w:highlight w:val="none"/>
        </w:rPr>
        <w:fldChar w:fldCharType="begin"/>
      </w:r>
      <w:r>
        <w:rPr>
          <w:color w:val="auto"/>
          <w:highlight w:val="none"/>
        </w:rPr>
        <w:instrText xml:space="preserve"> HYPERLINK \l "_Toc9690" </w:instrText>
      </w:r>
      <w:r>
        <w:rPr>
          <w:color w:val="auto"/>
          <w:highlight w:val="none"/>
        </w:rPr>
        <w:fldChar w:fldCharType="separate"/>
      </w:r>
      <w:r>
        <w:rPr>
          <w:b/>
          <w:bCs/>
          <w:color w:val="auto"/>
          <w:highlight w:val="none"/>
        </w:rPr>
        <w:t>第</w:t>
      </w:r>
      <w:r>
        <w:rPr>
          <w:rFonts w:hint="eastAsia"/>
          <w:b/>
          <w:bCs/>
          <w:color w:val="auto"/>
          <w:highlight w:val="none"/>
          <w:lang w:val="en-US" w:eastAsia="zh-CN"/>
        </w:rPr>
        <w:t>四</w:t>
      </w:r>
      <w:r>
        <w:rPr>
          <w:b/>
          <w:bCs/>
          <w:color w:val="auto"/>
          <w:highlight w:val="none"/>
        </w:rPr>
        <w:t>部分</w:t>
      </w:r>
      <w:r>
        <w:rPr>
          <w:rFonts w:hint="eastAsia"/>
          <w:b/>
          <w:bCs/>
          <w:color w:val="auto"/>
          <w:highlight w:val="none"/>
        </w:rPr>
        <w:t xml:space="preserve"> 价格组成文件</w:t>
      </w:r>
      <w:r>
        <w:rPr>
          <w:b/>
          <w:bCs/>
          <w:color w:val="auto"/>
          <w:highlight w:val="none"/>
        </w:rPr>
        <w:tab/>
      </w:r>
      <w:r>
        <w:rPr>
          <w:b/>
          <w:bCs/>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"_Toc22195" </w:instrText>
      </w:r>
      <w:r>
        <w:rPr>
          <w:color w:val="auto"/>
          <w:highlight w:val="none"/>
        </w:rPr>
        <w:fldChar w:fldCharType="separate"/>
      </w:r>
      <w:r>
        <w:rPr>
          <w:rFonts w:ascii="宋体" w:hAnsi="宋体"/>
          <w:color w:val="auto"/>
          <w:szCs w:val="24"/>
          <w:highlight w:val="none"/>
        </w:rPr>
        <w:t>1</w:t>
      </w:r>
      <w:r>
        <w:rPr>
          <w:rFonts w:hint="eastAsia" w:ascii="宋体" w:hAnsi="宋体"/>
          <w:color w:val="auto"/>
          <w:szCs w:val="24"/>
          <w:highlight w:val="none"/>
        </w:rPr>
        <w:t>.税率确认函</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"_Toc17532" </w:instrText>
      </w:r>
      <w:r>
        <w:rPr>
          <w:color w:val="auto"/>
          <w:highlight w:val="none"/>
        </w:rPr>
        <w:fldChar w:fldCharType="separate"/>
      </w:r>
      <w:r>
        <w:rPr>
          <w:rFonts w:hint="eastAsia" w:ascii="宋体" w:hAnsi="宋体"/>
          <w:color w:val="auto"/>
          <w:szCs w:val="24"/>
          <w:highlight w:val="none"/>
        </w:rPr>
        <w:t>2.中</w:t>
      </w:r>
      <w:r>
        <w:rPr>
          <w:rFonts w:hint="eastAsia" w:ascii="宋体" w:hAnsi="宋体"/>
          <w:color w:val="auto"/>
          <w:szCs w:val="24"/>
          <w:highlight w:val="none"/>
          <w:lang w:val="en-US" w:eastAsia="zh-CN"/>
        </w:rPr>
        <w:t>选</w:t>
      </w:r>
      <w:r>
        <w:rPr>
          <w:rFonts w:hint="eastAsia" w:ascii="宋体" w:hAnsi="宋体"/>
          <w:color w:val="auto"/>
          <w:szCs w:val="24"/>
          <w:highlight w:val="none"/>
        </w:rPr>
        <w:t>文件分项报价表</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rFonts w:ascii="宋体" w:hAnsi="宋体"/>
          <w:color w:val="auto"/>
          <w:highlight w:val="none"/>
        </w:rPr>
      </w:pPr>
      <w:r>
        <w:rPr>
          <w:color w:val="auto"/>
          <w:highlight w:val="none"/>
        </w:rPr>
        <w:fldChar w:fldCharType="begin"/>
      </w:r>
      <w:r>
        <w:rPr>
          <w:color w:val="auto"/>
          <w:highlight w:val="none"/>
        </w:rPr>
        <w:instrText xml:space="preserve"> HYPERLINK \l "_Toc6933" </w:instrText>
      </w:r>
      <w:r>
        <w:rPr>
          <w:color w:val="auto"/>
          <w:highlight w:val="none"/>
        </w:rPr>
        <w:fldChar w:fldCharType="separate"/>
      </w:r>
      <w:r>
        <w:rPr>
          <w:rFonts w:hint="eastAsia" w:ascii="宋体" w:hAnsi="宋体"/>
          <w:color w:val="auto"/>
          <w:szCs w:val="24"/>
          <w:highlight w:val="none"/>
        </w:rPr>
        <w:t>3.含税分项报价汇总表</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rFonts w:ascii="宋体" w:hAnsi="宋体"/>
          <w:color w:val="auto"/>
          <w:highlight w:val="none"/>
        </w:rPr>
      </w:pPr>
      <w:r>
        <w:rPr>
          <w:color w:val="auto"/>
          <w:highlight w:val="none"/>
        </w:rPr>
        <w:fldChar w:fldCharType="begin"/>
      </w:r>
      <w:r>
        <w:rPr>
          <w:color w:val="auto"/>
          <w:highlight w:val="none"/>
        </w:rPr>
        <w:instrText xml:space="preserve"> HYPERLINK \l "_Toc6933" </w:instrText>
      </w:r>
      <w:r>
        <w:rPr>
          <w:color w:val="auto"/>
          <w:highlight w:val="none"/>
        </w:rPr>
        <w:fldChar w:fldCharType="separate"/>
      </w:r>
      <w:r>
        <w:rPr>
          <w:rFonts w:hint="eastAsia" w:ascii="宋体" w:hAnsi="宋体"/>
          <w:color w:val="auto"/>
          <w:szCs w:val="24"/>
          <w:highlight w:val="none"/>
        </w:rPr>
        <w:t>4.含税分项分线报价表</w:t>
      </w:r>
      <w:r>
        <w:rPr>
          <w:rFonts w:hint="eastAsia" w:ascii="宋体" w:hAnsi="宋体"/>
          <w:color w:val="auto"/>
          <w:szCs w:val="24"/>
          <w:highlight w:val="none"/>
          <w:lang w:eastAsia="zh-CN"/>
        </w:rPr>
        <w:t>（</w:t>
      </w:r>
      <w:r>
        <w:rPr>
          <w:rFonts w:hint="eastAsia" w:ascii="宋体" w:hAnsi="宋体"/>
          <w:color w:val="auto"/>
          <w:szCs w:val="24"/>
          <w:highlight w:val="none"/>
          <w:lang w:val="en-US" w:eastAsia="zh-CN"/>
        </w:rPr>
        <w:t>若有</w:t>
      </w:r>
      <w:r>
        <w:rPr>
          <w:rFonts w:hint="eastAsia" w:ascii="宋体" w:hAnsi="宋体"/>
          <w:color w:val="auto"/>
          <w:szCs w:val="24"/>
          <w:highlight w:val="none"/>
          <w:lang w:eastAsia="zh-CN"/>
        </w:rPr>
        <w:t>）</w:t>
      </w:r>
      <w:r>
        <w:rPr>
          <w:color w:val="auto"/>
          <w:highlight w:val="none"/>
        </w:rPr>
        <w:tab/>
      </w:r>
      <w:r>
        <w:rPr>
          <w:color w:val="auto"/>
          <w:highlight w:val="none"/>
        </w:rPr>
        <w:fldChar w:fldCharType="end"/>
      </w:r>
    </w:p>
    <w:p>
      <w:pPr>
        <w:pStyle w:val="25"/>
        <w:tabs>
          <w:tab w:val="right" w:leader="dot" w:pos="9069"/>
        </w:tabs>
        <w:snapToGrid w:val="0"/>
        <w:spacing w:line="240" w:lineRule="auto"/>
        <w:ind w:right="-28"/>
        <w:rPr>
          <w:b/>
          <w:bCs/>
          <w:color w:val="auto"/>
          <w:highlight w:val="none"/>
        </w:rPr>
      </w:pPr>
      <w:r>
        <w:rPr>
          <w:b/>
          <w:bCs/>
          <w:color w:val="auto"/>
          <w:highlight w:val="none"/>
        </w:rPr>
        <w:t>第</w:t>
      </w:r>
      <w:r>
        <w:rPr>
          <w:rFonts w:hint="eastAsia"/>
          <w:b/>
          <w:bCs/>
          <w:color w:val="auto"/>
          <w:highlight w:val="none"/>
        </w:rPr>
        <w:t>五</w:t>
      </w:r>
      <w:r>
        <w:rPr>
          <w:b/>
          <w:bCs/>
          <w:color w:val="auto"/>
          <w:highlight w:val="none"/>
        </w:rPr>
        <w:t>部分</w:t>
      </w:r>
      <w:r>
        <w:rPr>
          <w:rFonts w:hint="eastAsia"/>
          <w:b/>
          <w:bCs/>
          <w:color w:val="auto"/>
          <w:highlight w:val="none"/>
        </w:rPr>
        <w:t xml:space="preserve"> 技术规格书</w:t>
      </w:r>
      <w:r>
        <w:rPr>
          <w:color w:val="auto"/>
          <w:highlight w:val="none"/>
        </w:rPr>
        <w:fldChar w:fldCharType="begin"/>
      </w:r>
      <w:r>
        <w:rPr>
          <w:color w:val="auto"/>
          <w:highlight w:val="none"/>
        </w:rPr>
        <w:instrText xml:space="preserve"> HYPERLINK \l "_Toc25207" </w:instrText>
      </w:r>
      <w:r>
        <w:rPr>
          <w:color w:val="auto"/>
          <w:highlight w:val="none"/>
        </w:rPr>
        <w:fldChar w:fldCharType="separate"/>
      </w:r>
      <w:r>
        <w:rPr>
          <w:b/>
          <w:bCs/>
          <w:color w:val="auto"/>
          <w:highlight w:val="none"/>
        </w:rPr>
        <w:tab/>
      </w:r>
      <w:r>
        <w:rPr>
          <w:b/>
          <w:bCs/>
          <w:color w:val="auto"/>
          <w:highlight w:val="none"/>
        </w:rPr>
        <w:fldChar w:fldCharType="end"/>
      </w:r>
    </w:p>
    <w:p>
      <w:pPr>
        <w:pStyle w:val="25"/>
        <w:tabs>
          <w:tab w:val="right" w:leader="dot" w:pos="9069"/>
        </w:tabs>
        <w:snapToGrid w:val="0"/>
        <w:spacing w:line="240" w:lineRule="auto"/>
        <w:ind w:right="-28"/>
        <w:rPr>
          <w:b/>
          <w:bCs/>
          <w:color w:val="auto"/>
          <w:highlight w:val="none"/>
        </w:rPr>
      </w:pPr>
      <w:r>
        <w:rPr>
          <w:color w:val="auto"/>
          <w:highlight w:val="none"/>
        </w:rPr>
        <w:fldChar w:fldCharType="begin"/>
      </w:r>
      <w:r>
        <w:rPr>
          <w:color w:val="auto"/>
          <w:highlight w:val="none"/>
        </w:rPr>
        <w:instrText xml:space="preserve"> HYPERLINK \l "_Toc103" </w:instrText>
      </w:r>
      <w:r>
        <w:rPr>
          <w:color w:val="auto"/>
          <w:highlight w:val="none"/>
        </w:rPr>
        <w:fldChar w:fldCharType="separate"/>
      </w:r>
      <w:r>
        <w:rPr>
          <w:rFonts w:ascii="宋体" w:hAnsi="宋体"/>
          <w:b/>
          <w:bCs/>
          <w:iCs/>
          <w:color w:val="auto"/>
          <w:highlight w:val="none"/>
        </w:rPr>
        <w:t>第</w:t>
      </w:r>
      <w:r>
        <w:rPr>
          <w:rFonts w:hint="eastAsia" w:ascii="宋体" w:hAnsi="宋体"/>
          <w:b/>
          <w:bCs/>
          <w:iCs/>
          <w:color w:val="auto"/>
          <w:highlight w:val="none"/>
        </w:rPr>
        <w:t>六</w:t>
      </w:r>
      <w:r>
        <w:rPr>
          <w:rFonts w:ascii="宋体" w:hAnsi="宋体"/>
          <w:b/>
          <w:bCs/>
          <w:iCs/>
          <w:color w:val="auto"/>
          <w:highlight w:val="none"/>
        </w:rPr>
        <w:t>部分</w:t>
      </w:r>
      <w:r>
        <w:rPr>
          <w:rFonts w:hint="eastAsia" w:ascii="宋体" w:hAnsi="宋体"/>
          <w:b/>
          <w:bCs/>
          <w:iCs/>
          <w:color w:val="auto"/>
          <w:highlight w:val="none"/>
        </w:rPr>
        <w:t xml:space="preserve"> </w:t>
      </w:r>
      <w:r>
        <w:rPr>
          <w:rFonts w:ascii="宋体" w:hAnsi="宋体"/>
          <w:b/>
          <w:bCs/>
          <w:iCs/>
          <w:color w:val="auto"/>
          <w:highlight w:val="none"/>
        </w:rPr>
        <w:t>合同附件</w:t>
      </w:r>
      <w:r>
        <w:rPr>
          <w:b/>
          <w:bCs/>
          <w:color w:val="auto"/>
          <w:highlight w:val="none"/>
        </w:rPr>
        <w:tab/>
      </w:r>
      <w:r>
        <w:rPr>
          <w:b/>
          <w:bCs/>
          <w:color w:val="auto"/>
          <w:highlight w:val="none"/>
        </w:rPr>
        <w:fldChar w:fldCharType="end"/>
      </w:r>
    </w:p>
    <w:p>
      <w:pPr>
        <w:pStyle w:val="13"/>
        <w:tabs>
          <w:tab w:val="right" w:leader="dot" w:pos="9069"/>
        </w:tabs>
        <w:snapToGrid w:val="0"/>
        <w:spacing w:line="240" w:lineRule="auto"/>
        <w:ind w:right="-28"/>
        <w:rPr>
          <w:rFonts w:ascii="宋体" w:hAnsi="宋体"/>
          <w:color w:val="auto"/>
          <w:szCs w:val="24"/>
          <w:highlight w:val="none"/>
        </w:rPr>
      </w:pPr>
      <w:r>
        <w:rPr>
          <w:rFonts w:ascii="宋体" w:hAnsi="宋体"/>
          <w:color w:val="auto"/>
          <w:szCs w:val="24"/>
          <w:highlight w:val="none"/>
        </w:rPr>
        <w:fldChar w:fldCharType="begin"/>
      </w:r>
      <w:r>
        <w:rPr>
          <w:rFonts w:ascii="宋体" w:hAnsi="宋体"/>
          <w:color w:val="auto"/>
          <w:szCs w:val="24"/>
          <w:highlight w:val="none"/>
        </w:rPr>
        <w:instrText xml:space="preserve"> HYPERLINK \l "_Toc16698" </w:instrText>
      </w:r>
      <w:r>
        <w:rPr>
          <w:rFonts w:ascii="宋体" w:hAnsi="宋体"/>
          <w:color w:val="auto"/>
          <w:szCs w:val="24"/>
          <w:highlight w:val="none"/>
        </w:rPr>
        <w:fldChar w:fldCharType="separate"/>
      </w:r>
      <w:r>
        <w:rPr>
          <w:rFonts w:hint="eastAsia" w:ascii="宋体" w:hAnsi="宋体"/>
          <w:color w:val="auto"/>
          <w:szCs w:val="24"/>
          <w:highlight w:val="none"/>
          <w:lang w:val="en-US" w:eastAsia="zh-CN"/>
        </w:rPr>
        <w:t>1</w:t>
      </w:r>
      <w:r>
        <w:rPr>
          <w:rFonts w:hint="eastAsia" w:ascii="宋体" w:hAnsi="宋体"/>
          <w:color w:val="auto"/>
          <w:szCs w:val="24"/>
          <w:highlight w:val="none"/>
        </w:rPr>
        <w:t>.乙方营业执照或资质证书等</w:t>
      </w:r>
      <w:r>
        <w:rPr>
          <w:color w:val="auto"/>
          <w:highlight w:val="none"/>
        </w:rPr>
        <w:tab/>
      </w:r>
    </w:p>
    <w:p>
      <w:pPr>
        <w:pStyle w:val="13"/>
        <w:tabs>
          <w:tab w:val="right" w:leader="dot" w:pos="9069"/>
        </w:tabs>
        <w:snapToGrid w:val="0"/>
        <w:spacing w:line="240" w:lineRule="auto"/>
        <w:ind w:right="-28"/>
        <w:rPr>
          <w:rFonts w:ascii="宋体" w:hAnsi="宋体"/>
          <w:color w:val="auto"/>
          <w:szCs w:val="24"/>
          <w:highlight w:val="none"/>
        </w:rPr>
      </w:pPr>
      <w:r>
        <w:rPr>
          <w:rFonts w:hint="eastAsia" w:ascii="宋体" w:hAnsi="宋体"/>
          <w:color w:val="auto"/>
          <w:szCs w:val="24"/>
          <w:highlight w:val="none"/>
          <w:lang w:val="en-US" w:eastAsia="zh-CN"/>
        </w:rPr>
        <w:t>2</w:t>
      </w:r>
      <w:r>
        <w:rPr>
          <w:rFonts w:hint="eastAsia" w:ascii="宋体" w:hAnsi="宋体"/>
          <w:color w:val="auto"/>
          <w:szCs w:val="24"/>
          <w:highlight w:val="none"/>
        </w:rPr>
        <w:t>.乙方法人授权委托书（如有）</w:t>
      </w:r>
      <w:r>
        <w:rPr>
          <w:color w:val="auto"/>
          <w:highlight w:val="none"/>
        </w:rPr>
        <w:tab/>
      </w:r>
      <w:r>
        <w:rPr>
          <w:rFonts w:ascii="宋体" w:hAnsi="宋体"/>
          <w:color w:val="auto"/>
          <w:szCs w:val="24"/>
          <w:highlight w:val="none"/>
        </w:rPr>
        <w:fldChar w:fldCharType="end"/>
      </w:r>
    </w:p>
    <w:p>
      <w:pPr>
        <w:pStyle w:val="25"/>
        <w:tabs>
          <w:tab w:val="right" w:leader="dot" w:pos="9069"/>
        </w:tabs>
        <w:snapToGrid w:val="0"/>
        <w:spacing w:line="240" w:lineRule="auto"/>
        <w:ind w:right="-28"/>
        <w:rPr>
          <w:b/>
          <w:bCs/>
          <w:color w:val="auto"/>
          <w:highlight w:val="none"/>
        </w:rPr>
      </w:pPr>
      <w:r>
        <w:rPr>
          <w:color w:val="auto"/>
          <w:highlight w:val="none"/>
        </w:rPr>
        <w:fldChar w:fldCharType="begin"/>
      </w:r>
      <w:r>
        <w:rPr>
          <w:color w:val="auto"/>
          <w:highlight w:val="none"/>
        </w:rPr>
        <w:instrText xml:space="preserve"> HYPERLINK \l "_Toc103" </w:instrText>
      </w:r>
      <w:r>
        <w:rPr>
          <w:color w:val="auto"/>
          <w:highlight w:val="none"/>
        </w:rPr>
        <w:fldChar w:fldCharType="separate"/>
      </w:r>
      <w:r>
        <w:rPr>
          <w:rFonts w:ascii="宋体" w:hAnsi="宋体"/>
          <w:b/>
          <w:bCs/>
          <w:iCs/>
          <w:color w:val="auto"/>
          <w:highlight w:val="none"/>
        </w:rPr>
        <w:t>第</w:t>
      </w:r>
      <w:r>
        <w:rPr>
          <w:rFonts w:hint="eastAsia" w:ascii="宋体" w:hAnsi="宋体"/>
          <w:b/>
          <w:bCs/>
          <w:iCs/>
          <w:color w:val="auto"/>
          <w:highlight w:val="none"/>
        </w:rPr>
        <w:t>七</w:t>
      </w:r>
      <w:r>
        <w:rPr>
          <w:rFonts w:ascii="宋体" w:hAnsi="宋体"/>
          <w:b/>
          <w:bCs/>
          <w:iCs/>
          <w:color w:val="auto"/>
          <w:highlight w:val="none"/>
        </w:rPr>
        <w:t>部分</w:t>
      </w:r>
      <w:r>
        <w:rPr>
          <w:rFonts w:hint="eastAsia" w:ascii="宋体" w:hAnsi="宋体"/>
          <w:b/>
          <w:bCs/>
          <w:iCs/>
          <w:color w:val="auto"/>
          <w:highlight w:val="none"/>
        </w:rPr>
        <w:t xml:space="preserve"> 比选文件</w:t>
      </w:r>
      <w:r>
        <w:rPr>
          <w:b/>
          <w:bCs/>
          <w:color w:val="auto"/>
          <w:highlight w:val="none"/>
        </w:rPr>
        <w:tab/>
      </w:r>
      <w:r>
        <w:rPr>
          <w:b/>
          <w:bCs/>
          <w:color w:val="auto"/>
          <w:highlight w:val="none"/>
        </w:rPr>
        <w:fldChar w:fldCharType="end"/>
      </w:r>
    </w:p>
    <w:p>
      <w:pPr>
        <w:pStyle w:val="25"/>
        <w:tabs>
          <w:tab w:val="right" w:leader="dot" w:pos="9069"/>
        </w:tabs>
        <w:snapToGrid w:val="0"/>
        <w:spacing w:line="240" w:lineRule="auto"/>
        <w:ind w:right="-28"/>
        <w:rPr>
          <w:b/>
          <w:bCs/>
          <w:color w:val="auto"/>
          <w:highlight w:val="none"/>
        </w:rPr>
      </w:pPr>
      <w:r>
        <w:rPr>
          <w:color w:val="auto"/>
          <w:highlight w:val="none"/>
        </w:rPr>
        <w:fldChar w:fldCharType="begin"/>
      </w:r>
      <w:r>
        <w:rPr>
          <w:color w:val="auto"/>
          <w:highlight w:val="none"/>
        </w:rPr>
        <w:instrText xml:space="preserve"> HYPERLINK \l "_Toc103" </w:instrText>
      </w:r>
      <w:r>
        <w:rPr>
          <w:color w:val="auto"/>
          <w:highlight w:val="none"/>
        </w:rPr>
        <w:fldChar w:fldCharType="separate"/>
      </w:r>
      <w:r>
        <w:rPr>
          <w:rFonts w:ascii="宋体" w:hAnsi="宋体"/>
          <w:b/>
          <w:bCs/>
          <w:iCs/>
          <w:color w:val="auto"/>
          <w:highlight w:val="none"/>
        </w:rPr>
        <w:t>第</w:t>
      </w:r>
      <w:r>
        <w:rPr>
          <w:rFonts w:hint="eastAsia" w:ascii="宋体" w:hAnsi="宋体"/>
          <w:b/>
          <w:bCs/>
          <w:iCs/>
          <w:color w:val="auto"/>
          <w:highlight w:val="none"/>
        </w:rPr>
        <w:t>八</w:t>
      </w:r>
      <w:r>
        <w:rPr>
          <w:rFonts w:ascii="宋体" w:hAnsi="宋体"/>
          <w:b/>
          <w:bCs/>
          <w:iCs/>
          <w:color w:val="auto"/>
          <w:highlight w:val="none"/>
        </w:rPr>
        <w:t>部分</w:t>
      </w:r>
      <w:r>
        <w:rPr>
          <w:rFonts w:hint="eastAsia" w:ascii="宋体" w:hAnsi="宋体"/>
          <w:b/>
          <w:bCs/>
          <w:iCs/>
          <w:color w:val="auto"/>
          <w:highlight w:val="none"/>
        </w:rPr>
        <w:t xml:space="preserve"> 比选申请文件</w:t>
      </w:r>
      <w:r>
        <w:rPr>
          <w:b/>
          <w:bCs/>
          <w:color w:val="auto"/>
          <w:highlight w:val="none"/>
        </w:rPr>
        <w:tab/>
      </w:r>
      <w:r>
        <w:rPr>
          <w:b/>
          <w:bCs/>
          <w:color w:val="auto"/>
          <w:highlight w:val="none"/>
        </w:rPr>
        <w:fldChar w:fldCharType="end"/>
      </w:r>
    </w:p>
    <w:p>
      <w:pPr>
        <w:spacing w:before="0" w:after="0" w:afterAutospacing="0"/>
        <w:ind w:left="0" w:right="0" w:firstLine="420" w:firstLineChars="200"/>
        <w:rPr>
          <w:rFonts w:ascii="宋体" w:hAnsi="宋体"/>
          <w:color w:val="auto"/>
          <w:highlight w:val="none"/>
        </w:rPr>
      </w:pPr>
    </w:p>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Pr>
        <w:pageBreakBefore/>
        <w:spacing w:before="0"/>
        <w:ind w:right="0" w:firstLine="198"/>
        <w:jc w:val="center"/>
        <w:outlineLvl w:val="1"/>
        <w:rPr>
          <w:rFonts w:ascii="宋体" w:hAnsi="宋体"/>
          <w:b/>
          <w:color w:val="auto"/>
          <w:sz w:val="32"/>
          <w:szCs w:val="32"/>
          <w:highlight w:val="none"/>
        </w:rPr>
      </w:pPr>
      <w:bookmarkStart w:id="147" w:name="_Toc5235"/>
      <w:bookmarkStart w:id="148" w:name="_Toc22286"/>
      <w:bookmarkStart w:id="149" w:name="_Toc100643456"/>
      <w:r>
        <w:rPr>
          <w:rFonts w:hint="eastAsia" w:ascii="宋体" w:hAnsi="宋体"/>
          <w:b/>
          <w:color w:val="auto"/>
          <w:sz w:val="32"/>
          <w:szCs w:val="32"/>
          <w:highlight w:val="none"/>
        </w:rPr>
        <w:t>第一部分 合同协议书</w:t>
      </w:r>
      <w:bookmarkEnd w:id="147"/>
      <w:bookmarkEnd w:id="148"/>
      <w:bookmarkEnd w:id="149"/>
    </w:p>
    <w:p>
      <w:pPr>
        <w:spacing w:before="0" w:after="0" w:afterAutospacing="0"/>
        <w:ind w:left="0" w:right="0" w:firstLine="420" w:firstLineChars="200"/>
        <w:jc w:val="left"/>
        <w:rPr>
          <w:rFonts w:ascii="宋体" w:hAnsi="宋体"/>
          <w:color w:val="auto"/>
          <w:highlight w:val="none"/>
          <w:u w:val="single"/>
        </w:rPr>
      </w:pPr>
      <w:r>
        <w:rPr>
          <w:rFonts w:hint="eastAsia" w:ascii="宋体" w:hAnsi="宋体"/>
          <w:color w:val="auto"/>
          <w:highlight w:val="none"/>
        </w:rPr>
        <w:t>甲方：南宁轨道交通运营有限公司</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乙方：</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本协议由南宁轨道交通</w:t>
      </w:r>
      <w:r>
        <w:rPr>
          <w:rFonts w:hint="eastAsia" w:ascii="宋体" w:hAnsi="宋体"/>
          <w:color w:val="auto"/>
          <w:highlight w:val="none"/>
          <w:lang w:val="en-US" w:eastAsia="zh-CN"/>
        </w:rPr>
        <w:t>运营有限公司</w:t>
      </w:r>
      <w:r>
        <w:rPr>
          <w:rFonts w:hint="eastAsia" w:ascii="宋体" w:hAnsi="宋体"/>
          <w:color w:val="auto"/>
          <w:highlight w:val="none"/>
        </w:rPr>
        <w:t>（下称“甲方”或 “业主</w:t>
      </w:r>
      <w:r>
        <w:rPr>
          <w:rFonts w:ascii="宋体" w:hAnsi="宋体"/>
          <w:color w:val="auto"/>
          <w:highlight w:val="none"/>
        </w:rPr>
        <w:t>”</w:t>
      </w:r>
      <w:r>
        <w:rPr>
          <w:rFonts w:hint="eastAsia" w:ascii="宋体" w:hAnsi="宋体"/>
          <w:color w:val="auto"/>
          <w:highlight w:val="none"/>
        </w:rPr>
        <w:t>）与（下称“乙方”），双方根据</w:t>
      </w:r>
      <w:r>
        <w:rPr>
          <w:rFonts w:hint="eastAsia" w:ascii="宋体" w:hAnsi="宋体"/>
          <w:color w:val="auto"/>
          <w:highlight w:val="none"/>
          <w:u w:val="single"/>
          <w:lang w:val="en-US" w:eastAsia="zh-CN"/>
        </w:rPr>
        <w:t xml:space="preserve"> 南宁轨道交通运营有限公司2022年VR全景培训与展示系统采购项目</w:t>
      </w:r>
      <w:r>
        <w:rPr>
          <w:rFonts w:hint="eastAsia" w:ascii="宋体" w:hAnsi="宋体"/>
          <w:color w:val="auto"/>
          <w:highlight w:val="none"/>
          <w:u w:val="single" w:color="000000" w:themeColor="text1"/>
          <w:lang w:val="en-US" w:eastAsia="zh-CN"/>
        </w:rPr>
        <w:t xml:space="preserve"> </w:t>
      </w:r>
      <w:r>
        <w:rPr>
          <w:rFonts w:hint="eastAsia" w:ascii="宋体" w:hAnsi="宋体"/>
          <w:color w:val="auto"/>
          <w:highlight w:val="none"/>
        </w:rPr>
        <w:t>（项目编号：</w:t>
      </w:r>
      <w:r>
        <w:rPr>
          <w:rFonts w:hint="eastAsia" w:ascii="宋体" w:hAnsi="宋体"/>
          <w:color w:val="auto"/>
          <w:highlight w:val="none"/>
          <w:u w:val="single"/>
          <w:lang w:val="en-US" w:eastAsia="zh-CN"/>
        </w:rPr>
        <w:t>202209090004</w:t>
      </w:r>
      <w:r>
        <w:rPr>
          <w:rFonts w:hint="eastAsia" w:ascii="宋体" w:hAnsi="宋体"/>
          <w:color w:val="auto"/>
          <w:highlight w:val="none"/>
        </w:rPr>
        <w:t>）比选结果，依据《中华人民共和国民法典》的规定，签订协议。具体内容如下：</w:t>
      </w:r>
    </w:p>
    <w:p>
      <w:pPr>
        <w:tabs>
          <w:tab w:val="left" w:pos="1134"/>
          <w:tab w:val="left" w:pos="1680"/>
        </w:tabs>
        <w:spacing w:before="0" w:after="0" w:afterAutospacing="0"/>
        <w:ind w:left="0" w:right="0" w:firstLine="422"/>
        <w:rPr>
          <w:rFonts w:ascii="宋体" w:hAnsi="宋体" w:cs="Arial"/>
          <w:b/>
          <w:color w:val="auto"/>
          <w:highlight w:val="none"/>
        </w:rPr>
      </w:pPr>
      <w:r>
        <w:rPr>
          <w:rFonts w:ascii="宋体" w:hAnsi="宋体" w:cs="Arial"/>
          <w:b/>
          <w:color w:val="auto"/>
          <w:highlight w:val="none"/>
        </w:rPr>
        <w:t>1、</w:t>
      </w:r>
      <w:r>
        <w:rPr>
          <w:rFonts w:hint="eastAsia" w:ascii="宋体" w:hAnsi="宋体" w:cs="Arial"/>
          <w:b/>
          <w:color w:val="auto"/>
          <w:highlight w:val="none"/>
        </w:rPr>
        <w:t>项目概况</w:t>
      </w:r>
    </w:p>
    <w:p>
      <w:pPr>
        <w:tabs>
          <w:tab w:val="left" w:pos="1134"/>
          <w:tab w:val="left" w:pos="1680"/>
        </w:tabs>
        <w:spacing w:before="0" w:after="0" w:afterAutospacing="0"/>
        <w:ind w:left="0" w:right="0" w:firstLine="420"/>
        <w:rPr>
          <w:rFonts w:ascii="宋体" w:hAnsi="宋体" w:cs="Arial"/>
          <w:color w:val="auto"/>
          <w:highlight w:val="none"/>
        </w:rPr>
      </w:pPr>
      <w:r>
        <w:rPr>
          <w:rFonts w:hint="eastAsia" w:ascii="宋体" w:hAnsi="宋体" w:cs="Arial"/>
          <w:color w:val="auto"/>
          <w:highlight w:val="none"/>
        </w:rPr>
        <w:t>1.1 项目名称：南宁轨道交通运营有限公司2022年VR全景培训与展示系统采购项目</w:t>
      </w:r>
    </w:p>
    <w:p>
      <w:pPr>
        <w:tabs>
          <w:tab w:val="left" w:pos="1134"/>
          <w:tab w:val="left" w:pos="1680"/>
        </w:tabs>
        <w:spacing w:before="0" w:after="0" w:afterAutospacing="0"/>
        <w:ind w:left="0" w:right="0" w:firstLine="420"/>
        <w:rPr>
          <w:rFonts w:ascii="宋体" w:hAnsi="宋体" w:cs="Arial"/>
          <w:color w:val="auto"/>
          <w:highlight w:val="none"/>
        </w:rPr>
      </w:pPr>
      <w:r>
        <w:rPr>
          <w:rFonts w:hint="eastAsia" w:ascii="宋体" w:hAnsi="宋体" w:cs="Arial"/>
          <w:color w:val="auto"/>
          <w:highlight w:val="none"/>
        </w:rPr>
        <w:t>1.2</w:t>
      </w:r>
      <w:r>
        <w:rPr>
          <w:rFonts w:hint="eastAsia" w:ascii="宋体" w:hAnsi="宋体" w:cs="Arial"/>
          <w:color w:val="auto"/>
          <w:highlight w:val="none"/>
          <w:lang w:val="en-US" w:eastAsia="zh-CN"/>
        </w:rPr>
        <w:t xml:space="preserve"> </w:t>
      </w:r>
      <w:r>
        <w:rPr>
          <w:rFonts w:hint="eastAsia" w:ascii="宋体" w:hAnsi="宋体" w:cs="Arial"/>
          <w:color w:val="auto"/>
          <w:highlight w:val="none"/>
        </w:rPr>
        <w:t>项目实施地点：南宁市内，具体详见</w:t>
      </w:r>
      <w:r>
        <w:rPr>
          <w:rFonts w:hint="eastAsia" w:ascii="宋体" w:hAnsi="宋体" w:cs="Arial"/>
          <w:color w:val="auto"/>
          <w:highlight w:val="none"/>
          <w:lang w:val="en-US" w:eastAsia="zh-CN"/>
        </w:rPr>
        <w:t>用户需求书</w:t>
      </w:r>
      <w:r>
        <w:rPr>
          <w:rFonts w:hint="eastAsia" w:ascii="宋体" w:hAnsi="宋体" w:cs="Arial"/>
          <w:color w:val="auto"/>
          <w:highlight w:val="none"/>
        </w:rPr>
        <w:t>。</w:t>
      </w:r>
    </w:p>
    <w:p>
      <w:pPr>
        <w:tabs>
          <w:tab w:val="left" w:pos="1134"/>
          <w:tab w:val="left" w:pos="1680"/>
        </w:tabs>
        <w:spacing w:before="0" w:after="0" w:afterAutospacing="0"/>
        <w:ind w:left="0" w:right="0" w:firstLine="420"/>
        <w:rPr>
          <w:rFonts w:ascii="宋体" w:hAnsi="宋体" w:cs="Arial"/>
          <w:color w:val="auto"/>
          <w:highlight w:val="none"/>
        </w:rPr>
      </w:pPr>
      <w:r>
        <w:rPr>
          <w:rFonts w:hint="eastAsia" w:ascii="宋体" w:hAnsi="宋体" w:cs="Arial"/>
          <w:color w:val="auto"/>
          <w:highlight w:val="none"/>
        </w:rPr>
        <w:t>1.3</w:t>
      </w:r>
      <w:r>
        <w:rPr>
          <w:rFonts w:hint="eastAsia" w:ascii="宋体" w:hAnsi="宋体" w:cs="Arial"/>
          <w:color w:val="auto"/>
          <w:highlight w:val="none"/>
          <w:lang w:val="en-US" w:eastAsia="zh-CN"/>
        </w:rPr>
        <w:t xml:space="preserve"> </w:t>
      </w:r>
      <w:r>
        <w:rPr>
          <w:rFonts w:hint="eastAsia" w:ascii="宋体" w:hAnsi="宋体" w:cs="Arial"/>
          <w:color w:val="auto"/>
          <w:highlight w:val="none"/>
        </w:rPr>
        <w:t>项目范围：具体详见</w:t>
      </w:r>
      <w:r>
        <w:rPr>
          <w:rFonts w:hint="eastAsia" w:ascii="宋体" w:hAnsi="宋体" w:cs="Arial"/>
          <w:color w:val="auto"/>
          <w:highlight w:val="none"/>
          <w:lang w:val="en-US" w:eastAsia="zh-CN"/>
        </w:rPr>
        <w:t>用户需求书</w:t>
      </w:r>
      <w:r>
        <w:rPr>
          <w:rFonts w:hint="eastAsia" w:ascii="宋体" w:hAnsi="宋体" w:cs="Arial"/>
          <w:color w:val="auto"/>
          <w:highlight w:val="none"/>
        </w:rPr>
        <w:t>。</w:t>
      </w:r>
    </w:p>
    <w:p>
      <w:pPr>
        <w:tabs>
          <w:tab w:val="left" w:pos="1134"/>
          <w:tab w:val="left" w:pos="1680"/>
        </w:tabs>
        <w:spacing w:before="0" w:after="0" w:afterAutospacing="0"/>
        <w:ind w:left="0" w:right="0" w:firstLine="420"/>
        <w:rPr>
          <w:rFonts w:ascii="宋体" w:hAnsi="宋体" w:cs="Arial"/>
          <w:color w:val="auto"/>
          <w:highlight w:val="none"/>
        </w:rPr>
      </w:pPr>
      <w:r>
        <w:rPr>
          <w:rFonts w:hint="eastAsia" w:ascii="宋体" w:hAnsi="宋体" w:cs="Arial"/>
          <w:color w:val="auto"/>
          <w:highlight w:val="none"/>
        </w:rPr>
        <w:t>1.4 其他：</w:t>
      </w:r>
    </w:p>
    <w:p>
      <w:pPr>
        <w:tabs>
          <w:tab w:val="left" w:pos="1134"/>
          <w:tab w:val="left" w:pos="1680"/>
        </w:tabs>
        <w:spacing w:before="0" w:after="0" w:afterAutospacing="0"/>
        <w:ind w:left="0" w:right="0" w:firstLine="422"/>
        <w:rPr>
          <w:rFonts w:ascii="宋体" w:hAnsi="宋体" w:cs="Arial"/>
          <w:b/>
          <w:color w:val="auto"/>
          <w:highlight w:val="none"/>
        </w:rPr>
      </w:pPr>
      <w:r>
        <w:rPr>
          <w:rFonts w:ascii="宋体" w:hAnsi="宋体" w:cs="Arial"/>
          <w:b/>
          <w:color w:val="auto"/>
          <w:highlight w:val="none"/>
        </w:rPr>
        <w:t>2、</w:t>
      </w:r>
      <w:r>
        <w:rPr>
          <w:rFonts w:hint="eastAsia" w:ascii="宋体" w:hAnsi="宋体" w:cs="Arial"/>
          <w:b/>
          <w:color w:val="auto"/>
          <w:highlight w:val="none"/>
        </w:rPr>
        <w:t>合同标的</w:t>
      </w:r>
    </w:p>
    <w:p>
      <w:pPr>
        <w:tabs>
          <w:tab w:val="left" w:pos="1134"/>
          <w:tab w:val="left" w:pos="1680"/>
        </w:tabs>
        <w:spacing w:before="0" w:after="0" w:afterAutospacing="0"/>
        <w:ind w:left="0" w:right="0" w:firstLine="420"/>
        <w:rPr>
          <w:color w:val="auto"/>
          <w:highlight w:val="none"/>
        </w:rPr>
      </w:pPr>
      <w:r>
        <w:rPr>
          <w:rFonts w:hint="eastAsia"/>
          <w:color w:val="auto"/>
          <w:highlight w:val="none"/>
        </w:rPr>
        <w:t>甲方同意接受，乙方同意作为中选方并以下列第3条所述价格提供</w:t>
      </w:r>
      <w:r>
        <w:rPr>
          <w:rFonts w:hint="eastAsia"/>
          <w:color w:val="auto"/>
          <w:highlight w:val="none"/>
          <w:u w:val="single"/>
        </w:rPr>
        <w:t>南宁轨道交通运营有限公司</w:t>
      </w:r>
      <w:r>
        <w:rPr>
          <w:rFonts w:hint="eastAsia" w:ascii="宋体" w:hAnsi="宋体"/>
          <w:color w:val="auto"/>
          <w:highlight w:val="none"/>
          <w:u w:val="single"/>
        </w:rPr>
        <w:t>2022年VR全景培训与展示系统采购项目</w:t>
      </w:r>
      <w:r>
        <w:rPr>
          <w:rFonts w:hint="eastAsia"/>
          <w:color w:val="auto"/>
          <w:highlight w:val="none"/>
        </w:rPr>
        <w:t>项下的</w:t>
      </w:r>
      <w:r>
        <w:rPr>
          <w:rFonts w:hint="eastAsia"/>
          <w:color w:val="auto"/>
          <w:highlight w:val="none"/>
          <w:u w:val="single"/>
        </w:rPr>
        <w:t>合同标的</w:t>
      </w:r>
      <w:r>
        <w:rPr>
          <w:rFonts w:hint="eastAsia"/>
          <w:color w:val="auto"/>
          <w:highlight w:val="none"/>
          <w:u w:val="single"/>
          <w:lang w:eastAsia="zh-CN"/>
        </w:rPr>
        <w:t>，详见</w:t>
      </w:r>
      <w:r>
        <w:rPr>
          <w:rFonts w:hint="eastAsia"/>
          <w:color w:val="auto"/>
          <w:highlight w:val="none"/>
          <w:u w:val="single"/>
          <w:lang w:val="en-US" w:eastAsia="zh-CN"/>
        </w:rPr>
        <w:t>用户需求书</w:t>
      </w:r>
      <w:r>
        <w:rPr>
          <w:rFonts w:hint="eastAsia"/>
          <w:color w:val="auto"/>
          <w:highlight w:val="none"/>
          <w:u w:val="single"/>
          <w:lang w:eastAsia="zh-CN"/>
        </w:rPr>
        <w:t>。</w:t>
      </w:r>
    </w:p>
    <w:p>
      <w:pPr>
        <w:tabs>
          <w:tab w:val="left" w:pos="567"/>
        </w:tabs>
        <w:spacing w:before="0" w:after="0" w:afterAutospacing="0"/>
        <w:ind w:left="0" w:right="0" w:firstLine="422" w:firstLineChars="200"/>
        <w:rPr>
          <w:rFonts w:ascii="宋体" w:hAnsi="宋体"/>
          <w:b/>
          <w:color w:val="auto"/>
          <w:highlight w:val="none"/>
        </w:rPr>
      </w:pPr>
      <w:r>
        <w:rPr>
          <w:rFonts w:ascii="宋体" w:hAnsi="宋体"/>
          <w:b/>
          <w:color w:val="auto"/>
          <w:highlight w:val="none"/>
        </w:rPr>
        <w:t>3、合同</w:t>
      </w:r>
      <w:r>
        <w:rPr>
          <w:rFonts w:hint="eastAsia" w:ascii="宋体" w:hAnsi="宋体"/>
          <w:b/>
          <w:color w:val="auto"/>
          <w:highlight w:val="none"/>
        </w:rPr>
        <w:t>价格</w:t>
      </w:r>
    </w:p>
    <w:p>
      <w:pPr>
        <w:tabs>
          <w:tab w:val="left" w:pos="567"/>
        </w:tabs>
        <w:spacing w:before="0" w:after="0" w:afterAutospacing="0"/>
        <w:ind w:left="0" w:right="0" w:firstLine="420" w:firstLineChars="200"/>
        <w:rPr>
          <w:rFonts w:ascii="宋体" w:hAnsi="宋体"/>
          <w:b/>
          <w:color w:val="auto"/>
          <w:highlight w:val="none"/>
        </w:rPr>
      </w:pPr>
      <w:r>
        <w:rPr>
          <w:rFonts w:hint="eastAsia" w:ascii="宋体" w:hAnsi="宋体"/>
          <w:color w:val="auto"/>
          <w:highlight w:val="none"/>
        </w:rPr>
        <w:t>（1）本合同总价为：不含税人民币</w:t>
      </w:r>
      <w:r>
        <w:rPr>
          <w:rFonts w:hint="eastAsia" w:ascii="宋体" w:hAnsi="宋体"/>
          <w:color w:val="auto"/>
          <w:highlight w:val="none"/>
          <w:u w:val="single"/>
        </w:rPr>
        <w:t xml:space="preserve"> （填写） (¥  )</w:t>
      </w:r>
      <w:r>
        <w:rPr>
          <w:rFonts w:hint="eastAsia" w:ascii="宋体" w:hAnsi="宋体"/>
          <w:color w:val="auto"/>
          <w:highlight w:val="none"/>
        </w:rPr>
        <w:t>；税费人民币</w:t>
      </w:r>
      <w:r>
        <w:rPr>
          <w:rFonts w:hint="eastAsia" w:ascii="宋体" w:hAnsi="宋体"/>
          <w:color w:val="auto"/>
          <w:highlight w:val="none"/>
          <w:u w:val="single"/>
        </w:rPr>
        <w:t>（填写）(¥  )</w:t>
      </w:r>
      <w:r>
        <w:rPr>
          <w:rFonts w:hint="eastAsia" w:ascii="宋体" w:hAnsi="宋体"/>
          <w:color w:val="auto"/>
          <w:highlight w:val="none"/>
        </w:rPr>
        <w:t>；税率</w:t>
      </w:r>
      <w:r>
        <w:rPr>
          <w:rFonts w:hint="eastAsia" w:ascii="宋体" w:hAnsi="宋体"/>
          <w:color w:val="auto"/>
          <w:highlight w:val="none"/>
          <w:u w:val="single"/>
        </w:rPr>
        <w:t>（填写）%</w:t>
      </w:r>
      <w:r>
        <w:rPr>
          <w:rFonts w:hint="eastAsia" w:ascii="宋体" w:hAnsi="宋体"/>
          <w:color w:val="auto"/>
          <w:highlight w:val="none"/>
        </w:rPr>
        <w:t>；含税总价：人民币</w:t>
      </w:r>
      <w:r>
        <w:rPr>
          <w:rFonts w:hint="eastAsia" w:ascii="宋体" w:hAnsi="宋体"/>
          <w:color w:val="auto"/>
          <w:highlight w:val="none"/>
          <w:u w:val="single"/>
        </w:rPr>
        <w:t xml:space="preserve"> （填写） (¥  )，</w:t>
      </w:r>
      <w:r>
        <w:rPr>
          <w:rFonts w:hint="eastAsia" w:ascii="宋体" w:hAnsi="宋体"/>
          <w:color w:val="auto"/>
          <w:highlight w:val="none"/>
        </w:rPr>
        <w:t>（下文称“合同价格”</w:t>
      </w:r>
      <w:r>
        <w:rPr>
          <w:rFonts w:ascii="宋体" w:hAnsi="宋体"/>
          <w:color w:val="auto"/>
          <w:highlight w:val="none"/>
        </w:rPr>
        <w:t>)</w:t>
      </w:r>
      <w:r>
        <w:rPr>
          <w:rFonts w:hint="eastAsia" w:ascii="宋体" w:hAnsi="宋体"/>
          <w:color w:val="auto"/>
          <w:highlight w:val="none"/>
        </w:rPr>
        <w:t>。</w:t>
      </w:r>
      <w:r>
        <w:rPr>
          <w:rFonts w:hint="eastAsia" w:ascii="宋体" w:hAnsi="宋体"/>
          <w:b/>
          <w:color w:val="auto"/>
          <w:highlight w:val="none"/>
        </w:rPr>
        <w:t>在合同履约过程中，本合同税率将遵照国家现行税法执行，最终税金在结算阶段，按实际产生的税金进行核算。</w:t>
      </w:r>
    </w:p>
    <w:p>
      <w:pPr>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（2）合同价格形式：</w:t>
      </w:r>
      <w:r>
        <w:rPr>
          <w:rFonts w:hint="eastAsia" w:ascii="宋体" w:hAnsi="宋体"/>
          <w:color w:val="auto"/>
          <w:highlight w:val="none"/>
          <w:lang w:eastAsia="zh-CN"/>
        </w:rPr>
        <w:t>总价包干</w:t>
      </w:r>
      <w:r>
        <w:rPr>
          <w:rFonts w:hint="eastAsia" w:ascii="宋体" w:hAnsi="宋体"/>
          <w:color w:val="auto"/>
          <w:highlight w:val="none"/>
        </w:rPr>
        <w:t>。在合同履约过程中，本合同税率将遵照国家现行税法执行。本合同最终税金在结算阶段，按实际产生的税金进行核算，但合同不含税价格不因国家税率调整而调整。</w:t>
      </w:r>
    </w:p>
    <w:p>
      <w:pPr>
        <w:spacing w:before="0" w:after="0" w:afterAutospacing="0"/>
        <w:ind w:left="0" w:right="0" w:firstLine="422" w:firstLineChars="200"/>
        <w:rPr>
          <w:rFonts w:ascii="宋体" w:hAnsi="宋体"/>
          <w:color w:val="auto"/>
          <w:highlight w:val="none"/>
        </w:rPr>
      </w:pPr>
      <w:r>
        <w:rPr>
          <w:rFonts w:hint="eastAsia" w:ascii="宋体" w:hAnsi="宋体" w:cs="Times New Roman"/>
          <w:b/>
          <w:bCs w:val="0"/>
          <w:color w:val="auto"/>
          <w:highlight w:val="none"/>
        </w:rPr>
        <w:t>4.</w:t>
      </w:r>
      <w:r>
        <w:rPr>
          <w:rFonts w:hint="eastAsia" w:ascii="宋体" w:hAnsi="宋体" w:cs="Times New Roman"/>
          <w:b/>
          <w:bCs w:val="0"/>
          <w:color w:val="auto"/>
          <w:highlight w:val="none"/>
          <w:lang w:val="en-US" w:eastAsia="zh-CN"/>
        </w:rPr>
        <w:t>交货</w:t>
      </w:r>
      <w:r>
        <w:rPr>
          <w:rFonts w:hint="eastAsia" w:ascii="宋体" w:hAnsi="宋体" w:cs="Times New Roman"/>
          <w:b/>
          <w:bCs w:val="0"/>
          <w:color w:val="auto"/>
          <w:highlight w:val="none"/>
        </w:rPr>
        <w:t>期</w:t>
      </w:r>
      <w:r>
        <w:rPr>
          <w:rFonts w:hint="eastAsia" w:ascii="宋体" w:hAnsi="宋体"/>
          <w:color w:val="auto"/>
          <w:highlight w:val="none"/>
        </w:rPr>
        <w:t>：</w:t>
      </w:r>
      <w:r>
        <w:rPr>
          <w:rFonts w:hint="eastAsia" w:ascii="宋体" w:hAnsi="宋体"/>
          <w:color w:val="auto"/>
          <w:highlight w:val="none"/>
          <w:lang w:val="en-US" w:eastAsia="zh-CN"/>
        </w:rPr>
        <w:t>2022年11-12月（暂定），并于2022年12月15前完成交货。</w:t>
      </w:r>
    </w:p>
    <w:p>
      <w:pPr>
        <w:spacing w:before="0" w:after="0" w:afterAutospacing="0"/>
        <w:ind w:left="0" w:right="0" w:firstLine="422" w:firstLineChars="200"/>
        <w:rPr>
          <w:rFonts w:ascii="宋体" w:hAnsi="宋体"/>
          <w:color w:val="auto"/>
          <w:highlight w:val="none"/>
        </w:rPr>
      </w:pPr>
      <w:r>
        <w:rPr>
          <w:rFonts w:hint="eastAsia" w:ascii="宋体" w:hAnsi="宋体"/>
          <w:b/>
          <w:bCs w:val="0"/>
          <w:color w:val="auto"/>
          <w:highlight w:val="none"/>
        </w:rPr>
        <w:t>5</w:t>
      </w:r>
      <w:r>
        <w:rPr>
          <w:rFonts w:ascii="宋体" w:hAnsi="宋体"/>
          <w:b/>
          <w:bCs w:val="0"/>
          <w:color w:val="auto"/>
          <w:highlight w:val="none"/>
        </w:rPr>
        <w:t>.本合同由下列文件构成</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）合同协议书；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）中选通知书；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3</w:t>
      </w:r>
      <w:r>
        <w:rPr>
          <w:rFonts w:hint="eastAsia" w:ascii="宋体" w:hAnsi="宋体"/>
          <w:color w:val="auto"/>
          <w:highlight w:val="none"/>
        </w:rPr>
        <w:t>）合同条款；</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（4）价格组成文件；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（5）技术规格书；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（6）合同附件；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（7）比选文件（含比选补充文件）；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（8）比选申请文件（含比选申请文件的补充文件）。</w:t>
      </w:r>
    </w:p>
    <w:p>
      <w:pPr>
        <w:spacing w:before="0" w:after="0" w:afterAutospacing="0"/>
        <w:ind w:left="0" w:right="0" w:firstLine="420" w:firstLineChars="200"/>
        <w:rPr>
          <w:rFonts w:hint="eastAsia" w:ascii="宋体" w:hAnsi="宋体" w:cs="宋体"/>
          <w:color w:val="auto"/>
          <w:highlight w:val="none"/>
        </w:rPr>
      </w:pPr>
      <w:r>
        <w:rPr>
          <w:rFonts w:hint="eastAsia" w:ascii="宋体" w:hAnsi="宋体" w:cs="宋体"/>
          <w:color w:val="auto"/>
          <w:highlight w:val="none"/>
        </w:rPr>
        <w:t>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p>
    <w:p>
      <w:pPr>
        <w:spacing w:before="0" w:after="0" w:afterAutospacing="0"/>
        <w:ind w:left="0" w:right="0" w:firstLine="420" w:firstLineChars="200"/>
        <w:rPr>
          <w:rFonts w:hint="eastAsia" w:ascii="宋体" w:hAnsi="宋体" w:cs="宋体"/>
          <w:color w:val="auto"/>
          <w:highlight w:val="none"/>
        </w:rPr>
      </w:pPr>
      <w:r>
        <w:rPr>
          <w:rFonts w:hint="eastAsia" w:ascii="宋体" w:hAnsi="宋体" w:cs="宋体"/>
          <w:color w:val="auto"/>
          <w:highlight w:val="none"/>
        </w:rPr>
        <w:t>6.甲乙双方依据本次招标文件中的用户需求书、乙方投标文件（如技术响应表、技术文件等），按照二者较优值形成技术规格书。并经双方确认后构成本合同的有效组成部分。在本合同执行中的技术指标以技术规格书为准。</w:t>
      </w:r>
    </w:p>
    <w:p>
      <w:pPr>
        <w:spacing w:before="0" w:after="0" w:afterAutospacing="0"/>
        <w:ind w:left="0" w:right="0" w:firstLine="420" w:firstLineChars="200"/>
        <w:rPr>
          <w:rFonts w:hint="eastAsia" w:ascii="宋体" w:hAnsi="宋体" w:cs="宋体"/>
          <w:color w:val="auto"/>
          <w:highlight w:val="none"/>
        </w:rPr>
      </w:pPr>
      <w:r>
        <w:rPr>
          <w:rFonts w:hint="eastAsia" w:ascii="宋体" w:hAnsi="宋体" w:cs="宋体"/>
          <w:color w:val="auto"/>
          <w:highlight w:val="none"/>
        </w:rPr>
        <w:t>7.甲方向乙方承诺按合同条款约定的条件、时间和方式支付合同价款。</w:t>
      </w:r>
    </w:p>
    <w:p>
      <w:pPr>
        <w:spacing w:before="0" w:after="0" w:afterAutospacing="0"/>
        <w:ind w:left="0" w:right="0" w:firstLine="420" w:firstLineChars="200"/>
        <w:rPr>
          <w:rFonts w:hint="eastAsia" w:ascii="宋体" w:hAnsi="宋体" w:cs="宋体"/>
          <w:color w:val="auto"/>
          <w:highlight w:val="none"/>
        </w:rPr>
      </w:pPr>
      <w:r>
        <w:rPr>
          <w:rFonts w:hint="eastAsia" w:ascii="宋体" w:hAnsi="宋体" w:cs="宋体"/>
          <w:color w:val="auto"/>
          <w:highlight w:val="none"/>
        </w:rPr>
        <w:t>8.甲方、乙方承诺按照合同条款约定的违约责任和解决争议方式履行合同。</w:t>
      </w:r>
    </w:p>
    <w:p>
      <w:pPr>
        <w:spacing w:before="0" w:after="0" w:afterAutospacing="0"/>
        <w:ind w:left="0" w:right="0" w:firstLine="420" w:firstLineChars="200"/>
        <w:rPr>
          <w:rFonts w:hint="eastAsia" w:ascii="宋体" w:hAnsi="宋体" w:cs="宋体"/>
          <w:color w:val="auto"/>
          <w:highlight w:val="none"/>
        </w:rPr>
      </w:pPr>
      <w:r>
        <w:rPr>
          <w:rFonts w:hint="eastAsia" w:ascii="宋体" w:hAnsi="宋体" w:cs="宋体"/>
          <w:color w:val="auto"/>
          <w:highlight w:val="none"/>
        </w:rPr>
        <w:t>9.本合同协议书中有关词语含义与本合同《合同条款》中分别赋予它们的定义相同，合同协议书与《合同条款》共同组成完整的合同文本。</w:t>
      </w:r>
    </w:p>
    <w:p>
      <w:pPr>
        <w:spacing w:before="0" w:after="0" w:afterAutospacing="0"/>
        <w:ind w:left="0" w:right="0" w:firstLine="420" w:firstLineChars="200"/>
        <w:rPr>
          <w:rFonts w:hint="eastAsia" w:ascii="宋体" w:hAnsi="宋体" w:cs="宋体"/>
          <w:color w:val="auto"/>
          <w:highlight w:val="none"/>
        </w:rPr>
      </w:pPr>
      <w:r>
        <w:rPr>
          <w:rFonts w:hint="eastAsia" w:ascii="宋体" w:hAnsi="宋体" w:cs="宋体"/>
          <w:color w:val="auto"/>
          <w:highlight w:val="none"/>
        </w:rPr>
        <w:t>10.本合同用中文书写，正本</w:t>
      </w:r>
      <w:r>
        <w:rPr>
          <w:rFonts w:hint="eastAsia" w:ascii="宋体" w:hAnsi="宋体" w:cs="宋体"/>
          <w:color w:val="auto"/>
          <w:highlight w:val="none"/>
          <w:u w:val="single"/>
        </w:rPr>
        <w:t>2</w:t>
      </w:r>
      <w:r>
        <w:rPr>
          <w:rFonts w:hint="eastAsia" w:ascii="宋体" w:hAnsi="宋体" w:cs="宋体"/>
          <w:color w:val="auto"/>
          <w:highlight w:val="none"/>
        </w:rPr>
        <w:t>份，甲乙方各</w:t>
      </w:r>
      <w:r>
        <w:rPr>
          <w:rFonts w:hint="eastAsia" w:ascii="宋体" w:hAnsi="宋体" w:cs="宋体"/>
          <w:color w:val="auto"/>
          <w:highlight w:val="none"/>
          <w:u w:val="single"/>
        </w:rPr>
        <w:t>1</w:t>
      </w:r>
      <w:r>
        <w:rPr>
          <w:rFonts w:hint="eastAsia" w:ascii="宋体" w:hAnsi="宋体" w:cs="宋体"/>
          <w:color w:val="auto"/>
          <w:highlight w:val="none"/>
        </w:rPr>
        <w:t>份；副本</w:t>
      </w:r>
      <w:r>
        <w:rPr>
          <w:rFonts w:hint="eastAsia" w:ascii="宋体" w:hAnsi="宋体" w:cs="宋体"/>
          <w:color w:val="auto"/>
          <w:highlight w:val="none"/>
          <w:lang w:val="en-US" w:eastAsia="zh-CN"/>
        </w:rPr>
        <w:t>6</w:t>
      </w:r>
      <w:r>
        <w:rPr>
          <w:rFonts w:hint="eastAsia" w:ascii="宋体" w:hAnsi="宋体" w:cs="宋体"/>
          <w:color w:val="auto"/>
          <w:highlight w:val="none"/>
        </w:rPr>
        <w:t>份，甲方持</w:t>
      </w:r>
      <w:r>
        <w:rPr>
          <w:rFonts w:hint="eastAsia" w:ascii="宋体" w:hAnsi="宋体" w:cs="宋体"/>
          <w:color w:val="auto"/>
          <w:highlight w:val="none"/>
          <w:lang w:val="en-US" w:eastAsia="zh-CN"/>
        </w:rPr>
        <w:t>4</w:t>
      </w:r>
      <w:r>
        <w:rPr>
          <w:rFonts w:hint="eastAsia" w:ascii="宋体" w:hAnsi="宋体" w:cs="宋体"/>
          <w:color w:val="auto"/>
          <w:highlight w:val="none"/>
        </w:rPr>
        <w:t>份，乙方持</w:t>
      </w:r>
      <w:r>
        <w:rPr>
          <w:rFonts w:hint="eastAsia" w:ascii="宋体" w:hAnsi="宋体" w:cs="宋体"/>
          <w:color w:val="auto"/>
          <w:highlight w:val="none"/>
          <w:lang w:val="en-US" w:eastAsia="zh-CN"/>
        </w:rPr>
        <w:t>2</w:t>
      </w:r>
      <w:r>
        <w:rPr>
          <w:rFonts w:hint="eastAsia" w:ascii="宋体" w:hAnsi="宋体" w:cs="宋体"/>
          <w:color w:val="auto"/>
          <w:highlight w:val="none"/>
        </w:rPr>
        <w:t>份。</w:t>
      </w:r>
    </w:p>
    <w:p>
      <w:pPr>
        <w:spacing w:before="0" w:after="0" w:afterAutospacing="0"/>
        <w:ind w:left="0" w:right="0" w:firstLine="420" w:firstLineChars="200"/>
        <w:rPr>
          <w:rFonts w:ascii="宋体" w:hAnsi="宋体" w:cs="Arial"/>
          <w:color w:val="auto"/>
          <w:highlight w:val="none"/>
        </w:rPr>
      </w:pPr>
      <w:r>
        <w:rPr>
          <w:rFonts w:hint="eastAsia" w:ascii="宋体" w:hAnsi="宋体" w:cs="宋体"/>
          <w:color w:val="auto"/>
          <w:highlight w:val="none"/>
        </w:rPr>
        <w:t>11.本合同协议书经双方法定代表人或授权代表签</w:t>
      </w:r>
      <w:r>
        <w:rPr>
          <w:rFonts w:hint="eastAsia" w:ascii="宋体" w:hAnsi="宋体" w:cs="Arial"/>
          <w:color w:val="auto"/>
          <w:highlight w:val="none"/>
        </w:rPr>
        <w:t>字并加盖单位公章后生效。</w:t>
      </w:r>
    </w:p>
    <w:p>
      <w:pPr>
        <w:spacing w:before="0" w:after="0" w:afterAutospacing="0"/>
        <w:ind w:left="0" w:right="0" w:firstLine="420" w:firstLineChars="200"/>
        <w:rPr>
          <w:color w:val="auto"/>
          <w:highlight w:val="none"/>
        </w:rPr>
      </w:pPr>
      <w:r>
        <w:rPr>
          <w:rFonts w:hint="eastAsia" w:ascii="宋体" w:hAnsi="宋体" w:cs="Arial"/>
          <w:color w:val="auto"/>
          <w:highlight w:val="none"/>
        </w:rPr>
        <w:t>12.</w:t>
      </w:r>
      <w:r>
        <w:rPr>
          <w:rFonts w:hint="eastAsia"/>
          <w:color w:val="auto"/>
          <w:highlight w:val="none"/>
        </w:rPr>
        <w:t>合同未尽事宜，双方另行签订补充协议。</w:t>
      </w:r>
    </w:p>
    <w:p>
      <w:pPr>
        <w:spacing w:before="0" w:after="0" w:afterAutospacing="0"/>
        <w:ind w:left="0" w:right="0" w:firstLine="420" w:firstLineChars="200"/>
        <w:rPr>
          <w:rFonts w:ascii="宋体" w:hAnsi="宋体" w:cs="Arial"/>
          <w:color w:val="auto"/>
          <w:highlight w:val="none"/>
        </w:rPr>
      </w:pPr>
    </w:p>
    <w:tbl>
      <w:tblPr>
        <w:tblStyle w:val="29"/>
        <w:tblW w:w="8155" w:type="dxa"/>
        <w:tblInd w:w="0" w:type="dxa"/>
        <w:tblLayout w:type="fixed"/>
        <w:tblCellMar>
          <w:top w:w="0" w:type="dxa"/>
          <w:left w:w="108" w:type="dxa"/>
          <w:bottom w:w="0" w:type="dxa"/>
          <w:right w:w="108" w:type="dxa"/>
        </w:tblCellMar>
      </w:tblPr>
      <w:tblGrid>
        <w:gridCol w:w="4080"/>
        <w:gridCol w:w="4075"/>
      </w:tblGrid>
      <w:tr>
        <w:tblPrEx>
          <w:tblCellMar>
            <w:top w:w="0" w:type="dxa"/>
            <w:left w:w="108" w:type="dxa"/>
            <w:bottom w:w="0" w:type="dxa"/>
            <w:right w:w="108" w:type="dxa"/>
          </w:tblCellMar>
        </w:tblPrEx>
        <w:trPr>
          <w:trHeight w:val="6881" w:hRule="atLeast"/>
        </w:trPr>
        <w:tc>
          <w:tcPr>
            <w:tcW w:w="4080" w:type="dxa"/>
          </w:tcPr>
          <w:p>
            <w:pPr>
              <w:pStyle w:val="14"/>
              <w:spacing w:before="0" w:after="0"/>
              <w:ind w:left="0" w:right="0" w:firstLine="0"/>
              <w:rPr>
                <w:rFonts w:hAnsi="宋体" w:cs="Courier New"/>
                <w:color w:val="auto"/>
                <w:sz w:val="21"/>
                <w:szCs w:val="21"/>
                <w:highlight w:val="none"/>
              </w:rPr>
            </w:pPr>
            <w:r>
              <w:rPr>
                <w:rFonts w:hint="eastAsia" w:hAnsi="宋体" w:cs="Courier New"/>
                <w:color w:val="auto"/>
                <w:sz w:val="21"/>
                <w:szCs w:val="21"/>
                <w:highlight w:val="none"/>
              </w:rPr>
              <w:t xml:space="preserve">甲方：    </w:t>
            </w:r>
          </w:p>
          <w:p>
            <w:pPr>
              <w:pStyle w:val="14"/>
              <w:spacing w:before="0" w:after="0"/>
              <w:ind w:right="0"/>
              <w:rPr>
                <w:rFonts w:hAnsi="宋体" w:cs="Courier New"/>
                <w:color w:val="auto"/>
                <w:sz w:val="21"/>
                <w:szCs w:val="21"/>
                <w:highlight w:val="none"/>
              </w:rPr>
            </w:pPr>
            <w:r>
              <w:rPr>
                <w:rFonts w:hint="eastAsia" w:hAnsi="宋体" w:cs="Courier New"/>
                <w:color w:val="auto"/>
                <w:sz w:val="21"/>
                <w:szCs w:val="21"/>
                <w:highlight w:val="none"/>
              </w:rPr>
              <w:t xml:space="preserve">法定代表人或授权人：  </w:t>
            </w:r>
          </w:p>
          <w:p>
            <w:pPr>
              <w:pStyle w:val="14"/>
              <w:spacing w:before="0" w:after="0" w:line="240" w:lineRule="auto"/>
              <w:ind w:right="0"/>
              <w:rPr>
                <w:rFonts w:hAnsi="宋体" w:cs="Courier New"/>
                <w:color w:val="auto"/>
                <w:sz w:val="21"/>
                <w:szCs w:val="21"/>
                <w:highlight w:val="none"/>
              </w:rPr>
            </w:pPr>
            <w:r>
              <w:rPr>
                <w:rFonts w:hint="eastAsia" w:hAnsi="宋体" w:cs="Courier New"/>
                <w:color w:val="auto"/>
                <w:sz w:val="21"/>
                <w:szCs w:val="21"/>
                <w:highlight w:val="none"/>
              </w:rPr>
              <w:t xml:space="preserve">地址： </w:t>
            </w:r>
          </w:p>
          <w:p>
            <w:pPr>
              <w:pStyle w:val="14"/>
              <w:spacing w:before="0" w:after="0" w:line="240" w:lineRule="auto"/>
              <w:ind w:right="0"/>
              <w:rPr>
                <w:rFonts w:hAnsi="宋体" w:cs="Courier New"/>
                <w:color w:val="auto"/>
                <w:sz w:val="21"/>
                <w:szCs w:val="21"/>
                <w:highlight w:val="none"/>
              </w:rPr>
            </w:pPr>
            <w:r>
              <w:rPr>
                <w:rFonts w:hint="eastAsia" w:hAnsi="宋体" w:cs="Courier New"/>
                <w:color w:val="auto"/>
                <w:sz w:val="21"/>
                <w:szCs w:val="21"/>
                <w:highlight w:val="none"/>
              </w:rPr>
              <w:t>邮政编码：</w:t>
            </w:r>
          </w:p>
          <w:p>
            <w:pPr>
              <w:pStyle w:val="14"/>
              <w:spacing w:before="0" w:after="0" w:line="240" w:lineRule="auto"/>
              <w:ind w:right="0"/>
              <w:rPr>
                <w:rFonts w:hAnsi="宋体" w:cs="Courier New"/>
                <w:color w:val="auto"/>
                <w:sz w:val="21"/>
                <w:szCs w:val="21"/>
                <w:highlight w:val="none"/>
              </w:rPr>
            </w:pPr>
            <w:r>
              <w:rPr>
                <w:rFonts w:hint="eastAsia" w:hAnsi="宋体" w:cs="Courier New"/>
                <w:color w:val="auto"/>
                <w:sz w:val="21"/>
                <w:szCs w:val="21"/>
                <w:highlight w:val="none"/>
              </w:rPr>
              <w:t>联系人：</w:t>
            </w:r>
          </w:p>
          <w:p>
            <w:pPr>
              <w:pStyle w:val="14"/>
              <w:spacing w:before="0" w:after="0" w:line="240" w:lineRule="auto"/>
              <w:ind w:right="0"/>
              <w:rPr>
                <w:rFonts w:hAnsi="宋体" w:cs="Courier New"/>
                <w:color w:val="auto"/>
                <w:sz w:val="21"/>
                <w:szCs w:val="21"/>
                <w:highlight w:val="none"/>
              </w:rPr>
            </w:pPr>
            <w:r>
              <w:rPr>
                <w:rFonts w:hint="eastAsia" w:hAnsi="宋体" w:cs="Courier New"/>
                <w:color w:val="auto"/>
                <w:sz w:val="21"/>
                <w:szCs w:val="21"/>
                <w:highlight w:val="none"/>
              </w:rPr>
              <w:t>联系电话：</w:t>
            </w:r>
          </w:p>
          <w:p>
            <w:pPr>
              <w:pStyle w:val="14"/>
              <w:spacing w:before="0" w:after="0" w:line="240" w:lineRule="auto"/>
              <w:ind w:right="0"/>
              <w:rPr>
                <w:rFonts w:hAnsi="宋体" w:cs="Courier New"/>
                <w:color w:val="auto"/>
                <w:sz w:val="21"/>
                <w:szCs w:val="21"/>
                <w:highlight w:val="none"/>
              </w:rPr>
            </w:pPr>
            <w:r>
              <w:rPr>
                <w:rFonts w:hint="eastAsia" w:hAnsi="宋体" w:cs="Courier New"/>
                <w:color w:val="auto"/>
                <w:sz w:val="21"/>
                <w:szCs w:val="21"/>
                <w:highlight w:val="none"/>
              </w:rPr>
              <w:t>传真：</w:t>
            </w:r>
          </w:p>
          <w:p>
            <w:pPr>
              <w:pStyle w:val="14"/>
              <w:spacing w:before="0" w:after="0" w:line="240" w:lineRule="auto"/>
              <w:ind w:right="0"/>
              <w:rPr>
                <w:rFonts w:hint="eastAsia" w:hAnsi="宋体" w:cs="Courier New"/>
                <w:color w:val="auto"/>
                <w:sz w:val="21"/>
                <w:szCs w:val="21"/>
                <w:highlight w:val="none"/>
              </w:rPr>
            </w:pPr>
            <w:r>
              <w:rPr>
                <w:rFonts w:hint="eastAsia" w:hAnsi="宋体" w:cs="Courier New"/>
                <w:color w:val="auto"/>
                <w:sz w:val="21"/>
                <w:szCs w:val="21"/>
                <w:highlight w:val="none"/>
              </w:rPr>
              <w:t>开户银行：</w:t>
            </w:r>
          </w:p>
          <w:p>
            <w:pPr>
              <w:pStyle w:val="14"/>
              <w:spacing w:before="0" w:after="0" w:line="240" w:lineRule="auto"/>
              <w:ind w:right="0"/>
              <w:rPr>
                <w:rFonts w:hint="eastAsia" w:hAnsi="宋体" w:eastAsia="宋体" w:cs="Courier New"/>
                <w:color w:val="auto"/>
                <w:sz w:val="21"/>
                <w:szCs w:val="21"/>
                <w:highlight w:val="none"/>
                <w:lang w:val="en-US" w:eastAsia="zh-CN"/>
              </w:rPr>
            </w:pPr>
            <w:r>
              <w:rPr>
                <w:rFonts w:hint="eastAsia" w:hAnsi="宋体" w:cs="Courier New"/>
                <w:color w:val="auto"/>
                <w:sz w:val="21"/>
                <w:szCs w:val="21"/>
                <w:highlight w:val="none"/>
                <w:lang w:val="en-US" w:eastAsia="zh-CN"/>
              </w:rPr>
              <w:t>银行账号：</w:t>
            </w:r>
          </w:p>
          <w:p>
            <w:pPr>
              <w:pStyle w:val="14"/>
              <w:spacing w:before="0" w:after="0" w:line="240" w:lineRule="auto"/>
              <w:ind w:right="0"/>
              <w:rPr>
                <w:rFonts w:hint="eastAsia" w:hAnsi="宋体" w:cs="Courier New"/>
                <w:color w:val="auto"/>
                <w:sz w:val="21"/>
                <w:szCs w:val="21"/>
                <w:highlight w:val="none"/>
              </w:rPr>
            </w:pPr>
            <w:r>
              <w:rPr>
                <w:rFonts w:hint="eastAsia" w:hAnsi="宋体" w:cs="Courier New"/>
                <w:color w:val="auto"/>
                <w:sz w:val="21"/>
                <w:szCs w:val="21"/>
                <w:highlight w:val="none"/>
              </w:rPr>
              <w:t>纳税人识别号：</w:t>
            </w:r>
          </w:p>
          <w:p>
            <w:pPr>
              <w:spacing w:before="0" w:after="0" w:line="240" w:lineRule="auto"/>
              <w:ind w:left="0" w:leftChars="0" w:right="0" w:firstLine="0" w:firstLineChars="0"/>
              <w:rPr>
                <w:rFonts w:ascii="宋体" w:hAnsi="宋体"/>
                <w:b/>
                <w:color w:val="auto"/>
                <w:highlight w:val="none"/>
              </w:rPr>
            </w:pPr>
            <w:r>
              <w:rPr>
                <w:rFonts w:hint="eastAsia" w:ascii="宋体" w:hAnsi="宋体"/>
                <w:b/>
                <w:color w:val="auto"/>
                <w:highlight w:val="none"/>
              </w:rPr>
              <w:t>签订时间：     年   月   日</w:t>
            </w:r>
          </w:p>
          <w:p>
            <w:pPr>
              <w:pStyle w:val="14"/>
              <w:spacing w:before="0" w:after="0"/>
              <w:ind w:right="0"/>
              <w:rPr>
                <w:rFonts w:hint="eastAsia" w:hAnsi="宋体" w:cs="Courier New"/>
                <w:color w:val="auto"/>
                <w:sz w:val="21"/>
                <w:szCs w:val="21"/>
                <w:highlight w:val="none"/>
              </w:rPr>
            </w:pPr>
          </w:p>
        </w:tc>
        <w:tc>
          <w:tcPr>
            <w:tcW w:w="4075" w:type="dxa"/>
          </w:tcPr>
          <w:p>
            <w:pPr>
              <w:pStyle w:val="14"/>
              <w:spacing w:before="0" w:after="0"/>
              <w:ind w:left="0" w:right="0" w:firstLine="0"/>
              <w:rPr>
                <w:rFonts w:hAnsi="宋体" w:cs="Courier New"/>
                <w:color w:val="auto"/>
                <w:sz w:val="21"/>
                <w:szCs w:val="21"/>
                <w:highlight w:val="none"/>
              </w:rPr>
            </w:pPr>
            <w:r>
              <w:rPr>
                <w:rFonts w:hint="eastAsia" w:hAnsi="宋体" w:cs="Courier New"/>
                <w:color w:val="auto"/>
                <w:sz w:val="21"/>
                <w:szCs w:val="21"/>
                <w:highlight w:val="none"/>
              </w:rPr>
              <w:t>乙方：</w:t>
            </w:r>
          </w:p>
          <w:p>
            <w:pPr>
              <w:pStyle w:val="14"/>
              <w:spacing w:before="0" w:after="0"/>
              <w:ind w:left="0" w:right="0" w:firstLine="0"/>
              <w:rPr>
                <w:rFonts w:hAnsi="宋体" w:cs="Courier New"/>
                <w:color w:val="auto"/>
                <w:sz w:val="21"/>
                <w:szCs w:val="21"/>
                <w:highlight w:val="none"/>
              </w:rPr>
            </w:pPr>
            <w:r>
              <w:rPr>
                <w:rFonts w:hint="eastAsia" w:hAnsi="宋体" w:cs="Courier New"/>
                <w:color w:val="auto"/>
                <w:sz w:val="21"/>
                <w:szCs w:val="21"/>
                <w:highlight w:val="none"/>
              </w:rPr>
              <w:t>法定代表人或授权人：</w:t>
            </w:r>
          </w:p>
          <w:p>
            <w:pPr>
              <w:pStyle w:val="14"/>
              <w:spacing w:before="0" w:after="0" w:line="240" w:lineRule="auto"/>
              <w:ind w:left="0" w:right="0" w:firstLine="0"/>
              <w:rPr>
                <w:rFonts w:hAnsi="宋体" w:cs="Courier New"/>
                <w:color w:val="auto"/>
                <w:sz w:val="21"/>
                <w:szCs w:val="21"/>
                <w:highlight w:val="none"/>
              </w:rPr>
            </w:pPr>
            <w:r>
              <w:rPr>
                <w:rFonts w:hint="eastAsia" w:hAnsi="宋体" w:cs="Courier New"/>
                <w:color w:val="auto"/>
                <w:sz w:val="21"/>
                <w:szCs w:val="21"/>
                <w:highlight w:val="none"/>
              </w:rPr>
              <w:t>地址：</w:t>
            </w:r>
          </w:p>
          <w:p>
            <w:pPr>
              <w:pStyle w:val="14"/>
              <w:spacing w:before="0" w:after="0" w:line="240" w:lineRule="auto"/>
              <w:ind w:left="0" w:right="0" w:firstLine="0"/>
              <w:rPr>
                <w:rFonts w:hAnsi="宋体" w:cs="Courier New"/>
                <w:color w:val="auto"/>
                <w:sz w:val="21"/>
                <w:szCs w:val="21"/>
                <w:highlight w:val="none"/>
              </w:rPr>
            </w:pPr>
            <w:r>
              <w:rPr>
                <w:rFonts w:hint="eastAsia" w:hAnsi="宋体" w:cs="Courier New"/>
                <w:color w:val="auto"/>
                <w:sz w:val="21"/>
                <w:szCs w:val="21"/>
                <w:highlight w:val="none"/>
              </w:rPr>
              <w:t>邮政编码：</w:t>
            </w:r>
          </w:p>
          <w:p>
            <w:pPr>
              <w:pStyle w:val="14"/>
              <w:spacing w:before="0" w:after="0" w:line="240" w:lineRule="auto"/>
              <w:ind w:left="0" w:right="0" w:firstLine="0"/>
              <w:rPr>
                <w:rFonts w:hAnsi="宋体" w:cs="Courier New"/>
                <w:color w:val="auto"/>
                <w:sz w:val="21"/>
                <w:szCs w:val="21"/>
                <w:highlight w:val="none"/>
              </w:rPr>
            </w:pPr>
            <w:r>
              <w:rPr>
                <w:rFonts w:hint="eastAsia" w:hAnsi="宋体" w:cs="Courier New"/>
                <w:color w:val="auto"/>
                <w:sz w:val="21"/>
                <w:szCs w:val="21"/>
                <w:highlight w:val="none"/>
              </w:rPr>
              <w:t>联系人：</w:t>
            </w:r>
          </w:p>
          <w:p>
            <w:pPr>
              <w:pStyle w:val="14"/>
              <w:spacing w:before="0" w:after="0" w:line="240" w:lineRule="auto"/>
              <w:ind w:left="0" w:right="0" w:firstLine="0"/>
              <w:rPr>
                <w:rFonts w:hAnsi="宋体" w:cs="Courier New"/>
                <w:color w:val="auto"/>
                <w:sz w:val="21"/>
                <w:szCs w:val="21"/>
                <w:highlight w:val="none"/>
              </w:rPr>
            </w:pPr>
            <w:r>
              <w:rPr>
                <w:rFonts w:hint="eastAsia" w:hAnsi="宋体" w:cs="Courier New"/>
                <w:color w:val="auto"/>
                <w:sz w:val="21"/>
                <w:szCs w:val="21"/>
                <w:highlight w:val="none"/>
              </w:rPr>
              <w:t>联系电话：</w:t>
            </w:r>
          </w:p>
          <w:p>
            <w:pPr>
              <w:pStyle w:val="14"/>
              <w:spacing w:before="0" w:after="0" w:line="240" w:lineRule="auto"/>
              <w:ind w:left="0" w:right="0" w:firstLine="0"/>
              <w:rPr>
                <w:rFonts w:hAnsi="宋体" w:cs="Courier New"/>
                <w:color w:val="auto"/>
                <w:sz w:val="21"/>
                <w:szCs w:val="21"/>
                <w:highlight w:val="none"/>
              </w:rPr>
            </w:pPr>
            <w:r>
              <w:rPr>
                <w:rFonts w:hint="eastAsia" w:hAnsi="宋体" w:cs="Courier New"/>
                <w:color w:val="auto"/>
                <w:sz w:val="21"/>
                <w:szCs w:val="21"/>
                <w:highlight w:val="none"/>
              </w:rPr>
              <w:t>传真：</w:t>
            </w:r>
          </w:p>
          <w:p>
            <w:pPr>
              <w:pStyle w:val="14"/>
              <w:spacing w:before="0" w:after="0" w:line="240" w:lineRule="auto"/>
              <w:ind w:left="0" w:right="0" w:firstLine="0"/>
              <w:rPr>
                <w:rFonts w:hint="eastAsia" w:hAnsi="宋体" w:cs="Courier New"/>
                <w:color w:val="auto"/>
                <w:sz w:val="21"/>
                <w:szCs w:val="21"/>
                <w:highlight w:val="none"/>
              </w:rPr>
            </w:pPr>
            <w:r>
              <w:rPr>
                <w:rFonts w:hint="eastAsia" w:hAnsi="宋体" w:cs="Courier New"/>
                <w:color w:val="auto"/>
                <w:sz w:val="21"/>
                <w:szCs w:val="21"/>
                <w:highlight w:val="none"/>
              </w:rPr>
              <w:t>开户银行：</w:t>
            </w:r>
          </w:p>
          <w:p>
            <w:pPr>
              <w:pStyle w:val="14"/>
              <w:spacing w:before="0" w:after="0" w:line="240" w:lineRule="auto"/>
              <w:ind w:left="0" w:right="0" w:firstLine="0"/>
              <w:rPr>
                <w:rFonts w:hint="eastAsia" w:hAnsi="宋体" w:eastAsia="宋体" w:cs="Courier New"/>
                <w:color w:val="auto"/>
                <w:sz w:val="21"/>
                <w:szCs w:val="21"/>
                <w:highlight w:val="none"/>
                <w:lang w:val="en-US" w:eastAsia="zh-CN"/>
              </w:rPr>
            </w:pPr>
            <w:r>
              <w:rPr>
                <w:rFonts w:hint="eastAsia" w:hAnsi="宋体" w:cs="Courier New"/>
                <w:color w:val="auto"/>
                <w:sz w:val="21"/>
                <w:szCs w:val="21"/>
                <w:highlight w:val="none"/>
                <w:lang w:val="en-US" w:eastAsia="zh-CN"/>
              </w:rPr>
              <w:t>银行账号：</w:t>
            </w:r>
          </w:p>
          <w:p>
            <w:pPr>
              <w:pStyle w:val="14"/>
              <w:spacing w:before="0" w:after="0" w:line="240" w:lineRule="auto"/>
              <w:ind w:left="708" w:right="0" w:hanging="707"/>
              <w:rPr>
                <w:rFonts w:hint="eastAsia" w:hAnsi="宋体" w:cs="Courier New"/>
                <w:color w:val="auto"/>
                <w:sz w:val="21"/>
                <w:szCs w:val="21"/>
                <w:highlight w:val="none"/>
              </w:rPr>
            </w:pPr>
            <w:r>
              <w:rPr>
                <w:rFonts w:hint="eastAsia" w:hAnsi="宋体" w:cs="Courier New"/>
                <w:color w:val="auto"/>
                <w:sz w:val="21"/>
                <w:szCs w:val="21"/>
                <w:highlight w:val="none"/>
              </w:rPr>
              <w:t>纳税人识别号：</w:t>
            </w:r>
          </w:p>
          <w:p>
            <w:pPr>
              <w:spacing w:before="0" w:after="0" w:line="240" w:lineRule="auto"/>
              <w:ind w:left="0" w:leftChars="0" w:right="0" w:firstLine="0" w:firstLineChars="0"/>
              <w:rPr>
                <w:rFonts w:ascii="宋体" w:hAnsi="宋体"/>
                <w:b/>
                <w:color w:val="auto"/>
                <w:highlight w:val="none"/>
              </w:rPr>
            </w:pPr>
            <w:r>
              <w:rPr>
                <w:rFonts w:hint="eastAsia" w:ascii="宋体" w:hAnsi="宋体"/>
                <w:b/>
                <w:color w:val="auto"/>
                <w:highlight w:val="none"/>
              </w:rPr>
              <w:t>签订时间：     年   月   日</w:t>
            </w:r>
          </w:p>
          <w:p>
            <w:pPr>
              <w:pStyle w:val="14"/>
              <w:spacing w:before="0" w:after="0"/>
              <w:ind w:left="708" w:right="0" w:hanging="707"/>
              <w:rPr>
                <w:rFonts w:hint="eastAsia" w:hAnsi="宋体" w:cs="Courier New"/>
                <w:color w:val="auto"/>
                <w:sz w:val="21"/>
                <w:szCs w:val="21"/>
                <w:highlight w:val="none"/>
              </w:rPr>
            </w:pPr>
          </w:p>
        </w:tc>
      </w:tr>
    </w:tbl>
    <w:p>
      <w:pPr>
        <w:pStyle w:val="55"/>
        <w:adjustRightInd/>
        <w:spacing w:before="0" w:after="0" w:line="360" w:lineRule="auto"/>
        <w:ind w:left="0" w:right="0"/>
        <w:rPr>
          <w:rFonts w:ascii="宋体" w:hAnsi="宋体"/>
          <w:color w:val="auto"/>
          <w:sz w:val="21"/>
          <w:szCs w:val="21"/>
          <w:highlight w:val="none"/>
        </w:rPr>
      </w:pPr>
    </w:p>
    <w:p>
      <w:pPr>
        <w:pStyle w:val="55"/>
        <w:pageBreakBefore/>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
        <w:spacing w:before="40" w:after="40" w:line="240" w:lineRule="auto"/>
        <w:jc w:val="center"/>
        <w:rPr>
          <w:rFonts w:ascii="Times New Roman" w:hAnsi="Times New Roman" w:eastAsia="宋体"/>
          <w:color w:val="auto"/>
          <w:highlight w:val="none"/>
        </w:rPr>
      </w:pPr>
      <w:bookmarkStart w:id="150" w:name="_Toc4837"/>
      <w:bookmarkStart w:id="151" w:name="_Toc92268619"/>
      <w:bookmarkStart w:id="152" w:name="_Toc2196"/>
      <w:bookmarkStart w:id="153" w:name="_Toc100643457"/>
      <w:r>
        <w:rPr>
          <w:rFonts w:ascii="Times New Roman" w:hAnsi="Times New Roman" w:eastAsia="宋体"/>
          <w:color w:val="auto"/>
          <w:highlight w:val="none"/>
        </w:rPr>
        <w:t>第二部分</w:t>
      </w:r>
      <w:r>
        <w:rPr>
          <w:rFonts w:hint="eastAsia" w:ascii="Times New Roman" w:hAnsi="Times New Roman" w:eastAsia="宋体"/>
          <w:color w:val="auto"/>
          <w:highlight w:val="none"/>
        </w:rPr>
        <w:t xml:space="preserve"> 中选通知书</w:t>
      </w:r>
      <w:bookmarkEnd w:id="150"/>
      <w:bookmarkEnd w:id="151"/>
      <w:bookmarkEnd w:id="152"/>
      <w:bookmarkEnd w:id="153"/>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ageBreakBefore/>
        <w:spacing w:before="0"/>
        <w:ind w:left="814" w:right="0" w:hanging="1086" w:hangingChars="338"/>
        <w:jc w:val="center"/>
        <w:outlineLvl w:val="1"/>
        <w:rPr>
          <w:rFonts w:ascii="宋体" w:hAnsi="宋体"/>
          <w:b/>
          <w:color w:val="auto"/>
          <w:sz w:val="32"/>
          <w:szCs w:val="32"/>
          <w:highlight w:val="none"/>
        </w:rPr>
      </w:pPr>
      <w:bookmarkStart w:id="154" w:name="_Toc100643459"/>
      <w:bookmarkStart w:id="155" w:name="_Toc20710"/>
      <w:bookmarkStart w:id="156" w:name="_Toc16006"/>
      <w:bookmarkStart w:id="157" w:name="_Toc43"/>
      <w:bookmarkStart w:id="158" w:name="_Toc28024"/>
      <w:bookmarkStart w:id="159" w:name="_Toc6054"/>
      <w:bookmarkStart w:id="160" w:name="_Toc2614"/>
      <w:bookmarkStart w:id="161" w:name="_Toc492478763"/>
      <w:bookmarkStart w:id="162" w:name="_Toc10730"/>
      <w:bookmarkStart w:id="163" w:name="_Toc4032"/>
      <w:bookmarkStart w:id="164" w:name="_Toc390098464"/>
      <w:bookmarkStart w:id="165" w:name="_Toc29932"/>
      <w:bookmarkStart w:id="166" w:name="_Toc25643"/>
      <w:bookmarkStart w:id="167" w:name="_Toc385427838"/>
      <w:bookmarkStart w:id="168" w:name="_Toc22880"/>
      <w:bookmarkStart w:id="169" w:name="_Toc12256"/>
      <w:bookmarkStart w:id="170" w:name="_Toc31691"/>
      <w:bookmarkStart w:id="171" w:name="_Toc19920"/>
      <w:bookmarkStart w:id="172" w:name="_Toc7961"/>
      <w:bookmarkStart w:id="173" w:name="_Toc15707"/>
      <w:bookmarkStart w:id="174" w:name="_Toc14287"/>
      <w:bookmarkStart w:id="175" w:name="_Toc18727"/>
      <w:bookmarkStart w:id="176" w:name="_Toc12080"/>
      <w:bookmarkStart w:id="177" w:name="_Toc370933855"/>
      <w:bookmarkStart w:id="178" w:name="_Toc20484"/>
      <w:bookmarkStart w:id="179" w:name="_Toc25750635"/>
      <w:bookmarkStart w:id="180" w:name="_Toc378514952"/>
      <w:r>
        <w:rPr>
          <w:rFonts w:hint="eastAsia" w:ascii="宋体" w:hAnsi="宋体"/>
          <w:b/>
          <w:color w:val="auto"/>
          <w:sz w:val="32"/>
          <w:szCs w:val="32"/>
          <w:highlight w:val="none"/>
        </w:rPr>
        <w:t>第</w:t>
      </w:r>
      <w:r>
        <w:rPr>
          <w:rFonts w:hint="eastAsia" w:ascii="宋体" w:hAnsi="宋体"/>
          <w:b/>
          <w:color w:val="auto"/>
          <w:sz w:val="32"/>
          <w:szCs w:val="32"/>
          <w:highlight w:val="none"/>
          <w:lang w:val="en-US" w:eastAsia="zh-CN"/>
        </w:rPr>
        <w:t>三</w:t>
      </w:r>
      <w:r>
        <w:rPr>
          <w:rFonts w:hint="eastAsia" w:ascii="宋体" w:hAnsi="宋体"/>
          <w:b/>
          <w:color w:val="auto"/>
          <w:sz w:val="32"/>
          <w:szCs w:val="32"/>
          <w:highlight w:val="none"/>
        </w:rPr>
        <w:t>部分 合同条款</w:t>
      </w:r>
      <w:bookmarkEnd w:id="154"/>
      <w:bookmarkEnd w:id="155"/>
      <w:bookmarkEnd w:id="156"/>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1.定义及解释</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numPr>
          <w:ilvl w:val="1"/>
          <w:numId w:val="1"/>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定义</w:t>
      </w:r>
    </w:p>
    <w:p>
      <w:pPr>
        <w:tabs>
          <w:tab w:val="left" w:pos="540"/>
          <w:tab w:val="left" w:pos="840"/>
        </w:tabs>
        <w:spacing w:before="0" w:after="0" w:afterAutospacing="0"/>
        <w:ind w:left="420" w:right="0" w:firstLine="0"/>
        <w:rPr>
          <w:rFonts w:ascii="宋体" w:hAnsi="宋体"/>
          <w:color w:val="auto"/>
          <w:highlight w:val="none"/>
        </w:rPr>
      </w:pPr>
      <w:r>
        <w:rPr>
          <w:rFonts w:hint="eastAsia" w:ascii="宋体" w:hAnsi="宋体"/>
          <w:color w:val="auto"/>
          <w:highlight w:val="none"/>
        </w:rPr>
        <w:t>在合同中，下列措辞和用语具有此处所赋予的它们的含义：</w:t>
      </w:r>
    </w:p>
    <w:p>
      <w:pPr>
        <w:numPr>
          <w:ilvl w:val="2"/>
          <w:numId w:val="2"/>
        </w:numPr>
        <w:tabs>
          <w:tab w:val="left" w:pos="1060"/>
          <w:tab w:val="left" w:pos="1134"/>
        </w:tabs>
        <w:spacing w:before="0" w:after="0" w:afterAutospacing="0"/>
        <w:ind w:left="0" w:right="0" w:firstLine="420" w:firstLineChars="200"/>
        <w:rPr>
          <w:rFonts w:ascii="宋体" w:hAnsi="宋体"/>
          <w:color w:val="auto"/>
          <w:highlight w:val="none"/>
        </w:rPr>
      </w:pPr>
      <w:r>
        <w:rPr>
          <w:rFonts w:hint="eastAsia"/>
          <w:color w:val="auto"/>
          <w:highlight w:val="none"/>
        </w:rPr>
        <w:t>合同文件（或称合同）：指</w:t>
      </w:r>
      <w:r>
        <w:rPr>
          <w:rFonts w:hint="eastAsia" w:ascii="宋体" w:hAnsi="宋体"/>
          <w:color w:val="auto"/>
          <w:highlight w:val="none"/>
        </w:rPr>
        <w:t>买卖双方达成并签署的协议，包括合同协议书、合同条款、</w:t>
      </w:r>
      <w:r>
        <w:rPr>
          <w:rFonts w:hint="eastAsia" w:ascii="宋体" w:hAnsi="宋体" w:cs="Arial"/>
          <w:color w:val="auto"/>
          <w:highlight w:val="none"/>
        </w:rPr>
        <w:t>合同</w:t>
      </w:r>
      <w:r>
        <w:rPr>
          <w:rFonts w:hint="eastAsia" w:ascii="宋体" w:hAnsi="宋体"/>
          <w:color w:val="auto"/>
          <w:highlight w:val="none"/>
        </w:rPr>
        <w:t>附件、</w:t>
      </w:r>
      <w:r>
        <w:rPr>
          <w:rFonts w:hint="eastAsia" w:ascii="宋体" w:hAnsi="宋体" w:cs="Arial"/>
          <w:color w:val="auto"/>
          <w:highlight w:val="none"/>
        </w:rPr>
        <w:t>合同</w:t>
      </w:r>
      <w:r>
        <w:rPr>
          <w:rFonts w:hint="eastAsia" w:ascii="宋体" w:hAnsi="宋体"/>
          <w:color w:val="auto"/>
          <w:highlight w:val="none"/>
        </w:rPr>
        <w:t>附录和上述文件所提到的构成合同的所有文件</w:t>
      </w:r>
      <w:r>
        <w:rPr>
          <w:rFonts w:hint="eastAsia"/>
          <w:color w:val="auto"/>
          <w:highlight w:val="none"/>
        </w:rPr>
        <w:t>。</w:t>
      </w:r>
    </w:p>
    <w:p>
      <w:pPr>
        <w:numPr>
          <w:ilvl w:val="2"/>
          <w:numId w:val="2"/>
        </w:numPr>
        <w:tabs>
          <w:tab w:val="left" w:pos="106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“合同价格”指合同规定乙方在正确地完全履行合同义务后甲方应支付给乙方的金额。</w:t>
      </w:r>
    </w:p>
    <w:p>
      <w:pPr>
        <w:numPr>
          <w:ilvl w:val="2"/>
          <w:numId w:val="1"/>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“合同条款”系指本合同条款。</w:t>
      </w:r>
    </w:p>
    <w:p>
      <w:pPr>
        <w:numPr>
          <w:ilvl w:val="2"/>
          <w:numId w:val="1"/>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w:t>
      </w:r>
      <w:r>
        <w:rPr>
          <w:rFonts w:ascii="宋体" w:hAnsi="宋体"/>
          <w:color w:val="auto"/>
          <w:highlight w:val="none"/>
        </w:rPr>
        <w:t>或“业主”</w:t>
      </w:r>
      <w:r>
        <w:rPr>
          <w:rFonts w:hint="eastAsia" w:ascii="宋体" w:hAnsi="宋体"/>
          <w:color w:val="auto"/>
          <w:highlight w:val="none"/>
        </w:rPr>
        <w:t>系指南宁轨道交通</w:t>
      </w:r>
      <w:r>
        <w:rPr>
          <w:rFonts w:hint="eastAsia" w:ascii="宋体" w:hAnsi="宋体"/>
          <w:color w:val="auto"/>
          <w:highlight w:val="none"/>
          <w:lang w:val="en-US" w:eastAsia="zh-CN"/>
        </w:rPr>
        <w:t>运营有限</w:t>
      </w:r>
      <w:r>
        <w:rPr>
          <w:rFonts w:hint="eastAsia" w:ascii="宋体" w:hAnsi="宋体"/>
          <w:color w:val="auto"/>
          <w:highlight w:val="none"/>
        </w:rPr>
        <w:t>公司。</w:t>
      </w:r>
    </w:p>
    <w:p>
      <w:pPr>
        <w:numPr>
          <w:ilvl w:val="2"/>
          <w:numId w:val="1"/>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“乙方”系指受甲方委托，负责本项目提供合同项下货物和服务的法人和</w:t>
      </w:r>
      <w:r>
        <w:rPr>
          <w:rFonts w:ascii="宋体" w:hAnsi="宋体"/>
          <w:color w:val="auto"/>
          <w:highlight w:val="none"/>
        </w:rPr>
        <w:t>/</w:t>
      </w:r>
      <w:r>
        <w:rPr>
          <w:rFonts w:hint="eastAsia" w:ascii="宋体" w:hAnsi="宋体"/>
          <w:color w:val="auto"/>
          <w:highlight w:val="none"/>
        </w:rPr>
        <w:t>或其他组织。</w:t>
      </w:r>
    </w:p>
    <w:p>
      <w:pPr>
        <w:numPr>
          <w:ilvl w:val="2"/>
          <w:numId w:val="1"/>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“双方”系指甲方和乙方。</w:t>
      </w:r>
    </w:p>
    <w:p>
      <w:pPr>
        <w:numPr>
          <w:ilvl w:val="2"/>
          <w:numId w:val="1"/>
        </w:numPr>
        <w:spacing w:before="0" w:after="0" w:afterAutospacing="0"/>
        <w:ind w:left="0" w:right="0" w:firstLine="420" w:firstLineChars="200"/>
        <w:rPr>
          <w:rFonts w:ascii="宋体" w:hAnsi="宋体" w:cs="Arial"/>
          <w:color w:val="auto"/>
          <w:highlight w:val="none"/>
        </w:rPr>
      </w:pPr>
      <w:r>
        <w:rPr>
          <w:rFonts w:hint="eastAsia"/>
          <w:color w:val="auto"/>
          <w:highlight w:val="none"/>
        </w:rPr>
        <w:t>不可抗力：是指合同当事人在签订合同时不可预见，在合同履行过程中不可避免且不能克服的自然灾害和社会性突发事件，如地震、海啸、瘟疫、骚乱、戒严、暴动、战争和合同条款中约定的其他情形</w:t>
      </w:r>
      <w:r>
        <w:rPr>
          <w:rFonts w:hint="eastAsia" w:ascii="宋体" w:hAnsi="宋体" w:cs="Arial"/>
          <w:color w:val="auto"/>
          <w:highlight w:val="none"/>
        </w:rPr>
        <w:t>。</w:t>
      </w:r>
    </w:p>
    <w:p>
      <w:pPr>
        <w:numPr>
          <w:ilvl w:val="2"/>
          <w:numId w:val="1"/>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“天”、“日”系指日历天。</w:t>
      </w:r>
    </w:p>
    <w:p>
      <w:pPr>
        <w:numPr>
          <w:ilvl w:val="2"/>
          <w:numId w:val="1"/>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“周”系指</w:t>
      </w:r>
      <w:r>
        <w:rPr>
          <w:rFonts w:ascii="宋体" w:hAnsi="宋体"/>
          <w:color w:val="auto"/>
          <w:highlight w:val="none"/>
        </w:rPr>
        <w:t>7</w:t>
      </w:r>
      <w:r>
        <w:rPr>
          <w:rFonts w:hint="eastAsia" w:ascii="宋体" w:hAnsi="宋体"/>
          <w:color w:val="auto"/>
          <w:highlight w:val="none"/>
        </w:rPr>
        <w:t>个日历天。</w:t>
      </w:r>
    </w:p>
    <w:p>
      <w:pPr>
        <w:numPr>
          <w:ilvl w:val="2"/>
          <w:numId w:val="1"/>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“月”系指日历月。</w:t>
      </w:r>
    </w:p>
    <w:p>
      <w:pPr>
        <w:numPr>
          <w:ilvl w:val="2"/>
          <w:numId w:val="1"/>
        </w:numPr>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“税费”仅指增值税</w:t>
      </w:r>
      <w:r>
        <w:rPr>
          <w:rFonts w:hint="eastAsia" w:ascii="宋体" w:hAnsi="宋体"/>
          <w:color w:val="auto"/>
          <w:highlight w:val="none"/>
          <w:lang w:eastAsia="zh-CN"/>
        </w:rPr>
        <w:t>费</w:t>
      </w:r>
      <w:r>
        <w:rPr>
          <w:rFonts w:hint="eastAsia" w:ascii="宋体" w:hAnsi="宋体"/>
          <w:color w:val="auto"/>
          <w:highlight w:val="none"/>
        </w:rPr>
        <w:t>。其他税费应包含在不含税价格内。</w:t>
      </w:r>
    </w:p>
    <w:p>
      <w:pPr>
        <w:numPr>
          <w:ilvl w:val="2"/>
          <w:numId w:val="1"/>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“质量保证期”指合同货物/服务验收合格后，乙方按合同约定保证并负责解决合同货物/服务存在的任何质量问题的期限。</w:t>
      </w:r>
    </w:p>
    <w:p>
      <w:pPr>
        <w:numPr>
          <w:ilvl w:val="2"/>
          <w:numId w:val="1"/>
        </w:numPr>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 xml:space="preserve"> “</w:t>
      </w:r>
      <w:r>
        <w:rPr>
          <w:rFonts w:hint="eastAsia" w:ascii="宋体" w:hAnsi="宋体" w:cs="Arial"/>
          <w:color w:val="auto"/>
          <w:highlight w:val="none"/>
        </w:rPr>
        <w:t>现场</w:t>
      </w:r>
      <w:r>
        <w:rPr>
          <w:rFonts w:hint="eastAsia" w:ascii="宋体" w:hAnsi="宋体"/>
          <w:color w:val="auto"/>
          <w:highlight w:val="none"/>
        </w:rPr>
        <w:t>”</w:t>
      </w:r>
      <w:r>
        <w:rPr>
          <w:rFonts w:hint="eastAsia" w:ascii="宋体" w:hAnsi="宋体" w:cs="Arial"/>
          <w:color w:val="auto"/>
          <w:highlight w:val="none"/>
        </w:rPr>
        <w:t>系指甲方指定的地点。</w:t>
      </w:r>
    </w:p>
    <w:p>
      <w:pPr>
        <w:numPr>
          <w:ilvl w:val="2"/>
          <w:numId w:val="1"/>
        </w:numPr>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 xml:space="preserve"> “</w:t>
      </w:r>
      <w:r>
        <w:rPr>
          <w:rFonts w:hint="eastAsia" w:ascii="宋体" w:hAnsi="宋体" w:cs="Arial"/>
          <w:color w:val="auto"/>
          <w:highlight w:val="none"/>
        </w:rPr>
        <w:t>项目</w:t>
      </w:r>
      <w:r>
        <w:rPr>
          <w:rFonts w:hint="eastAsia" w:ascii="宋体" w:hAnsi="宋体"/>
          <w:color w:val="auto"/>
          <w:highlight w:val="none"/>
        </w:rPr>
        <w:t>”</w:t>
      </w:r>
      <w:r>
        <w:rPr>
          <w:rFonts w:hint="eastAsia" w:ascii="宋体" w:hAnsi="宋体" w:cs="Arial"/>
          <w:color w:val="auto"/>
          <w:highlight w:val="none"/>
        </w:rPr>
        <w:t>系指乙方根据合同规定为甲方提供的</w:t>
      </w:r>
      <w:r>
        <w:rPr>
          <w:rFonts w:hint="eastAsia" w:ascii="宋体" w:hAnsi="宋体"/>
          <w:color w:val="auto"/>
          <w:highlight w:val="none"/>
        </w:rPr>
        <w:t>采购项目</w:t>
      </w:r>
      <w:r>
        <w:rPr>
          <w:rFonts w:ascii="宋体" w:hAnsi="宋体"/>
          <w:color w:val="auto"/>
          <w:highlight w:val="none"/>
        </w:rPr>
        <w:t>。</w:t>
      </w:r>
    </w:p>
    <w:p>
      <w:pPr>
        <w:numPr>
          <w:ilvl w:val="1"/>
          <w:numId w:val="1"/>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解释</w:t>
      </w:r>
    </w:p>
    <w:p>
      <w:pPr>
        <w:numPr>
          <w:ilvl w:val="2"/>
          <w:numId w:val="1"/>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0" w:right="0" w:firstLine="0"/>
        <w:outlineLvl w:val="2"/>
        <w:rPr>
          <w:rFonts w:ascii="宋体" w:hAnsi="宋体"/>
          <w:b/>
          <w:color w:val="auto"/>
          <w:highlight w:val="none"/>
        </w:rPr>
      </w:pPr>
      <w:bookmarkStart w:id="181" w:name="_Toc5955"/>
      <w:bookmarkStart w:id="182" w:name="_Toc23305"/>
      <w:bookmarkStart w:id="183" w:name="_Toc4301"/>
      <w:bookmarkStart w:id="184" w:name="_Toc1169"/>
      <w:bookmarkStart w:id="185" w:name="_Toc23112"/>
      <w:bookmarkStart w:id="186" w:name="_Toc378514953"/>
      <w:bookmarkStart w:id="187" w:name="_Toc18178"/>
      <w:bookmarkStart w:id="188" w:name="_Toc15944"/>
      <w:bookmarkStart w:id="189" w:name="_Toc3180"/>
      <w:bookmarkStart w:id="190" w:name="_Toc13835"/>
      <w:bookmarkStart w:id="191" w:name="_Toc30815"/>
      <w:bookmarkStart w:id="192" w:name="_Toc4212"/>
      <w:bookmarkStart w:id="193" w:name="_Toc25750636"/>
      <w:bookmarkStart w:id="194" w:name="_Toc370933856"/>
      <w:bookmarkStart w:id="195" w:name="_Toc4255"/>
      <w:bookmarkStart w:id="196" w:name="_Toc23247"/>
      <w:bookmarkStart w:id="197" w:name="_Toc385427839"/>
      <w:bookmarkStart w:id="198" w:name="_Toc19899"/>
      <w:bookmarkStart w:id="199" w:name="_Toc7813"/>
      <w:bookmarkStart w:id="200" w:name="_Toc492478764"/>
      <w:bookmarkStart w:id="201" w:name="_Toc390098465"/>
      <w:bookmarkStart w:id="202" w:name="_Toc8477"/>
      <w:bookmarkStart w:id="203" w:name="_Toc25826"/>
      <w:bookmarkStart w:id="204" w:name="_Toc7059"/>
      <w:r>
        <w:rPr>
          <w:rFonts w:hint="eastAsia" w:ascii="宋体" w:hAnsi="宋体"/>
          <w:b/>
          <w:color w:val="auto"/>
          <w:highlight w:val="none"/>
        </w:rPr>
        <w:t>2.适用性</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tabs>
          <w:tab w:val="left" w:pos="540"/>
          <w:tab w:val="left" w:pos="840"/>
        </w:tabs>
        <w:spacing w:before="0" w:after="0" w:afterAutospacing="0"/>
        <w:ind w:left="420" w:right="0" w:firstLine="0"/>
        <w:rPr>
          <w:rFonts w:ascii="宋体" w:hAnsi="宋体"/>
          <w:color w:val="auto"/>
          <w:highlight w:val="none"/>
        </w:rPr>
      </w:pPr>
      <w:r>
        <w:rPr>
          <w:rFonts w:hint="eastAsia" w:ascii="宋体" w:hAnsi="宋体"/>
          <w:color w:val="auto"/>
          <w:highlight w:val="none"/>
        </w:rPr>
        <w:t>本合同条款适用于本合同其它部分未有规定或未被替代的范围。</w:t>
      </w:r>
    </w:p>
    <w:p>
      <w:pPr>
        <w:tabs>
          <w:tab w:val="left" w:pos="640"/>
          <w:tab w:val="left" w:pos="1843"/>
        </w:tabs>
        <w:spacing w:before="0" w:after="0" w:afterAutospacing="0"/>
        <w:ind w:left="420" w:right="0" w:firstLine="0"/>
        <w:outlineLvl w:val="2"/>
        <w:rPr>
          <w:rFonts w:ascii="宋体" w:hAnsi="宋体"/>
          <w:color w:val="auto"/>
          <w:highlight w:val="none"/>
        </w:rPr>
      </w:pPr>
      <w:bookmarkStart w:id="205" w:name="_Toc385427840"/>
      <w:bookmarkStart w:id="206" w:name="_Toc15308"/>
      <w:bookmarkStart w:id="207" w:name="_Toc4898"/>
      <w:bookmarkStart w:id="208" w:name="_Toc25750637"/>
      <w:bookmarkStart w:id="209" w:name="_Toc378514954"/>
      <w:bookmarkStart w:id="210" w:name="_Toc3397"/>
      <w:bookmarkStart w:id="211" w:name="_Toc14437"/>
      <w:bookmarkStart w:id="212" w:name="_Toc26983"/>
      <w:bookmarkStart w:id="213" w:name="_Toc3131"/>
      <w:bookmarkStart w:id="214" w:name="_Toc4738"/>
      <w:bookmarkStart w:id="215" w:name="_Toc3674"/>
      <w:bookmarkStart w:id="216" w:name="_Toc9864"/>
      <w:bookmarkStart w:id="217" w:name="_Toc370933857"/>
      <w:bookmarkStart w:id="218" w:name="_Toc13801"/>
      <w:bookmarkStart w:id="219" w:name="_Toc21603"/>
      <w:bookmarkStart w:id="220" w:name="_Toc5253"/>
      <w:bookmarkStart w:id="221" w:name="_Toc492478765"/>
      <w:bookmarkStart w:id="222" w:name="_Toc390098466"/>
      <w:bookmarkStart w:id="223" w:name="_Toc18092"/>
      <w:bookmarkStart w:id="224" w:name="_Toc4969"/>
      <w:bookmarkStart w:id="225" w:name="_Toc11803"/>
      <w:bookmarkStart w:id="226" w:name="_Toc12248"/>
      <w:bookmarkStart w:id="227" w:name="_Toc9306"/>
      <w:bookmarkStart w:id="228" w:name="_Toc21065"/>
      <w:r>
        <w:rPr>
          <w:rFonts w:hint="eastAsia" w:ascii="宋体" w:hAnsi="宋体"/>
          <w:b/>
          <w:color w:val="auto"/>
          <w:highlight w:val="none"/>
        </w:rPr>
        <w:t>3.</w:t>
      </w:r>
      <w:r>
        <w:rPr>
          <w:rFonts w:hint="eastAsia" w:cs="宋体"/>
          <w:b/>
          <w:bCs/>
          <w:color w:val="auto"/>
          <w:highlight w:val="none"/>
        </w:rPr>
        <w:t>语言文字</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tabs>
          <w:tab w:val="left" w:pos="540"/>
          <w:tab w:val="left" w:pos="840"/>
        </w:tabs>
        <w:spacing w:before="0" w:after="0" w:afterAutospacing="0"/>
        <w:ind w:left="420" w:right="0" w:firstLine="0"/>
        <w:rPr>
          <w:rFonts w:ascii="宋体" w:hAnsi="宋体"/>
          <w:color w:val="auto"/>
          <w:highlight w:val="none"/>
        </w:rPr>
      </w:pPr>
      <w:r>
        <w:rPr>
          <w:rFonts w:hint="eastAsia" w:ascii="宋体" w:hAnsi="宋体"/>
          <w:color w:val="auto"/>
          <w:highlight w:val="none"/>
        </w:rPr>
        <w:t>除专用术语外，合同使用的语言文字为中文。专用术语在使用其他语种文字应附有中文注释。</w:t>
      </w:r>
    </w:p>
    <w:p>
      <w:pPr>
        <w:tabs>
          <w:tab w:val="left" w:pos="640"/>
          <w:tab w:val="left" w:pos="1843"/>
        </w:tabs>
        <w:spacing w:before="0" w:after="0" w:afterAutospacing="0"/>
        <w:ind w:left="420" w:right="0" w:firstLine="0"/>
        <w:outlineLvl w:val="2"/>
        <w:rPr>
          <w:rFonts w:ascii="宋体" w:hAnsi="宋体"/>
          <w:color w:val="auto"/>
          <w:highlight w:val="none"/>
        </w:rPr>
      </w:pPr>
      <w:bookmarkStart w:id="229" w:name="_Toc12180"/>
      <w:bookmarkStart w:id="230" w:name="_Toc3318"/>
      <w:bookmarkStart w:id="231" w:name="_Toc370933858"/>
      <w:bookmarkStart w:id="232" w:name="_Toc378514955"/>
      <w:bookmarkStart w:id="233" w:name="_Toc23258"/>
      <w:bookmarkStart w:id="234" w:name="_Toc23249"/>
      <w:bookmarkStart w:id="235" w:name="_Toc2708"/>
      <w:bookmarkStart w:id="236" w:name="_Toc14273"/>
      <w:bookmarkStart w:id="237" w:name="_Toc16646"/>
      <w:bookmarkStart w:id="238" w:name="_Toc492478766"/>
      <w:bookmarkStart w:id="239" w:name="_Toc25750638"/>
      <w:bookmarkStart w:id="240" w:name="_Toc21641"/>
      <w:bookmarkStart w:id="241" w:name="_Toc21356"/>
      <w:bookmarkStart w:id="242" w:name="_Toc11626"/>
      <w:bookmarkStart w:id="243" w:name="_Toc21289"/>
      <w:bookmarkStart w:id="244" w:name="_Toc25311"/>
      <w:bookmarkStart w:id="245" w:name="_Toc10807"/>
      <w:bookmarkStart w:id="246" w:name="_Toc14713"/>
      <w:bookmarkStart w:id="247" w:name="_Toc19514"/>
      <w:bookmarkStart w:id="248" w:name="_Toc385427841"/>
      <w:bookmarkStart w:id="249" w:name="_Toc18548"/>
      <w:bookmarkStart w:id="250" w:name="_Toc11524"/>
      <w:bookmarkStart w:id="251" w:name="_Toc390098467"/>
      <w:bookmarkStart w:id="252" w:name="_Toc27450"/>
      <w:r>
        <w:rPr>
          <w:rFonts w:hint="eastAsia" w:ascii="宋体" w:hAnsi="宋体"/>
          <w:b/>
          <w:color w:val="auto"/>
          <w:highlight w:val="none"/>
        </w:rPr>
        <w:t>4.</w:t>
      </w:r>
      <w:r>
        <w:rPr>
          <w:rFonts w:hint="eastAsia" w:cs="宋体"/>
          <w:b/>
          <w:bCs/>
          <w:color w:val="auto"/>
          <w:highlight w:val="none"/>
        </w:rPr>
        <w:t>适用</w:t>
      </w:r>
      <w:r>
        <w:rPr>
          <w:rFonts w:hint="eastAsia" w:ascii="宋体" w:hAnsi="宋体"/>
          <w:b/>
          <w:color w:val="auto"/>
          <w:highlight w:val="none"/>
        </w:rPr>
        <w:t>法律</w:t>
      </w:r>
      <w:r>
        <w:rPr>
          <w:rFonts w:hint="eastAsia" w:cs="宋体"/>
          <w:b/>
          <w:bCs/>
          <w:color w:val="auto"/>
          <w:highlight w:val="none"/>
        </w:rPr>
        <w:t>、标准和规范</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numPr>
          <w:ilvl w:val="1"/>
          <w:numId w:val="3"/>
        </w:numPr>
        <w:tabs>
          <w:tab w:val="left" w:pos="840"/>
        </w:tabs>
        <w:spacing w:before="0" w:after="0" w:afterAutospacing="0"/>
        <w:ind w:left="0" w:right="0" w:firstLine="420" w:firstLineChars="200"/>
        <w:rPr>
          <w:rFonts w:ascii="宋体" w:hAnsi="宋体"/>
          <w:color w:val="auto"/>
          <w:highlight w:val="none"/>
        </w:rPr>
      </w:pPr>
      <w:r>
        <w:rPr>
          <w:rFonts w:hint="eastAsia"/>
          <w:color w:val="auto"/>
          <w:highlight w:val="none"/>
        </w:rPr>
        <w:t>适用于合同的法律包括国家现行法律、行政法规、部门规章，以及广西壮族自治区和南宁市的地方法规、地方政府规章。</w:t>
      </w:r>
    </w:p>
    <w:p>
      <w:pPr>
        <w:numPr>
          <w:ilvl w:val="1"/>
          <w:numId w:val="3"/>
        </w:numPr>
        <w:tabs>
          <w:tab w:val="left" w:pos="840"/>
        </w:tabs>
        <w:spacing w:before="0" w:after="0" w:afterAutospacing="0"/>
        <w:ind w:left="0" w:right="0" w:firstLine="420" w:firstLineChars="200"/>
        <w:rPr>
          <w:rFonts w:ascii="宋体" w:hAnsi="宋体"/>
          <w:color w:val="auto"/>
          <w:highlight w:val="none"/>
        </w:rPr>
      </w:pPr>
      <w:r>
        <w:rPr>
          <w:rFonts w:hint="eastAsia"/>
          <w:color w:val="auto"/>
          <w:highlight w:val="none"/>
        </w:rPr>
        <w:t>适用标准、规范。</w:t>
      </w:r>
    </w:p>
    <w:p>
      <w:pPr>
        <w:numPr>
          <w:ilvl w:val="1"/>
          <w:numId w:val="3"/>
        </w:numPr>
        <w:tabs>
          <w:tab w:val="left" w:pos="840"/>
        </w:tabs>
        <w:spacing w:before="0" w:after="0" w:afterAutospacing="0"/>
        <w:ind w:left="0" w:right="0" w:firstLine="420" w:firstLineChars="200"/>
        <w:rPr>
          <w:rFonts w:ascii="宋体" w:hAnsi="宋体"/>
          <w:color w:val="auto"/>
          <w:highlight w:val="none"/>
        </w:rPr>
      </w:pPr>
      <w:r>
        <w:rPr>
          <w:rFonts w:hint="eastAsia"/>
          <w:color w:val="auto"/>
          <w:highlight w:val="none"/>
        </w:rPr>
        <w:t>除甲方的“技术规格书”的特别要求外，标准及规范应适用国家现行标准、规范的名称；没有国家标准、规范但有行业标准、规范的，约定适用行业标准、规范的名称；没有国家和行业标准、规范的，适用广西壮族自治区或南宁市标准、规范。</w:t>
      </w:r>
    </w:p>
    <w:p>
      <w:pPr>
        <w:tabs>
          <w:tab w:val="left" w:pos="640"/>
          <w:tab w:val="left" w:pos="1843"/>
        </w:tabs>
        <w:spacing w:before="0" w:after="0" w:afterAutospacing="0"/>
        <w:ind w:left="420" w:right="0" w:firstLine="0"/>
        <w:outlineLvl w:val="2"/>
        <w:rPr>
          <w:rFonts w:ascii="宋体" w:hAnsi="宋体"/>
          <w:b/>
          <w:color w:val="auto"/>
          <w:highlight w:val="none"/>
        </w:rPr>
      </w:pPr>
      <w:bookmarkStart w:id="253" w:name="_Toc17081"/>
      <w:bookmarkStart w:id="254" w:name="_Toc378514956"/>
      <w:bookmarkStart w:id="255" w:name="_Toc18617"/>
      <w:bookmarkStart w:id="256" w:name="_Toc10995"/>
      <w:bookmarkStart w:id="257" w:name="_Toc11487"/>
      <w:bookmarkStart w:id="258" w:name="_Toc13516"/>
      <w:bookmarkStart w:id="259" w:name="_Toc492478767"/>
      <w:bookmarkStart w:id="260" w:name="_Toc3165"/>
      <w:bookmarkStart w:id="261" w:name="_Toc22040"/>
      <w:bookmarkStart w:id="262" w:name="_Toc2352"/>
      <w:bookmarkStart w:id="263" w:name="_Toc25750639"/>
      <w:bookmarkStart w:id="264" w:name="_Toc18813"/>
      <w:bookmarkStart w:id="265" w:name="_Toc14089"/>
      <w:bookmarkStart w:id="266" w:name="_Toc24783"/>
      <w:bookmarkStart w:id="267" w:name="_Toc31912"/>
      <w:bookmarkStart w:id="268" w:name="_Toc4048"/>
      <w:bookmarkStart w:id="269" w:name="_Toc19358"/>
      <w:bookmarkStart w:id="270" w:name="_Toc370933859"/>
      <w:bookmarkStart w:id="271" w:name="_Toc23539"/>
      <w:bookmarkStart w:id="272" w:name="_Toc385427842"/>
      <w:bookmarkStart w:id="273" w:name="_Toc20372"/>
      <w:bookmarkStart w:id="274" w:name="_Toc2304"/>
      <w:bookmarkStart w:id="275" w:name="_Toc390098468"/>
      <w:bookmarkStart w:id="276" w:name="_Toc27620"/>
      <w:r>
        <w:rPr>
          <w:rFonts w:hint="eastAsia" w:ascii="宋体" w:hAnsi="宋体"/>
          <w:b/>
          <w:color w:val="auto"/>
          <w:highlight w:val="none"/>
        </w:rPr>
        <w:t>5.合同文件、资料及使用</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numPr>
          <w:ilvl w:val="1"/>
          <w:numId w:val="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没有甲方事先书面同意，除了履行本合同之外，乙方不得允许他人使用条款第</w:t>
      </w:r>
      <w:r>
        <w:rPr>
          <w:rFonts w:ascii="宋体" w:hAnsi="宋体"/>
          <w:color w:val="auto"/>
          <w:highlight w:val="none"/>
        </w:rPr>
        <w:t>5.1</w:t>
      </w:r>
      <w:r>
        <w:rPr>
          <w:rFonts w:hint="eastAsia" w:ascii="宋体" w:hAnsi="宋体"/>
          <w:color w:val="auto"/>
          <w:highlight w:val="none"/>
        </w:rPr>
        <w:t>条所列举的任何文件和资料。</w:t>
      </w:r>
    </w:p>
    <w:p>
      <w:pPr>
        <w:numPr>
          <w:ilvl w:val="1"/>
          <w:numId w:val="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除了合同本身以外，条款第</w:t>
      </w:r>
      <w:r>
        <w:rPr>
          <w:rFonts w:ascii="宋体" w:hAnsi="宋体"/>
          <w:color w:val="auto"/>
          <w:highlight w:val="none"/>
        </w:rPr>
        <w:t>5.1</w:t>
      </w:r>
      <w:r>
        <w:rPr>
          <w:rFonts w:hint="eastAsia" w:ascii="宋体" w:hAnsi="宋体"/>
          <w:color w:val="auto"/>
          <w:highlight w:val="none"/>
        </w:rPr>
        <w:t>条所列举的任何文件均视为甲方的财产。如果甲方有要求，乙方在完成合同后或合同终止时应将上述文件及全部复印件还交给甲方，或按甲方需求予以销毁。</w:t>
      </w:r>
    </w:p>
    <w:p>
      <w:pPr>
        <w:numPr>
          <w:ilvl w:val="1"/>
          <w:numId w:val="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甲方项目档案管理的规定（各类项目文件资料档案的移交份数，详见南宁轨道交通集团有限责任公司有关部门立卷的规定文件）。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以及造成甲方损失的，由乙方负责。</w:t>
      </w:r>
    </w:p>
    <w:p>
      <w:pPr>
        <w:tabs>
          <w:tab w:val="left" w:pos="640"/>
          <w:tab w:val="left" w:pos="1843"/>
        </w:tabs>
        <w:spacing w:before="0" w:after="0" w:afterAutospacing="0"/>
        <w:ind w:left="420" w:right="0" w:firstLine="0"/>
        <w:outlineLvl w:val="2"/>
        <w:rPr>
          <w:rFonts w:ascii="宋体" w:hAnsi="宋体"/>
          <w:b/>
          <w:color w:val="auto"/>
          <w:highlight w:val="none"/>
        </w:rPr>
      </w:pPr>
      <w:bookmarkStart w:id="277" w:name="_Toc370933860"/>
      <w:bookmarkStart w:id="278" w:name="_Toc2340"/>
      <w:bookmarkStart w:id="279" w:name="_Toc25750640"/>
      <w:bookmarkStart w:id="280" w:name="_Toc23274"/>
      <w:bookmarkStart w:id="281" w:name="_Toc25104"/>
      <w:bookmarkStart w:id="282" w:name="_Toc17908"/>
      <w:bookmarkStart w:id="283" w:name="_Toc5930"/>
      <w:bookmarkStart w:id="284" w:name="_Toc25049"/>
      <w:bookmarkStart w:id="285" w:name="_Toc378514957"/>
      <w:bookmarkStart w:id="286" w:name="_Toc16891"/>
      <w:bookmarkStart w:id="287" w:name="_Toc4739"/>
      <w:bookmarkStart w:id="288" w:name="_Toc2096"/>
      <w:bookmarkStart w:id="289" w:name="_Toc18946"/>
      <w:bookmarkStart w:id="290" w:name="_Toc492478768"/>
      <w:bookmarkStart w:id="291" w:name="_Toc16793"/>
      <w:bookmarkStart w:id="292" w:name="_Toc17102"/>
      <w:bookmarkStart w:id="293" w:name="_Toc385427843"/>
      <w:bookmarkStart w:id="294" w:name="_Toc24189"/>
      <w:bookmarkStart w:id="295" w:name="_Toc8848"/>
      <w:bookmarkStart w:id="296" w:name="_Toc12048"/>
      <w:bookmarkStart w:id="297" w:name="_Toc23542"/>
      <w:bookmarkStart w:id="298" w:name="_Toc390098469"/>
      <w:bookmarkStart w:id="299" w:name="_Toc15801"/>
      <w:bookmarkStart w:id="300" w:name="_Toc17100"/>
      <w:r>
        <w:rPr>
          <w:rFonts w:hint="eastAsia" w:ascii="宋体" w:hAnsi="宋体"/>
          <w:b/>
          <w:color w:val="auto"/>
          <w:highlight w:val="none"/>
        </w:rPr>
        <w:t>6.知识产权</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numPr>
          <w:ilvl w:val="0"/>
          <w:numId w:val="5"/>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乙方应保证其拥有货物及服务的知识产权，并保证甲方在中华人民共和国使用货物及服务或其任何一部分时，免受第三方提出侵犯其任何专利</w:t>
      </w:r>
      <w:r>
        <w:rPr>
          <w:rFonts w:hint="eastAsia" w:ascii="宋体" w:hAnsi="宋体" w:cs="Arial"/>
          <w:color w:val="auto"/>
          <w:highlight w:val="none"/>
        </w:rPr>
        <w:t>权、著作权、注册商标专有使用权、计算机软件登记或反不正当竞争的起诉及索赔。</w:t>
      </w:r>
      <w:r>
        <w:rPr>
          <w:rFonts w:hint="eastAsia" w:ascii="宋体" w:hAnsi="宋体"/>
          <w:color w:val="auto"/>
          <w:highlight w:val="none"/>
        </w:rPr>
        <w:t>否则，由此而引起的所有责任及费用由乙方承担。</w:t>
      </w:r>
    </w:p>
    <w:p>
      <w:pPr>
        <w:numPr>
          <w:ilvl w:val="0"/>
          <w:numId w:val="5"/>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甲方不对乙方提供的货物的及服务的专利</w:t>
      </w:r>
      <w:r>
        <w:rPr>
          <w:rFonts w:hint="eastAsia" w:ascii="宋体" w:hAnsi="宋体" w:cs="Arial"/>
          <w:color w:val="auto"/>
          <w:highlight w:val="none"/>
        </w:rPr>
        <w:t>权、著作权、注册商标专有使用权、计算机软件登记等是否侵犯第三方权利负责，如因乙方提供货物及服务引发争议或违法导致甲方受损的，乙方应赔偿因此对甲方造成的一切损失。</w:t>
      </w:r>
    </w:p>
    <w:p>
      <w:pPr>
        <w:numPr>
          <w:ilvl w:val="0"/>
          <w:numId w:val="5"/>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非乙方所有知识产权的货物及服务，乙方有义务提供给甲方正规渠道证明。甲方永久享有乙方为本合同项下提供的产品、软件、技术资料的使用权，并无需交纳任何形式的使用费（如有此类费用的话）。</w:t>
      </w:r>
    </w:p>
    <w:p>
      <w:pPr>
        <w:numPr>
          <w:ilvl w:val="0"/>
          <w:numId w:val="5"/>
        </w:numPr>
        <w:tabs>
          <w:tab w:val="left" w:pos="840"/>
          <w:tab w:val="clear" w:pos="1134"/>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因</w:t>
      </w:r>
      <w:r>
        <w:rPr>
          <w:rFonts w:hint="eastAsia" w:ascii="宋体" w:hAnsi="宋体"/>
          <w:color w:val="auto"/>
          <w:highlight w:val="none"/>
          <w:lang w:eastAsia="zh-CN"/>
        </w:rPr>
        <w:t>乙方</w:t>
      </w:r>
      <w:r>
        <w:rPr>
          <w:rFonts w:hint="eastAsia" w:ascii="宋体" w:hAnsi="宋体"/>
          <w:color w:val="auto"/>
          <w:highlight w:val="none"/>
        </w:rPr>
        <w:t>为实施本合同而向</w:t>
      </w:r>
      <w:r>
        <w:rPr>
          <w:rFonts w:hint="eastAsia" w:ascii="宋体" w:hAnsi="宋体"/>
          <w:color w:val="auto"/>
          <w:highlight w:val="none"/>
          <w:lang w:eastAsia="zh-CN"/>
        </w:rPr>
        <w:t>甲方</w:t>
      </w:r>
      <w:r>
        <w:rPr>
          <w:rFonts w:hint="eastAsia" w:ascii="宋体" w:hAnsi="宋体"/>
          <w:color w:val="auto"/>
          <w:highlight w:val="none"/>
        </w:rPr>
        <w:t>提供的任何产品、资料、物件及服务引起的知识产权纠纷，由</w:t>
      </w:r>
      <w:r>
        <w:rPr>
          <w:rFonts w:hint="eastAsia" w:ascii="宋体" w:hAnsi="宋体"/>
          <w:color w:val="auto"/>
          <w:highlight w:val="none"/>
          <w:lang w:eastAsia="zh-CN"/>
        </w:rPr>
        <w:t>乙方</w:t>
      </w:r>
      <w:r>
        <w:rPr>
          <w:rFonts w:hint="eastAsia" w:ascii="宋体" w:hAnsi="宋体"/>
          <w:color w:val="auto"/>
          <w:highlight w:val="none"/>
        </w:rPr>
        <w:t>承担由此引起的一切法律和经济上的责任。</w:t>
      </w:r>
    </w:p>
    <w:p>
      <w:pPr>
        <w:numPr>
          <w:ilvl w:val="0"/>
          <w:numId w:val="5"/>
        </w:numPr>
        <w:tabs>
          <w:tab w:val="left" w:pos="840"/>
          <w:tab w:val="clear" w:pos="1134"/>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保证依据本合同所提供的任何产品、资料、物件及服务均不构成对第三方合法权益的侵犯，包括但不限于知识产权。即</w:t>
      </w:r>
      <w:r>
        <w:rPr>
          <w:rFonts w:hint="eastAsia" w:ascii="宋体" w:hAnsi="宋体"/>
          <w:color w:val="auto"/>
          <w:highlight w:val="none"/>
          <w:lang w:eastAsia="zh-CN"/>
        </w:rPr>
        <w:t>甲方</w:t>
      </w:r>
      <w:r>
        <w:rPr>
          <w:rFonts w:hint="eastAsia" w:ascii="宋体" w:hAnsi="宋体"/>
          <w:color w:val="auto"/>
          <w:highlight w:val="none"/>
        </w:rPr>
        <w:t>在中国使用</w:t>
      </w:r>
      <w:r>
        <w:rPr>
          <w:rFonts w:hint="eastAsia" w:ascii="宋体" w:hAnsi="宋体"/>
          <w:color w:val="auto"/>
          <w:highlight w:val="none"/>
          <w:lang w:eastAsia="zh-CN"/>
        </w:rPr>
        <w:t>乙方</w:t>
      </w:r>
      <w:r>
        <w:rPr>
          <w:rFonts w:hint="eastAsia" w:ascii="宋体" w:hAnsi="宋体"/>
          <w:color w:val="auto"/>
          <w:highlight w:val="none"/>
        </w:rPr>
        <w:t>提供的产品、产品的任何一部分，资料或服务时，免受第三方提出的侵犯其专利权、商标权、工业设计权和其他知识产权的起诉。</w:t>
      </w:r>
    </w:p>
    <w:p>
      <w:pPr>
        <w:numPr>
          <w:ilvl w:val="0"/>
          <w:numId w:val="5"/>
        </w:numPr>
        <w:tabs>
          <w:tab w:val="left" w:pos="840"/>
          <w:tab w:val="clear" w:pos="1134"/>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为实施本合同及其缺陷修补，需使用第三人专利，专有技术、技术秘密、商业秘密、著作权、商标权等知识产权的，在签订合同时，应向</w:t>
      </w:r>
      <w:r>
        <w:rPr>
          <w:rFonts w:hint="eastAsia" w:ascii="宋体" w:hAnsi="宋体"/>
          <w:color w:val="auto"/>
          <w:highlight w:val="none"/>
          <w:lang w:eastAsia="zh-CN"/>
        </w:rPr>
        <w:t>甲方</w:t>
      </w:r>
      <w:r>
        <w:rPr>
          <w:rFonts w:hint="eastAsia" w:ascii="宋体" w:hAnsi="宋体"/>
          <w:color w:val="auto"/>
          <w:highlight w:val="none"/>
        </w:rPr>
        <w:t>说明知识产权的权利人，名称等权利状况，相应知识产权使用费由</w:t>
      </w:r>
      <w:r>
        <w:rPr>
          <w:rFonts w:hint="eastAsia" w:ascii="宋体" w:hAnsi="宋体"/>
          <w:color w:val="auto"/>
          <w:highlight w:val="none"/>
          <w:lang w:eastAsia="zh-CN"/>
        </w:rPr>
        <w:t>乙方</w:t>
      </w:r>
      <w:r>
        <w:rPr>
          <w:rFonts w:hint="eastAsia" w:ascii="宋体" w:hAnsi="宋体"/>
          <w:color w:val="auto"/>
          <w:highlight w:val="none"/>
        </w:rPr>
        <w:t>负责支付。</w:t>
      </w:r>
    </w:p>
    <w:p>
      <w:pPr>
        <w:numPr>
          <w:ilvl w:val="0"/>
          <w:numId w:val="5"/>
        </w:numPr>
        <w:tabs>
          <w:tab w:val="left" w:pos="840"/>
          <w:tab w:val="clear" w:pos="1134"/>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在</w:t>
      </w:r>
      <w:r>
        <w:rPr>
          <w:rFonts w:hint="eastAsia" w:ascii="宋体" w:hAnsi="宋体"/>
          <w:color w:val="auto"/>
          <w:highlight w:val="none"/>
          <w:lang w:eastAsia="zh-CN"/>
        </w:rPr>
        <w:t>乙方</w:t>
      </w:r>
      <w:r>
        <w:rPr>
          <w:rFonts w:hint="eastAsia" w:ascii="宋体" w:hAnsi="宋体"/>
          <w:color w:val="auto"/>
          <w:highlight w:val="none"/>
        </w:rPr>
        <w:t>履行合同过程中，需增加使用第三人专利、专有技术、技术秘密、商业秘密、著作权、商标权等知识产权的，</w:t>
      </w:r>
      <w:r>
        <w:rPr>
          <w:rFonts w:hint="eastAsia" w:ascii="宋体" w:hAnsi="宋体"/>
          <w:color w:val="auto"/>
          <w:highlight w:val="none"/>
          <w:lang w:eastAsia="zh-CN"/>
        </w:rPr>
        <w:t>乙方</w:t>
      </w:r>
      <w:r>
        <w:rPr>
          <w:rFonts w:hint="eastAsia" w:ascii="宋体" w:hAnsi="宋体"/>
          <w:color w:val="auto"/>
          <w:highlight w:val="none"/>
        </w:rPr>
        <w:t>应取得</w:t>
      </w:r>
      <w:r>
        <w:rPr>
          <w:rFonts w:hint="eastAsia" w:ascii="宋体" w:hAnsi="宋体"/>
          <w:color w:val="auto"/>
          <w:highlight w:val="none"/>
          <w:lang w:eastAsia="zh-CN"/>
        </w:rPr>
        <w:t>甲方</w:t>
      </w:r>
      <w:r>
        <w:rPr>
          <w:rFonts w:hint="eastAsia" w:ascii="宋体" w:hAnsi="宋体"/>
          <w:color w:val="auto"/>
          <w:highlight w:val="none"/>
        </w:rPr>
        <w:t>同意，所使用的知识产权应支付的费用由</w:t>
      </w:r>
      <w:r>
        <w:rPr>
          <w:rFonts w:hint="eastAsia" w:ascii="宋体" w:hAnsi="宋体"/>
          <w:color w:val="auto"/>
          <w:highlight w:val="none"/>
          <w:lang w:eastAsia="zh-CN"/>
        </w:rPr>
        <w:t>乙方</w:t>
      </w:r>
      <w:r>
        <w:rPr>
          <w:rFonts w:hint="eastAsia" w:ascii="宋体" w:hAnsi="宋体"/>
          <w:color w:val="auto"/>
          <w:highlight w:val="none"/>
        </w:rPr>
        <w:t>承担。</w:t>
      </w:r>
    </w:p>
    <w:p>
      <w:pPr>
        <w:numPr>
          <w:ilvl w:val="0"/>
          <w:numId w:val="5"/>
        </w:numPr>
        <w:tabs>
          <w:tab w:val="left" w:pos="840"/>
          <w:tab w:val="clear" w:pos="1134"/>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因</w:t>
      </w:r>
      <w:r>
        <w:rPr>
          <w:rFonts w:hint="eastAsia" w:ascii="宋体" w:hAnsi="宋体"/>
          <w:color w:val="auto"/>
          <w:highlight w:val="none"/>
          <w:lang w:eastAsia="zh-CN"/>
        </w:rPr>
        <w:t>乙方</w:t>
      </w:r>
      <w:r>
        <w:rPr>
          <w:rFonts w:hint="eastAsia" w:ascii="宋体" w:hAnsi="宋体"/>
          <w:color w:val="auto"/>
          <w:highlight w:val="none"/>
        </w:rPr>
        <w:t>提供的任何产品、资料、物件及服务引起的知识产权纠纷，由</w:t>
      </w:r>
      <w:r>
        <w:rPr>
          <w:rFonts w:hint="eastAsia" w:ascii="宋体" w:hAnsi="宋体"/>
          <w:color w:val="auto"/>
          <w:highlight w:val="none"/>
          <w:lang w:eastAsia="zh-CN"/>
        </w:rPr>
        <w:t>乙方</w:t>
      </w:r>
      <w:r>
        <w:rPr>
          <w:rFonts w:hint="eastAsia" w:ascii="宋体" w:hAnsi="宋体"/>
          <w:color w:val="auto"/>
          <w:highlight w:val="none"/>
        </w:rPr>
        <w:t>负责与第三人交涉、参加诉讼、进行辩护，并承担由此引起的一切法律和经济上的责任。上述纠纷包括但不限于因</w:t>
      </w:r>
      <w:r>
        <w:rPr>
          <w:rFonts w:hint="eastAsia" w:ascii="宋体" w:hAnsi="宋体"/>
          <w:color w:val="auto"/>
          <w:highlight w:val="none"/>
          <w:lang w:eastAsia="zh-CN"/>
        </w:rPr>
        <w:t>乙方</w:t>
      </w:r>
      <w:r>
        <w:rPr>
          <w:rFonts w:hint="eastAsia" w:ascii="宋体" w:hAnsi="宋体"/>
          <w:color w:val="auto"/>
          <w:highlight w:val="none"/>
        </w:rPr>
        <w:t>拥有或者有权许可的知识产权存在瑕疵导致产品瑕疵引起的索赔、诉讼或损失，因上述知识产权未在中国申请知识产权保护或海关备案而引起的侵权纠纷。</w:t>
      </w:r>
    </w:p>
    <w:p>
      <w:pPr>
        <w:numPr>
          <w:ilvl w:val="0"/>
          <w:numId w:val="5"/>
        </w:numPr>
        <w:tabs>
          <w:tab w:val="left" w:pos="840"/>
          <w:tab w:val="clear" w:pos="1134"/>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如</w:t>
      </w:r>
      <w:r>
        <w:rPr>
          <w:rFonts w:hint="eastAsia" w:ascii="宋体" w:hAnsi="宋体"/>
          <w:color w:val="auto"/>
          <w:highlight w:val="none"/>
          <w:lang w:eastAsia="zh-CN"/>
        </w:rPr>
        <w:t>乙方</w:t>
      </w:r>
      <w:r>
        <w:rPr>
          <w:rFonts w:hint="eastAsia" w:ascii="宋体" w:hAnsi="宋体"/>
          <w:color w:val="auto"/>
          <w:highlight w:val="none"/>
        </w:rPr>
        <w:t>拒绝或怠于履行上述义务的，</w:t>
      </w:r>
      <w:r>
        <w:rPr>
          <w:rFonts w:hint="eastAsia" w:ascii="宋体" w:hAnsi="宋体"/>
          <w:color w:val="auto"/>
          <w:highlight w:val="none"/>
          <w:lang w:eastAsia="zh-CN"/>
        </w:rPr>
        <w:t>甲方</w:t>
      </w:r>
      <w:r>
        <w:rPr>
          <w:rFonts w:hint="eastAsia" w:ascii="宋体" w:hAnsi="宋体"/>
          <w:color w:val="auto"/>
          <w:highlight w:val="none"/>
        </w:rPr>
        <w:t>有权解除合同。</w:t>
      </w:r>
      <w:r>
        <w:rPr>
          <w:rFonts w:hint="eastAsia" w:ascii="宋体" w:hAnsi="宋体"/>
          <w:color w:val="auto"/>
          <w:highlight w:val="none"/>
          <w:lang w:eastAsia="zh-CN"/>
        </w:rPr>
        <w:t>甲方</w:t>
      </w:r>
      <w:r>
        <w:rPr>
          <w:rFonts w:hint="eastAsia" w:ascii="宋体" w:hAnsi="宋体"/>
          <w:color w:val="auto"/>
          <w:highlight w:val="none"/>
        </w:rPr>
        <w:t>被第三方起诉或以其它方式追究责任，</w:t>
      </w:r>
      <w:r>
        <w:rPr>
          <w:rFonts w:hint="eastAsia" w:ascii="宋体" w:hAnsi="宋体"/>
          <w:color w:val="auto"/>
          <w:highlight w:val="none"/>
          <w:lang w:eastAsia="zh-CN"/>
        </w:rPr>
        <w:t>乙方</w:t>
      </w:r>
      <w:r>
        <w:rPr>
          <w:rFonts w:hint="eastAsia" w:ascii="宋体" w:hAnsi="宋体"/>
          <w:color w:val="auto"/>
          <w:highlight w:val="none"/>
        </w:rPr>
        <w:t>应赔偿因</w:t>
      </w:r>
      <w:r>
        <w:rPr>
          <w:rFonts w:hint="eastAsia" w:ascii="宋体" w:hAnsi="宋体"/>
          <w:color w:val="auto"/>
          <w:highlight w:val="none"/>
          <w:lang w:eastAsia="zh-CN"/>
        </w:rPr>
        <w:t>甲方</w:t>
      </w:r>
      <w:r>
        <w:rPr>
          <w:rFonts w:hint="eastAsia" w:ascii="宋体" w:hAnsi="宋体"/>
          <w:color w:val="auto"/>
          <w:highlight w:val="none"/>
        </w:rPr>
        <w:t>被第三方索赔所引起的一切损失，包括但不限于</w:t>
      </w:r>
      <w:r>
        <w:rPr>
          <w:rFonts w:hint="eastAsia" w:ascii="宋体" w:hAnsi="宋体"/>
          <w:color w:val="auto"/>
          <w:highlight w:val="none"/>
          <w:lang w:eastAsia="zh-CN"/>
        </w:rPr>
        <w:t>甲方</w:t>
      </w:r>
      <w:r>
        <w:rPr>
          <w:rFonts w:hint="eastAsia" w:ascii="宋体" w:hAnsi="宋体"/>
          <w:color w:val="auto"/>
          <w:highlight w:val="none"/>
        </w:rPr>
        <w:t>所支付的侵权损害赔偿费、律师费、诉讼费、仲裁费、办案差旅费等因应诉、沟通协调所发的一切费用。</w:t>
      </w:r>
    </w:p>
    <w:p>
      <w:pPr>
        <w:numPr>
          <w:ilvl w:val="0"/>
          <w:numId w:val="5"/>
        </w:numPr>
        <w:tabs>
          <w:tab w:val="left" w:pos="840"/>
          <w:tab w:val="clear" w:pos="1134"/>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对</w:t>
      </w:r>
      <w:r>
        <w:rPr>
          <w:rFonts w:hint="eastAsia" w:ascii="宋体" w:hAnsi="宋体"/>
          <w:color w:val="auto"/>
          <w:highlight w:val="none"/>
          <w:lang w:eastAsia="zh-CN"/>
        </w:rPr>
        <w:t>甲方</w:t>
      </w:r>
      <w:r>
        <w:rPr>
          <w:rFonts w:hint="eastAsia" w:ascii="宋体" w:hAnsi="宋体"/>
          <w:color w:val="auto"/>
          <w:highlight w:val="none"/>
        </w:rPr>
        <w:t>提供的一切资料，以及项目执行生成的各种记录、会议纪要、现场影像资料等做好保密，未经</w:t>
      </w:r>
      <w:r>
        <w:rPr>
          <w:rFonts w:hint="eastAsia" w:ascii="宋体" w:hAnsi="宋体"/>
          <w:color w:val="auto"/>
          <w:highlight w:val="none"/>
          <w:lang w:eastAsia="zh-CN"/>
        </w:rPr>
        <w:t>甲方</w:t>
      </w:r>
      <w:r>
        <w:rPr>
          <w:rFonts w:hint="eastAsia" w:ascii="宋体" w:hAnsi="宋体"/>
          <w:color w:val="auto"/>
          <w:highlight w:val="none"/>
        </w:rPr>
        <w:t>授权不得外传。</w:t>
      </w:r>
    </w:p>
    <w:p>
      <w:pPr>
        <w:numPr>
          <w:ilvl w:val="0"/>
          <w:numId w:val="5"/>
        </w:numPr>
        <w:tabs>
          <w:tab w:val="left" w:pos="840"/>
          <w:tab w:val="clear" w:pos="1134"/>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未经</w:t>
      </w:r>
      <w:r>
        <w:rPr>
          <w:rFonts w:hint="eastAsia" w:ascii="宋体" w:hAnsi="宋体"/>
          <w:color w:val="auto"/>
          <w:highlight w:val="none"/>
          <w:lang w:eastAsia="zh-CN"/>
        </w:rPr>
        <w:t>甲方</w:t>
      </w:r>
      <w:r>
        <w:rPr>
          <w:rFonts w:hint="eastAsia" w:ascii="宋体" w:hAnsi="宋体"/>
          <w:color w:val="auto"/>
          <w:highlight w:val="none"/>
        </w:rPr>
        <w:t>允许不得在网络、论坛、博客、微博、微信等媒体传播有关的照片、视频等影像资料，所造成的损失由</w:t>
      </w:r>
      <w:r>
        <w:rPr>
          <w:rFonts w:hint="eastAsia" w:ascii="宋体" w:hAnsi="宋体"/>
          <w:color w:val="auto"/>
          <w:highlight w:val="none"/>
          <w:lang w:eastAsia="zh-CN"/>
        </w:rPr>
        <w:t>乙方</w:t>
      </w:r>
      <w:r>
        <w:rPr>
          <w:rFonts w:hint="eastAsia" w:ascii="宋体" w:hAnsi="宋体"/>
          <w:color w:val="auto"/>
          <w:highlight w:val="none"/>
        </w:rPr>
        <w:t>承担。</w:t>
      </w:r>
    </w:p>
    <w:p>
      <w:pPr>
        <w:numPr>
          <w:ilvl w:val="0"/>
          <w:numId w:val="5"/>
        </w:numPr>
        <w:tabs>
          <w:tab w:val="left" w:pos="840"/>
          <w:tab w:val="clear" w:pos="1134"/>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为本项目各系统开发、定义的相关协议、接口标准、应用软件，其知识产权归</w:t>
      </w:r>
      <w:r>
        <w:rPr>
          <w:rFonts w:hint="eastAsia" w:ascii="宋体" w:hAnsi="宋体"/>
          <w:color w:val="auto"/>
          <w:highlight w:val="none"/>
          <w:lang w:eastAsia="zh-CN"/>
        </w:rPr>
        <w:t>甲方</w:t>
      </w:r>
      <w:r>
        <w:rPr>
          <w:rFonts w:hint="eastAsia" w:ascii="宋体" w:hAnsi="宋体"/>
          <w:color w:val="auto"/>
          <w:highlight w:val="none"/>
        </w:rPr>
        <w:t>所有，</w:t>
      </w:r>
      <w:r>
        <w:rPr>
          <w:rFonts w:hint="eastAsia" w:ascii="宋体" w:hAnsi="宋体"/>
          <w:color w:val="auto"/>
          <w:highlight w:val="none"/>
          <w:lang w:eastAsia="zh-CN"/>
        </w:rPr>
        <w:t>乙方</w:t>
      </w:r>
      <w:r>
        <w:rPr>
          <w:rFonts w:hint="eastAsia" w:ascii="宋体" w:hAnsi="宋体"/>
          <w:color w:val="auto"/>
          <w:highlight w:val="none"/>
        </w:rPr>
        <w:t>应无偿地向</w:t>
      </w:r>
      <w:r>
        <w:rPr>
          <w:rFonts w:hint="eastAsia" w:ascii="宋体" w:hAnsi="宋体"/>
          <w:color w:val="auto"/>
          <w:highlight w:val="none"/>
          <w:lang w:eastAsia="zh-CN"/>
        </w:rPr>
        <w:t>甲方</w:t>
      </w:r>
      <w:r>
        <w:rPr>
          <w:rFonts w:hint="eastAsia" w:ascii="宋体" w:hAnsi="宋体"/>
          <w:color w:val="auto"/>
          <w:highlight w:val="none"/>
        </w:rPr>
        <w:t>提供应用软件、工程文件，并开放相关协议、接口标准等。</w:t>
      </w:r>
    </w:p>
    <w:p>
      <w:pPr>
        <w:tabs>
          <w:tab w:val="left" w:pos="640"/>
          <w:tab w:val="left" w:pos="1843"/>
        </w:tabs>
        <w:spacing w:before="0" w:after="0" w:afterAutospacing="0"/>
        <w:ind w:left="420" w:right="0" w:firstLine="0"/>
        <w:outlineLvl w:val="2"/>
        <w:rPr>
          <w:rFonts w:hint="eastAsia" w:ascii="宋体" w:hAnsi="宋体" w:eastAsia="宋体"/>
          <w:b/>
          <w:color w:val="auto"/>
          <w:highlight w:val="none"/>
          <w:lang w:val="en-US" w:eastAsia="zh-CN"/>
        </w:rPr>
      </w:pPr>
      <w:bookmarkStart w:id="301" w:name="_Toc7460"/>
      <w:bookmarkStart w:id="302" w:name="_Toc21755"/>
      <w:bookmarkStart w:id="303" w:name="_Toc21848"/>
      <w:bookmarkStart w:id="304" w:name="_Toc29127"/>
      <w:bookmarkStart w:id="305" w:name="_Toc17489"/>
      <w:bookmarkStart w:id="306" w:name="_Toc25327"/>
      <w:bookmarkStart w:id="307" w:name="_Toc29337"/>
      <w:bookmarkStart w:id="308" w:name="_Toc25750641"/>
      <w:bookmarkStart w:id="309" w:name="_Toc6777"/>
      <w:bookmarkStart w:id="310" w:name="_Toc378514958"/>
      <w:bookmarkStart w:id="311" w:name="_Toc24887"/>
      <w:bookmarkStart w:id="312" w:name="_Toc385427844"/>
      <w:bookmarkStart w:id="313" w:name="_Toc7187"/>
      <w:bookmarkStart w:id="314" w:name="_Toc17901"/>
      <w:bookmarkStart w:id="315" w:name="_Toc7907"/>
      <w:bookmarkStart w:id="316" w:name="_Toc2076"/>
      <w:bookmarkStart w:id="317" w:name="_Toc11516"/>
      <w:bookmarkStart w:id="318" w:name="_Toc370933861"/>
      <w:bookmarkStart w:id="319" w:name="_Toc828"/>
      <w:bookmarkStart w:id="320" w:name="_Toc390098470"/>
      <w:bookmarkStart w:id="321" w:name="_Toc25888"/>
      <w:bookmarkStart w:id="322" w:name="_Toc492478769"/>
      <w:bookmarkStart w:id="323" w:name="_Toc20551"/>
      <w:bookmarkStart w:id="324" w:name="_Toc1869"/>
      <w:r>
        <w:rPr>
          <w:rFonts w:hint="eastAsia" w:ascii="宋体" w:hAnsi="宋体"/>
          <w:b/>
          <w:color w:val="auto"/>
          <w:highlight w:val="none"/>
        </w:rPr>
        <w:t>7.履约</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Fonts w:hint="eastAsia" w:ascii="宋体" w:hAnsi="宋体"/>
          <w:b/>
          <w:color w:val="auto"/>
          <w:highlight w:val="none"/>
          <w:lang w:val="en-US" w:eastAsia="zh-CN"/>
        </w:rPr>
        <w:t>保证金</w:t>
      </w:r>
    </w:p>
    <w:p>
      <w:pPr>
        <w:tabs>
          <w:tab w:val="left" w:pos="1134"/>
          <w:tab w:val="left" w:pos="8364"/>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lang w:val="en-US" w:eastAsia="zh-CN"/>
        </w:rPr>
        <w:t>7</w:t>
      </w:r>
      <w:r>
        <w:rPr>
          <w:rFonts w:hint="eastAsia" w:ascii="宋体" w:hAnsi="宋体"/>
          <w:color w:val="auto"/>
          <w:highlight w:val="none"/>
        </w:rPr>
        <w:t>.1在合同签订前，乙方应向甲方提供履约保证金，履约保证金的金额为中标价格的5%，币种应为人民币。</w:t>
      </w:r>
    </w:p>
    <w:p>
      <w:pPr>
        <w:tabs>
          <w:tab w:val="left" w:pos="1134"/>
          <w:tab w:val="left" w:pos="8364"/>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lang w:val="en-US" w:eastAsia="zh-CN"/>
        </w:rPr>
        <w:t>7</w:t>
      </w:r>
      <w:r>
        <w:rPr>
          <w:rFonts w:hint="eastAsia" w:ascii="宋体" w:hAnsi="宋体"/>
          <w:color w:val="auto"/>
          <w:highlight w:val="none"/>
        </w:rPr>
        <w:t>.2履约保证金可以采用转账或电汇或银行保函的形式。乙方采用电汇或转账的形式，应从基本账户中递交至甲方指定账户；采用履约保函的形式，应使用合同规定格式，其开具银行应为中国境内商业银行地市级以上支行（含地市级支行），并须是以甲方为受益人，见索即付无条件付款的、不可撤销的银行保函。</w:t>
      </w:r>
    </w:p>
    <w:p>
      <w:pPr>
        <w:tabs>
          <w:tab w:val="left" w:pos="1134"/>
          <w:tab w:val="left" w:pos="8364"/>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lang w:val="en-US" w:eastAsia="zh-CN"/>
        </w:rPr>
        <w:t>7</w:t>
      </w:r>
      <w:r>
        <w:rPr>
          <w:rFonts w:hint="eastAsia" w:ascii="宋体" w:hAnsi="宋体"/>
          <w:color w:val="auto"/>
          <w:highlight w:val="none"/>
        </w:rPr>
        <w:t>.3履约保证金应从生效之日起至全部货物验收合格之日后四十五（45）天一直有效。如本项目实际全部货物验收合格日期超出该履约保证金写明的日期，则乙方应相应延长履约保证金的日期，当出现逾期验收而未及时办理保函续期手续时，甲方有权暂停剩余费用的支付，并收取合同总价万分之五的违约金。</w:t>
      </w:r>
    </w:p>
    <w:p>
      <w:pPr>
        <w:tabs>
          <w:tab w:val="left" w:pos="1134"/>
          <w:tab w:val="left" w:pos="8364"/>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lang w:val="en-US" w:eastAsia="zh-CN"/>
        </w:rPr>
        <w:t>7</w:t>
      </w:r>
      <w:r>
        <w:rPr>
          <w:rFonts w:hint="eastAsia" w:ascii="宋体" w:hAnsi="宋体"/>
          <w:color w:val="auto"/>
          <w:highlight w:val="none"/>
        </w:rPr>
        <w:t>.4乙方提交履约保证金所产生的费用由乙方承担。</w:t>
      </w:r>
    </w:p>
    <w:p>
      <w:pPr>
        <w:tabs>
          <w:tab w:val="left" w:pos="1134"/>
          <w:tab w:val="left" w:pos="8364"/>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lang w:val="en-US" w:eastAsia="zh-CN"/>
        </w:rPr>
        <w:t>7</w:t>
      </w:r>
      <w:r>
        <w:rPr>
          <w:rFonts w:hint="eastAsia" w:ascii="宋体" w:hAnsi="宋体"/>
          <w:color w:val="auto"/>
          <w:highlight w:val="none"/>
        </w:rPr>
        <w:t>.5如果在交货期内乙方不能履行其在合同项下的义务，则乙方应承担相应的违约责任，同时甲方有权用履约保证金的资金补偿其任何损失或有权通过银行保函追索，但其剩余的履约保证金仍应满足中标价格5%，乙方应在期限内及时补足担保金额，每逾期一天，按照应补未补部分的万分之五向甲方支付违约金，甲方有权在货款中扣减。</w:t>
      </w:r>
    </w:p>
    <w:p>
      <w:pPr>
        <w:tabs>
          <w:tab w:val="left" w:pos="1134"/>
          <w:tab w:val="left" w:pos="8364"/>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lang w:val="en-US" w:eastAsia="zh-CN"/>
        </w:rPr>
        <w:t>7</w:t>
      </w:r>
      <w:r>
        <w:rPr>
          <w:rFonts w:hint="eastAsia" w:ascii="宋体" w:hAnsi="宋体"/>
          <w:color w:val="auto"/>
          <w:highlight w:val="none"/>
        </w:rPr>
        <w:t>.6履约保证金在本合同全部货物验收合格之日起四十五（45）天后，根据履约期间甲方的索赔情况，将剩余履约保证金款项无息退还乙方。</w:t>
      </w:r>
    </w:p>
    <w:p>
      <w:pPr>
        <w:tabs>
          <w:tab w:val="left" w:pos="1134"/>
          <w:tab w:val="left" w:pos="8364"/>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lang w:val="en-US" w:eastAsia="zh-CN"/>
        </w:rPr>
        <w:t>7</w:t>
      </w:r>
      <w:r>
        <w:rPr>
          <w:rFonts w:hint="eastAsia" w:ascii="宋体" w:hAnsi="宋体"/>
          <w:color w:val="auto"/>
          <w:highlight w:val="none"/>
        </w:rPr>
        <w:t>.7若发生以下行为，甲方将不退还履约保证金：</w:t>
      </w:r>
    </w:p>
    <w:p>
      <w:pPr>
        <w:tabs>
          <w:tab w:val="left" w:pos="1134"/>
          <w:tab w:val="left" w:pos="8364"/>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lang w:val="en-US" w:eastAsia="zh-CN"/>
        </w:rPr>
        <w:t>7</w:t>
      </w:r>
      <w:r>
        <w:rPr>
          <w:rFonts w:hint="eastAsia" w:ascii="宋体" w:hAnsi="宋体"/>
          <w:color w:val="auto"/>
          <w:highlight w:val="none"/>
        </w:rPr>
        <w:t>.7.1在合同履行期间，乙方明确表示或者以自己的行为表明不履行主要义务的；</w:t>
      </w:r>
    </w:p>
    <w:p>
      <w:pPr>
        <w:tabs>
          <w:tab w:val="left" w:pos="1134"/>
          <w:tab w:val="left" w:pos="8364"/>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lang w:val="en-US" w:eastAsia="zh-CN"/>
        </w:rPr>
        <w:t>7</w:t>
      </w:r>
      <w:r>
        <w:rPr>
          <w:rFonts w:hint="eastAsia" w:ascii="宋体" w:hAnsi="宋体"/>
          <w:color w:val="auto"/>
          <w:highlight w:val="none"/>
        </w:rPr>
        <w:t>.7.2乙方迟延履行主要义务，经催告后在合理期限内仍未履行的；</w:t>
      </w:r>
    </w:p>
    <w:p>
      <w:pPr>
        <w:tabs>
          <w:tab w:val="left" w:pos="1134"/>
          <w:tab w:val="left" w:pos="8364"/>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lang w:val="en-US" w:eastAsia="zh-CN"/>
        </w:rPr>
        <w:t>7</w:t>
      </w:r>
      <w:r>
        <w:rPr>
          <w:rFonts w:hint="eastAsia" w:ascii="宋体" w:hAnsi="宋体"/>
          <w:color w:val="auto"/>
          <w:highlight w:val="none"/>
        </w:rPr>
        <w:t>.7.3乙方履行的义务不符合合同约定，经甲方催告后未在合理期限内整改完毕的；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val="en-US" w:eastAsia="zh-CN"/>
        </w:rPr>
        <w:t>7</w:t>
      </w:r>
      <w:r>
        <w:rPr>
          <w:rFonts w:hint="eastAsia" w:ascii="宋体" w:hAnsi="宋体"/>
          <w:color w:val="auto"/>
          <w:highlight w:val="none"/>
        </w:rPr>
        <w:t>.7.4乙方其他违约行为导致合同解除或终止的。</w:t>
      </w:r>
    </w:p>
    <w:p>
      <w:pPr>
        <w:tabs>
          <w:tab w:val="left" w:pos="640"/>
          <w:tab w:val="left" w:pos="1843"/>
        </w:tabs>
        <w:spacing w:before="0" w:after="0" w:afterAutospacing="0"/>
        <w:ind w:left="420" w:right="0" w:firstLine="0"/>
        <w:outlineLvl w:val="2"/>
        <w:rPr>
          <w:rFonts w:ascii="宋体" w:hAnsi="宋体"/>
          <w:b/>
          <w:color w:val="auto"/>
          <w:highlight w:val="none"/>
        </w:rPr>
      </w:pPr>
      <w:bookmarkStart w:id="325" w:name="_Toc27798"/>
      <w:bookmarkStart w:id="326" w:name="_Toc2957"/>
      <w:bookmarkStart w:id="327" w:name="_Toc13281"/>
      <w:bookmarkStart w:id="328" w:name="_Toc28757"/>
      <w:bookmarkStart w:id="329" w:name="_Toc16641"/>
      <w:bookmarkStart w:id="330" w:name="_Toc18890"/>
      <w:bookmarkStart w:id="331" w:name="_Toc4697"/>
      <w:bookmarkStart w:id="332" w:name="_Toc22179"/>
      <w:bookmarkStart w:id="333" w:name="_Toc12729"/>
      <w:bookmarkStart w:id="334" w:name="_Toc24274"/>
      <w:bookmarkStart w:id="335" w:name="_Toc18054"/>
      <w:bookmarkStart w:id="336" w:name="_Toc385427855"/>
      <w:bookmarkStart w:id="337" w:name="_Toc25750650"/>
      <w:bookmarkStart w:id="338" w:name="_Toc9852"/>
      <w:bookmarkStart w:id="339" w:name="_Toc492478779"/>
      <w:bookmarkStart w:id="340" w:name="_Toc19387"/>
      <w:bookmarkStart w:id="341" w:name="_Toc26222"/>
      <w:bookmarkStart w:id="342" w:name="_Toc9642"/>
      <w:bookmarkStart w:id="343" w:name="_Toc12979"/>
      <w:bookmarkStart w:id="344" w:name="_Toc2069"/>
      <w:bookmarkStart w:id="345" w:name="_Toc30094"/>
      <w:bookmarkStart w:id="346" w:name="_Toc390098481"/>
      <w:r>
        <w:rPr>
          <w:rFonts w:hint="eastAsia" w:ascii="宋体" w:hAnsi="宋体"/>
          <w:b/>
          <w:color w:val="auto"/>
          <w:highlight w:val="none"/>
        </w:rPr>
        <w:t>8.合同价格</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tabs>
          <w:tab w:val="left" w:pos="1134"/>
          <w:tab w:val="left" w:pos="8364"/>
        </w:tabs>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8.1本合同价格中合同不含税价为固定</w:t>
      </w:r>
      <w:r>
        <w:rPr>
          <w:rFonts w:hint="eastAsia" w:ascii="宋体" w:hAnsi="宋体"/>
          <w:color w:val="auto"/>
          <w:highlight w:val="none"/>
          <w:lang w:eastAsia="zh-CN"/>
        </w:rPr>
        <w:t>总</w:t>
      </w:r>
      <w:r>
        <w:rPr>
          <w:rFonts w:hint="eastAsia" w:ascii="宋体" w:hAnsi="宋体"/>
          <w:color w:val="auto"/>
          <w:highlight w:val="none"/>
        </w:rPr>
        <w:t>价，不得以任何理由予以合同价格上浮、上调、上涨，但如属经双方协商同意变更的情况除外</w:t>
      </w:r>
      <w:r>
        <w:rPr>
          <w:rFonts w:hint="eastAsia" w:ascii="宋体" w:hAnsi="宋体"/>
          <w:color w:val="auto"/>
          <w:highlight w:val="none"/>
          <w:lang w:eastAsia="zh-CN"/>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8.2合同价格完全包括本合同中要求的全部工作内容、货物、服务及</w:t>
      </w:r>
      <w:r>
        <w:rPr>
          <w:rFonts w:hint="eastAsia" w:ascii="宋体" w:hAnsi="宋体"/>
          <w:color w:val="auto"/>
          <w:highlight w:val="none"/>
          <w:lang w:eastAsia="zh-CN"/>
        </w:rPr>
        <w:t>其他</w:t>
      </w:r>
      <w:r>
        <w:rPr>
          <w:rFonts w:hint="eastAsia" w:ascii="宋体" w:hAnsi="宋体"/>
          <w:color w:val="auto"/>
          <w:highlight w:val="none"/>
        </w:rPr>
        <w:t>。</w:t>
      </w:r>
    </w:p>
    <w:p>
      <w:pPr>
        <w:tabs>
          <w:tab w:val="left" w:pos="1134"/>
          <w:tab w:val="left" w:pos="8364"/>
        </w:tabs>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8.3合同价格：不含税价人民币</w:t>
      </w:r>
      <w:r>
        <w:rPr>
          <w:rFonts w:hint="eastAsia" w:ascii="宋体" w:hAnsi="宋体" w:cs="Arial"/>
          <w:color w:val="auto"/>
          <w:highlight w:val="none"/>
          <w:u w:val="single"/>
        </w:rPr>
        <w:t>（填写）</w:t>
      </w:r>
      <w:r>
        <w:rPr>
          <w:rFonts w:hint="eastAsia" w:ascii="宋体" w:hAnsi="宋体"/>
          <w:color w:val="auto"/>
          <w:highlight w:val="none"/>
        </w:rPr>
        <w:t>(¥  )；税费人民币</w:t>
      </w:r>
      <w:r>
        <w:rPr>
          <w:rFonts w:hint="eastAsia" w:ascii="宋体" w:hAnsi="宋体" w:cs="Arial"/>
          <w:color w:val="auto"/>
          <w:highlight w:val="none"/>
          <w:u w:val="single"/>
        </w:rPr>
        <w:t>（填写）</w:t>
      </w:r>
      <w:r>
        <w:rPr>
          <w:rFonts w:hint="eastAsia" w:ascii="宋体" w:hAnsi="宋体"/>
          <w:color w:val="auto"/>
          <w:highlight w:val="none"/>
        </w:rPr>
        <w:t>(¥  )；税率</w:t>
      </w:r>
      <w:r>
        <w:rPr>
          <w:rFonts w:hint="eastAsia" w:ascii="宋体" w:hAnsi="宋体" w:cs="Arial"/>
          <w:color w:val="auto"/>
          <w:highlight w:val="none"/>
          <w:u w:val="single"/>
        </w:rPr>
        <w:t>（填写）</w:t>
      </w:r>
      <w:r>
        <w:rPr>
          <w:rFonts w:ascii="宋体" w:hAnsi="宋体" w:cs="Arial"/>
          <w:color w:val="auto"/>
          <w:highlight w:val="none"/>
          <w:u w:val="single"/>
        </w:rPr>
        <w:t xml:space="preserve"> </w:t>
      </w:r>
      <w:r>
        <w:rPr>
          <w:rFonts w:hint="eastAsia" w:ascii="宋体" w:hAnsi="宋体"/>
          <w:color w:val="auto"/>
          <w:highlight w:val="none"/>
        </w:rPr>
        <w:t>%；含税总价：人民币</w:t>
      </w:r>
      <w:r>
        <w:rPr>
          <w:rFonts w:hint="eastAsia" w:ascii="宋体" w:hAnsi="宋体" w:cs="Arial"/>
          <w:color w:val="auto"/>
          <w:highlight w:val="none"/>
          <w:u w:val="single"/>
        </w:rPr>
        <w:t>（填写）</w:t>
      </w:r>
      <w:r>
        <w:rPr>
          <w:rFonts w:hint="eastAsia" w:ascii="宋体" w:hAnsi="宋体"/>
          <w:color w:val="auto"/>
          <w:highlight w:val="none"/>
        </w:rPr>
        <w:t>(¥  )，（下文称“合同价格”</w:t>
      </w:r>
      <w:r>
        <w:rPr>
          <w:rFonts w:ascii="宋体" w:hAnsi="宋体"/>
          <w:color w:val="auto"/>
          <w:highlight w:val="none"/>
        </w:rPr>
        <w:t>)</w:t>
      </w:r>
      <w:r>
        <w:rPr>
          <w:rFonts w:hint="eastAsia" w:ascii="宋体" w:hAnsi="宋体"/>
          <w:color w:val="auto"/>
          <w:highlight w:val="none"/>
        </w:rPr>
        <w:t>。本合同价格为暂定价，在合同履约过程中，本合同税率将遵照国家现行税法执行，随国家税率调整而调整。本合同最终税金在结算阶段，按实际产生的税金进行核算，但合同不含税价格不因国家税率调整而调整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olor w:val="auto"/>
          <w:highlight w:val="none"/>
          <w:lang w:eastAsia="zh-CN"/>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8.4现场知晓</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应当认为，乙方对本合同现场的气候、水文和综合条件以及用于项目运行的资料完全知晓，并对国家及地方法律法规完全知晓。</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8.5价格的充分性</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应当认为乙方已彻底查清，并在本合同价格中充分考虑到了以下各项：</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8.5.1影响合同价格的全部条件和情况；</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8.5.2完成合同中所述项目的可能性；</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8.5.3现场的综合情况；</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8.8.4现场总的劳务情况；</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8.5.5</w:t>
      </w:r>
      <w:r>
        <w:rPr>
          <w:rFonts w:ascii="宋体" w:hAnsi="宋体"/>
          <w:color w:val="auto"/>
          <w:highlight w:val="none"/>
        </w:rPr>
        <w:t>甲方不接受乙方以组价不当（包括对工作内容理解的偏差、工料耗量水平的确定、生产要素市场价格的判断、取费决策等）为由而主张的任何损失或索赔。</w:t>
      </w:r>
    </w:p>
    <w:p>
      <w:pPr>
        <w:tabs>
          <w:tab w:val="left" w:pos="640"/>
          <w:tab w:val="left" w:pos="1843"/>
        </w:tabs>
        <w:spacing w:before="0" w:after="0" w:afterAutospacing="0"/>
        <w:ind w:left="420" w:right="0" w:firstLine="0"/>
        <w:outlineLvl w:val="2"/>
        <w:rPr>
          <w:rFonts w:hint="eastAsia" w:ascii="宋体" w:hAnsi="宋体" w:eastAsia="宋体"/>
          <w:b/>
          <w:color w:val="auto"/>
          <w:highlight w:val="none"/>
          <w:lang w:eastAsia="zh-CN"/>
        </w:rPr>
      </w:pPr>
      <w:r>
        <w:rPr>
          <w:rFonts w:hint="eastAsia" w:ascii="宋体" w:hAnsi="宋体"/>
          <w:b/>
          <w:color w:val="auto"/>
          <w:highlight w:val="none"/>
        </w:rPr>
        <w:t>9.</w:t>
      </w:r>
      <w:r>
        <w:rPr>
          <w:rFonts w:hint="eastAsia" w:ascii="宋体" w:hAnsi="宋体"/>
          <w:b/>
          <w:color w:val="auto"/>
          <w:highlight w:val="none"/>
          <w:lang w:val="en-US" w:eastAsia="zh-CN"/>
        </w:rPr>
        <w:t>交货</w:t>
      </w:r>
      <w:r>
        <w:rPr>
          <w:rFonts w:hint="eastAsia" w:ascii="宋体" w:hAnsi="宋体"/>
          <w:b/>
          <w:color w:val="auto"/>
          <w:highlight w:val="none"/>
          <w:lang w:eastAsia="zh-CN"/>
        </w:rPr>
        <w:t>期</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val="en-US" w:eastAsia="zh-CN"/>
        </w:rPr>
        <w:t>2022年11-12月（暂定），并于2022年12月15前完成交货。</w:t>
      </w:r>
    </w:p>
    <w:p>
      <w:pPr>
        <w:tabs>
          <w:tab w:val="left" w:pos="640"/>
          <w:tab w:val="left" w:pos="1843"/>
        </w:tabs>
        <w:spacing w:before="0" w:after="0" w:afterAutospacing="0"/>
        <w:ind w:left="420" w:right="0" w:firstLine="0"/>
        <w:outlineLvl w:val="2"/>
        <w:rPr>
          <w:rFonts w:ascii="宋体" w:hAnsi="宋体"/>
          <w:b/>
          <w:color w:val="auto"/>
          <w:highlight w:val="none"/>
        </w:rPr>
      </w:pPr>
      <w:bookmarkStart w:id="347" w:name="_Toc20550"/>
      <w:bookmarkStart w:id="348" w:name="_Toc32711"/>
      <w:bookmarkStart w:id="349" w:name="_Toc29729"/>
      <w:bookmarkStart w:id="350" w:name="_Toc31795"/>
      <w:bookmarkStart w:id="351" w:name="_Toc26034"/>
      <w:bookmarkStart w:id="352" w:name="_Toc15512"/>
      <w:bookmarkStart w:id="353" w:name="_Toc20899"/>
      <w:bookmarkStart w:id="354" w:name="_Toc2613"/>
      <w:bookmarkStart w:id="355" w:name="_Toc21872"/>
      <w:bookmarkStart w:id="356" w:name="_Toc1990"/>
      <w:bookmarkStart w:id="357" w:name="_Toc7801"/>
      <w:bookmarkStart w:id="358" w:name="_Toc12113"/>
      <w:bookmarkStart w:id="359" w:name="_Toc5676"/>
      <w:bookmarkStart w:id="360" w:name="_Toc25873"/>
      <w:bookmarkStart w:id="361" w:name="_Toc32382"/>
      <w:bookmarkStart w:id="362" w:name="_Toc97"/>
      <w:bookmarkStart w:id="363" w:name="_Toc20252"/>
      <w:bookmarkStart w:id="364" w:name="_Toc25750642"/>
      <w:bookmarkStart w:id="365" w:name="_Toc30234"/>
      <w:r>
        <w:rPr>
          <w:rFonts w:hint="eastAsia" w:ascii="宋体" w:hAnsi="宋体"/>
          <w:b/>
          <w:color w:val="auto"/>
          <w:highlight w:val="none"/>
        </w:rPr>
        <w:t>10.</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Start w:id="366" w:name="_Toc459730449"/>
      <w:bookmarkEnd w:id="366"/>
      <w:bookmarkStart w:id="367" w:name="_Toc459797504"/>
      <w:bookmarkEnd w:id="367"/>
      <w:bookmarkStart w:id="368" w:name="_Toc459730456"/>
      <w:bookmarkEnd w:id="368"/>
      <w:bookmarkStart w:id="369" w:name="_Toc459730447"/>
      <w:bookmarkEnd w:id="369"/>
      <w:bookmarkStart w:id="370" w:name="_Toc459797500"/>
      <w:bookmarkEnd w:id="370"/>
      <w:bookmarkStart w:id="371" w:name="_Toc459730443"/>
      <w:bookmarkEnd w:id="371"/>
      <w:bookmarkStart w:id="372" w:name="_Toc459730450"/>
      <w:bookmarkEnd w:id="372"/>
      <w:bookmarkStart w:id="373" w:name="_Toc459730454"/>
      <w:bookmarkEnd w:id="373"/>
      <w:bookmarkStart w:id="374" w:name="_Toc459797495"/>
      <w:bookmarkEnd w:id="374"/>
      <w:bookmarkStart w:id="375" w:name="_Toc459730453"/>
      <w:bookmarkEnd w:id="375"/>
      <w:bookmarkStart w:id="376" w:name="_Toc459797510"/>
      <w:bookmarkEnd w:id="376"/>
      <w:bookmarkStart w:id="377" w:name="_Toc459730444"/>
      <w:bookmarkEnd w:id="377"/>
      <w:bookmarkStart w:id="378" w:name="_Toc459797503"/>
      <w:bookmarkEnd w:id="378"/>
      <w:bookmarkStart w:id="379" w:name="_Toc459730451"/>
      <w:bookmarkEnd w:id="379"/>
      <w:bookmarkStart w:id="380" w:name="_Toc459797511"/>
      <w:bookmarkEnd w:id="380"/>
      <w:bookmarkStart w:id="381" w:name="_Toc459730457"/>
      <w:bookmarkEnd w:id="381"/>
      <w:bookmarkStart w:id="382" w:name="_Toc459797498"/>
      <w:bookmarkEnd w:id="382"/>
      <w:bookmarkStart w:id="383" w:name="_Toc459730452"/>
      <w:bookmarkEnd w:id="383"/>
      <w:bookmarkStart w:id="384" w:name="_Toc459797502"/>
      <w:bookmarkEnd w:id="384"/>
      <w:bookmarkStart w:id="385" w:name="_Toc459797506"/>
      <w:bookmarkEnd w:id="385"/>
      <w:bookmarkStart w:id="386" w:name="_Toc459730459"/>
      <w:bookmarkEnd w:id="386"/>
      <w:bookmarkStart w:id="387" w:name="_Toc459730446"/>
      <w:bookmarkEnd w:id="387"/>
      <w:bookmarkStart w:id="388" w:name="_Toc459797497"/>
      <w:bookmarkEnd w:id="388"/>
      <w:bookmarkStart w:id="389" w:name="_Toc459730448"/>
      <w:bookmarkEnd w:id="389"/>
      <w:bookmarkStart w:id="390" w:name="_Toc459730445"/>
      <w:bookmarkEnd w:id="390"/>
      <w:bookmarkStart w:id="391" w:name="_Toc459797505"/>
      <w:bookmarkEnd w:id="391"/>
      <w:bookmarkStart w:id="392" w:name="_Toc459730458"/>
      <w:bookmarkEnd w:id="392"/>
      <w:bookmarkStart w:id="393" w:name="_Toc459797496"/>
      <w:bookmarkEnd w:id="393"/>
      <w:bookmarkStart w:id="394" w:name="_Toc459797508"/>
      <w:bookmarkEnd w:id="394"/>
      <w:bookmarkStart w:id="395" w:name="_Toc459797499"/>
      <w:bookmarkEnd w:id="395"/>
      <w:bookmarkStart w:id="396" w:name="_Toc459797507"/>
      <w:bookmarkEnd w:id="396"/>
      <w:bookmarkStart w:id="397" w:name="_Toc459730442"/>
      <w:bookmarkEnd w:id="397"/>
      <w:bookmarkStart w:id="398" w:name="_Toc459730455"/>
      <w:bookmarkEnd w:id="398"/>
      <w:bookmarkStart w:id="399" w:name="_Toc459797509"/>
      <w:bookmarkEnd w:id="399"/>
      <w:bookmarkStart w:id="400" w:name="_Toc459797512"/>
      <w:bookmarkEnd w:id="400"/>
      <w:bookmarkStart w:id="401" w:name="_Toc459797501"/>
      <w:bookmarkEnd w:id="401"/>
      <w:r>
        <w:rPr>
          <w:rFonts w:hint="eastAsia" w:ascii="宋体" w:hAnsi="宋体"/>
          <w:b/>
          <w:color w:val="auto"/>
          <w:highlight w:val="none"/>
        </w:rPr>
        <w:t>合同价款支付方式</w:t>
      </w:r>
    </w:p>
    <w:p>
      <w:pPr>
        <w:tabs>
          <w:tab w:val="left" w:pos="1134"/>
          <w:tab w:val="left" w:pos="8364"/>
        </w:tabs>
        <w:spacing w:before="0" w:after="0" w:afterAutospacing="0"/>
        <w:ind w:left="0" w:right="0" w:firstLine="420" w:firstLineChars="200"/>
        <w:rPr>
          <w:rFonts w:hint="eastAsia" w:ascii="宋体" w:hAnsi="宋体" w:eastAsia="宋体" w:cs="Arial"/>
          <w:color w:val="auto"/>
          <w:highlight w:val="none"/>
          <w:lang w:val="en-US" w:eastAsia="zh-CN"/>
        </w:rPr>
      </w:pPr>
      <w:bookmarkStart w:id="402" w:name="_Toc370933872"/>
      <w:bookmarkStart w:id="403" w:name="_Toc378514969"/>
      <w:r>
        <w:rPr>
          <w:rFonts w:hint="eastAsia" w:ascii="宋体" w:hAnsi="宋体" w:cs="Arial"/>
          <w:color w:val="auto"/>
          <w:highlight w:val="none"/>
        </w:rPr>
        <w:t>10.1全部项目完成并验收合格后，乙方根据甲方要求完成档案归档及合同结算经甲方审定后，甲方在收到乙方提供的以下材料后4</w:t>
      </w:r>
      <w:r>
        <w:rPr>
          <w:rFonts w:ascii="宋体" w:hAnsi="宋体" w:cs="Arial"/>
          <w:color w:val="auto"/>
          <w:highlight w:val="none"/>
        </w:rPr>
        <w:t>5</w:t>
      </w:r>
      <w:r>
        <w:rPr>
          <w:rFonts w:hint="eastAsia" w:ascii="宋体" w:hAnsi="宋体" w:cs="Arial"/>
          <w:color w:val="auto"/>
          <w:highlight w:val="none"/>
        </w:rPr>
        <w:t>个工作日内支付至合同最终结算审定金额的</w:t>
      </w:r>
      <w:r>
        <w:rPr>
          <w:rFonts w:hint="eastAsia" w:ascii="宋体" w:hAnsi="宋体" w:cs="Arial"/>
          <w:color w:val="auto"/>
          <w:highlight w:val="none"/>
          <w:lang w:val="en-US" w:eastAsia="zh-CN"/>
        </w:rPr>
        <w:t>95</w:t>
      </w:r>
      <w:r>
        <w:rPr>
          <w:rFonts w:hint="eastAsia" w:ascii="宋体" w:hAnsi="宋体" w:cs="Arial"/>
          <w:color w:val="auto"/>
          <w:highlight w:val="none"/>
        </w:rPr>
        <w:t>%</w:t>
      </w:r>
      <w:r>
        <w:rPr>
          <w:rFonts w:hint="eastAsia" w:ascii="宋体" w:hAnsi="宋体" w:cs="Arial"/>
          <w:color w:val="auto"/>
          <w:highlight w:val="none"/>
          <w:lang w:eastAsia="zh-CN"/>
        </w:rPr>
        <w:t>。</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①乙方开具的增值税专用发票金额，金额为合同最终结算审定金额的100%扣除已开票部分的余额。</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②乙方出具的支付申请书。</w:t>
      </w:r>
    </w:p>
    <w:p>
      <w:pPr>
        <w:tabs>
          <w:tab w:val="left" w:pos="1134"/>
          <w:tab w:val="left" w:pos="8364"/>
        </w:tabs>
        <w:spacing w:before="0" w:after="0" w:afterAutospacing="0"/>
        <w:ind w:left="0" w:right="0" w:firstLine="420" w:firstLineChars="200"/>
        <w:rPr>
          <w:rFonts w:hint="eastAsia" w:eastAsia="宋体"/>
          <w:color w:val="auto"/>
          <w:highlight w:val="none"/>
          <w:lang w:val="en-US" w:eastAsia="zh-CN"/>
        </w:rPr>
      </w:pPr>
      <w:r>
        <w:rPr>
          <w:rFonts w:hint="eastAsia"/>
          <w:color w:val="auto"/>
          <w:highlight w:val="none"/>
        </w:rPr>
        <w:t>③全部项目成果验收合格证明</w:t>
      </w:r>
      <w:r>
        <w:rPr>
          <w:rFonts w:hint="eastAsia"/>
          <w:color w:val="auto"/>
          <w:highlight w:val="none"/>
          <w:lang w:eastAsia="zh-CN"/>
        </w:rPr>
        <w:t>。</w:t>
      </w:r>
    </w:p>
    <w:p>
      <w:pPr>
        <w:tabs>
          <w:tab w:val="left" w:pos="1134"/>
          <w:tab w:val="left" w:pos="8364"/>
        </w:tabs>
        <w:spacing w:before="0" w:after="0" w:afterAutospacing="0"/>
        <w:ind w:left="0" w:right="0" w:firstLine="420" w:firstLineChars="200"/>
        <w:rPr>
          <w:color w:val="auto"/>
          <w:highlight w:val="none"/>
        </w:rPr>
      </w:pPr>
      <w:r>
        <w:rPr>
          <w:rFonts w:hint="eastAsia"/>
          <w:color w:val="auto"/>
          <w:highlight w:val="none"/>
        </w:rPr>
        <w:t>④结算审定单。</w:t>
      </w:r>
    </w:p>
    <w:p>
      <w:pPr>
        <w:tabs>
          <w:tab w:val="left" w:pos="8364"/>
        </w:tabs>
        <w:spacing w:before="0" w:after="0" w:afterAutospacing="0"/>
        <w:ind w:left="0" w:right="0" w:firstLine="420" w:firstLineChars="200"/>
        <w:rPr>
          <w:rFonts w:hint="default" w:ascii="宋体" w:hAnsi="宋体" w:eastAsia="宋体" w:cs="Arial"/>
          <w:color w:val="auto"/>
          <w:highlight w:val="none"/>
          <w:lang w:val="en-US" w:eastAsia="zh-CN"/>
        </w:rPr>
      </w:pPr>
      <w:r>
        <w:rPr>
          <w:rFonts w:hint="eastAsia" w:ascii="宋体" w:hAnsi="宋体" w:cs="Arial"/>
          <w:color w:val="auto"/>
          <w:highlight w:val="none"/>
          <w:lang w:val="en-US" w:eastAsia="zh-CN"/>
        </w:rPr>
        <w:t>10.2</w:t>
      </w:r>
      <w:r>
        <w:rPr>
          <w:rFonts w:hint="eastAsia" w:ascii="宋体" w:hAnsi="宋体" w:cs="Arial"/>
          <w:color w:val="auto"/>
          <w:highlight w:val="none"/>
        </w:rPr>
        <w:t>全部项目成果质保期满，经甲方确认所有成果均无质量问题或乙方已更换有质量问题产品经甲方确认合格后，甲方在收到由乙方提供的以下材料后4</w:t>
      </w:r>
      <w:r>
        <w:rPr>
          <w:rFonts w:ascii="宋体" w:hAnsi="宋体" w:cs="Arial"/>
          <w:color w:val="auto"/>
          <w:highlight w:val="none"/>
        </w:rPr>
        <w:t>5</w:t>
      </w:r>
      <w:r>
        <w:rPr>
          <w:rFonts w:hint="eastAsia" w:ascii="宋体" w:hAnsi="宋体" w:cs="Arial"/>
          <w:color w:val="auto"/>
          <w:highlight w:val="none"/>
        </w:rPr>
        <w:t>个工作日内支付结算审定金额的剩余价款。</w:t>
      </w:r>
    </w:p>
    <w:p>
      <w:pPr>
        <w:tabs>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w:t>
      </w:r>
      <w:r>
        <w:rPr>
          <w:rFonts w:hint="eastAsia" w:ascii="宋体" w:hAnsi="宋体" w:cs="Arial"/>
          <w:color w:val="auto"/>
          <w:highlight w:val="none"/>
          <w:lang w:val="en-US" w:eastAsia="zh-CN"/>
        </w:rPr>
        <w:t>3</w:t>
      </w:r>
      <w:r>
        <w:rPr>
          <w:rFonts w:hint="eastAsia" w:ascii="宋体" w:hAnsi="宋体" w:cs="Arial"/>
          <w:color w:val="auto"/>
          <w:highlight w:val="none"/>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tabs>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w:t>
      </w:r>
      <w:r>
        <w:rPr>
          <w:rFonts w:hint="eastAsia" w:ascii="宋体" w:hAnsi="宋体" w:cs="Arial"/>
          <w:color w:val="auto"/>
          <w:highlight w:val="none"/>
          <w:lang w:val="en-US" w:eastAsia="zh-CN"/>
        </w:rPr>
        <w:t>4</w:t>
      </w:r>
      <w:r>
        <w:rPr>
          <w:rFonts w:hint="eastAsia" w:ascii="宋体" w:hAnsi="宋体" w:cs="Arial"/>
          <w:color w:val="auto"/>
          <w:highlight w:val="none"/>
        </w:rPr>
        <w:t>支付的货币应以人民币支付</w:t>
      </w:r>
      <w:r>
        <w:rPr>
          <w:rFonts w:hint="eastAsia" w:ascii="宋体" w:hAnsi="宋体" w:cs="Arial"/>
          <w:color w:val="auto"/>
          <w:highlight w:val="none"/>
          <w:lang w:eastAsia="zh-CN"/>
        </w:rPr>
        <w:t>，但不限于银行转账、汇票、国内信用证、供应链金融产品等支付形式。</w:t>
      </w:r>
    </w:p>
    <w:p>
      <w:pPr>
        <w:tabs>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w:t>
      </w:r>
      <w:r>
        <w:rPr>
          <w:rFonts w:hint="eastAsia" w:ascii="宋体" w:hAnsi="宋体" w:cs="Arial"/>
          <w:color w:val="auto"/>
          <w:highlight w:val="none"/>
          <w:lang w:val="en-US" w:eastAsia="zh-CN"/>
        </w:rPr>
        <w:t>5</w:t>
      </w:r>
      <w:r>
        <w:rPr>
          <w:rFonts w:hint="eastAsia" w:ascii="宋体" w:hAnsi="宋体" w:cs="Arial"/>
          <w:color w:val="auto"/>
          <w:highlight w:val="none"/>
        </w:rPr>
        <w:t>结算需满足以下条件：</w:t>
      </w:r>
    </w:p>
    <w:p>
      <w:pPr>
        <w:tabs>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（1）达到合同终止条件。</w:t>
      </w:r>
    </w:p>
    <w:p>
      <w:pPr>
        <w:tabs>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（2）乙方根据甲方要求完成项目档案归档。</w:t>
      </w:r>
    </w:p>
    <w:p>
      <w:pPr>
        <w:tabs>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w:t>
      </w:r>
      <w:r>
        <w:rPr>
          <w:rFonts w:hint="eastAsia" w:ascii="宋体" w:hAnsi="宋体" w:cs="Arial"/>
          <w:color w:val="auto"/>
          <w:highlight w:val="none"/>
          <w:lang w:val="en-US" w:eastAsia="zh-CN"/>
        </w:rPr>
        <w:t>3</w:t>
      </w:r>
      <w:r>
        <w:rPr>
          <w:rFonts w:hint="eastAsia" w:ascii="宋体" w:hAnsi="宋体" w:cs="Arial"/>
          <w:color w:val="auto"/>
          <w:highlight w:val="none"/>
        </w:rPr>
        <w:t>）乙方按照甲方的结算管理办法提供如下合格材料，并经甲方审核无误：</w:t>
      </w:r>
    </w:p>
    <w:p>
      <w:pPr>
        <w:tabs>
          <w:tab w:val="left" w:pos="8364"/>
        </w:tabs>
        <w:spacing w:before="0" w:after="0" w:afterAutospacing="0"/>
        <w:ind w:left="0" w:right="0" w:firstLine="850" w:firstLineChars="405"/>
        <w:rPr>
          <w:rFonts w:ascii="宋体" w:hAnsi="宋体" w:cs="Arial"/>
          <w:color w:val="auto"/>
          <w:highlight w:val="none"/>
        </w:rPr>
      </w:pPr>
      <w:r>
        <w:rPr>
          <w:rFonts w:hint="eastAsia" w:ascii="宋体" w:hAnsi="宋体" w:cs="Arial"/>
          <w:color w:val="auto"/>
          <w:highlight w:val="none"/>
        </w:rPr>
        <w:t>①甲方管理办法规定的结算审核套表。</w:t>
      </w:r>
    </w:p>
    <w:p>
      <w:pPr>
        <w:tabs>
          <w:tab w:val="left" w:pos="8364"/>
        </w:tabs>
        <w:spacing w:before="0" w:after="0" w:afterAutospacing="0"/>
        <w:ind w:left="0" w:right="0" w:firstLine="850" w:firstLineChars="405"/>
        <w:rPr>
          <w:rFonts w:ascii="宋体" w:hAnsi="宋体" w:cs="Arial"/>
          <w:color w:val="auto"/>
          <w:highlight w:val="none"/>
        </w:rPr>
      </w:pPr>
      <w:r>
        <w:rPr>
          <w:rFonts w:hint="eastAsia" w:ascii="宋体" w:hAnsi="宋体" w:cs="Arial"/>
          <w:color w:val="auto"/>
          <w:highlight w:val="none"/>
        </w:rPr>
        <w:t>②</w:t>
      </w:r>
      <w:r>
        <w:rPr>
          <w:rFonts w:hint="eastAsia"/>
          <w:color w:val="auto"/>
          <w:highlight w:val="none"/>
        </w:rPr>
        <w:t>全部项目成果验收合格</w:t>
      </w:r>
      <w:r>
        <w:rPr>
          <w:rFonts w:hint="eastAsia" w:ascii="宋体" w:hAnsi="宋体" w:cs="Arial"/>
          <w:color w:val="auto"/>
          <w:highlight w:val="none"/>
        </w:rPr>
        <w:t>证明材料</w:t>
      </w:r>
      <w:r>
        <w:rPr>
          <w:rFonts w:hint="eastAsia" w:ascii="宋体" w:hAnsi="宋体" w:cs="Arial"/>
          <w:color w:val="auto"/>
          <w:highlight w:val="none"/>
          <w:lang w:eastAsia="zh-CN"/>
        </w:rPr>
        <w:t>。</w:t>
      </w:r>
    </w:p>
    <w:p>
      <w:pPr>
        <w:tabs>
          <w:tab w:val="left" w:pos="8364"/>
        </w:tabs>
        <w:spacing w:before="0" w:after="0" w:afterAutospacing="0"/>
        <w:ind w:left="0" w:right="0" w:firstLine="850" w:firstLineChars="405"/>
        <w:rPr>
          <w:rFonts w:hint="eastAsia" w:ascii="宋体" w:hAnsi="宋体" w:cs="Arial"/>
          <w:color w:val="auto"/>
          <w:highlight w:val="none"/>
        </w:rPr>
      </w:pPr>
      <w:r>
        <w:rPr>
          <w:rFonts w:hint="eastAsia" w:ascii="宋体" w:hAnsi="宋体" w:cs="Arial"/>
          <w:color w:val="auto"/>
          <w:highlight w:val="none"/>
        </w:rPr>
        <w:t>③合同约定的其他证明资料（如违约情况及处理证明材料）。</w:t>
      </w:r>
    </w:p>
    <w:p>
      <w:pPr>
        <w:tabs>
          <w:tab w:val="left" w:pos="8364"/>
        </w:tabs>
        <w:spacing w:before="0" w:after="0" w:afterAutospacing="0"/>
        <w:ind w:left="0" w:right="0" w:firstLine="420" w:firstLineChars="200"/>
        <w:rPr>
          <w:rFonts w:hint="eastAsia" w:ascii="宋体" w:hAnsi="宋体" w:eastAsia="宋体" w:cs="Arial"/>
          <w:color w:val="auto"/>
          <w:highlight w:val="none"/>
          <w:lang w:val="en-US" w:eastAsia="zh-CN"/>
        </w:rPr>
      </w:pPr>
      <w:r>
        <w:rPr>
          <w:rFonts w:hint="eastAsia" w:ascii="宋体" w:hAnsi="宋体" w:cs="Arial"/>
          <w:color w:val="auto"/>
          <w:highlight w:val="none"/>
          <w:lang w:eastAsia="zh-CN"/>
        </w:rPr>
        <w:t>（</w:t>
      </w:r>
      <w:r>
        <w:rPr>
          <w:rFonts w:hint="eastAsia" w:ascii="宋体" w:hAnsi="宋体" w:cs="Arial"/>
          <w:color w:val="auto"/>
          <w:highlight w:val="none"/>
          <w:lang w:val="en-US" w:eastAsia="zh-CN"/>
        </w:rPr>
        <w:t>4</w:t>
      </w:r>
      <w:r>
        <w:rPr>
          <w:rFonts w:hint="eastAsia" w:ascii="宋体" w:hAnsi="宋体" w:cs="Arial"/>
          <w:color w:val="auto"/>
          <w:highlight w:val="none"/>
          <w:lang w:eastAsia="zh-CN"/>
        </w:rPr>
        <w:t>）</w:t>
      </w:r>
      <w:r>
        <w:rPr>
          <w:rFonts w:hint="eastAsia" w:ascii="宋体" w:hAnsi="宋体" w:cs="Arial"/>
          <w:color w:val="auto"/>
          <w:highlight w:val="none"/>
        </w:rPr>
        <w:t>供货金额累计达到合同金额的100%（含）</w:t>
      </w:r>
      <w:r>
        <w:rPr>
          <w:rFonts w:hint="eastAsia" w:ascii="宋体" w:hAnsi="宋体" w:cs="Arial"/>
          <w:color w:val="auto"/>
          <w:highlight w:val="none"/>
          <w:lang w:eastAsia="zh-CN"/>
        </w:rPr>
        <w:t>。</w:t>
      </w:r>
    </w:p>
    <w:bookmarkEnd w:id="402"/>
    <w:bookmarkEnd w:id="403"/>
    <w:p>
      <w:pPr>
        <w:tabs>
          <w:tab w:val="left" w:pos="640"/>
          <w:tab w:val="left" w:pos="1843"/>
        </w:tabs>
        <w:spacing w:before="0" w:after="0" w:afterAutospacing="0"/>
        <w:ind w:left="420" w:right="0" w:firstLine="0"/>
        <w:outlineLvl w:val="2"/>
        <w:rPr>
          <w:rFonts w:ascii="宋体" w:hAnsi="宋体"/>
          <w:b/>
          <w:color w:val="auto"/>
          <w:highlight w:val="none"/>
        </w:rPr>
      </w:pPr>
      <w:bookmarkStart w:id="404" w:name="_Toc25441"/>
      <w:bookmarkStart w:id="405" w:name="_Toc26418"/>
      <w:bookmarkStart w:id="406" w:name="_Toc370933873"/>
      <w:bookmarkStart w:id="407" w:name="_Toc10545"/>
      <w:bookmarkStart w:id="408" w:name="_Toc6771"/>
      <w:bookmarkStart w:id="409" w:name="_Toc30611"/>
      <w:bookmarkStart w:id="410" w:name="_Toc3558"/>
      <w:bookmarkStart w:id="411" w:name="_Toc29106"/>
      <w:bookmarkStart w:id="412" w:name="_Toc14851"/>
      <w:bookmarkStart w:id="413" w:name="_Toc25230"/>
      <w:bookmarkStart w:id="414" w:name="_Toc769"/>
      <w:bookmarkStart w:id="415" w:name="_Toc23070"/>
      <w:bookmarkStart w:id="416" w:name="_Toc27489"/>
      <w:bookmarkStart w:id="417" w:name="_Toc492478780"/>
      <w:bookmarkStart w:id="418" w:name="_Toc25750651"/>
      <w:bookmarkStart w:id="419" w:name="_Toc2295"/>
      <w:bookmarkStart w:id="420" w:name="_Toc12825"/>
      <w:bookmarkStart w:id="421" w:name="_Toc378514970"/>
      <w:bookmarkStart w:id="422" w:name="_Toc29593"/>
      <w:bookmarkStart w:id="423" w:name="_Toc32028"/>
      <w:bookmarkStart w:id="424" w:name="_Toc21856"/>
      <w:bookmarkStart w:id="425" w:name="_Toc24113"/>
      <w:bookmarkStart w:id="426" w:name="_Toc390098482"/>
      <w:bookmarkStart w:id="427" w:name="_Toc385427856"/>
      <w:r>
        <w:rPr>
          <w:rFonts w:hint="eastAsia" w:ascii="宋体" w:hAnsi="宋体"/>
          <w:b/>
          <w:color w:val="auto"/>
          <w:highlight w:val="none"/>
        </w:rPr>
        <w:t>11.合同变更与修改</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tabs>
          <w:tab w:val="left" w:pos="540"/>
          <w:tab w:val="left" w:pos="96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11.1除非甲方与乙方双方签署书面修改书，否则不能对合同条款进行任何变更。如果合同另有约定，从其约定。</w:t>
      </w:r>
    </w:p>
    <w:p>
      <w:pPr>
        <w:tabs>
          <w:tab w:val="left" w:pos="540"/>
          <w:tab w:val="left" w:pos="96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11.2任何对合同条件的变更或修改均须根据双方协商达成的协议，以规定的标准修改书形式由双方授权代表签字盖章来完成，并作为本合同不可分割的组成部分，具有与合同本身同样的效力。</w:t>
      </w:r>
    </w:p>
    <w:p>
      <w:pPr>
        <w:tabs>
          <w:tab w:val="left" w:pos="540"/>
          <w:tab w:val="left" w:pos="96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11.3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tabs>
          <w:tab w:val="left" w:pos="640"/>
          <w:tab w:val="left" w:pos="1843"/>
        </w:tabs>
        <w:spacing w:before="0" w:after="0" w:afterAutospacing="0"/>
        <w:ind w:left="420" w:right="0" w:firstLine="0"/>
        <w:outlineLvl w:val="2"/>
        <w:rPr>
          <w:rFonts w:ascii="宋体" w:hAnsi="宋体"/>
          <w:b/>
          <w:color w:val="auto"/>
          <w:highlight w:val="none"/>
        </w:rPr>
      </w:pPr>
      <w:bookmarkStart w:id="428" w:name="_Toc18239"/>
      <w:bookmarkStart w:id="429" w:name="_Toc378514971"/>
      <w:bookmarkStart w:id="430" w:name="_Toc21302"/>
      <w:bookmarkStart w:id="431" w:name="_Toc370933874"/>
      <w:bookmarkStart w:id="432" w:name="_Toc15094"/>
      <w:bookmarkStart w:id="433" w:name="_Toc1259"/>
      <w:bookmarkStart w:id="434" w:name="_Toc11895"/>
      <w:bookmarkStart w:id="435" w:name="_Toc16088"/>
      <w:bookmarkStart w:id="436" w:name="_Toc24029"/>
      <w:bookmarkStart w:id="437" w:name="_Toc27980"/>
      <w:bookmarkStart w:id="438" w:name="_Toc4403"/>
      <w:bookmarkStart w:id="439" w:name="_Toc25195"/>
      <w:bookmarkStart w:id="440" w:name="_Toc385427857"/>
      <w:bookmarkStart w:id="441" w:name="_Toc2307"/>
      <w:bookmarkStart w:id="442" w:name="_Toc25965"/>
      <w:bookmarkStart w:id="443" w:name="_Toc25750652"/>
      <w:bookmarkStart w:id="444" w:name="_Toc28641"/>
      <w:bookmarkStart w:id="445" w:name="_Toc29029"/>
      <w:bookmarkStart w:id="446" w:name="_Toc17820"/>
      <w:bookmarkStart w:id="447" w:name="_Toc18453"/>
      <w:bookmarkStart w:id="448" w:name="_Toc492478781"/>
      <w:bookmarkStart w:id="449" w:name="_Toc29664"/>
      <w:bookmarkStart w:id="450" w:name="_Toc3081"/>
      <w:bookmarkStart w:id="451" w:name="_Toc390098483"/>
      <w:r>
        <w:rPr>
          <w:rFonts w:hint="eastAsia" w:ascii="宋体" w:hAnsi="宋体"/>
          <w:b/>
          <w:color w:val="auto"/>
          <w:highlight w:val="none"/>
        </w:rPr>
        <w:t>12.</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Pr>
          <w:rFonts w:hint="eastAsia" w:ascii="宋体" w:hAnsi="宋体"/>
          <w:b/>
          <w:color w:val="auto"/>
          <w:highlight w:val="none"/>
        </w:rPr>
        <w:t>违约责任</w:t>
      </w:r>
    </w:p>
    <w:p>
      <w:pPr>
        <w:numPr>
          <w:ilvl w:val="1"/>
          <w:numId w:val="0"/>
        </w:numPr>
        <w:tabs>
          <w:tab w:val="left" w:pos="1060"/>
        </w:tabs>
        <w:spacing w:before="0" w:after="0" w:afterAutospacing="0"/>
        <w:ind w:right="0"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12.1因乙方原因造成一般事件C类及以上的，课以甲方受考核的金额或者合同总价款的5%作为违约金，以两者考核金额大的进行考核；且甲方有权根据影响程度追加考核，因此造成的其他损失甲方有权向乙方索赔。因乙方原因造成一般事件C类以上事件的，甲方有权终止合同。</w:t>
      </w:r>
    </w:p>
    <w:p>
      <w:pPr>
        <w:numPr>
          <w:ilvl w:val="1"/>
          <w:numId w:val="0"/>
        </w:numPr>
        <w:tabs>
          <w:tab w:val="left" w:pos="1060"/>
        </w:tabs>
        <w:spacing w:before="0" w:after="0" w:afterAutospacing="0"/>
        <w:ind w:right="0"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12.2因乙方原因造成甲方、第三方财产或人身损害的，乙方除负责赔偿责任外，尚需向甲方赔付由甲方依据安全事故的性质，设备受损的程度以及甲方的名誉、形象受损的范围和程度等确定的费用，并承担甲方因该事件发生的诉讼费、律师费等一切费用。</w:t>
      </w:r>
    </w:p>
    <w:p>
      <w:pPr>
        <w:numPr>
          <w:ilvl w:val="1"/>
          <w:numId w:val="0"/>
        </w:numPr>
        <w:tabs>
          <w:tab w:val="left" w:pos="1060"/>
        </w:tabs>
        <w:spacing w:before="0" w:after="0" w:afterAutospacing="0"/>
        <w:ind w:right="0"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12.3合同签订之后，未经甲方书面同意，乙方擅自更换项目经理或施工负责人的，视为乙方违约，课以违约金5000元/人次。</w:t>
      </w:r>
    </w:p>
    <w:p>
      <w:pPr>
        <w:numPr>
          <w:ilvl w:val="1"/>
          <w:numId w:val="0"/>
        </w:numPr>
        <w:tabs>
          <w:tab w:val="left" w:pos="1060"/>
        </w:tabs>
        <w:spacing w:before="0" w:after="0" w:afterAutospacing="0"/>
        <w:ind w:right="0"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12.4乙方人员在禁止抽烟区域内抽烟，工作期间喝酒或与其他部门/单位发生争执或打架斗殴等不文明现象的，课以违约金200元/次，造成不良影响的加倍处罚。</w:t>
      </w:r>
    </w:p>
    <w:p>
      <w:pPr>
        <w:numPr>
          <w:ilvl w:val="1"/>
          <w:numId w:val="0"/>
        </w:numPr>
        <w:tabs>
          <w:tab w:val="left" w:pos="1060"/>
        </w:tabs>
        <w:spacing w:before="0" w:after="0" w:afterAutospacing="0"/>
        <w:ind w:right="0"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12.5乙方不服从甲方现场管理，课以违约金200元/次，此外造成甲方的损失，甲方有权向乙方索赔。</w:t>
      </w:r>
    </w:p>
    <w:p>
      <w:pPr>
        <w:numPr>
          <w:ilvl w:val="1"/>
          <w:numId w:val="0"/>
        </w:numPr>
        <w:tabs>
          <w:tab w:val="left" w:pos="1060"/>
        </w:tabs>
        <w:spacing w:before="0" w:after="0" w:afterAutospacing="0"/>
        <w:ind w:right="0"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12.6乙方在施工作业时未按要求穿戴劳保用品（荧光衣、劳保鞋、安全帽等）或使用过期的劳保用品，课以违约金800元/次。</w:t>
      </w:r>
    </w:p>
    <w:p>
      <w:pPr>
        <w:numPr>
          <w:ilvl w:val="1"/>
          <w:numId w:val="0"/>
        </w:numPr>
        <w:tabs>
          <w:tab w:val="left" w:pos="1060"/>
        </w:tabs>
        <w:spacing w:before="0" w:after="0" w:afterAutospacing="0"/>
        <w:ind w:right="0"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12.7未经许可携带危化品进入作业现场的；作业结束后危化品处置不当，课以违约金500元/件。</w:t>
      </w:r>
    </w:p>
    <w:p>
      <w:pPr>
        <w:numPr>
          <w:ilvl w:val="1"/>
          <w:numId w:val="0"/>
        </w:numPr>
        <w:tabs>
          <w:tab w:val="left" w:pos="1060"/>
        </w:tabs>
        <w:spacing w:before="0" w:after="0" w:afterAutospacing="0"/>
        <w:ind w:right="0"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12.8未经甲方同意，乙方带与工作无关人员进入地铁作业区域的，课以违约金1000元/次，因此造成其他经济损失由乙方负责。</w:t>
      </w:r>
    </w:p>
    <w:p>
      <w:pPr>
        <w:numPr>
          <w:ilvl w:val="1"/>
          <w:numId w:val="0"/>
        </w:numPr>
        <w:tabs>
          <w:tab w:val="left" w:pos="1060"/>
        </w:tabs>
        <w:spacing w:before="0" w:after="0" w:afterAutospacing="0"/>
        <w:ind w:right="0"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12.9乙方违反甲方各类安全、生产管理规定（以地铁最新规定为准，甲方负责通知），课以违约金200元/次。</w:t>
      </w:r>
    </w:p>
    <w:p>
      <w:pPr>
        <w:numPr>
          <w:ilvl w:val="1"/>
          <w:numId w:val="0"/>
        </w:numPr>
        <w:tabs>
          <w:tab w:val="left" w:pos="1060"/>
        </w:tabs>
        <w:spacing w:before="0" w:after="0" w:afterAutospacing="0"/>
        <w:ind w:right="0"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12.10乙方违反国家、行业各类管理规定及法律法规（以国家最新规定为准，甲方不负责通知），课以违约金500元/次。造成甲方的其他损失，甲方还将向乙方索赔。</w:t>
      </w:r>
    </w:p>
    <w:p>
      <w:pPr>
        <w:numPr>
          <w:ilvl w:val="1"/>
          <w:numId w:val="0"/>
        </w:numPr>
        <w:tabs>
          <w:tab w:val="left" w:pos="1060"/>
        </w:tabs>
        <w:spacing w:before="0" w:after="0" w:afterAutospacing="0"/>
        <w:ind w:right="0"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12.11因乙方责任造成人员人身伤亡等现象的，按相关法律法规及地铁公司相关规定进行处理，由乙方承担事故的一切责任及费用。</w:t>
      </w:r>
    </w:p>
    <w:p>
      <w:pPr>
        <w:numPr>
          <w:ilvl w:val="1"/>
          <w:numId w:val="0"/>
        </w:numPr>
        <w:tabs>
          <w:tab w:val="left" w:pos="1060"/>
        </w:tabs>
        <w:spacing w:before="0" w:after="0" w:afterAutospacing="0"/>
        <w:ind w:right="0"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12.12未经甲方批准，乙方进行计划类作业以外的工作，课以违约金1000元/次。</w:t>
      </w:r>
    </w:p>
    <w:p>
      <w:pPr>
        <w:numPr>
          <w:ilvl w:val="1"/>
          <w:numId w:val="0"/>
        </w:numPr>
        <w:tabs>
          <w:tab w:val="left" w:pos="1060"/>
        </w:tabs>
        <w:spacing w:before="0" w:after="0" w:afterAutospacing="0"/>
        <w:ind w:right="0"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12.13乙方应保证所用的施工材料满足质量要求，如发现乙方采用劣质或假冒伪劣进行代替的，课以违约金500元/次。</w:t>
      </w:r>
    </w:p>
    <w:p>
      <w:pPr>
        <w:numPr>
          <w:ilvl w:val="1"/>
          <w:numId w:val="0"/>
        </w:numPr>
        <w:tabs>
          <w:tab w:val="left" w:pos="1060"/>
        </w:tabs>
        <w:spacing w:before="0" w:after="0" w:afterAutospacing="0"/>
        <w:ind w:right="0"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12.14乙方逾期完成施工的，每逾期一天，乙方向甲方支付合同价款的0.5%的违约金，逾期一个月的，乙方有权解除合同。</w:t>
      </w:r>
    </w:p>
    <w:p>
      <w:pPr>
        <w:numPr>
          <w:ilvl w:val="1"/>
          <w:numId w:val="0"/>
        </w:numPr>
        <w:tabs>
          <w:tab w:val="left" w:pos="1060"/>
        </w:tabs>
        <w:spacing w:before="0" w:after="0" w:afterAutospacing="0"/>
        <w:ind w:right="0"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12.15乙方未在故障修复时间内修复设备的，课以违约金，违约金计算标准为：违约金500元/天乘于（实际修复所需时间-规定修复时间）。</w:t>
      </w:r>
    </w:p>
    <w:p>
      <w:pPr>
        <w:numPr>
          <w:ilvl w:val="1"/>
          <w:numId w:val="0"/>
        </w:numPr>
        <w:tabs>
          <w:tab w:val="left" w:pos="1060"/>
        </w:tabs>
        <w:spacing w:before="0" w:after="0" w:afterAutospacing="0"/>
        <w:ind w:right="0"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12.16乙方故障响应时间超过乙方承诺故障响应时间，课以违约金100元/每半时。</w:t>
      </w:r>
    </w:p>
    <w:p>
      <w:pPr>
        <w:numPr>
          <w:ilvl w:val="1"/>
          <w:numId w:val="0"/>
        </w:numPr>
        <w:tabs>
          <w:tab w:val="left" w:pos="1060"/>
        </w:tabs>
        <w:spacing w:before="0" w:after="0" w:afterAutospacing="0"/>
        <w:ind w:right="0"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12.17由于非乙方原因导致项目未能按计划实施，乙方不承担任何责任。</w:t>
      </w:r>
    </w:p>
    <w:p>
      <w:pPr>
        <w:numPr>
          <w:ilvl w:val="1"/>
          <w:numId w:val="0"/>
        </w:numPr>
        <w:tabs>
          <w:tab w:val="left" w:pos="1060"/>
        </w:tabs>
        <w:spacing w:before="0" w:after="0" w:afterAutospacing="0"/>
        <w:ind w:right="0"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12.18甲、乙任何一方擅自变更协议或解除协议，由此产生的直接损失由责任方承担。</w:t>
      </w:r>
    </w:p>
    <w:p>
      <w:pPr>
        <w:numPr>
          <w:ilvl w:val="1"/>
          <w:numId w:val="0"/>
        </w:numPr>
        <w:tabs>
          <w:tab w:val="left" w:pos="1060"/>
        </w:tabs>
        <w:spacing w:before="0" w:after="0" w:afterAutospacing="0"/>
        <w:ind w:right="0"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12.19由于乙方原因，乙方未能按约定配合甲方完成项目，甲方有权不支付合同价款，可单方面解除合同，并要求乙方赔偿合同总价的20％违约金。</w:t>
      </w:r>
    </w:p>
    <w:p>
      <w:pPr>
        <w:numPr>
          <w:ilvl w:val="1"/>
          <w:numId w:val="0"/>
        </w:numPr>
        <w:tabs>
          <w:tab w:val="left" w:pos="1060"/>
        </w:tabs>
        <w:spacing w:before="0" w:after="0" w:afterAutospacing="0"/>
        <w:ind w:right="0"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12.20若因乙方提供的货物或服务不满足验收标准和技术需求，并拒绝更换符合甲方技术需求的货物或服务，乙方须支付本批次合同标的20%的违约金，同时甲方重新采购因价格差所造成的损失由乙方承担。</w:t>
      </w:r>
    </w:p>
    <w:p>
      <w:pPr>
        <w:pStyle w:val="37"/>
        <w:numPr>
          <w:ilvl w:val="255"/>
          <w:numId w:val="0"/>
        </w:numPr>
        <w:tabs>
          <w:tab w:val="left" w:pos="980"/>
          <w:tab w:val="left" w:pos="1440"/>
        </w:tabs>
        <w:spacing w:before="0" w:after="0" w:afterAutospacing="0"/>
        <w:ind w:right="0" w:firstLine="420" w:firstLineChars="200"/>
        <w:rPr>
          <w:rFonts w:ascii="宋体" w:hAnsi="宋体"/>
          <w:color w:val="auto"/>
          <w:highlight w:val="none"/>
        </w:rPr>
      </w:pPr>
      <w:r>
        <w:rPr>
          <w:rFonts w:hint="eastAsia" w:ascii="宋体" w:hAnsi="宋体"/>
          <w:color w:val="auto"/>
          <w:highlight w:val="none"/>
          <w:lang w:val="en-US" w:eastAsia="zh-CN"/>
        </w:rPr>
        <w:t>12.21乙方在提供相关服务过程中出现过失，应当承担相应的违约责任，甲方扣除合同总金额5%作为乙方的违约金。若损失超过违约金，甲方有权向乙方继续追偿。</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lang w:val="en-US" w:eastAsia="zh-CN"/>
        </w:rPr>
        <w:t>12.22</w:t>
      </w:r>
      <w:r>
        <w:rPr>
          <w:rFonts w:hint="eastAsia" w:ascii="宋体" w:hAnsi="宋体"/>
          <w:color w:val="auto"/>
          <w:highlight w:val="none"/>
        </w:rPr>
        <w:t>违约金与赔偿金额计算</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本合同项下涉及的所有违约金和赔偿金额均依据合同的规定计算。如合同未有明确规定的，则根据国家或地方有关规定、惯例、行业规定等合理地估算。</w:t>
      </w:r>
    </w:p>
    <w:p>
      <w:pPr>
        <w:numPr>
          <w:ilvl w:val="1"/>
          <w:numId w:val="0"/>
        </w:numPr>
        <w:tabs>
          <w:tab w:val="left" w:pos="1060"/>
        </w:tabs>
        <w:spacing w:before="0" w:after="0" w:afterAutospacing="0"/>
        <w:ind w:left="0" w:right="0" w:firstLine="420" w:firstLineChars="200"/>
        <w:outlineLvl w:val="9"/>
        <w:rPr>
          <w:rFonts w:hint="eastAsia" w:ascii="宋体" w:hAnsi="宋体"/>
          <w:color w:val="auto"/>
          <w:highlight w:val="none"/>
        </w:rPr>
      </w:pPr>
      <w:r>
        <w:rPr>
          <w:rFonts w:hint="eastAsia" w:ascii="宋体" w:hAnsi="宋体"/>
          <w:color w:val="auto"/>
          <w:highlight w:val="none"/>
          <w:lang w:val="en-US" w:eastAsia="zh-CN"/>
        </w:rPr>
        <w:t>12.23</w:t>
      </w:r>
      <w:r>
        <w:rPr>
          <w:rFonts w:hint="eastAsia" w:ascii="宋体" w:hAnsi="宋体"/>
          <w:color w:val="auto"/>
          <w:highlight w:val="none"/>
        </w:rPr>
        <w:t>所有违约金和赔偿金的支付不减轻乙方合同项下的任何责任和义务。如果甲方所遭受的损失超过违约金，乙方应对超出违约金部分的损失给予赔偿。</w:t>
      </w:r>
    </w:p>
    <w:p>
      <w:pPr>
        <w:numPr>
          <w:ilvl w:val="-1"/>
          <w:numId w:val="0"/>
        </w:numPr>
        <w:tabs>
          <w:tab w:val="left" w:pos="640"/>
          <w:tab w:val="left" w:pos="1843"/>
        </w:tabs>
        <w:spacing w:before="0" w:after="0" w:afterAutospacing="0"/>
        <w:ind w:left="420" w:right="0" w:firstLine="0" w:firstLineChars="0"/>
        <w:outlineLvl w:val="2"/>
        <w:rPr>
          <w:color w:val="auto"/>
          <w:highlight w:val="none"/>
        </w:rPr>
      </w:pPr>
      <w:r>
        <w:rPr>
          <w:rFonts w:hint="eastAsia" w:ascii="宋体" w:hAnsi="宋体"/>
          <w:b/>
          <w:color w:val="auto"/>
          <w:highlight w:val="none"/>
        </w:rPr>
        <w:t>13</w:t>
      </w:r>
      <w:r>
        <w:rPr>
          <w:rFonts w:ascii="宋体" w:hAnsi="宋体"/>
          <w:b/>
          <w:color w:val="auto"/>
          <w:highlight w:val="none"/>
        </w:rPr>
        <w:t>.</w:t>
      </w:r>
      <w:r>
        <w:rPr>
          <w:rFonts w:hint="eastAsia" w:ascii="宋体" w:hAnsi="宋体"/>
          <w:b/>
          <w:color w:val="auto"/>
          <w:highlight w:val="none"/>
          <w:lang w:eastAsia="zh-CN"/>
        </w:rPr>
        <w:t>甲、乙权利义务</w:t>
      </w:r>
    </w:p>
    <w:p>
      <w:pPr>
        <w:numPr>
          <w:ilvl w:val="1"/>
          <w:numId w:val="0"/>
        </w:numPr>
        <w:tabs>
          <w:tab w:val="left" w:pos="1060"/>
        </w:tabs>
        <w:spacing w:before="0" w:after="0" w:afterAutospacing="0"/>
        <w:ind w:left="0" w:right="0" w:firstLine="420" w:firstLineChars="200"/>
        <w:outlineLvl w:val="9"/>
        <w:rPr>
          <w:rFonts w:hint="eastAsia" w:ascii="宋体" w:hAnsi="宋体"/>
          <w:color w:val="auto"/>
          <w:highlight w:val="none"/>
          <w:lang w:val="en-US" w:eastAsia="zh-CN"/>
        </w:rPr>
      </w:pPr>
      <w:r>
        <w:rPr>
          <w:rFonts w:hint="eastAsia" w:ascii="宋体" w:hAnsi="宋体"/>
          <w:color w:val="auto"/>
          <w:highlight w:val="none"/>
          <w:lang w:val="en-US" w:eastAsia="zh-CN"/>
        </w:rPr>
        <w:t>13.1甲方按时向乙方支付合同价款。</w:t>
      </w:r>
    </w:p>
    <w:p>
      <w:pPr>
        <w:numPr>
          <w:ilvl w:val="1"/>
          <w:numId w:val="0"/>
        </w:numPr>
        <w:tabs>
          <w:tab w:val="left" w:pos="1060"/>
        </w:tabs>
        <w:spacing w:before="0" w:after="0" w:afterAutospacing="0"/>
        <w:ind w:left="0" w:right="0" w:firstLine="420" w:firstLineChars="200"/>
        <w:outlineLvl w:val="9"/>
        <w:rPr>
          <w:rFonts w:hint="eastAsia" w:ascii="宋体" w:hAnsi="宋体"/>
          <w:color w:val="auto"/>
          <w:highlight w:val="none"/>
          <w:lang w:val="en-US" w:eastAsia="zh-CN"/>
        </w:rPr>
      </w:pPr>
      <w:r>
        <w:rPr>
          <w:rFonts w:hint="eastAsia" w:ascii="宋体" w:hAnsi="宋体"/>
          <w:color w:val="auto"/>
          <w:highlight w:val="none"/>
          <w:lang w:val="en-US" w:eastAsia="zh-CN"/>
        </w:rPr>
        <w:t>13.2甲方有权要求乙方按照合同及技术规格书的要求提供服务及货物。</w:t>
      </w:r>
    </w:p>
    <w:p>
      <w:pPr>
        <w:numPr>
          <w:ilvl w:val="1"/>
          <w:numId w:val="0"/>
        </w:numPr>
        <w:tabs>
          <w:tab w:val="left" w:pos="1060"/>
        </w:tabs>
        <w:spacing w:before="0" w:after="0" w:afterAutospacing="0"/>
        <w:ind w:left="0" w:right="0" w:firstLine="420" w:firstLineChars="200"/>
        <w:outlineLvl w:val="9"/>
        <w:rPr>
          <w:rFonts w:hint="default" w:ascii="宋体" w:hAnsi="宋体"/>
          <w:color w:val="auto"/>
          <w:highlight w:val="none"/>
          <w:lang w:val="en-US" w:eastAsia="zh-CN"/>
        </w:rPr>
      </w:pPr>
      <w:r>
        <w:rPr>
          <w:rFonts w:hint="eastAsia" w:ascii="宋体" w:hAnsi="宋体"/>
          <w:color w:val="auto"/>
          <w:highlight w:val="none"/>
          <w:lang w:val="en-US" w:eastAsia="zh-CN"/>
        </w:rPr>
        <w:t>13.3甲方有权根据技术规格书中验收条款进行验收。</w:t>
      </w:r>
    </w:p>
    <w:p>
      <w:pPr>
        <w:numPr>
          <w:ilvl w:val="1"/>
          <w:numId w:val="0"/>
        </w:numPr>
        <w:tabs>
          <w:tab w:val="left" w:pos="1060"/>
        </w:tabs>
        <w:snapToGrid w:val="0"/>
        <w:spacing w:before="0" w:after="0" w:afterAutospacing="0" w:line="360" w:lineRule="auto"/>
        <w:ind w:right="0" w:firstLine="420" w:firstLineChars="200"/>
        <w:rPr>
          <w:rFonts w:hint="eastAsia" w:ascii="宋体" w:hAnsi="宋体" w:eastAsia="宋体"/>
          <w:color w:val="auto"/>
          <w:sz w:val="21"/>
          <w:szCs w:val="21"/>
          <w:highlight w:val="none"/>
        </w:rPr>
      </w:pPr>
      <w:r>
        <w:rPr>
          <w:rFonts w:hint="eastAsia" w:ascii="宋体" w:hAnsi="宋体"/>
          <w:color w:val="auto"/>
          <w:highlight w:val="none"/>
          <w:lang w:val="en-US" w:eastAsia="zh-CN"/>
        </w:rPr>
        <w:t>13.4</w:t>
      </w:r>
      <w:r>
        <w:rPr>
          <w:rFonts w:hint="eastAsia" w:ascii="宋体" w:hAnsi="宋体" w:eastAsia="宋体"/>
          <w:color w:val="auto"/>
          <w:sz w:val="21"/>
          <w:szCs w:val="21"/>
          <w:highlight w:val="none"/>
        </w:rPr>
        <w:t>乙方应严格按照技术规格书的标准及要求提供服务</w:t>
      </w:r>
      <w:r>
        <w:rPr>
          <w:rFonts w:hint="eastAsia" w:ascii="宋体" w:hAnsi="宋体" w:eastAsia="宋体"/>
          <w:color w:val="auto"/>
          <w:sz w:val="21"/>
          <w:szCs w:val="21"/>
          <w:highlight w:val="none"/>
          <w:lang w:eastAsia="zh-CN"/>
        </w:rPr>
        <w:t>及货物</w:t>
      </w:r>
      <w:r>
        <w:rPr>
          <w:rFonts w:hint="eastAsia" w:ascii="宋体" w:hAnsi="宋体"/>
          <w:color w:val="auto"/>
          <w:sz w:val="21"/>
          <w:szCs w:val="21"/>
          <w:highlight w:val="none"/>
        </w:rPr>
        <w:t>。</w:t>
      </w:r>
    </w:p>
    <w:p>
      <w:pPr>
        <w:numPr>
          <w:ilvl w:val="1"/>
          <w:numId w:val="0"/>
        </w:numPr>
        <w:tabs>
          <w:tab w:val="left" w:pos="1060"/>
        </w:tabs>
        <w:snapToGrid w:val="0"/>
        <w:spacing w:before="0" w:after="0" w:afterAutospacing="0" w:line="360" w:lineRule="auto"/>
        <w:ind w:right="0" w:firstLine="420" w:firstLineChars="200"/>
        <w:rPr>
          <w:rFonts w:hint="eastAsia" w:ascii="宋体" w:hAnsi="宋体"/>
          <w:color w:val="auto"/>
          <w:szCs w:val="21"/>
          <w:highlight w:val="none"/>
        </w:rPr>
      </w:pPr>
      <w:r>
        <w:rPr>
          <w:rFonts w:hint="eastAsia" w:ascii="宋体" w:hAnsi="宋体" w:eastAsia="宋体"/>
          <w:color w:val="auto"/>
          <w:sz w:val="21"/>
          <w:szCs w:val="21"/>
          <w:highlight w:val="none"/>
          <w:lang w:val="en-US" w:eastAsia="zh-CN"/>
        </w:rPr>
        <w:t>13.</w:t>
      </w:r>
      <w:r>
        <w:rPr>
          <w:rFonts w:hint="eastAsia" w:ascii="宋体" w:hAnsi="宋体"/>
          <w:color w:val="auto"/>
          <w:sz w:val="21"/>
          <w:szCs w:val="21"/>
          <w:highlight w:val="none"/>
          <w:lang w:val="en-US" w:eastAsia="zh-CN"/>
        </w:rPr>
        <w:t>5</w:t>
      </w:r>
      <w:r>
        <w:rPr>
          <w:rFonts w:hint="eastAsia" w:ascii="宋体" w:hAnsi="宋体" w:eastAsia="宋体"/>
          <w:color w:val="auto"/>
          <w:sz w:val="21"/>
          <w:szCs w:val="21"/>
          <w:highlight w:val="none"/>
        </w:rPr>
        <w:t>乙方</w:t>
      </w:r>
      <w:r>
        <w:rPr>
          <w:rFonts w:hint="eastAsia" w:ascii="宋体" w:hAnsi="宋体"/>
          <w:color w:val="auto"/>
          <w:szCs w:val="21"/>
          <w:highlight w:val="none"/>
        </w:rPr>
        <w:t>享有按照本合同约定和相关规定向甲方收取</w:t>
      </w:r>
      <w:r>
        <w:rPr>
          <w:rFonts w:hint="eastAsia" w:ascii="宋体" w:hAnsi="宋体" w:eastAsia="宋体"/>
          <w:color w:val="auto"/>
          <w:szCs w:val="21"/>
          <w:highlight w:val="none"/>
          <w:lang w:eastAsia="zh-CN"/>
        </w:rPr>
        <w:t>合同价款</w:t>
      </w:r>
      <w:r>
        <w:rPr>
          <w:rFonts w:hint="eastAsia" w:ascii="宋体" w:hAnsi="宋体"/>
          <w:color w:val="auto"/>
          <w:szCs w:val="21"/>
          <w:highlight w:val="none"/>
        </w:rPr>
        <w:t>的权利。</w:t>
      </w:r>
    </w:p>
    <w:p>
      <w:pPr>
        <w:numPr>
          <w:ilvl w:val="1"/>
          <w:numId w:val="0"/>
        </w:numPr>
        <w:tabs>
          <w:tab w:val="left" w:pos="1060"/>
        </w:tabs>
        <w:spacing w:before="0" w:after="0" w:afterAutospacing="0"/>
        <w:ind w:left="0" w:right="0" w:firstLine="420" w:firstLineChars="200"/>
        <w:outlineLvl w:val="9"/>
        <w:rPr>
          <w:rFonts w:ascii="宋体" w:hAnsi="宋体"/>
          <w:b/>
          <w:color w:val="auto"/>
          <w:highlight w:val="none"/>
        </w:rPr>
      </w:pPr>
      <w:r>
        <w:rPr>
          <w:rFonts w:hint="eastAsia" w:ascii="宋体" w:hAnsi="宋体" w:eastAsia="宋体"/>
          <w:color w:val="auto"/>
          <w:sz w:val="21"/>
          <w:szCs w:val="21"/>
          <w:highlight w:val="none"/>
          <w:lang w:val="en-US" w:eastAsia="zh-CN"/>
        </w:rPr>
        <w:t>13.</w:t>
      </w:r>
      <w:r>
        <w:rPr>
          <w:rFonts w:hint="eastAsia" w:ascii="宋体" w:hAnsi="宋体"/>
          <w:color w:val="auto"/>
          <w:sz w:val="21"/>
          <w:szCs w:val="21"/>
          <w:highlight w:val="none"/>
          <w:lang w:val="en-US" w:eastAsia="zh-CN"/>
        </w:rPr>
        <w:t>6</w:t>
      </w:r>
      <w:r>
        <w:rPr>
          <w:rFonts w:hint="eastAsia" w:ascii="宋体" w:hAnsi="宋体" w:eastAsia="宋体"/>
          <w:color w:val="auto"/>
          <w:szCs w:val="21"/>
          <w:highlight w:val="none"/>
          <w:lang w:eastAsia="zh-CN"/>
        </w:rPr>
        <w:t>乙方在提供服务的过程中，</w:t>
      </w:r>
      <w:r>
        <w:rPr>
          <w:rFonts w:hint="eastAsia" w:ascii="宋体" w:hAnsi="宋体"/>
          <w:color w:val="auto"/>
          <w:szCs w:val="21"/>
          <w:highlight w:val="none"/>
          <w:lang w:eastAsia="zh-CN"/>
        </w:rPr>
        <w:t>负责对提供</w:t>
      </w:r>
      <w:r>
        <w:rPr>
          <w:rFonts w:hint="eastAsia" w:ascii="宋体" w:hAnsi="宋体" w:eastAsia="宋体"/>
          <w:color w:val="auto"/>
          <w:sz w:val="21"/>
          <w:szCs w:val="21"/>
          <w:highlight w:val="none"/>
          <w:lang w:eastAsia="zh-CN"/>
        </w:rPr>
        <w:t>使用的</w:t>
      </w:r>
      <w:r>
        <w:rPr>
          <w:rFonts w:hint="eastAsia" w:ascii="宋体" w:hAnsi="宋体" w:eastAsia="宋体"/>
          <w:color w:val="auto"/>
          <w:szCs w:val="21"/>
          <w:highlight w:val="none"/>
          <w:lang w:eastAsia="zh-CN"/>
        </w:rPr>
        <w:t>设备、桌椅等的的拆装、使用、保护</w:t>
      </w:r>
      <w:r>
        <w:rPr>
          <w:rFonts w:hint="eastAsia" w:ascii="宋体" w:hAnsi="宋体" w:eastAsia="宋体"/>
          <w:color w:val="auto"/>
          <w:sz w:val="21"/>
          <w:szCs w:val="21"/>
          <w:highlight w:val="none"/>
          <w:lang w:eastAsia="zh-CN"/>
        </w:rPr>
        <w:t>。</w:t>
      </w:r>
      <w:r>
        <w:rPr>
          <w:rFonts w:hint="eastAsia" w:ascii="宋体" w:hAnsi="宋体" w:eastAsia="宋体"/>
          <w:color w:val="auto"/>
          <w:szCs w:val="21"/>
          <w:highlight w:val="none"/>
          <w:lang w:eastAsia="zh-CN"/>
        </w:rPr>
        <w:t>在合同履行过程中因乙方提供的设备及相关物资发生质量缺陷及其他造成损失的，乙方负责全部责任</w:t>
      </w:r>
      <w:r>
        <w:rPr>
          <w:rFonts w:hint="eastAsia" w:ascii="宋体" w:hAnsi="宋体"/>
          <w:color w:val="auto"/>
          <w:szCs w:val="21"/>
          <w:highlight w:val="none"/>
          <w:lang w:eastAsia="zh-CN"/>
        </w:rPr>
        <w:t>，甲方不承担任何责任。</w:t>
      </w:r>
    </w:p>
    <w:p>
      <w:pPr>
        <w:tabs>
          <w:tab w:val="left" w:pos="640"/>
          <w:tab w:val="left" w:pos="1843"/>
        </w:tabs>
        <w:spacing w:before="0" w:after="0" w:afterAutospacing="0"/>
        <w:ind w:left="420" w:right="0" w:firstLine="0"/>
        <w:outlineLvl w:val="2"/>
        <w:rPr>
          <w:rFonts w:cs="宋体"/>
          <w:b/>
          <w:bCs/>
          <w:color w:val="auto"/>
          <w:highlight w:val="none"/>
        </w:rPr>
      </w:pPr>
      <w:r>
        <w:rPr>
          <w:rFonts w:hint="eastAsia" w:ascii="宋体" w:hAnsi="宋体"/>
          <w:b/>
          <w:color w:val="auto"/>
          <w:highlight w:val="none"/>
        </w:rPr>
        <w:t>14.</w:t>
      </w:r>
      <w:r>
        <w:rPr>
          <w:rFonts w:hint="eastAsia" w:cs="宋体"/>
          <w:b/>
          <w:bCs/>
          <w:color w:val="auto"/>
          <w:highlight w:val="none"/>
        </w:rPr>
        <w:t>合同转让、分包和中止</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14.1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14.2 除合同另有约定外，</w:t>
      </w:r>
      <w:r>
        <w:rPr>
          <w:rFonts w:hint="eastAsia" w:ascii="宋体" w:hAnsi="宋体" w:cs="Arial"/>
          <w:color w:val="auto"/>
          <w:highlight w:val="none"/>
        </w:rPr>
        <w:t>乙方不得将本项目的</w:t>
      </w:r>
      <w:r>
        <w:rPr>
          <w:rFonts w:hint="eastAsia" w:ascii="宋体" w:hAnsi="宋体"/>
          <w:color w:val="auto"/>
          <w:highlight w:val="none"/>
        </w:rPr>
        <w:t>全部或部分工作</w:t>
      </w:r>
      <w:r>
        <w:rPr>
          <w:rFonts w:hint="eastAsia" w:ascii="宋体" w:hAnsi="宋体" w:cs="Arial"/>
          <w:color w:val="auto"/>
          <w:highlight w:val="none"/>
        </w:rPr>
        <w:t>分包给第三方。</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14.3如乙方具有以下情形的，甲方可以中止合同履行:</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(1)经营状况严重恶化；</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(2)转移财产、抽逃资金以逃避债务；</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(3)丧失商业信誉；</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(4)有丧失或者可能丧失履行债务能力的其他情形。</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14.4甲方依据14.3条中止合同履行的，应当及时书面通知乙方。乙方提供适当担保的，合同恢复履行。中止履行后，乙方在合理期限内未恢复履行能且未提供适当担保的，视为以自己的行为表明不履行主要债务,甲方可以解除合同并追究乙方的违约责任。</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15.合同终止</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15.1对合同条件所做出的任何修改、补充，须经双方协商达成一致意见后，签订书面协议。</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15.2合同自然终止</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15.2.1甲方、乙方双方各自完成合同规定的责任和义务，合同自然终止。</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15.2.2本</w:t>
      </w:r>
      <w:r>
        <w:rPr>
          <w:rFonts w:hint="eastAsia" w:ascii="宋体" w:hAnsi="宋体"/>
          <w:color w:val="auto"/>
          <w:highlight w:val="none"/>
          <w:lang w:eastAsia="zh-CN"/>
        </w:rPr>
        <w:t>服务期</w:t>
      </w:r>
      <w:r>
        <w:rPr>
          <w:rFonts w:hint="eastAsia" w:ascii="宋体" w:hAnsi="宋体"/>
          <w:color w:val="auto"/>
          <w:highlight w:val="none"/>
        </w:rPr>
        <w:t>满或在</w:t>
      </w:r>
      <w:r>
        <w:rPr>
          <w:rFonts w:hint="eastAsia" w:ascii="宋体" w:hAnsi="宋体"/>
          <w:color w:val="auto"/>
          <w:highlight w:val="none"/>
          <w:lang w:eastAsia="zh-CN"/>
        </w:rPr>
        <w:t>服务期</w:t>
      </w:r>
      <w:r>
        <w:rPr>
          <w:rFonts w:hint="eastAsia" w:ascii="宋体" w:hAnsi="宋体"/>
          <w:color w:val="auto"/>
          <w:highlight w:val="none"/>
        </w:rPr>
        <w:t>内，本合同供货金额累计达到合同暂定金额的100%（含），本合同自行终止。</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15.3乙方违约时的终止</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如果乙方有以下情形之一，甲方有权以书面形式通知部分或全部终止合同：</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15.3.1 在收到本合同条款规定情形下的违约通知后二十八</w:t>
      </w:r>
      <w:r>
        <w:rPr>
          <w:rFonts w:ascii="宋体" w:hAnsi="宋体"/>
          <w:color w:val="auto"/>
          <w:highlight w:val="none"/>
        </w:rPr>
        <w:t>(28)</w:t>
      </w:r>
      <w:r>
        <w:rPr>
          <w:rFonts w:hint="eastAsia" w:ascii="宋体" w:hAnsi="宋体"/>
          <w:color w:val="auto"/>
          <w:highlight w:val="none"/>
        </w:rPr>
        <w:t>天内未能遵守并达到通知的要求。</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15.3.2没有甲方的书面同意转让合同或将项目的全部或部分分包出去。</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15.3.3</w:t>
      </w:r>
      <w:r>
        <w:rPr>
          <w:color w:val="auto"/>
          <w:highlight w:val="none"/>
        </w:rPr>
        <w:t>在履行期限届满之前，</w:t>
      </w:r>
      <w:r>
        <w:rPr>
          <w:rFonts w:hint="eastAsia"/>
          <w:color w:val="auto"/>
          <w:highlight w:val="none"/>
        </w:rPr>
        <w:t>乙</w:t>
      </w:r>
      <w:r>
        <w:rPr>
          <w:color w:val="auto"/>
          <w:highlight w:val="none"/>
        </w:rPr>
        <w:t>方明确表示或者以自己的行为表明不履行主要债务</w:t>
      </w:r>
      <w:r>
        <w:rPr>
          <w:rFonts w:hint="eastAsia"/>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15.3.4 乙方在本合同的竞争和实施过程中有腐败行为和欺诈行为。</w:t>
      </w:r>
    </w:p>
    <w:p>
      <w:pPr>
        <w:tabs>
          <w:tab w:val="left" w:pos="420"/>
          <w:tab w:val="left" w:pos="1134"/>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15.3.5如果乙方不能在合同规定的交货期内交货或经甲方催告后在合理的期限内仍未交货；</w:t>
      </w:r>
    </w:p>
    <w:p>
      <w:pPr>
        <w:tabs>
          <w:tab w:val="left" w:pos="420"/>
          <w:tab w:val="left" w:pos="1134"/>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15.3.6如果乙方不能履行合同项下其他义务；</w:t>
      </w:r>
    </w:p>
    <w:p>
      <w:pPr>
        <w:tabs>
          <w:tab w:val="left" w:pos="420"/>
          <w:tab w:val="left" w:pos="1134"/>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15.3.7如果乙方在上述情况下不能在接到甲方通知后十（</w:t>
      </w:r>
      <w:r>
        <w:rPr>
          <w:rFonts w:ascii="宋体" w:hAnsi="宋体"/>
          <w:color w:val="auto"/>
          <w:highlight w:val="none"/>
        </w:rPr>
        <w:t>10</w:t>
      </w:r>
      <w:r>
        <w:rPr>
          <w:rFonts w:hint="eastAsia" w:ascii="宋体" w:hAnsi="宋体"/>
          <w:color w:val="auto"/>
          <w:highlight w:val="none"/>
        </w:rPr>
        <w:t>）天之内（或甲方同意的更长的时间内）补救过失。</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15.4 甲方违约时的终止</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15.4.1甲方未按照合同约定支付货款，乙方在向甲方发出书面催款通知十四(14)天后可终止合同。</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15.4.3任何此类终止均不应损害本合同项下甲方的任何其它权利。</w:t>
      </w:r>
    </w:p>
    <w:p>
      <w:pPr>
        <w:tabs>
          <w:tab w:val="left" w:pos="640"/>
          <w:tab w:val="left" w:pos="1843"/>
        </w:tabs>
        <w:spacing w:before="0" w:after="0" w:afterAutospacing="0"/>
        <w:ind w:left="420" w:right="0" w:firstLine="0"/>
        <w:rPr>
          <w:rFonts w:ascii="宋体" w:hAnsi="宋体"/>
          <w:b/>
          <w:color w:val="auto"/>
          <w:highlight w:val="none"/>
        </w:rPr>
      </w:pPr>
      <w:r>
        <w:rPr>
          <w:rFonts w:hint="eastAsia" w:ascii="宋体" w:hAnsi="宋体"/>
          <w:b/>
          <w:color w:val="auto"/>
          <w:highlight w:val="none"/>
        </w:rPr>
        <w:t>15.5其他约定</w:t>
      </w:r>
    </w:p>
    <w:p>
      <w:pPr>
        <w:tabs>
          <w:tab w:val="left" w:pos="420"/>
          <w:tab w:val="left" w:pos="98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15.5.1</w:t>
      </w:r>
      <w:r>
        <w:rPr>
          <w:rFonts w:ascii="宋体" w:hAnsi="宋体"/>
          <w:color w:val="auto"/>
          <w:highlight w:val="none"/>
        </w:rPr>
        <w:t>如乙方破产，甲方有权可以在任意时间，以书面形式通知终止合同，且不必补偿</w:t>
      </w:r>
      <w:r>
        <w:rPr>
          <w:rFonts w:hint="eastAsia" w:ascii="宋体" w:hAnsi="宋体"/>
          <w:color w:val="auto"/>
          <w:highlight w:val="none"/>
        </w:rPr>
        <w:t>乙方损失。</w:t>
      </w:r>
    </w:p>
    <w:p>
      <w:pPr>
        <w:tabs>
          <w:tab w:val="left" w:pos="420"/>
          <w:tab w:val="left" w:pos="98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15.5.2甲方依合同部分或全部终止合同，甲方可就未交货部分按认为适合的方式进行采购，由此造成的类似产品的超价由乙方负责。乙方应继续履行合同未终止部分的责任义务。</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15.5.5 按本合同条款15条之15</w:t>
      </w:r>
      <w:r>
        <w:rPr>
          <w:rFonts w:ascii="宋体" w:hAnsi="宋体"/>
          <w:color w:val="auto"/>
          <w:highlight w:val="none"/>
        </w:rPr>
        <w:t>.</w:t>
      </w:r>
      <w:r>
        <w:rPr>
          <w:rFonts w:hint="eastAsia" w:ascii="宋体" w:hAnsi="宋体"/>
          <w:color w:val="auto"/>
          <w:highlight w:val="none"/>
        </w:rPr>
        <w:t>2</w:t>
      </w:r>
      <w:r>
        <w:rPr>
          <w:rFonts w:ascii="宋体" w:hAnsi="宋体"/>
          <w:color w:val="auto"/>
          <w:highlight w:val="none"/>
        </w:rPr>
        <w:t>.1</w:t>
      </w:r>
      <w:r>
        <w:rPr>
          <w:rFonts w:hint="eastAsia" w:ascii="宋体" w:hAnsi="宋体"/>
          <w:color w:val="auto"/>
          <w:highlight w:val="none"/>
        </w:rPr>
        <w:t>、15</w:t>
      </w:r>
      <w:r>
        <w:rPr>
          <w:rFonts w:ascii="宋体" w:hAnsi="宋体"/>
          <w:color w:val="auto"/>
          <w:highlight w:val="none"/>
        </w:rPr>
        <w:t>.</w:t>
      </w:r>
      <w:r>
        <w:rPr>
          <w:rFonts w:hint="eastAsia" w:ascii="宋体" w:hAnsi="宋体"/>
          <w:color w:val="auto"/>
          <w:highlight w:val="none"/>
        </w:rPr>
        <w:t>2</w:t>
      </w:r>
      <w:r>
        <w:rPr>
          <w:rFonts w:ascii="宋体" w:hAnsi="宋体"/>
          <w:color w:val="auto"/>
          <w:highlight w:val="none"/>
        </w:rPr>
        <w:t>.2</w:t>
      </w:r>
      <w:r>
        <w:rPr>
          <w:rFonts w:hint="eastAsia" w:ascii="宋体" w:hAnsi="宋体"/>
          <w:color w:val="auto"/>
          <w:highlight w:val="none"/>
        </w:rPr>
        <w:t>终止合同之后，甲方应将乙方在终止合同日期前应得的所有金额向乙方支付。</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但在本项目完成之前，甲方没有义务向乙方支付任何进一步的款项。本项目完成后，在根据本合同条款14条考虑应支付给乙方的任何金额中，甲方有权从乙方应得款项中扣除为完成项目所招致的额外费用</w:t>
      </w:r>
      <w:r>
        <w:rPr>
          <w:rFonts w:ascii="宋体" w:hAnsi="宋体"/>
          <w:color w:val="auto"/>
          <w:highlight w:val="none"/>
        </w:rPr>
        <w:t>(</w:t>
      </w:r>
      <w:r>
        <w:rPr>
          <w:rFonts w:hint="eastAsia" w:ascii="宋体" w:hAnsi="宋体"/>
          <w:color w:val="auto"/>
          <w:highlight w:val="none"/>
        </w:rPr>
        <w:t>若有</w:t>
      </w:r>
      <w:r>
        <w:rPr>
          <w:rFonts w:ascii="宋体" w:hAnsi="宋体"/>
          <w:color w:val="auto"/>
          <w:highlight w:val="none"/>
        </w:rPr>
        <w:t>)</w:t>
      </w:r>
      <w:r>
        <w:rPr>
          <w:rFonts w:hint="eastAsia" w:ascii="宋体" w:hAnsi="宋体"/>
          <w:color w:val="auto"/>
          <w:highlight w:val="none"/>
        </w:rPr>
        <w:t>。如果没有此类额外费用，甲方应向乙方支付应付给乙方的任何结存金额。</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15.5.6如果甲方按合同条款15.3条终止合同，甲方可以不给乙方任何补偿，且该终止合同将不损害或影响甲方已经采取或将要采取的任何行动或补救措施的权利。</w:t>
      </w:r>
    </w:p>
    <w:p>
      <w:pPr>
        <w:tabs>
          <w:tab w:val="left" w:pos="640"/>
          <w:tab w:val="left" w:pos="1843"/>
        </w:tabs>
        <w:spacing w:before="0" w:after="0" w:afterAutospacing="0"/>
        <w:ind w:left="420" w:right="0" w:firstLine="0"/>
        <w:outlineLvl w:val="2"/>
        <w:rPr>
          <w:rFonts w:ascii="宋体" w:hAnsi="宋体"/>
          <w:b/>
          <w:color w:val="auto"/>
          <w:highlight w:val="none"/>
        </w:rPr>
      </w:pPr>
      <w:bookmarkStart w:id="452" w:name="_Toc378514972"/>
      <w:bookmarkStart w:id="453" w:name="_Toc390098484"/>
      <w:bookmarkStart w:id="454" w:name="_Toc24037"/>
      <w:bookmarkStart w:id="455" w:name="_Toc8696"/>
      <w:bookmarkStart w:id="456" w:name="_Toc492478782"/>
      <w:bookmarkStart w:id="457" w:name="_Toc24065"/>
      <w:bookmarkStart w:id="458" w:name="_Toc12432"/>
      <w:bookmarkStart w:id="459" w:name="_Toc25342"/>
      <w:bookmarkStart w:id="460" w:name="_Toc13888"/>
      <w:bookmarkStart w:id="461" w:name="_Toc6234"/>
      <w:bookmarkStart w:id="462" w:name="_Toc13416"/>
      <w:bookmarkStart w:id="463" w:name="_Toc3130"/>
      <w:bookmarkStart w:id="464" w:name="_Toc661"/>
      <w:bookmarkStart w:id="465" w:name="_Toc4396"/>
      <w:bookmarkStart w:id="466" w:name="_Toc385427858"/>
      <w:bookmarkStart w:id="467" w:name="_Toc17029"/>
      <w:bookmarkStart w:id="468" w:name="_Toc16315"/>
      <w:bookmarkStart w:id="469" w:name="_Toc19987"/>
      <w:bookmarkStart w:id="470" w:name="_Toc11530"/>
      <w:bookmarkStart w:id="471" w:name="_Toc18508"/>
      <w:bookmarkStart w:id="472" w:name="_Toc370933875"/>
      <w:bookmarkStart w:id="473" w:name="_Toc21413"/>
      <w:bookmarkStart w:id="474" w:name="_Toc25750653"/>
      <w:bookmarkStart w:id="475" w:name="_Toc32343"/>
      <w:r>
        <w:rPr>
          <w:rFonts w:ascii="宋体" w:hAnsi="宋体"/>
          <w:b/>
          <w:color w:val="auto"/>
          <w:highlight w:val="none"/>
        </w:rPr>
        <w:t>1</w:t>
      </w:r>
      <w:r>
        <w:rPr>
          <w:rFonts w:hint="eastAsia" w:ascii="宋体" w:hAnsi="宋体"/>
          <w:b/>
          <w:color w:val="auto"/>
          <w:highlight w:val="none"/>
        </w:rPr>
        <w:t>6</w:t>
      </w:r>
      <w:r>
        <w:rPr>
          <w:rFonts w:ascii="宋体" w:hAnsi="宋体"/>
          <w:b/>
          <w:color w:val="auto"/>
          <w:highlight w:val="none"/>
        </w:rPr>
        <w:t>.不可抗力</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tabs>
          <w:tab w:val="left" w:pos="540"/>
          <w:tab w:val="left" w:pos="960"/>
        </w:tabs>
        <w:spacing w:before="0" w:after="0" w:afterAutospacing="0"/>
        <w:ind w:left="0" w:right="0" w:firstLine="424" w:firstLineChars="202"/>
        <w:rPr>
          <w:rFonts w:ascii="宋体" w:hAnsi="宋体"/>
          <w:color w:val="auto"/>
          <w:highlight w:val="none"/>
        </w:rPr>
      </w:pPr>
      <w:r>
        <w:rPr>
          <w:rFonts w:ascii="宋体" w:hAnsi="宋体"/>
          <w:color w:val="auto"/>
          <w:highlight w:val="none"/>
        </w:rPr>
        <w:t>1</w:t>
      </w:r>
      <w:r>
        <w:rPr>
          <w:rFonts w:hint="eastAsia" w:ascii="宋体" w:hAnsi="宋体"/>
          <w:color w:val="auto"/>
          <w:highlight w:val="none"/>
        </w:rPr>
        <w:t>6</w:t>
      </w:r>
      <w:r>
        <w:rPr>
          <w:rFonts w:ascii="宋体" w:hAnsi="宋体"/>
          <w:color w:val="auto"/>
          <w:highlight w:val="none"/>
        </w:rPr>
        <w:t>.1</w:t>
      </w:r>
      <w:r>
        <w:rPr>
          <w:rFonts w:hint="eastAsia" w:ascii="宋体" w:hAnsi="宋体"/>
          <w:color w:val="auto"/>
          <w:highlight w:val="none"/>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tabs>
          <w:tab w:val="left" w:pos="540"/>
          <w:tab w:val="left" w:pos="96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16.2若不可抗力发生使合同执行受阻，则合同执行时间根据受影响的时间相应延长，但合同价格不得调整。</w:t>
      </w:r>
    </w:p>
    <w:p>
      <w:pPr>
        <w:tabs>
          <w:tab w:val="left" w:pos="540"/>
          <w:tab w:val="left" w:pos="960"/>
        </w:tabs>
        <w:spacing w:before="0" w:after="0" w:afterAutospacing="0"/>
        <w:ind w:left="0" w:right="0" w:firstLine="424" w:firstLineChars="202"/>
        <w:rPr>
          <w:color w:val="auto"/>
          <w:highlight w:val="none"/>
        </w:rPr>
      </w:pPr>
      <w:r>
        <w:rPr>
          <w:rFonts w:hint="eastAsia" w:ascii="宋体" w:hAnsi="宋体"/>
          <w:color w:val="auto"/>
          <w:highlight w:val="none"/>
        </w:rPr>
        <w:t>16.3</w:t>
      </w:r>
      <w:r>
        <w:rPr>
          <w:rFonts w:hint="eastAsia"/>
          <w:color w:val="auto"/>
          <w:highlight w:val="none"/>
        </w:rPr>
        <w:t>不可抗力的确认</w:t>
      </w:r>
    </w:p>
    <w:p>
      <w:pPr>
        <w:tabs>
          <w:tab w:val="left" w:pos="540"/>
          <w:tab w:val="left" w:pos="960"/>
        </w:tabs>
        <w:spacing w:before="0" w:after="0" w:afterAutospacing="0"/>
        <w:ind w:left="0" w:right="0" w:firstLine="424" w:firstLineChars="202"/>
        <w:rPr>
          <w:color w:val="auto"/>
          <w:highlight w:val="none"/>
        </w:rPr>
      </w:pPr>
      <w:r>
        <w:rPr>
          <w:rFonts w:hint="eastAsia"/>
          <w:color w:val="auto"/>
          <w:highlight w:val="none"/>
        </w:rPr>
        <w:t>不可抗力发生后，甲方和乙方应收集证明不可抗力发生及不可抗力造成损失的证据，并及时认真统计所造成的损失。甲乙双方对是否属于不可抗力或其损失发生争议时，按第14条〔争议解决方式〕的约定处理。</w:t>
      </w:r>
    </w:p>
    <w:p>
      <w:pPr>
        <w:tabs>
          <w:tab w:val="left" w:pos="540"/>
          <w:tab w:val="left" w:pos="96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16.4不可抗力的通知</w:t>
      </w:r>
    </w:p>
    <w:p>
      <w:pPr>
        <w:tabs>
          <w:tab w:val="left" w:pos="540"/>
          <w:tab w:val="left" w:pos="960"/>
        </w:tabs>
        <w:spacing w:before="0" w:after="0" w:afterAutospacing="0"/>
        <w:ind w:left="0" w:right="0" w:firstLine="424" w:firstLineChars="202"/>
        <w:rPr>
          <w:color w:val="auto"/>
          <w:highlight w:val="none"/>
        </w:rPr>
      </w:pPr>
      <w:r>
        <w:rPr>
          <w:rFonts w:hint="eastAsia"/>
          <w:color w:val="auto"/>
          <w:highlight w:val="none"/>
        </w:rPr>
        <w:t>合同一方当事人遇到不可抗力事件，使其履行合同义务受到阻碍时，应立即通知合同另一方当事人，书面说明不可抗力和受阻碍的详细情况，并在合理期限内提供必要的证明。</w:t>
      </w:r>
    </w:p>
    <w:p>
      <w:pPr>
        <w:tabs>
          <w:tab w:val="left" w:pos="540"/>
          <w:tab w:val="left" w:pos="960"/>
        </w:tabs>
        <w:spacing w:before="0" w:after="0" w:afterAutospacing="0"/>
        <w:ind w:left="0" w:right="0" w:firstLine="424" w:firstLineChars="202"/>
        <w:rPr>
          <w:rFonts w:ascii="宋体" w:hAnsi="宋体"/>
          <w:color w:val="auto"/>
          <w:highlight w:val="none"/>
        </w:rPr>
      </w:pPr>
      <w:r>
        <w:rPr>
          <w:rFonts w:hint="eastAsia"/>
          <w:color w:val="auto"/>
          <w:highlight w:val="none"/>
        </w:rPr>
        <w:t>不可抗力持续发生的，合同一方当事人应及时向合同另一方当事人提交中间报告，说明不可抗力和履行合同受阻的情况，并于不可抗力事件结束后</w:t>
      </w:r>
      <w:r>
        <w:rPr>
          <w:color w:val="auto"/>
          <w:highlight w:val="none"/>
        </w:rPr>
        <w:t>28</w:t>
      </w:r>
      <w:r>
        <w:rPr>
          <w:rFonts w:hint="eastAsia"/>
          <w:color w:val="auto"/>
          <w:highlight w:val="none"/>
        </w:rPr>
        <w:t>天内提交最终报告及有关资料</w:t>
      </w:r>
    </w:p>
    <w:p>
      <w:pPr>
        <w:tabs>
          <w:tab w:val="left" w:pos="540"/>
          <w:tab w:val="left" w:pos="96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16.5</w:t>
      </w:r>
      <w:r>
        <w:rPr>
          <w:rFonts w:hint="eastAsia"/>
          <w:color w:val="auto"/>
          <w:highlight w:val="none"/>
        </w:rPr>
        <w:t>不可抗力后果的承担</w:t>
      </w:r>
    </w:p>
    <w:p>
      <w:pPr>
        <w:tabs>
          <w:tab w:val="left" w:pos="540"/>
          <w:tab w:val="left" w:pos="96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如发生不可抗力，乙方应在十四天内通知甲方并应提供有关当局（官方机构）的证明文件。除非甲方另有书面指示，乙方应继续依可行方式及其他不受不可抗力制约的替代形式履行合同义务。</w:t>
      </w:r>
    </w:p>
    <w:p>
      <w:pPr>
        <w:tabs>
          <w:tab w:val="left" w:pos="540"/>
          <w:tab w:val="left" w:pos="96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任何因不可抗力所导致延误履行合同或不能履行合同，受阻方将不因此而构成违约。</w:t>
      </w:r>
    </w:p>
    <w:p>
      <w:pPr>
        <w:tabs>
          <w:tab w:val="left" w:pos="540"/>
          <w:tab w:val="left" w:pos="96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在发生任何不可抗力的情况时，只要合理可行，双方应尽力继续履行其合同中的义务。并应通知对方准备采取的措施，包括不可抗力不能阻止的任何合理的替代履约方法。不可抗力结束后，乙方应及时履行合同，否则视为违约。</w:t>
      </w:r>
    </w:p>
    <w:p>
      <w:pPr>
        <w:tabs>
          <w:tab w:val="left" w:pos="540"/>
          <w:tab w:val="left" w:pos="96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如果不可抗力已发生并持续一百八十（</w:t>
      </w:r>
      <w:r>
        <w:rPr>
          <w:rFonts w:ascii="宋体" w:hAnsi="宋体"/>
          <w:color w:val="auto"/>
          <w:highlight w:val="none"/>
        </w:rPr>
        <w:t>180</w:t>
      </w:r>
      <w:r>
        <w:rPr>
          <w:rFonts w:hint="eastAsia" w:ascii="宋体" w:hAnsi="宋体"/>
          <w:color w:val="auto"/>
          <w:highlight w:val="none"/>
        </w:rPr>
        <w:t>）天，则尽管由于此原因可能已允许乙方延长合同期限，双方中任何一方均有权在通知对方三十（</w:t>
      </w:r>
      <w:r>
        <w:rPr>
          <w:rFonts w:ascii="宋体" w:hAnsi="宋体"/>
          <w:color w:val="auto"/>
          <w:highlight w:val="none"/>
        </w:rPr>
        <w:t>30</w:t>
      </w:r>
      <w:r>
        <w:rPr>
          <w:rFonts w:hint="eastAsia" w:ascii="宋体" w:hAnsi="宋体"/>
          <w:color w:val="auto"/>
          <w:highlight w:val="none"/>
        </w:rPr>
        <w:t>）天后终止合同。</w:t>
      </w:r>
    </w:p>
    <w:p>
      <w:pPr>
        <w:tabs>
          <w:tab w:val="left" w:pos="540"/>
          <w:tab w:val="left" w:pos="96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如果不可抗力的情况发生并因此根据合同法双方均被解除进一步履行合同，乙方的</w:t>
      </w:r>
      <w:r>
        <w:rPr>
          <w:rFonts w:hint="eastAsia" w:ascii="宋体" w:hAnsi="宋体"/>
          <w:color w:val="auto"/>
          <w:highlight w:val="none"/>
          <w:lang w:eastAsia="zh-CN"/>
        </w:rPr>
        <w:t>履约保证金</w:t>
      </w:r>
      <w:r>
        <w:rPr>
          <w:rFonts w:hint="eastAsia" w:ascii="宋体" w:hAnsi="宋体"/>
          <w:color w:val="auto"/>
          <w:highlight w:val="none"/>
        </w:rPr>
        <w:t>不被没收。</w:t>
      </w:r>
    </w:p>
    <w:p>
      <w:pPr>
        <w:tabs>
          <w:tab w:val="left" w:pos="540"/>
          <w:tab w:val="left" w:pos="960"/>
        </w:tabs>
        <w:spacing w:before="0" w:after="0" w:afterAutospacing="0"/>
        <w:ind w:left="0" w:right="0" w:firstLine="424" w:firstLineChars="202"/>
        <w:rPr>
          <w:rFonts w:ascii="宋体" w:hAnsi="宋体"/>
          <w:color w:val="auto"/>
          <w:highlight w:val="none"/>
        </w:rPr>
      </w:pPr>
      <w:r>
        <w:rPr>
          <w:rFonts w:hint="eastAsia"/>
          <w:color w:val="auto"/>
          <w:highlight w:val="none"/>
        </w:rPr>
        <w:t>因合同一方迟延履行合同义务，在迟延履行期间遭遇不可抗力的，不免除其违约责任。</w:t>
      </w:r>
    </w:p>
    <w:p>
      <w:pPr>
        <w:tabs>
          <w:tab w:val="left" w:pos="640"/>
          <w:tab w:val="left" w:pos="1843"/>
        </w:tabs>
        <w:spacing w:before="0" w:after="0" w:afterAutospacing="0"/>
        <w:ind w:left="420" w:right="0" w:firstLine="0"/>
        <w:outlineLvl w:val="2"/>
        <w:rPr>
          <w:rFonts w:ascii="宋体" w:hAnsi="宋体"/>
          <w:b/>
          <w:color w:val="auto"/>
          <w:highlight w:val="none"/>
        </w:rPr>
      </w:pPr>
      <w:bookmarkStart w:id="476" w:name="_Toc32071"/>
      <w:bookmarkStart w:id="477" w:name="_Toc17344"/>
      <w:bookmarkStart w:id="478" w:name="_Toc385427867"/>
      <w:bookmarkStart w:id="479" w:name="_Toc13343"/>
      <w:bookmarkStart w:id="480" w:name="_Toc492478791"/>
      <w:bookmarkStart w:id="481" w:name="_Toc15635"/>
      <w:bookmarkStart w:id="482" w:name="_Toc390098493"/>
      <w:bookmarkStart w:id="483" w:name="_Toc32638"/>
      <w:bookmarkStart w:id="484" w:name="_Toc6421"/>
      <w:bookmarkStart w:id="485" w:name="_Toc2458"/>
      <w:bookmarkStart w:id="486" w:name="_Toc22330"/>
      <w:bookmarkStart w:id="487" w:name="_Toc10304"/>
      <w:bookmarkStart w:id="488" w:name="_Toc26295"/>
      <w:bookmarkStart w:id="489" w:name="_Toc25750662"/>
      <w:bookmarkStart w:id="490" w:name="_Toc23442"/>
      <w:bookmarkStart w:id="491" w:name="_Toc378514981"/>
      <w:bookmarkStart w:id="492" w:name="_Toc19209"/>
      <w:bookmarkStart w:id="493" w:name="_Toc28875"/>
      <w:bookmarkStart w:id="494" w:name="_Toc25119"/>
      <w:bookmarkStart w:id="495" w:name="_Toc3785"/>
      <w:bookmarkStart w:id="496" w:name="_Toc864"/>
      <w:bookmarkStart w:id="497" w:name="_Toc6374"/>
      <w:bookmarkStart w:id="498" w:name="_Toc3019"/>
      <w:bookmarkStart w:id="499" w:name="_Toc370933884"/>
      <w:r>
        <w:rPr>
          <w:rFonts w:hint="eastAsia" w:ascii="宋体" w:hAnsi="宋体"/>
          <w:b/>
          <w:color w:val="auto"/>
          <w:highlight w:val="none"/>
        </w:rPr>
        <w:t>17.通知</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tabs>
          <w:tab w:val="left" w:pos="540"/>
          <w:tab w:val="left" w:pos="96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17.1除非在合同中另有规定，合同项下发出的所有通知都要按书面形式，以信函、特快专递、传真方式发送到合同指定的地址。任何一方对地址的变更应提前</w:t>
      </w:r>
      <w:r>
        <w:rPr>
          <w:rFonts w:ascii="宋体" w:hAnsi="宋体"/>
          <w:color w:val="auto"/>
          <w:highlight w:val="none"/>
        </w:rPr>
        <w:t>10</w:t>
      </w:r>
      <w:r>
        <w:rPr>
          <w:rFonts w:hint="eastAsia" w:ascii="宋体" w:hAnsi="宋体"/>
          <w:color w:val="auto"/>
          <w:highlight w:val="none"/>
        </w:rPr>
        <w:t>天书面通知另一方。有关重大问题的传真应以挂号或快递方式邮寄确认。</w:t>
      </w:r>
    </w:p>
    <w:p>
      <w:pPr>
        <w:tabs>
          <w:tab w:val="left" w:pos="540"/>
          <w:tab w:val="left" w:pos="96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17.2通知的内容包括合同项下的批复、意见、指令、说明和证据。</w:t>
      </w:r>
    </w:p>
    <w:p>
      <w:pPr>
        <w:tabs>
          <w:tab w:val="left" w:pos="540"/>
          <w:tab w:val="left" w:pos="96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17.3通知以送到日期或通知书的生效日期为生效日期，两者中以晚的一个日期为准。</w:t>
      </w:r>
    </w:p>
    <w:p>
      <w:pPr>
        <w:tabs>
          <w:tab w:val="left" w:pos="640"/>
          <w:tab w:val="left" w:pos="1843"/>
        </w:tabs>
        <w:spacing w:before="0" w:after="0" w:afterAutospacing="0"/>
        <w:ind w:left="420" w:right="0" w:firstLine="0"/>
        <w:outlineLvl w:val="2"/>
        <w:rPr>
          <w:rFonts w:ascii="宋体" w:hAnsi="宋体"/>
          <w:b/>
          <w:color w:val="auto"/>
          <w:highlight w:val="none"/>
        </w:rPr>
      </w:pPr>
      <w:bookmarkStart w:id="500" w:name="_Toc459797546"/>
      <w:bookmarkEnd w:id="500"/>
      <w:bookmarkStart w:id="501" w:name="_Toc459797548"/>
      <w:bookmarkEnd w:id="501"/>
      <w:bookmarkStart w:id="502" w:name="_Toc459797539"/>
      <w:bookmarkEnd w:id="502"/>
      <w:bookmarkStart w:id="503" w:name="_Toc459730490"/>
      <w:bookmarkEnd w:id="503"/>
      <w:bookmarkStart w:id="504" w:name="_Toc459730501"/>
      <w:bookmarkEnd w:id="504"/>
      <w:bookmarkStart w:id="505" w:name="_Toc459797551"/>
      <w:bookmarkEnd w:id="505"/>
      <w:bookmarkStart w:id="506" w:name="_Toc459730509"/>
      <w:bookmarkEnd w:id="506"/>
      <w:bookmarkStart w:id="507" w:name="_Toc459730514"/>
      <w:bookmarkEnd w:id="507"/>
      <w:bookmarkStart w:id="508" w:name="_Toc459730515"/>
      <w:bookmarkEnd w:id="508"/>
      <w:bookmarkStart w:id="509" w:name="_Toc459730495"/>
      <w:bookmarkEnd w:id="509"/>
      <w:bookmarkStart w:id="510" w:name="_Toc459797566"/>
      <w:bookmarkEnd w:id="510"/>
      <w:bookmarkStart w:id="511" w:name="_Toc459730487"/>
      <w:bookmarkEnd w:id="511"/>
      <w:bookmarkStart w:id="512" w:name="_Toc459730489"/>
      <w:bookmarkEnd w:id="512"/>
      <w:bookmarkStart w:id="513" w:name="_Toc459730485"/>
      <w:bookmarkEnd w:id="513"/>
      <w:bookmarkStart w:id="514" w:name="_Toc459730512"/>
      <w:bookmarkEnd w:id="514"/>
      <w:bookmarkStart w:id="515" w:name="_Toc459797540"/>
      <w:bookmarkEnd w:id="515"/>
      <w:bookmarkStart w:id="516" w:name="_Toc459797554"/>
      <w:bookmarkEnd w:id="516"/>
      <w:bookmarkStart w:id="517" w:name="_Toc459797559"/>
      <w:bookmarkEnd w:id="517"/>
      <w:bookmarkStart w:id="518" w:name="_Toc459730488"/>
      <w:bookmarkEnd w:id="518"/>
      <w:bookmarkStart w:id="519" w:name="_Toc459730506"/>
      <w:bookmarkEnd w:id="519"/>
      <w:bookmarkStart w:id="520" w:name="_Toc459797543"/>
      <w:bookmarkEnd w:id="520"/>
      <w:bookmarkStart w:id="521" w:name="_Toc459797556"/>
      <w:bookmarkEnd w:id="521"/>
      <w:bookmarkStart w:id="522" w:name="_Toc459730516"/>
      <w:bookmarkEnd w:id="522"/>
      <w:bookmarkStart w:id="523" w:name="_Toc459797545"/>
      <w:bookmarkEnd w:id="523"/>
      <w:bookmarkStart w:id="524" w:name="_Toc459730498"/>
      <w:bookmarkEnd w:id="524"/>
      <w:bookmarkStart w:id="525" w:name="_Toc459730504"/>
      <w:bookmarkEnd w:id="525"/>
      <w:bookmarkStart w:id="526" w:name="_Toc459730491"/>
      <w:bookmarkEnd w:id="526"/>
      <w:bookmarkStart w:id="527" w:name="_Toc459730503"/>
      <w:bookmarkEnd w:id="527"/>
      <w:bookmarkStart w:id="528" w:name="_Toc459797567"/>
      <w:bookmarkEnd w:id="528"/>
      <w:bookmarkStart w:id="529" w:name="_Toc459797557"/>
      <w:bookmarkEnd w:id="529"/>
      <w:bookmarkStart w:id="530" w:name="_Toc459797542"/>
      <w:bookmarkEnd w:id="530"/>
      <w:bookmarkStart w:id="531" w:name="_Toc459797550"/>
      <w:bookmarkEnd w:id="531"/>
      <w:bookmarkStart w:id="532" w:name="_Toc459797541"/>
      <w:bookmarkEnd w:id="532"/>
      <w:bookmarkStart w:id="533" w:name="_Toc459797568"/>
      <w:bookmarkEnd w:id="533"/>
      <w:bookmarkStart w:id="534" w:name="_Toc459797569"/>
      <w:bookmarkEnd w:id="534"/>
      <w:bookmarkStart w:id="535" w:name="_Toc459730492"/>
      <w:bookmarkEnd w:id="535"/>
      <w:bookmarkStart w:id="536" w:name="_Toc459797547"/>
      <w:bookmarkEnd w:id="536"/>
      <w:bookmarkStart w:id="537" w:name="_Toc459797549"/>
      <w:bookmarkEnd w:id="537"/>
      <w:bookmarkStart w:id="538" w:name="_Toc459730486"/>
      <w:bookmarkEnd w:id="538"/>
      <w:bookmarkStart w:id="539" w:name="_Toc459797538"/>
      <w:bookmarkEnd w:id="539"/>
      <w:bookmarkStart w:id="540" w:name="_Toc459730505"/>
      <w:bookmarkEnd w:id="540"/>
      <w:bookmarkStart w:id="541" w:name="_Toc459797560"/>
      <w:bookmarkEnd w:id="541"/>
      <w:bookmarkStart w:id="542" w:name="_Toc459797564"/>
      <w:bookmarkEnd w:id="542"/>
      <w:bookmarkStart w:id="543" w:name="_Toc459797570"/>
      <w:bookmarkEnd w:id="543"/>
      <w:bookmarkStart w:id="544" w:name="_Toc459730494"/>
      <w:bookmarkEnd w:id="544"/>
      <w:bookmarkStart w:id="545" w:name="_Toc459797561"/>
      <w:bookmarkEnd w:id="545"/>
      <w:bookmarkStart w:id="546" w:name="_Toc459730511"/>
      <w:bookmarkEnd w:id="546"/>
      <w:bookmarkStart w:id="547" w:name="_Toc459797552"/>
      <w:bookmarkEnd w:id="547"/>
      <w:bookmarkStart w:id="548" w:name="_Toc459730500"/>
      <w:bookmarkEnd w:id="548"/>
      <w:bookmarkStart w:id="549" w:name="_Toc459797544"/>
      <w:bookmarkEnd w:id="549"/>
      <w:bookmarkStart w:id="550" w:name="_Toc459730507"/>
      <w:bookmarkEnd w:id="550"/>
      <w:bookmarkStart w:id="551" w:name="_Toc459797558"/>
      <w:bookmarkEnd w:id="551"/>
      <w:bookmarkStart w:id="552" w:name="_Toc459730508"/>
      <w:bookmarkEnd w:id="552"/>
      <w:bookmarkStart w:id="553" w:name="_Toc459730517"/>
      <w:bookmarkEnd w:id="553"/>
      <w:bookmarkStart w:id="554" w:name="_Toc459730510"/>
      <w:bookmarkEnd w:id="554"/>
      <w:bookmarkStart w:id="555" w:name="_Toc459730499"/>
      <w:bookmarkEnd w:id="555"/>
      <w:bookmarkStart w:id="556" w:name="_Toc459797563"/>
      <w:bookmarkEnd w:id="556"/>
      <w:bookmarkStart w:id="557" w:name="_Toc459797555"/>
      <w:bookmarkEnd w:id="557"/>
      <w:bookmarkStart w:id="558" w:name="_Toc459730502"/>
      <w:bookmarkEnd w:id="558"/>
      <w:bookmarkStart w:id="559" w:name="_Toc459730493"/>
      <w:bookmarkEnd w:id="559"/>
      <w:bookmarkStart w:id="560" w:name="_Toc459730513"/>
      <w:bookmarkEnd w:id="560"/>
      <w:bookmarkStart w:id="561" w:name="_Toc459797553"/>
      <w:bookmarkEnd w:id="561"/>
      <w:bookmarkStart w:id="562" w:name="_Toc459797565"/>
      <w:bookmarkEnd w:id="562"/>
      <w:bookmarkStart w:id="563" w:name="_Toc459730496"/>
      <w:bookmarkEnd w:id="563"/>
      <w:bookmarkStart w:id="564" w:name="_Toc459797562"/>
      <w:bookmarkEnd w:id="564"/>
      <w:bookmarkStart w:id="565" w:name="_Toc459730497"/>
      <w:bookmarkEnd w:id="565"/>
      <w:bookmarkStart w:id="566" w:name="_Toc27400"/>
      <w:bookmarkStart w:id="567" w:name="_Toc8642"/>
      <w:bookmarkStart w:id="568" w:name="_Toc925"/>
      <w:bookmarkStart w:id="569" w:name="_Toc25406"/>
      <w:bookmarkStart w:id="570" w:name="_Toc2427"/>
      <w:bookmarkStart w:id="571" w:name="_Toc25750670"/>
      <w:bookmarkStart w:id="572" w:name="_Toc370933887"/>
      <w:bookmarkStart w:id="573" w:name="_Toc14240"/>
      <w:bookmarkStart w:id="574" w:name="_Toc25859"/>
      <w:bookmarkStart w:id="575" w:name="_Toc11286"/>
      <w:bookmarkStart w:id="576" w:name="_Toc4370"/>
      <w:bookmarkStart w:id="577" w:name="_Toc27029"/>
      <w:bookmarkStart w:id="578" w:name="_Toc11322"/>
      <w:bookmarkStart w:id="579" w:name="_Toc20780"/>
      <w:bookmarkStart w:id="580" w:name="_Toc390098502"/>
      <w:bookmarkStart w:id="581" w:name="_Toc26446"/>
      <w:bookmarkStart w:id="582" w:name="_Toc309"/>
      <w:bookmarkStart w:id="583" w:name="_Toc385427876"/>
      <w:bookmarkStart w:id="584" w:name="_Toc16845"/>
      <w:bookmarkStart w:id="585" w:name="_Toc6462"/>
      <w:bookmarkStart w:id="586" w:name="_Toc20826"/>
      <w:bookmarkStart w:id="587" w:name="_Toc492478800"/>
      <w:bookmarkStart w:id="588" w:name="_Toc24789"/>
      <w:bookmarkStart w:id="589" w:name="_Toc378514990"/>
      <w:r>
        <w:rPr>
          <w:rFonts w:hint="eastAsia" w:ascii="宋体" w:hAnsi="宋体"/>
          <w:b/>
          <w:color w:val="auto"/>
          <w:highlight w:val="none"/>
        </w:rPr>
        <w:t>18.争端的解决</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18.1因本合同引起的或与本合同有关的合同争议，由买卖双方协商解决，协商不成的，可向甲方住所地有管辖权的人民法院提起诉讼。</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18.2除非各方另有约定，诉讼语言应为汉语。</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18.3法院判决应为最终裁决，对双方均具有约束力。</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18.4诉讼费应由败诉方负担。</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18.5协商、调解和诉讼期间，合同应继续执行，合同双方不得以争议为由拒绝执行。</w:t>
      </w:r>
    </w:p>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19.适用法律</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本合同适用中华人民共和国现行法律。</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20.其它</w:t>
      </w:r>
    </w:p>
    <w:p>
      <w:pPr>
        <w:tabs>
          <w:tab w:val="left" w:pos="840"/>
          <w:tab w:val="left" w:pos="1843"/>
        </w:tabs>
        <w:spacing w:before="0" w:after="0" w:afterAutospacing="0"/>
        <w:ind w:left="420" w:right="0" w:firstLine="0"/>
        <w:rPr>
          <w:rFonts w:ascii="宋体" w:hAnsi="宋体"/>
          <w:color w:val="auto"/>
          <w:highlight w:val="none"/>
        </w:rPr>
      </w:pPr>
      <w:r>
        <w:rPr>
          <w:rFonts w:hint="eastAsia" w:ascii="宋体" w:hAnsi="宋体"/>
          <w:color w:val="auto"/>
          <w:highlight w:val="none"/>
        </w:rPr>
        <w:t>20.1乙方确认并认知：</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20.1.1其系在适当研究其所承担的风险及义务后订立合同的，为接受该等风险和义务，其已对合同价格、合同价格的任何细目所述的任何费率或金额作了充分的考虑；</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20.1.2其同意该等风险和义务，并未受到甲方方面的任何胁迫或压力；</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20.1.3其接受该等风险和义务，是甲方愿意和能够按合同约定的价格订立合同的先决条件；</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20.1.4考虑到本交易的所有情形，合同的条款是公平合理的，乙方之后不得以任何理由寻求对合同或其任一条款的法律效力提出异议，并放弃这样做的任何权利。</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20.2合同附件的规定全部都是合同条款中相关内容的补充和/或再描述。</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20.3合同执行的文档管理</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合同执行中买、卖双方来往的正式文档，如：合同修改书、变更建议书、验收证书、支付申请等，按甲方相关的管理办法执行。</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20.4乙方不得利用本合同开展质押或其他融资业务；不得就本合同项下发生应收账款业务向其他第三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21.廉洁条款特别约定</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21.1 严格遵守国家有关法律法规以及廉洁条款的有关规定。</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21.2 严格遵守商业道德和市场规则，共同营造公平公正的商业交易环境。</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21.3 不向甲方及其人员提供回扣、礼金、有价证券、支付凭证、贵重物品等。</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21.4 不为甲方及其人员报销应由贵公司或个人支付的费用。</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21.5 不为甲方人员投资入股，个人借款或买卖股票、债券等提供方便。</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21.6 不为甲方人员购买或装修住房、婚丧嫁娶、配偶和子女上学或工作安排以及出国（境）、旅游等提供方便。</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21.7 不为甲方人员安排的有可能影响履行合同的宴请、健身、娱乐等活动。</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21.8 不为甲方及其人员购置或提供通讯工具、交通工具和高档办公用品。</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21.9 不为甲方人员的配偶、子女及其他人亲属谋取不正当利益提供方便。</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21.10 不违反规定安排甲方人员在乙方或乙方相关企业兼职和领取兼职工资及报酬；不得利用非法手段向甲方打探有关涉及贵公司的商业秘密、业务渠道等。</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21.11 甲方对涉嫌不廉洁的商业行为进行调查时，乙方应配合甲方提供证据、作证的义务。</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21.12 未经甲方书面同意，乙方不得向任何新闻媒体、第三人述及有关甲方人员廉洁从业方面的评价、信息。</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21.13 如有违反的，一经发现，甲方可以立即终止与乙方之间合作业务并无须承担任何经济和法律责任。</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22.合同生效和签约地</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22.1 本合同生效的时间以双方签署的协议书上的最后日期为准。</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22.2 本合同签约地为中华人民共和国广西壮族自治区南宁市青秀区。</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22.3 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spacing w:before="0" w:after="0" w:afterAutospacing="0"/>
        <w:ind w:left="0" w:right="0" w:firstLine="420" w:firstLineChars="200"/>
        <w:rPr>
          <w:rFonts w:ascii="宋体" w:hAnsi="宋体"/>
          <w:color w:val="auto"/>
          <w:highlight w:val="none"/>
        </w:rPr>
      </w:pPr>
    </w:p>
    <w:p>
      <w:pPr>
        <w:pStyle w:val="5"/>
        <w:pageBreakBefore/>
        <w:spacing w:before="40" w:after="40" w:line="240" w:lineRule="auto"/>
        <w:jc w:val="center"/>
        <w:rPr>
          <w:rFonts w:ascii="Times New Roman" w:hAnsi="Times New Roman" w:eastAsia="宋体"/>
          <w:color w:val="auto"/>
          <w:highlight w:val="none"/>
        </w:rPr>
      </w:pPr>
      <w:bookmarkStart w:id="590" w:name="_Toc32383"/>
      <w:bookmarkStart w:id="591" w:name="_Toc100643458"/>
      <w:bookmarkStart w:id="592" w:name="_Toc92268620"/>
      <w:bookmarkStart w:id="593" w:name="_Toc12606"/>
      <w:r>
        <w:rPr>
          <w:rFonts w:ascii="Times New Roman" w:hAnsi="Times New Roman" w:eastAsia="宋体"/>
          <w:color w:val="auto"/>
          <w:highlight w:val="none"/>
        </w:rPr>
        <w:t>第</w:t>
      </w:r>
      <w:r>
        <w:rPr>
          <w:rFonts w:hint="eastAsia" w:ascii="Times New Roman" w:hAnsi="Times New Roman" w:eastAsia="宋体"/>
          <w:color w:val="auto"/>
          <w:highlight w:val="none"/>
          <w:lang w:val="en-US" w:eastAsia="zh-CN"/>
        </w:rPr>
        <w:t>四</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价格组成文件</w:t>
      </w:r>
      <w:bookmarkEnd w:id="590"/>
      <w:bookmarkEnd w:id="591"/>
      <w:bookmarkEnd w:id="592"/>
      <w:bookmarkEnd w:id="593"/>
    </w:p>
    <w:p>
      <w:pPr>
        <w:pStyle w:val="55"/>
        <w:adjustRightInd/>
        <w:spacing w:before="0" w:after="0" w:line="360" w:lineRule="auto"/>
        <w:ind w:left="0" w:right="0"/>
        <w:rPr>
          <w:rFonts w:ascii="宋体" w:hAnsi="宋体"/>
          <w:color w:val="auto"/>
          <w:sz w:val="21"/>
          <w:szCs w:val="21"/>
          <w:highlight w:val="none"/>
        </w:rPr>
      </w:pPr>
    </w:p>
    <w:p>
      <w:pPr>
        <w:pStyle w:val="6"/>
        <w:rPr>
          <w:rFonts w:ascii="宋体" w:hAnsi="宋体"/>
          <w:b w:val="0"/>
          <w:color w:val="auto"/>
          <w:sz w:val="21"/>
          <w:szCs w:val="21"/>
          <w:highlight w:val="none"/>
        </w:rPr>
      </w:pPr>
      <w:bookmarkStart w:id="594" w:name="_Toc92268621"/>
      <w:r>
        <w:rPr>
          <w:rFonts w:ascii="宋体" w:hAnsi="宋体"/>
          <w:b w:val="0"/>
          <w:color w:val="auto"/>
          <w:highlight w:val="none"/>
        </w:rPr>
        <w:t>1</w:t>
      </w:r>
      <w:r>
        <w:rPr>
          <w:rFonts w:hint="eastAsia" w:ascii="宋体" w:hAnsi="宋体"/>
          <w:b w:val="0"/>
          <w:color w:val="auto"/>
          <w:highlight w:val="none"/>
        </w:rPr>
        <w:t>.税率确认函</w:t>
      </w:r>
      <w:bookmarkEnd w:id="594"/>
    </w:p>
    <w:p>
      <w:pPr>
        <w:pStyle w:val="6"/>
        <w:rPr>
          <w:rFonts w:ascii="宋体" w:hAnsi="宋体"/>
          <w:b w:val="0"/>
          <w:color w:val="auto"/>
          <w:highlight w:val="none"/>
        </w:rPr>
      </w:pPr>
      <w:bookmarkStart w:id="595" w:name="_Toc92268622"/>
      <w:r>
        <w:rPr>
          <w:rFonts w:hint="eastAsia" w:ascii="宋体" w:hAnsi="宋体"/>
          <w:b w:val="0"/>
          <w:color w:val="auto"/>
          <w:highlight w:val="none"/>
        </w:rPr>
        <w:t>2.中选文件分项报价表</w:t>
      </w:r>
      <w:bookmarkEnd w:id="595"/>
    </w:p>
    <w:p>
      <w:pPr>
        <w:pStyle w:val="6"/>
        <w:rPr>
          <w:rFonts w:ascii="宋体" w:hAnsi="宋体"/>
          <w:b w:val="0"/>
          <w:color w:val="auto"/>
          <w:highlight w:val="none"/>
        </w:rPr>
      </w:pPr>
      <w:bookmarkStart w:id="596" w:name="_Toc92268623"/>
      <w:r>
        <w:rPr>
          <w:rFonts w:hint="eastAsia" w:ascii="宋体" w:hAnsi="宋体"/>
          <w:b w:val="0"/>
          <w:color w:val="auto"/>
          <w:highlight w:val="none"/>
        </w:rPr>
        <w:t>3.含税分项报价汇总表</w:t>
      </w:r>
      <w:bookmarkEnd w:id="596"/>
    </w:p>
    <w:p>
      <w:pPr>
        <w:pStyle w:val="6"/>
        <w:rPr>
          <w:rFonts w:hint="eastAsia" w:eastAsia="宋体"/>
          <w:color w:val="auto"/>
          <w:highlight w:val="none"/>
          <w:lang w:eastAsia="zh-CN"/>
        </w:rPr>
      </w:pPr>
      <w:r>
        <w:rPr>
          <w:rFonts w:hint="eastAsia" w:ascii="宋体" w:hAnsi="宋体"/>
          <w:b w:val="0"/>
          <w:color w:val="auto"/>
          <w:highlight w:val="none"/>
        </w:rPr>
        <w:t>4.含税分项分线报价表</w:t>
      </w:r>
      <w:r>
        <w:rPr>
          <w:rFonts w:hint="eastAsia" w:ascii="宋体" w:hAnsi="宋体"/>
          <w:b w:val="0"/>
          <w:color w:val="auto"/>
          <w:highlight w:val="none"/>
          <w:lang w:eastAsia="zh-CN"/>
        </w:rPr>
        <w:t>（若有）</w:t>
      </w:r>
    </w:p>
    <w:p>
      <w:pPr>
        <w:pStyle w:val="55"/>
        <w:adjustRightInd/>
        <w:spacing w:before="0" w:after="0" w:line="360" w:lineRule="auto"/>
        <w:ind w:left="0" w:right="0"/>
        <w:rPr>
          <w:rFonts w:ascii="宋体" w:hAnsi="宋体"/>
          <w:color w:val="auto"/>
          <w:sz w:val="21"/>
          <w:szCs w:val="21"/>
          <w:highlight w:val="none"/>
        </w:rPr>
      </w:pPr>
    </w:p>
    <w:p>
      <w:pPr>
        <w:spacing w:before="0" w:after="0"/>
        <w:ind w:left="699" w:leftChars="333" w:right="0" w:firstLine="930" w:firstLineChars="441"/>
        <w:rPr>
          <w:rFonts w:ascii="宋体" w:hAnsi="宋体"/>
          <w:b/>
          <w:color w:val="auto"/>
          <w:highlight w:val="none"/>
          <w:u w:val="single"/>
        </w:rPr>
      </w:pPr>
    </w:p>
    <w:p>
      <w:pPr>
        <w:pStyle w:val="2"/>
        <w:rPr>
          <w:color w:val="auto"/>
          <w:highlight w:val="none"/>
        </w:rPr>
      </w:pPr>
    </w:p>
    <w:p>
      <w:pPr>
        <w:pStyle w:val="55"/>
        <w:pageBreakBefore/>
        <w:adjustRightInd/>
        <w:spacing w:before="0" w:after="0" w:line="360" w:lineRule="auto"/>
        <w:ind w:left="0" w:right="0"/>
        <w:rPr>
          <w:rFonts w:ascii="宋体" w:hAnsi="宋体"/>
          <w:color w:val="auto"/>
          <w:sz w:val="21"/>
          <w:szCs w:val="21"/>
          <w:highlight w:val="none"/>
        </w:rPr>
      </w:pPr>
      <w:bookmarkStart w:id="597" w:name="_Toc21635"/>
      <w:bookmarkStart w:id="598" w:name="_Toc12470"/>
      <w:bookmarkStart w:id="599" w:name="_Toc27316"/>
      <w:bookmarkStart w:id="600" w:name="_Toc6194"/>
      <w:bookmarkStart w:id="601" w:name="_Toc5644"/>
      <w:bookmarkStart w:id="602" w:name="_Toc12983548"/>
      <w:bookmarkStart w:id="603" w:name="_Toc5186"/>
      <w:bookmarkStart w:id="604" w:name="_Toc2753"/>
      <w:bookmarkStart w:id="605" w:name="_Toc21372"/>
      <w:bookmarkStart w:id="606" w:name="_Toc21033"/>
      <w:bookmarkStart w:id="607" w:name="_Toc29249"/>
      <w:bookmarkStart w:id="608" w:name="_Toc27258"/>
      <w:bookmarkStart w:id="609" w:name="_Toc13288"/>
      <w:bookmarkStart w:id="610" w:name="_Toc14997"/>
      <w:bookmarkStart w:id="611" w:name="_Toc16443"/>
      <w:bookmarkStart w:id="612" w:name="_Toc21659"/>
      <w:bookmarkStart w:id="613" w:name="_Toc19448"/>
      <w:bookmarkStart w:id="614" w:name="_Toc16716"/>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
        <w:spacing w:before="40" w:after="40" w:line="240" w:lineRule="auto"/>
        <w:jc w:val="center"/>
        <w:rPr>
          <w:rFonts w:ascii="Times New Roman" w:hAnsi="Times New Roman" w:eastAsia="宋体"/>
          <w:color w:val="auto"/>
          <w:highlight w:val="none"/>
        </w:rPr>
      </w:pPr>
      <w:bookmarkStart w:id="615" w:name="_Toc100643460"/>
      <w:bookmarkStart w:id="616" w:name="_Toc17399"/>
      <w:bookmarkStart w:id="617" w:name="_Toc92268646"/>
      <w:bookmarkStart w:id="618" w:name="_Toc997"/>
      <w:r>
        <w:rPr>
          <w:rFonts w:ascii="Times New Roman" w:hAnsi="Times New Roman" w:eastAsia="宋体"/>
          <w:color w:val="auto"/>
          <w:highlight w:val="none"/>
        </w:rPr>
        <w:t>第</w:t>
      </w:r>
      <w:r>
        <w:rPr>
          <w:rFonts w:hint="eastAsia" w:ascii="Times New Roman" w:hAnsi="Times New Roman" w:eastAsia="宋体"/>
          <w:color w:val="auto"/>
          <w:highlight w:val="none"/>
        </w:rPr>
        <w:t>五</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技术规格书</w:t>
      </w:r>
      <w:bookmarkEnd w:id="615"/>
      <w:bookmarkEnd w:id="616"/>
      <w:bookmarkEnd w:id="617"/>
      <w:bookmarkEnd w:id="618"/>
    </w:p>
    <w:p>
      <w:pPr>
        <w:pStyle w:val="55"/>
        <w:adjustRightInd/>
        <w:spacing w:before="0" w:after="0" w:line="360" w:lineRule="auto"/>
        <w:ind w:left="0" w:right="0"/>
        <w:rPr>
          <w:rFonts w:ascii="宋体" w:hAnsi="宋体"/>
          <w:color w:val="auto"/>
          <w:sz w:val="21"/>
          <w:szCs w:val="21"/>
          <w:highlight w:val="none"/>
        </w:rPr>
      </w:pPr>
    </w:p>
    <w:p>
      <w:pPr>
        <w:snapToGrid w:val="0"/>
        <w:jc w:val="center"/>
        <w:rPr>
          <w:rFonts w:ascii="宋体" w:hAnsi="宋体"/>
          <w:b/>
          <w:color w:val="auto"/>
          <w:sz w:val="28"/>
          <w:szCs w:val="28"/>
          <w:highlight w:val="none"/>
        </w:rPr>
      </w:pPr>
      <w:r>
        <w:rPr>
          <w:rFonts w:hint="eastAsia" w:ascii="宋体" w:hAnsi="宋体"/>
          <w:b/>
          <w:color w:val="auto"/>
          <w:sz w:val="28"/>
          <w:szCs w:val="28"/>
          <w:highlight w:val="none"/>
        </w:rPr>
        <w:t>（另册）</w:t>
      </w: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pageBreakBefore/>
        <w:adjustRightInd/>
        <w:spacing w:before="0" w:after="0" w:line="360" w:lineRule="auto"/>
        <w:ind w:left="0" w:right="0"/>
        <w:rPr>
          <w:rFonts w:ascii="宋体" w:hAnsi="宋体"/>
          <w:color w:val="auto"/>
          <w:sz w:val="21"/>
          <w:szCs w:val="21"/>
          <w:highlight w:val="none"/>
        </w:rPr>
      </w:pPr>
      <w:bookmarkStart w:id="619" w:name="_Toc68674896"/>
      <w:bookmarkStart w:id="620" w:name="_Toc75264122"/>
      <w:bookmarkStart w:id="621" w:name="_Toc29924"/>
      <w:bookmarkStart w:id="622" w:name="_Toc480908536"/>
      <w:bookmarkStart w:id="623" w:name="_Toc72769348"/>
      <w:bookmarkStart w:id="624" w:name="_Toc483608731"/>
      <w:bookmarkStart w:id="625" w:name="_Toc14746"/>
      <w:bookmarkStart w:id="626" w:name="_Toc75963081"/>
      <w:bookmarkStart w:id="627" w:name="_Toc498882140"/>
      <w:bookmarkStart w:id="628" w:name="_Toc92268647"/>
    </w:p>
    <w:p>
      <w:pPr>
        <w:pStyle w:val="5"/>
        <w:spacing w:before="40" w:after="40" w:line="240" w:lineRule="auto"/>
        <w:jc w:val="center"/>
        <w:rPr>
          <w:rFonts w:ascii="宋体" w:hAnsi="宋体" w:eastAsia="宋体"/>
          <w:iCs/>
          <w:color w:val="auto"/>
          <w:highlight w:val="none"/>
        </w:rPr>
      </w:pPr>
      <w:bookmarkStart w:id="629" w:name="_Toc8955"/>
      <w:bookmarkStart w:id="630" w:name="_Toc100643461"/>
      <w:r>
        <w:rPr>
          <w:rFonts w:ascii="宋体" w:hAnsi="宋体" w:eastAsia="宋体"/>
          <w:iCs/>
          <w:color w:val="auto"/>
          <w:highlight w:val="none"/>
        </w:rPr>
        <w:t>第</w:t>
      </w:r>
      <w:r>
        <w:rPr>
          <w:rFonts w:hint="eastAsia" w:ascii="宋体" w:hAnsi="宋体" w:eastAsia="宋体"/>
          <w:iCs/>
          <w:color w:val="auto"/>
          <w:highlight w:val="none"/>
        </w:rPr>
        <w:t>六</w:t>
      </w:r>
      <w:r>
        <w:rPr>
          <w:rFonts w:ascii="宋体" w:hAnsi="宋体" w:eastAsia="宋体"/>
          <w:iCs/>
          <w:color w:val="auto"/>
          <w:highlight w:val="none"/>
        </w:rPr>
        <w:t>部分</w:t>
      </w:r>
      <w:r>
        <w:rPr>
          <w:rFonts w:hint="eastAsia" w:ascii="宋体" w:hAnsi="宋体" w:eastAsia="宋体"/>
          <w:iCs/>
          <w:color w:val="auto"/>
          <w:highlight w:val="none"/>
        </w:rPr>
        <w:t xml:space="preserve"> </w:t>
      </w:r>
      <w:r>
        <w:rPr>
          <w:rFonts w:ascii="宋体" w:hAnsi="宋体" w:eastAsia="宋体"/>
          <w:iCs/>
          <w:color w:val="auto"/>
          <w:highlight w:val="none"/>
        </w:rPr>
        <w:t>合同附件</w:t>
      </w:r>
      <w:bookmarkEnd w:id="619"/>
      <w:bookmarkEnd w:id="620"/>
      <w:bookmarkEnd w:id="621"/>
      <w:bookmarkEnd w:id="622"/>
      <w:bookmarkEnd w:id="623"/>
      <w:bookmarkEnd w:id="624"/>
      <w:bookmarkEnd w:id="625"/>
      <w:bookmarkEnd w:id="626"/>
      <w:bookmarkEnd w:id="627"/>
      <w:bookmarkEnd w:id="628"/>
      <w:bookmarkEnd w:id="629"/>
      <w:bookmarkEnd w:id="630"/>
    </w:p>
    <w:p>
      <w:pPr>
        <w:ind w:firstLine="420" w:firstLineChars="200"/>
        <w:textAlignment w:val="bottom"/>
        <w:rPr>
          <w:rFonts w:ascii="宋体" w:hAnsi="宋体"/>
          <w:color w:val="auto"/>
          <w:highlight w:val="none"/>
        </w:rPr>
      </w:pPr>
    </w:p>
    <w:p>
      <w:pPr>
        <w:pStyle w:val="6"/>
        <w:rPr>
          <w:rFonts w:ascii="宋体" w:hAnsi="宋体"/>
          <w:b w:val="0"/>
          <w:color w:val="auto"/>
          <w:highlight w:val="none"/>
        </w:rPr>
      </w:pPr>
      <w:bookmarkStart w:id="631" w:name="_Toc92268649"/>
      <w:r>
        <w:rPr>
          <w:rFonts w:hint="eastAsia" w:ascii="宋体" w:hAnsi="宋体"/>
          <w:b w:val="0"/>
          <w:color w:val="auto"/>
          <w:highlight w:val="none"/>
          <w:lang w:val="en-US" w:eastAsia="zh-CN"/>
        </w:rPr>
        <w:t>1</w:t>
      </w:r>
      <w:r>
        <w:rPr>
          <w:rFonts w:hint="eastAsia" w:ascii="宋体" w:hAnsi="宋体"/>
          <w:b w:val="0"/>
          <w:color w:val="auto"/>
          <w:highlight w:val="none"/>
        </w:rPr>
        <w:t>.</w:t>
      </w:r>
      <w:bookmarkEnd w:id="631"/>
      <w:r>
        <w:rPr>
          <w:rFonts w:hint="eastAsia" w:ascii="宋体" w:hAnsi="宋体"/>
          <w:b w:val="0"/>
          <w:color w:val="auto"/>
          <w:highlight w:val="none"/>
        </w:rPr>
        <w:t>乙方营业执照或资质证书等</w:t>
      </w:r>
    </w:p>
    <w:p>
      <w:pPr>
        <w:pStyle w:val="6"/>
        <w:rPr>
          <w:rFonts w:ascii="宋体" w:hAnsi="宋体"/>
          <w:b w:val="0"/>
          <w:color w:val="auto"/>
          <w:highlight w:val="none"/>
        </w:rPr>
      </w:pPr>
      <w:r>
        <w:rPr>
          <w:rFonts w:hint="eastAsia" w:ascii="宋体" w:hAnsi="宋体"/>
          <w:b w:val="0"/>
          <w:color w:val="auto"/>
          <w:highlight w:val="none"/>
          <w:lang w:val="en-US" w:eastAsia="zh-CN"/>
        </w:rPr>
        <w:t>2</w:t>
      </w:r>
      <w:r>
        <w:rPr>
          <w:rFonts w:hint="eastAsia" w:ascii="宋体" w:hAnsi="宋体"/>
          <w:b w:val="0"/>
          <w:color w:val="auto"/>
          <w:highlight w:val="none"/>
        </w:rPr>
        <w:t>.乙方法人授权委托书（如有）</w:t>
      </w:r>
    </w:p>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Pr>
        <w:spacing w:line="240" w:lineRule="auto"/>
        <w:ind w:left="0" w:leftChars="0" w:right="-57" w:firstLine="0" w:firstLineChars="0"/>
        <w:rPr>
          <w:rFonts w:hAnsi="宋体"/>
          <w:color w:val="auto"/>
          <w:highlight w:val="none"/>
        </w:rPr>
      </w:pPr>
    </w:p>
    <w:p>
      <w:pPr>
        <w:pStyle w:val="55"/>
        <w:pageBreakBefore/>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
        <w:spacing w:before="40" w:after="40" w:line="240" w:lineRule="auto"/>
        <w:jc w:val="center"/>
        <w:rPr>
          <w:rFonts w:ascii="Times New Roman" w:hAnsi="Times New Roman" w:eastAsia="宋体"/>
          <w:color w:val="auto"/>
          <w:highlight w:val="none"/>
        </w:rPr>
      </w:pPr>
      <w:bookmarkStart w:id="632" w:name="_Toc92268652"/>
      <w:bookmarkStart w:id="633" w:name="_Toc24244"/>
      <w:bookmarkStart w:id="634" w:name="_Toc26901"/>
      <w:bookmarkStart w:id="635" w:name="_Toc100643462"/>
      <w:r>
        <w:rPr>
          <w:rFonts w:ascii="Times New Roman" w:hAnsi="Times New Roman" w:eastAsia="宋体"/>
          <w:color w:val="auto"/>
          <w:highlight w:val="none"/>
        </w:rPr>
        <w:t>第</w:t>
      </w:r>
      <w:r>
        <w:rPr>
          <w:rFonts w:hint="eastAsia" w:ascii="Times New Roman" w:hAnsi="Times New Roman" w:eastAsia="宋体"/>
          <w:color w:val="auto"/>
          <w:highlight w:val="none"/>
        </w:rPr>
        <w:t>七</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比选文件</w:t>
      </w:r>
      <w:bookmarkEnd w:id="632"/>
      <w:bookmarkEnd w:id="633"/>
      <w:bookmarkEnd w:id="634"/>
      <w:bookmarkEnd w:id="635"/>
    </w:p>
    <w:p>
      <w:pPr>
        <w:pStyle w:val="55"/>
        <w:adjustRightInd/>
        <w:spacing w:before="0" w:after="0" w:line="360" w:lineRule="auto"/>
        <w:ind w:left="0" w:right="0"/>
        <w:rPr>
          <w:rFonts w:ascii="宋体" w:hAnsi="宋体"/>
          <w:color w:val="auto"/>
          <w:sz w:val="21"/>
          <w:szCs w:val="21"/>
          <w:highlight w:val="none"/>
        </w:rPr>
      </w:pPr>
    </w:p>
    <w:p>
      <w:pPr>
        <w:snapToGrid w:val="0"/>
        <w:jc w:val="center"/>
        <w:rPr>
          <w:rFonts w:ascii="宋体" w:hAnsi="宋体"/>
          <w:b/>
          <w:color w:val="auto"/>
          <w:sz w:val="28"/>
          <w:szCs w:val="28"/>
          <w:highlight w:val="none"/>
        </w:rPr>
      </w:pPr>
      <w:r>
        <w:rPr>
          <w:rFonts w:hint="eastAsia" w:ascii="宋体" w:hAnsi="宋体"/>
          <w:b/>
          <w:color w:val="auto"/>
          <w:sz w:val="28"/>
          <w:szCs w:val="28"/>
          <w:highlight w:val="none"/>
        </w:rPr>
        <w:t>（另册）</w:t>
      </w:r>
    </w:p>
    <w:p>
      <w:pPr>
        <w:pStyle w:val="55"/>
        <w:adjustRightInd/>
        <w:spacing w:before="0" w:after="0" w:line="360" w:lineRule="auto"/>
        <w:ind w:left="0" w:right="0"/>
        <w:rPr>
          <w:rFonts w:ascii="宋体" w:hAnsi="宋体"/>
          <w:color w:val="auto"/>
          <w:sz w:val="21"/>
          <w:szCs w:val="21"/>
          <w:highlight w:val="none"/>
        </w:rPr>
      </w:pPr>
    </w:p>
    <w:p>
      <w:pPr>
        <w:pStyle w:val="55"/>
        <w:pageBreakBefore/>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
        <w:spacing w:before="40" w:after="40" w:line="240" w:lineRule="auto"/>
        <w:jc w:val="center"/>
        <w:rPr>
          <w:rFonts w:ascii="Times New Roman" w:hAnsi="Times New Roman" w:eastAsia="宋体"/>
          <w:color w:val="auto"/>
          <w:highlight w:val="none"/>
        </w:rPr>
      </w:pPr>
      <w:bookmarkStart w:id="636" w:name="_Toc100643463"/>
      <w:bookmarkStart w:id="637" w:name="_Toc21928"/>
      <w:bookmarkStart w:id="638" w:name="_Toc22786"/>
      <w:bookmarkStart w:id="639" w:name="_Toc92268653"/>
      <w:r>
        <w:rPr>
          <w:rFonts w:ascii="Times New Roman" w:hAnsi="Times New Roman" w:eastAsia="宋体"/>
          <w:color w:val="auto"/>
          <w:highlight w:val="none"/>
        </w:rPr>
        <w:t>第</w:t>
      </w:r>
      <w:r>
        <w:rPr>
          <w:rFonts w:hint="eastAsia" w:ascii="Times New Roman" w:hAnsi="Times New Roman" w:eastAsia="宋体"/>
          <w:color w:val="auto"/>
          <w:highlight w:val="none"/>
        </w:rPr>
        <w:t>八</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比选申请文件</w:t>
      </w:r>
      <w:bookmarkEnd w:id="636"/>
      <w:bookmarkEnd w:id="637"/>
      <w:bookmarkEnd w:id="638"/>
      <w:bookmarkEnd w:id="639"/>
    </w:p>
    <w:p>
      <w:pPr>
        <w:pStyle w:val="55"/>
        <w:adjustRightInd/>
        <w:spacing w:before="0" w:after="0" w:line="360" w:lineRule="auto"/>
        <w:ind w:left="0" w:right="0"/>
        <w:rPr>
          <w:rFonts w:ascii="宋体" w:hAnsi="宋体"/>
          <w:color w:val="auto"/>
          <w:sz w:val="21"/>
          <w:szCs w:val="21"/>
          <w:highlight w:val="none"/>
        </w:rPr>
      </w:pPr>
    </w:p>
    <w:p>
      <w:pPr>
        <w:snapToGrid w:val="0"/>
        <w:jc w:val="center"/>
        <w:rPr>
          <w:rFonts w:ascii="宋体" w:hAnsi="宋体"/>
          <w:b/>
          <w:color w:val="auto"/>
          <w:sz w:val="28"/>
          <w:szCs w:val="28"/>
          <w:highlight w:val="none"/>
        </w:rPr>
      </w:pPr>
      <w:r>
        <w:rPr>
          <w:rFonts w:hint="eastAsia" w:ascii="宋体" w:hAnsi="宋体"/>
          <w:b/>
          <w:color w:val="auto"/>
          <w:sz w:val="28"/>
          <w:szCs w:val="28"/>
          <w:highlight w:val="none"/>
        </w:rPr>
        <w:t>（另册）</w:t>
      </w: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tabs>
          <w:tab w:val="left" w:pos="1134"/>
          <w:tab w:val="left" w:pos="8364"/>
        </w:tabs>
        <w:spacing w:before="0"/>
        <w:ind w:right="-57"/>
        <w:rPr>
          <w:rFonts w:ascii="宋体" w:hAnsi="宋体"/>
          <w:color w:val="auto"/>
          <w:highlight w:val="none"/>
        </w:rPr>
      </w:pPr>
    </w:p>
    <w:p>
      <w:pPr>
        <w:pStyle w:val="14"/>
        <w:pageBreakBefore/>
        <w:ind w:right="-57" w:firstLine="0"/>
        <w:jc w:val="center"/>
        <w:outlineLvl w:val="0"/>
        <w:rPr>
          <w:rStyle w:val="42"/>
          <w:rFonts w:ascii="宋体" w:hAnsi="宋体" w:eastAsia="宋体"/>
          <w:color w:val="auto"/>
          <w:highlight w:val="none"/>
        </w:rPr>
      </w:pPr>
      <w:bookmarkStart w:id="640" w:name="_Toc29546"/>
      <w:bookmarkStart w:id="641" w:name="_Toc31574"/>
      <w:bookmarkStart w:id="642" w:name="_Toc21689"/>
      <w:bookmarkStart w:id="643" w:name="_Toc32011"/>
      <w:bookmarkStart w:id="644" w:name="_Toc6151"/>
      <w:bookmarkStart w:id="645" w:name="_Toc100643464"/>
      <w:bookmarkStart w:id="646" w:name="_Toc30920"/>
      <w:bookmarkStart w:id="647" w:name="_Toc4374"/>
      <w:bookmarkStart w:id="648" w:name="_Toc17396"/>
      <w:bookmarkStart w:id="649" w:name="_Toc17261"/>
      <w:bookmarkStart w:id="650" w:name="_Toc27263"/>
      <w:bookmarkStart w:id="651" w:name="_Toc11320"/>
      <w:bookmarkStart w:id="652" w:name="_Toc28285"/>
      <w:bookmarkStart w:id="653" w:name="_Toc28677"/>
      <w:bookmarkStart w:id="654" w:name="_Toc14790"/>
      <w:bookmarkStart w:id="655" w:name="_Toc13167"/>
      <w:bookmarkStart w:id="656" w:name="_Toc16253"/>
      <w:bookmarkStart w:id="657" w:name="_Toc25306"/>
      <w:bookmarkStart w:id="658" w:name="_Toc31873"/>
      <w:r>
        <w:rPr>
          <w:rStyle w:val="42"/>
          <w:rFonts w:hint="eastAsia" w:ascii="宋体" w:hAnsi="宋体" w:eastAsia="宋体"/>
          <w:color w:val="auto"/>
          <w:highlight w:val="none"/>
        </w:rPr>
        <w:t>第四章比选申请文件格式</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spacing w:before="0" w:after="0" w:afterAutospacing="0"/>
        <w:ind w:left="0" w:right="0" w:firstLine="420" w:firstLineChars="200"/>
        <w:rPr>
          <w:rFonts w:hAnsi="宋体"/>
          <w:color w:val="auto"/>
          <w:highlight w:val="none"/>
        </w:rPr>
      </w:pPr>
      <w:bookmarkStart w:id="659" w:name="_Toc12984805"/>
      <w:bookmarkStart w:id="660" w:name="_Toc414290520"/>
      <w:bookmarkStart w:id="661" w:name="_Toc31535"/>
      <w:bookmarkStart w:id="662" w:name="_Toc25325"/>
      <w:bookmarkStart w:id="663" w:name="_Toc16671"/>
      <w:bookmarkStart w:id="664" w:name="_Toc12983549"/>
      <w:bookmarkStart w:id="665" w:name="_Toc361"/>
      <w:bookmarkStart w:id="666" w:name="_Toc31624"/>
      <w:bookmarkStart w:id="667" w:name="_Toc4873"/>
      <w:bookmarkStart w:id="668" w:name="_Toc32185"/>
      <w:bookmarkStart w:id="669" w:name="_Toc24824"/>
      <w:bookmarkStart w:id="670" w:name="_Toc6941"/>
      <w:bookmarkStart w:id="671" w:name="_Toc21274"/>
      <w:bookmarkStart w:id="672" w:name="_Toc24453"/>
      <w:bookmarkStart w:id="673" w:name="_Toc23261"/>
      <w:bookmarkStart w:id="674" w:name="_Toc3396"/>
      <w:bookmarkStart w:id="675" w:name="_Toc19412"/>
      <w:bookmarkStart w:id="676" w:name="_Toc4027"/>
      <w:bookmarkStart w:id="677" w:name="_Toc492478802"/>
      <w:bookmarkStart w:id="678" w:name="_Toc30705"/>
      <w:bookmarkStart w:id="679" w:name="_Toc22709"/>
    </w:p>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Pr>
        <w:pStyle w:val="20"/>
        <w:rPr>
          <w:b/>
          <w:color w:val="auto"/>
          <w:highlight w:val="none"/>
          <w:lang w:val="zh-CN"/>
        </w:rPr>
      </w:pPr>
      <w:r>
        <w:rPr>
          <w:rFonts w:hint="eastAsia"/>
          <w:b/>
          <w:color w:val="auto"/>
          <w:highlight w:val="none"/>
        </w:rPr>
        <w:t>一、比选申请函</w:t>
      </w:r>
      <w:r>
        <w:rPr>
          <w:b/>
          <w:color w:val="auto"/>
          <w:highlight w:val="none"/>
        </w:rPr>
        <w:ptab w:relativeTo="margin" w:alignment="right" w:leader="dot"/>
      </w:r>
    </w:p>
    <w:p>
      <w:pPr>
        <w:pStyle w:val="20"/>
        <w:rPr>
          <w:b/>
          <w:color w:val="auto"/>
          <w:highlight w:val="none"/>
        </w:rPr>
      </w:pPr>
      <w:r>
        <w:rPr>
          <w:rFonts w:hint="eastAsia"/>
          <w:b/>
          <w:color w:val="auto"/>
          <w:highlight w:val="none"/>
        </w:rPr>
        <w:t>二、比选承诺函</w:t>
      </w:r>
      <w:r>
        <w:rPr>
          <w:b/>
          <w:color w:val="auto"/>
          <w:highlight w:val="none"/>
        </w:rPr>
        <w:ptab w:relativeTo="margin" w:alignment="right" w:leader="dot"/>
      </w:r>
    </w:p>
    <w:p>
      <w:pPr>
        <w:pStyle w:val="20"/>
        <w:rPr>
          <w:b/>
          <w:color w:val="auto"/>
          <w:highlight w:val="none"/>
        </w:rPr>
      </w:pPr>
      <w:r>
        <w:rPr>
          <w:rFonts w:hint="eastAsia"/>
          <w:b/>
          <w:color w:val="auto"/>
          <w:highlight w:val="none"/>
        </w:rPr>
        <w:t>三、比选申请报价表</w:t>
      </w:r>
      <w:r>
        <w:rPr>
          <w:b/>
          <w:color w:val="auto"/>
          <w:highlight w:val="none"/>
        </w:rPr>
        <w:ptab w:relativeTo="margin" w:alignment="right" w:leader="dot"/>
      </w:r>
    </w:p>
    <w:p>
      <w:pPr>
        <w:pStyle w:val="25"/>
        <w:ind w:left="216" w:firstLine="210" w:firstLineChars="100"/>
        <w:rPr>
          <w:rFonts w:asciiTheme="minorEastAsia" w:hAnsiTheme="minorEastAsia" w:eastAsiaTheme="minorEastAsia"/>
          <w:color w:val="auto"/>
          <w:highlight w:val="none"/>
          <w:lang w:val="zh-CN"/>
        </w:rPr>
      </w:pPr>
      <w:r>
        <w:rPr>
          <w:rFonts w:hint="eastAsia" w:asciiTheme="minorEastAsia" w:hAnsiTheme="minorEastAsia" w:eastAsiaTheme="minorEastAsia"/>
          <w:color w:val="auto"/>
          <w:highlight w:val="none"/>
        </w:rPr>
        <w:t>3.1比选申请报价一览表</w:t>
      </w:r>
      <w:r>
        <w:rPr>
          <w:rFonts w:asciiTheme="minorHAnsi" w:hAnsiTheme="minorHAnsi" w:eastAsiaTheme="minorEastAsia"/>
          <w:color w:val="auto"/>
          <w:sz w:val="22"/>
          <w:szCs w:val="22"/>
          <w:highlight w:val="none"/>
        </w:rPr>
        <w:ptab w:relativeTo="margin" w:alignment="right" w:leader="dot"/>
      </w:r>
    </w:p>
    <w:p>
      <w:pPr>
        <w:pStyle w:val="25"/>
        <w:ind w:left="216" w:firstLine="210" w:firstLineChars="100"/>
        <w:rPr>
          <w:rFonts w:asciiTheme="minorEastAsia" w:hAnsiTheme="minorEastAsia" w:eastAsiaTheme="minorEastAsia"/>
          <w:color w:val="auto"/>
          <w:highlight w:val="none"/>
          <w:lang w:val="zh-CN"/>
        </w:rPr>
      </w:pPr>
      <w:r>
        <w:rPr>
          <w:rFonts w:hint="eastAsia" w:asciiTheme="minorEastAsia" w:hAnsiTheme="minorEastAsia" w:eastAsiaTheme="minorEastAsia"/>
          <w:color w:val="auto"/>
          <w:highlight w:val="none"/>
        </w:rPr>
        <w:t>3.2比选申请报价明细表</w:t>
      </w:r>
      <w:r>
        <w:rPr>
          <w:rFonts w:asciiTheme="minorHAnsi" w:hAnsiTheme="minorHAnsi" w:eastAsiaTheme="minorEastAsia"/>
          <w:color w:val="auto"/>
          <w:sz w:val="22"/>
          <w:szCs w:val="22"/>
          <w:highlight w:val="none"/>
        </w:rPr>
        <w:ptab w:relativeTo="margin" w:alignment="right" w:leader="dot"/>
      </w:r>
    </w:p>
    <w:p>
      <w:pPr>
        <w:pStyle w:val="20"/>
        <w:rPr>
          <w:rFonts w:cstheme="minorBidi"/>
          <w:b/>
          <w:color w:val="auto"/>
          <w:sz w:val="22"/>
          <w:szCs w:val="22"/>
          <w:highlight w:val="none"/>
        </w:rPr>
      </w:pPr>
      <w:r>
        <w:rPr>
          <w:rFonts w:hint="eastAsia" w:cstheme="minorBidi"/>
          <w:b/>
          <w:color w:val="auto"/>
          <w:sz w:val="22"/>
          <w:szCs w:val="22"/>
          <w:highlight w:val="none"/>
        </w:rPr>
        <w:t>四、法定代表人身份证明及授权书</w:t>
      </w:r>
    </w:p>
    <w:p>
      <w:pPr>
        <w:pStyle w:val="25"/>
        <w:ind w:left="216" w:firstLine="210" w:firstLineChars="1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4.1法定代表人</w:t>
      </w:r>
      <w:r>
        <w:rPr>
          <w:rFonts w:hint="eastAsia" w:asciiTheme="minorEastAsia" w:hAnsiTheme="minorEastAsia" w:eastAsiaTheme="minorEastAsia"/>
          <w:color w:val="auto"/>
          <w:highlight w:val="none"/>
          <w:lang w:val="en-US" w:eastAsia="zh-CN"/>
        </w:rPr>
        <w:t>身份证明</w:t>
      </w:r>
      <w:r>
        <w:rPr>
          <w:rFonts w:asciiTheme="minorHAnsi" w:hAnsiTheme="minorHAnsi" w:eastAsiaTheme="minorEastAsia"/>
          <w:color w:val="auto"/>
          <w:sz w:val="22"/>
          <w:szCs w:val="22"/>
          <w:highlight w:val="none"/>
        </w:rPr>
        <w:ptab w:relativeTo="margin" w:alignment="right" w:leader="dot"/>
      </w:r>
    </w:p>
    <w:p>
      <w:pPr>
        <w:pStyle w:val="25"/>
        <w:ind w:left="216" w:firstLine="210" w:firstLineChars="1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4.2法定代表人授权书</w:t>
      </w:r>
      <w:r>
        <w:rPr>
          <w:rFonts w:asciiTheme="minorHAnsi" w:hAnsiTheme="minorHAnsi" w:eastAsiaTheme="minorEastAsia"/>
          <w:color w:val="auto"/>
          <w:sz w:val="22"/>
          <w:szCs w:val="22"/>
          <w:highlight w:val="none"/>
        </w:rPr>
        <w:ptab w:relativeTo="margin" w:alignment="right" w:leader="dot"/>
      </w:r>
    </w:p>
    <w:p>
      <w:pPr>
        <w:pStyle w:val="20"/>
        <w:rPr>
          <w:b/>
          <w:color w:val="auto"/>
          <w:highlight w:val="none"/>
        </w:rPr>
      </w:pPr>
      <w:r>
        <w:rPr>
          <w:rFonts w:hint="eastAsia"/>
          <w:b/>
          <w:color w:val="auto"/>
          <w:highlight w:val="none"/>
        </w:rPr>
        <w:t>五、企业证照</w:t>
      </w:r>
      <w:r>
        <w:rPr>
          <w:b/>
          <w:color w:val="auto"/>
          <w:highlight w:val="none"/>
        </w:rPr>
        <w:ptab w:relativeTo="margin" w:alignment="right" w:leader="dot"/>
      </w:r>
    </w:p>
    <w:p>
      <w:pPr>
        <w:pStyle w:val="20"/>
        <w:rPr>
          <w:b/>
          <w:color w:val="auto"/>
          <w:highlight w:val="none"/>
        </w:rPr>
      </w:pPr>
      <w:r>
        <w:rPr>
          <w:rFonts w:hint="eastAsia"/>
          <w:b/>
          <w:color w:val="auto"/>
          <w:highlight w:val="none"/>
        </w:rPr>
        <w:t>六、类似项目业绩表</w:t>
      </w:r>
      <w:r>
        <w:rPr>
          <w:b/>
          <w:color w:val="auto"/>
          <w:highlight w:val="none"/>
        </w:rPr>
        <w:ptab w:relativeTo="margin" w:alignment="right" w:leader="dot"/>
      </w:r>
    </w:p>
    <w:p>
      <w:pPr>
        <w:pStyle w:val="20"/>
        <w:rPr>
          <w:b/>
          <w:color w:val="auto"/>
          <w:highlight w:val="none"/>
        </w:rPr>
      </w:pPr>
      <w:r>
        <w:rPr>
          <w:rFonts w:hint="eastAsia"/>
          <w:b/>
          <w:color w:val="auto"/>
          <w:highlight w:val="none"/>
        </w:rPr>
        <w:t>七、商务响应表</w:t>
      </w:r>
      <w:r>
        <w:rPr>
          <w:b/>
          <w:color w:val="auto"/>
          <w:highlight w:val="none"/>
        </w:rPr>
        <w:ptab w:relativeTo="margin" w:alignment="right" w:leader="dot"/>
      </w:r>
    </w:p>
    <w:p>
      <w:pPr>
        <w:pStyle w:val="20"/>
        <w:rPr>
          <w:b/>
          <w:color w:val="auto"/>
          <w:highlight w:val="none"/>
        </w:rPr>
      </w:pPr>
      <w:r>
        <w:rPr>
          <w:rFonts w:hint="eastAsia"/>
          <w:b/>
          <w:color w:val="auto"/>
          <w:highlight w:val="none"/>
        </w:rPr>
        <w:t>八、技术响应表</w:t>
      </w:r>
      <w:r>
        <w:rPr>
          <w:b/>
          <w:color w:val="auto"/>
          <w:highlight w:val="none"/>
        </w:rPr>
        <w:ptab w:relativeTo="margin" w:alignment="right" w:leader="dot"/>
      </w:r>
    </w:p>
    <w:p>
      <w:pPr>
        <w:pStyle w:val="20"/>
        <w:rPr>
          <w:b/>
          <w:color w:val="auto"/>
          <w:highlight w:val="none"/>
        </w:rPr>
      </w:pPr>
      <w:r>
        <w:rPr>
          <w:rFonts w:hint="eastAsia"/>
          <w:b/>
          <w:color w:val="auto"/>
          <w:highlight w:val="none"/>
        </w:rPr>
        <w:t>九、项目实施方案</w:t>
      </w:r>
      <w:r>
        <w:rPr>
          <w:b/>
          <w:color w:val="auto"/>
          <w:highlight w:val="none"/>
        </w:rPr>
        <w:ptab w:relativeTo="margin" w:alignment="right" w:leader="dot"/>
      </w:r>
    </w:p>
    <w:p>
      <w:pPr>
        <w:spacing w:before="0" w:after="0" w:afterAutospacing="0"/>
        <w:ind w:left="0" w:right="0" w:firstLine="420" w:firstLineChars="200"/>
        <w:rPr>
          <w:rFonts w:hAnsi="宋体"/>
          <w:color w:val="auto"/>
          <w:highlight w:val="none"/>
        </w:rPr>
      </w:pPr>
    </w:p>
    <w:p>
      <w:pPr>
        <w:spacing w:before="0" w:after="0" w:afterAutospacing="0"/>
        <w:ind w:left="0" w:right="0" w:firstLine="420" w:firstLineChars="200"/>
        <w:rPr>
          <w:rFonts w:hAnsi="宋体"/>
          <w:color w:val="auto"/>
          <w:highlight w:val="none"/>
        </w:rPr>
      </w:pPr>
    </w:p>
    <w:p>
      <w:pPr>
        <w:pStyle w:val="5"/>
        <w:pageBreakBefore/>
        <w:widowControl w:val="0"/>
        <w:spacing w:before="40" w:after="100" w:line="240" w:lineRule="auto"/>
        <w:ind w:left="0" w:right="-28" w:firstLine="0"/>
        <w:jc w:val="center"/>
        <w:rPr>
          <w:rFonts w:ascii="Times New Roman" w:hAnsi="Times New Roman" w:eastAsia="宋体"/>
          <w:color w:val="auto"/>
          <w:highlight w:val="none"/>
        </w:rPr>
      </w:pPr>
      <w:bookmarkStart w:id="680" w:name="_Toc100643465"/>
      <w:bookmarkStart w:id="681" w:name="_Toc12923"/>
      <w:r>
        <w:rPr>
          <w:rFonts w:hint="eastAsia" w:ascii="Times New Roman" w:hAnsi="Times New Roman" w:eastAsia="宋体"/>
          <w:color w:val="auto"/>
          <w:highlight w:val="none"/>
        </w:rPr>
        <w:t>一、比选申请函</w:t>
      </w:r>
      <w:bookmarkEnd w:id="680"/>
      <w:bookmarkEnd w:id="681"/>
    </w:p>
    <w:p>
      <w:pPr>
        <w:spacing w:before="0" w:after="0" w:afterAutospacing="0"/>
        <w:ind w:left="0" w:right="0" w:firstLine="420" w:firstLineChars="200"/>
        <w:rPr>
          <w:rFonts w:hAnsi="宋体"/>
          <w:color w:val="auto"/>
          <w:highlight w:val="none"/>
        </w:rPr>
      </w:pPr>
    </w:p>
    <w:p>
      <w:pPr>
        <w:snapToGrid w:val="0"/>
        <w:spacing w:before="0" w:after="0" w:afterAutospacing="0"/>
        <w:ind w:left="0" w:right="0" w:firstLine="420" w:firstLineChars="200"/>
        <w:rPr>
          <w:rFonts w:hAnsi="宋体"/>
          <w:color w:val="auto"/>
          <w:highlight w:val="none"/>
        </w:rPr>
      </w:pPr>
      <w:r>
        <w:rPr>
          <w:rFonts w:hint="eastAsia" w:hAnsi="宋体"/>
          <w:color w:val="auto"/>
          <w:highlight w:val="none"/>
        </w:rPr>
        <w:t>致：</w:t>
      </w:r>
      <w:r>
        <w:rPr>
          <w:rFonts w:hint="eastAsia" w:ascii="宋体" w:hAnsi="宋体" w:cs="Arial"/>
          <w:color w:val="auto"/>
          <w:highlight w:val="none"/>
          <w:u w:val="single"/>
        </w:rPr>
        <w:t>（比选人名称）</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根据贵方为</w:t>
      </w:r>
      <w:r>
        <w:rPr>
          <w:rFonts w:hint="eastAsia" w:ascii="宋体" w:hAnsi="宋体" w:cs="Arial"/>
          <w:color w:val="auto"/>
          <w:highlight w:val="none"/>
          <w:u w:val="single"/>
        </w:rPr>
        <w:t>（项目名称）</w:t>
      </w:r>
      <w:r>
        <w:rPr>
          <w:rFonts w:hint="eastAsia" w:asciiTheme="minorEastAsia" w:hAnsiTheme="minorEastAsia" w:eastAsiaTheme="minorEastAsia"/>
          <w:color w:val="auto"/>
          <w:highlight w:val="none"/>
        </w:rPr>
        <w:t>的比选公告（项目编号</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），签字人</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（全名、职务）经正式授权并代表我方</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（投标人名称、地址）提交下述文件正本</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份、副本</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份及电子文件</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份（U盘</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份）。</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据此，签字人宣布同意如下：</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 按比选文件要求规定的应提交和交付的货物和服务并履行全部合同义务的比选申请总报价为不含增值税人民币（大写）</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元），税率</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 交货期/服务期：按比选文件要求执行。</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 我方将按比选文件的规定履行合同责任和义务。</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4. 我方已详细审查全部比选文件，包括补充文件（如有）以及全部接口资料和有关附件。我们完全理解并同意放弃对这方面有不明及误解的权利。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5. 本比选有效期为递交比选申请文件的截止之日起90日历天内。</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6. 如果在规定的开标时间后，我方在比选申请有效期内撤销投标，将赔偿贵方损失。</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7. 我方同意按照贵方的要求提供与本比选有关的一切数据或资料。</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val="en-US" w:eastAsia="zh-CN"/>
        </w:rPr>
        <w:t>8</w:t>
      </w:r>
      <w:r>
        <w:rPr>
          <w:rFonts w:hint="eastAsia" w:asciiTheme="minorEastAsia" w:hAnsiTheme="minorEastAsia" w:eastAsiaTheme="minorEastAsia"/>
          <w:color w:val="auto"/>
          <w:highlight w:val="none"/>
        </w:rPr>
        <w:t>. 如果我方中选，保证按照比选文件规定的时间履行交货/服务及有关的义务。</w:t>
      </w:r>
    </w:p>
    <w:p>
      <w:pPr>
        <w:snapToGrid w:val="0"/>
        <w:spacing w:before="0" w:after="0" w:afterAutospacing="0"/>
        <w:ind w:left="0" w:right="0" w:firstLine="420" w:firstLineChars="200"/>
        <w:rPr>
          <w:rFonts w:asciiTheme="minorEastAsia" w:hAnsiTheme="minorEastAsia" w:eastAsiaTheme="minorEastAsia"/>
          <w:color w:val="auto"/>
          <w:highlight w:val="none"/>
        </w:rPr>
      </w:pPr>
    </w:p>
    <w:p>
      <w:pPr>
        <w:snapToGrid w:val="0"/>
        <w:spacing w:before="0" w:after="0" w:afterAutospacing="0"/>
        <w:ind w:left="0" w:right="0" w:firstLine="420" w:firstLineChars="200"/>
        <w:rPr>
          <w:rFonts w:asciiTheme="minorEastAsia" w:hAnsiTheme="minorEastAsia" w:eastAsiaTheme="minorEastAsia"/>
          <w:color w:val="auto"/>
          <w:highlight w:val="none"/>
        </w:rPr>
      </w:pPr>
    </w:p>
    <w:p>
      <w:pPr>
        <w:snapToGrid w:val="0"/>
        <w:spacing w:before="0" w:after="0" w:afterAutospacing="0"/>
        <w:ind w:left="0" w:right="0" w:firstLine="420" w:firstLineChars="200"/>
        <w:rPr>
          <w:rFonts w:asciiTheme="minorEastAsia" w:hAnsiTheme="minorEastAsia" w:eastAsiaTheme="minorEastAsia"/>
          <w:color w:val="auto"/>
          <w:highlight w:val="none"/>
        </w:rPr>
      </w:pP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比选申请人名称：</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 xml:space="preserve"> （全称并加盖公章）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投标人法定代表人（或其委托代理人）签字或盖章：</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地址：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邮编：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电话/手机号码：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电子邮件：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日期：       年   月    日</w:t>
      </w:r>
    </w:p>
    <w:p>
      <w:pPr>
        <w:snapToGrid w:val="0"/>
        <w:spacing w:before="0" w:after="0" w:afterAutospacing="0"/>
        <w:ind w:left="0" w:right="0" w:firstLine="480" w:firstLineChars="200"/>
        <w:rPr>
          <w:rFonts w:hAnsi="宋体"/>
          <w:color w:val="auto"/>
          <w:sz w:val="24"/>
          <w:szCs w:val="24"/>
          <w:highlight w:val="none"/>
        </w:rPr>
      </w:pPr>
    </w:p>
    <w:p>
      <w:pPr>
        <w:pStyle w:val="5"/>
        <w:pageBreakBefore/>
        <w:widowControl w:val="0"/>
        <w:spacing w:before="40" w:after="100" w:line="240" w:lineRule="auto"/>
        <w:ind w:left="0" w:right="-28" w:firstLine="0"/>
        <w:jc w:val="center"/>
        <w:rPr>
          <w:rFonts w:ascii="Times New Roman" w:hAnsi="Times New Roman" w:eastAsia="宋体"/>
          <w:color w:val="auto"/>
          <w:highlight w:val="none"/>
        </w:rPr>
      </w:pPr>
      <w:bookmarkStart w:id="682" w:name="_Toc100643466"/>
      <w:bookmarkStart w:id="683" w:name="_Toc19109"/>
      <w:r>
        <w:rPr>
          <w:rFonts w:hint="eastAsia" w:ascii="Times New Roman" w:hAnsi="Times New Roman" w:eastAsia="宋体"/>
          <w:color w:val="auto"/>
          <w:highlight w:val="none"/>
        </w:rPr>
        <w:t>二、比选承诺函</w:t>
      </w:r>
      <w:bookmarkEnd w:id="682"/>
      <w:bookmarkEnd w:id="683"/>
    </w:p>
    <w:p>
      <w:pPr>
        <w:spacing w:before="0" w:after="0" w:afterAutospacing="0"/>
        <w:ind w:left="0" w:right="0" w:firstLine="420" w:firstLineChars="200"/>
        <w:rPr>
          <w:rFonts w:hAnsi="宋体"/>
          <w:color w:val="auto"/>
          <w:highlight w:val="none"/>
        </w:rPr>
      </w:pPr>
    </w:p>
    <w:p>
      <w:pPr>
        <w:snapToGrid w:val="0"/>
        <w:spacing w:before="0" w:after="0" w:afterAutospacing="0" w:line="400" w:lineRule="exact"/>
        <w:ind w:left="0" w:right="0" w:firstLine="420" w:firstLineChars="200"/>
        <w:jc w:val="left"/>
        <w:rPr>
          <w:rFonts w:ascii="宋体" w:hAnsi="宋体"/>
          <w:color w:val="auto"/>
          <w:highlight w:val="none"/>
        </w:rPr>
      </w:pPr>
      <w:r>
        <w:rPr>
          <w:rFonts w:ascii="宋体" w:hAnsi="宋体"/>
          <w:color w:val="auto"/>
          <w:highlight w:val="none"/>
        </w:rPr>
        <w:t>致：</w:t>
      </w:r>
      <w:r>
        <w:rPr>
          <w:rFonts w:hint="eastAsia" w:ascii="宋体" w:hAnsi="宋体" w:cs="Arial"/>
          <w:color w:val="auto"/>
          <w:highlight w:val="none"/>
          <w:u w:val="single"/>
        </w:rPr>
        <w:t>（比选人名称）</w:t>
      </w:r>
    </w:p>
    <w:p>
      <w:pPr>
        <w:snapToGrid w:val="0"/>
        <w:spacing w:before="0" w:after="0" w:afterAutospacing="0" w:line="400" w:lineRule="exact"/>
        <w:ind w:left="0" w:right="0" w:firstLine="420" w:firstLineChars="200"/>
        <w:jc w:val="left"/>
        <w:rPr>
          <w:rFonts w:ascii="宋体" w:hAnsi="宋体"/>
          <w:color w:val="auto"/>
          <w:highlight w:val="none"/>
        </w:rPr>
      </w:pPr>
      <w:r>
        <w:rPr>
          <w:rFonts w:ascii="宋体" w:hAnsi="宋体"/>
          <w:color w:val="auto"/>
          <w:highlight w:val="none"/>
        </w:rPr>
        <w:t>1、在认真研读</w:t>
      </w:r>
      <w:r>
        <w:rPr>
          <w:rFonts w:hint="eastAsia" w:ascii="宋体" w:hAnsi="宋体"/>
          <w:color w:val="auto"/>
          <w:highlight w:val="none"/>
        </w:rPr>
        <w:t>本项目比选</w:t>
      </w:r>
      <w:r>
        <w:rPr>
          <w:rFonts w:ascii="宋体" w:hAnsi="宋体"/>
          <w:color w:val="auto"/>
          <w:highlight w:val="none"/>
        </w:rPr>
        <w:t>文件后，我方经慎重考虑，郑重承诺参加</w:t>
      </w:r>
      <w:r>
        <w:rPr>
          <w:rFonts w:hint="eastAsia" w:ascii="宋体" w:hAnsi="宋体"/>
          <w:color w:val="auto"/>
          <w:highlight w:val="none"/>
        </w:rPr>
        <w:t>项目的比选</w:t>
      </w:r>
      <w:r>
        <w:rPr>
          <w:rFonts w:ascii="宋体" w:hAnsi="宋体"/>
          <w:color w:val="auto"/>
          <w:highlight w:val="none"/>
        </w:rPr>
        <w:t>活动。</w:t>
      </w:r>
    </w:p>
    <w:p>
      <w:pPr>
        <w:snapToGrid w:val="0"/>
        <w:spacing w:before="0" w:after="0" w:afterAutospacing="0" w:line="400" w:lineRule="exact"/>
        <w:ind w:left="0" w:right="0" w:firstLine="420" w:firstLineChars="200"/>
        <w:jc w:val="left"/>
        <w:rPr>
          <w:rFonts w:ascii="宋体" w:hAnsi="宋体"/>
          <w:color w:val="auto"/>
          <w:highlight w:val="none"/>
        </w:rPr>
      </w:pPr>
      <w:r>
        <w:rPr>
          <w:rFonts w:ascii="宋体" w:hAnsi="宋体"/>
          <w:color w:val="auto"/>
          <w:highlight w:val="none"/>
        </w:rPr>
        <w:t>2、我方按照贵方</w:t>
      </w:r>
      <w:r>
        <w:rPr>
          <w:rFonts w:hint="eastAsia" w:ascii="宋体" w:hAnsi="宋体"/>
          <w:color w:val="auto"/>
          <w:highlight w:val="none"/>
        </w:rPr>
        <w:t>比选</w:t>
      </w:r>
      <w:r>
        <w:rPr>
          <w:rFonts w:ascii="宋体" w:hAnsi="宋体"/>
          <w:color w:val="auto"/>
          <w:highlight w:val="none"/>
        </w:rPr>
        <w:t>文件要求的内容与格式，已编制完成</w:t>
      </w:r>
      <w:r>
        <w:rPr>
          <w:rFonts w:hint="eastAsia" w:ascii="宋体" w:hAnsi="宋体"/>
          <w:color w:val="auto"/>
          <w:highlight w:val="none"/>
        </w:rPr>
        <w:t>比选申请</w:t>
      </w:r>
      <w:r>
        <w:rPr>
          <w:rFonts w:ascii="宋体" w:hAnsi="宋体"/>
          <w:color w:val="auto"/>
          <w:highlight w:val="none"/>
        </w:rPr>
        <w:t>文件，现报上。</w:t>
      </w:r>
    </w:p>
    <w:p>
      <w:pPr>
        <w:snapToGrid w:val="0"/>
        <w:spacing w:before="0" w:after="0" w:afterAutospacing="0" w:line="400" w:lineRule="exact"/>
        <w:ind w:left="0" w:right="0" w:firstLine="420" w:firstLineChars="200"/>
        <w:jc w:val="left"/>
        <w:rPr>
          <w:rFonts w:ascii="宋体" w:hAnsi="宋体"/>
          <w:color w:val="auto"/>
          <w:highlight w:val="none"/>
        </w:rPr>
      </w:pPr>
      <w:r>
        <w:rPr>
          <w:rFonts w:hint="eastAsia" w:ascii="宋体" w:hAnsi="宋体"/>
          <w:color w:val="auto"/>
          <w:highlight w:val="none"/>
        </w:rPr>
        <w:t>3</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承诺：在</w:t>
      </w:r>
      <w:r>
        <w:rPr>
          <w:rFonts w:hint="eastAsia" w:ascii="宋体" w:hAnsi="宋体"/>
          <w:color w:val="auto"/>
          <w:highlight w:val="none"/>
        </w:rPr>
        <w:t>评审</w:t>
      </w:r>
      <w:r>
        <w:rPr>
          <w:rFonts w:ascii="宋体" w:hAnsi="宋体"/>
          <w:color w:val="auto"/>
          <w:highlight w:val="none"/>
        </w:rPr>
        <w:t>过程中，贵方可调查、审核我方提交的与本</w:t>
      </w:r>
      <w:r>
        <w:rPr>
          <w:rFonts w:hint="eastAsia" w:ascii="宋体" w:hAnsi="宋体"/>
          <w:color w:val="auto"/>
          <w:highlight w:val="none"/>
        </w:rPr>
        <w:t>比选申请文件</w:t>
      </w:r>
      <w:r>
        <w:rPr>
          <w:rFonts w:ascii="宋体" w:hAnsi="宋体"/>
          <w:color w:val="auto"/>
          <w:highlight w:val="none"/>
        </w:rPr>
        <w:t>相关的声明、文件和资料，我方准备随时解答贵方提出的疑问。为此，我们授权任何相关的个人和公司向贵方提供要求的和必要的真实情况和资料以证实我们所填报的各项内容。</w:t>
      </w:r>
    </w:p>
    <w:p>
      <w:pPr>
        <w:snapToGrid w:val="0"/>
        <w:spacing w:before="0" w:after="0" w:afterAutospacing="0" w:line="400" w:lineRule="exact"/>
        <w:ind w:left="0" w:right="0" w:firstLine="420" w:firstLineChars="200"/>
        <w:jc w:val="left"/>
        <w:rPr>
          <w:rFonts w:ascii="宋体" w:hAnsi="宋体"/>
          <w:b/>
          <w:color w:val="auto"/>
          <w:highlight w:val="none"/>
        </w:rPr>
      </w:pPr>
      <w:r>
        <w:rPr>
          <w:rFonts w:hint="eastAsia" w:ascii="宋体" w:hAnsi="宋体"/>
          <w:color w:val="auto"/>
          <w:highlight w:val="none"/>
        </w:rPr>
        <w:t>4</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郑重承诺：</w:t>
      </w:r>
      <w:r>
        <w:rPr>
          <w:rFonts w:ascii="宋体" w:hAnsi="宋体"/>
          <w:b/>
          <w:color w:val="auto"/>
          <w:highlight w:val="none"/>
        </w:rPr>
        <w:t>我方保证</w:t>
      </w:r>
      <w:r>
        <w:rPr>
          <w:rFonts w:hint="eastAsia" w:ascii="宋体" w:hAnsi="宋体"/>
          <w:b/>
          <w:color w:val="auto"/>
          <w:highlight w:val="none"/>
        </w:rPr>
        <w:t>没有处于被责令停业，或投标资格被住建部、国家安监总局、广西区或南宁市建设行政主管部门取消，或财产被接管、破产状态</w:t>
      </w:r>
      <w:r>
        <w:rPr>
          <w:rFonts w:ascii="宋体" w:hAnsi="宋体"/>
          <w:b/>
          <w:color w:val="auto"/>
          <w:highlight w:val="none"/>
        </w:rPr>
        <w:t>；在</w:t>
      </w:r>
      <w:r>
        <w:rPr>
          <w:rFonts w:hint="eastAsia" w:ascii="宋体" w:hAnsi="宋体"/>
          <w:b/>
          <w:color w:val="auto"/>
          <w:highlight w:val="none"/>
        </w:rPr>
        <w:t>投标截止时间前</w:t>
      </w:r>
      <w:r>
        <w:rPr>
          <w:rFonts w:ascii="宋体" w:hAnsi="宋体"/>
          <w:b/>
          <w:color w:val="auto"/>
          <w:highlight w:val="none"/>
        </w:rPr>
        <w:t>3年内没有骗取中标</w:t>
      </w:r>
      <w:r>
        <w:rPr>
          <w:rFonts w:hint="eastAsia" w:ascii="宋体" w:hAnsi="宋体"/>
          <w:b/>
          <w:color w:val="auto"/>
          <w:highlight w:val="none"/>
        </w:rPr>
        <w:t>、严重违约或重大质量安全责任事故。</w:t>
      </w:r>
    </w:p>
    <w:p>
      <w:pPr>
        <w:snapToGrid w:val="0"/>
        <w:spacing w:before="0" w:after="0" w:afterAutospacing="0" w:line="400" w:lineRule="exact"/>
        <w:ind w:left="0" w:right="0" w:firstLine="420" w:firstLineChars="200"/>
        <w:jc w:val="left"/>
        <w:rPr>
          <w:rFonts w:ascii="宋体" w:hAnsi="宋体"/>
          <w:color w:val="auto"/>
          <w:highlight w:val="none"/>
        </w:rPr>
      </w:pPr>
      <w:r>
        <w:rPr>
          <w:rFonts w:hint="eastAsia" w:ascii="宋体" w:hAnsi="宋体"/>
          <w:color w:val="auto"/>
          <w:highlight w:val="none"/>
        </w:rPr>
        <w:t>5、</w:t>
      </w:r>
      <w:r>
        <w:rPr>
          <w:rFonts w:ascii="宋体" w:hAnsi="宋体"/>
          <w:color w:val="auto"/>
          <w:highlight w:val="none"/>
        </w:rPr>
        <w:t>如果</w:t>
      </w:r>
      <w:r>
        <w:rPr>
          <w:rFonts w:hint="eastAsia" w:ascii="宋体" w:hAnsi="宋体"/>
          <w:color w:val="auto"/>
          <w:highlight w:val="none"/>
        </w:rPr>
        <w:t>我公司</w:t>
      </w:r>
      <w:r>
        <w:rPr>
          <w:rFonts w:ascii="宋体" w:hAnsi="宋体"/>
          <w:color w:val="auto"/>
          <w:highlight w:val="none"/>
        </w:rPr>
        <w:t>在该项目</w:t>
      </w:r>
      <w:r>
        <w:rPr>
          <w:rFonts w:hint="eastAsia" w:ascii="宋体" w:hAnsi="宋体"/>
          <w:color w:val="auto"/>
          <w:highlight w:val="none"/>
        </w:rPr>
        <w:t>报名、比选申请</w:t>
      </w:r>
      <w:r>
        <w:rPr>
          <w:rFonts w:ascii="宋体" w:hAnsi="宋体"/>
          <w:color w:val="auto"/>
          <w:highlight w:val="none"/>
        </w:rPr>
        <w:t>过程中或者在中</w:t>
      </w:r>
      <w:r>
        <w:rPr>
          <w:rFonts w:hint="eastAsia" w:ascii="宋体" w:hAnsi="宋体"/>
          <w:color w:val="auto"/>
          <w:highlight w:val="none"/>
        </w:rPr>
        <w:t>选</w:t>
      </w:r>
      <w:r>
        <w:rPr>
          <w:rFonts w:ascii="宋体" w:hAnsi="宋体"/>
          <w:color w:val="auto"/>
          <w:highlight w:val="none"/>
        </w:rPr>
        <w:t>后，比选人或者有管辖权的</w:t>
      </w:r>
      <w:r>
        <w:rPr>
          <w:rFonts w:hint="eastAsia" w:ascii="宋体" w:hAnsi="宋体"/>
          <w:color w:val="auto"/>
          <w:highlight w:val="none"/>
        </w:rPr>
        <w:t>招</w:t>
      </w:r>
      <w:r>
        <w:rPr>
          <w:rFonts w:ascii="宋体" w:hAnsi="宋体"/>
          <w:color w:val="auto"/>
          <w:highlight w:val="none"/>
        </w:rPr>
        <w:t>行政监管机构发现并查实我公司在所填报的该项目</w:t>
      </w:r>
      <w:r>
        <w:rPr>
          <w:rFonts w:hint="eastAsia" w:ascii="宋体" w:hAnsi="宋体"/>
          <w:color w:val="auto"/>
          <w:highlight w:val="none"/>
        </w:rPr>
        <w:t>比选申请文件</w:t>
      </w:r>
      <w:r>
        <w:rPr>
          <w:rFonts w:ascii="宋体" w:hAnsi="宋体"/>
          <w:color w:val="auto"/>
          <w:highlight w:val="none"/>
        </w:rPr>
        <w:t>中存在提供虚假或不真实的信息或者伪造数据、资料或证书等情况，</w:t>
      </w:r>
      <w:r>
        <w:rPr>
          <w:rFonts w:hint="eastAsia" w:ascii="宋体" w:hAnsi="宋体"/>
          <w:color w:val="auto"/>
          <w:highlight w:val="none"/>
        </w:rPr>
        <w:t>视为我公司违约，我公司愿意接受</w:t>
      </w:r>
      <w:r>
        <w:rPr>
          <w:rFonts w:ascii="宋体" w:hAnsi="宋体"/>
          <w:color w:val="auto"/>
          <w:highlight w:val="none"/>
        </w:rPr>
        <w:t>比选人或有管辖权的监管机构的处罚；如果我公司已</w:t>
      </w:r>
      <w:r>
        <w:rPr>
          <w:rFonts w:hint="eastAsia" w:ascii="宋体" w:hAnsi="宋体"/>
          <w:color w:val="auto"/>
          <w:highlight w:val="none"/>
        </w:rPr>
        <w:t>与比选人签订合同，则视为我公司违约，履约保证金由比选人没收</w:t>
      </w:r>
      <w:r>
        <w:rPr>
          <w:rFonts w:ascii="宋体" w:hAnsi="宋体"/>
          <w:color w:val="auto"/>
          <w:highlight w:val="none"/>
        </w:rPr>
        <w:t>；由此造成的任何后果和损失均由我公司承担。本段承诺既是我公司</w:t>
      </w:r>
      <w:r>
        <w:rPr>
          <w:rFonts w:hint="eastAsia" w:ascii="宋体" w:hAnsi="宋体"/>
          <w:color w:val="auto"/>
          <w:highlight w:val="none"/>
        </w:rPr>
        <w:t>比选申请</w:t>
      </w:r>
      <w:r>
        <w:rPr>
          <w:rFonts w:ascii="宋体" w:hAnsi="宋体"/>
          <w:color w:val="auto"/>
          <w:highlight w:val="none"/>
        </w:rPr>
        <w:t>文件的有效组成内容，也是我公司真实意思的表示，对我公司在与该项目有关的任何行为中始终具有优先的法律约束力。</w:t>
      </w:r>
    </w:p>
    <w:p>
      <w:pPr>
        <w:snapToGrid w:val="0"/>
        <w:spacing w:before="0" w:after="0" w:afterAutospacing="0" w:line="400" w:lineRule="exact"/>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、我方了解：无论</w:t>
      </w:r>
      <w:r>
        <w:rPr>
          <w:rFonts w:hint="eastAsia" w:ascii="宋体" w:hAnsi="宋体"/>
          <w:color w:val="auto"/>
          <w:highlight w:val="none"/>
        </w:rPr>
        <w:t>是否中标</w:t>
      </w:r>
      <w:r>
        <w:rPr>
          <w:rFonts w:ascii="宋体" w:hAnsi="宋体"/>
          <w:color w:val="auto"/>
          <w:highlight w:val="none"/>
        </w:rPr>
        <w:t>，我方将自行承担与</w:t>
      </w:r>
      <w:r>
        <w:rPr>
          <w:rFonts w:hint="eastAsia" w:ascii="宋体" w:hAnsi="宋体"/>
          <w:color w:val="auto"/>
          <w:highlight w:val="none"/>
        </w:rPr>
        <w:t>比选</w:t>
      </w:r>
      <w:r>
        <w:rPr>
          <w:rFonts w:ascii="宋体" w:hAnsi="宋体"/>
          <w:color w:val="auto"/>
          <w:highlight w:val="none"/>
        </w:rPr>
        <w:t>活动所需的一切费用。</w:t>
      </w:r>
    </w:p>
    <w:p>
      <w:pPr>
        <w:snapToGrid w:val="0"/>
        <w:spacing w:before="0" w:after="0" w:afterAutospacing="0" w:line="400" w:lineRule="exact"/>
        <w:ind w:left="0" w:right="0" w:firstLine="420" w:firstLineChars="200"/>
        <w:rPr>
          <w:rFonts w:ascii="宋体" w:hAnsi="宋体"/>
          <w:color w:val="auto"/>
          <w:highlight w:val="none"/>
        </w:rPr>
      </w:pPr>
      <w:r>
        <w:rPr>
          <w:rFonts w:hint="eastAsia" w:ascii="宋体" w:hAnsi="宋体"/>
          <w:color w:val="auto"/>
          <w:highlight w:val="none"/>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napToGrid w:val="0"/>
        <w:spacing w:before="0" w:after="0" w:afterAutospacing="0" w:line="400" w:lineRule="exact"/>
        <w:ind w:left="0" w:right="0" w:firstLine="422" w:firstLineChars="200"/>
        <w:rPr>
          <w:rFonts w:ascii="宋体" w:hAnsi="宋体"/>
          <w:b/>
          <w:color w:val="auto"/>
          <w:highlight w:val="none"/>
        </w:rPr>
      </w:pPr>
      <w:r>
        <w:rPr>
          <w:rFonts w:hint="eastAsia" w:ascii="宋体" w:hAnsi="宋体"/>
          <w:b/>
          <w:color w:val="auto"/>
          <w:highlight w:val="none"/>
        </w:rPr>
        <w:t>8、我单位承诺不存在下述情况：我单位的单位负责人为同一人或者存在控股、管理关系的不同单位未同时参加同一标段比选申请或者未划分标段的同一比选项目比选申请。</w:t>
      </w:r>
    </w:p>
    <w:p>
      <w:pPr>
        <w:snapToGrid w:val="0"/>
        <w:spacing w:before="0" w:after="0" w:afterAutospacing="0" w:line="400" w:lineRule="exact"/>
        <w:ind w:left="0" w:right="0" w:firstLine="422" w:firstLineChars="200"/>
        <w:jc w:val="left"/>
        <w:rPr>
          <w:rFonts w:ascii="宋体" w:hAnsi="宋体"/>
          <w:color w:val="auto"/>
          <w:highlight w:val="none"/>
        </w:rPr>
      </w:pPr>
      <w:r>
        <w:rPr>
          <w:rFonts w:hint="eastAsia" w:ascii="宋体" w:hAnsi="宋体"/>
          <w:b/>
          <w:color w:val="auto"/>
          <w:highlight w:val="none"/>
        </w:rPr>
        <w:t>9、我单位未被列入比选人不良信用名单。</w:t>
      </w:r>
    </w:p>
    <w:p>
      <w:pPr>
        <w:snapToGrid w:val="0"/>
        <w:spacing w:before="0" w:after="0" w:afterAutospacing="0" w:line="400" w:lineRule="exact"/>
        <w:ind w:left="0" w:right="0" w:firstLine="420" w:firstLineChars="200"/>
        <w:jc w:val="left"/>
        <w:rPr>
          <w:rFonts w:ascii="宋体" w:hAnsi="宋体"/>
          <w:color w:val="auto"/>
          <w:highlight w:val="none"/>
        </w:rPr>
      </w:pPr>
      <w:r>
        <w:rPr>
          <w:rFonts w:ascii="宋体" w:hAnsi="宋体"/>
          <w:color w:val="auto"/>
          <w:highlight w:val="none"/>
        </w:rPr>
        <w:t>我</w:t>
      </w:r>
      <w:r>
        <w:rPr>
          <w:rFonts w:hint="eastAsia" w:ascii="宋体" w:hAnsi="宋体"/>
          <w:color w:val="auto"/>
          <w:highlight w:val="none"/>
        </w:rPr>
        <w:t>方</w:t>
      </w:r>
      <w:r>
        <w:rPr>
          <w:rFonts w:ascii="宋体" w:hAnsi="宋体"/>
          <w:color w:val="auto"/>
          <w:highlight w:val="none"/>
        </w:rPr>
        <w:t>声明，我们所填报的资料是完全真实和准确的，并愿为此承担任何相关的法律责任。</w:t>
      </w:r>
    </w:p>
    <w:p>
      <w:pPr>
        <w:snapToGrid w:val="0"/>
        <w:spacing w:before="0" w:after="0" w:afterAutospacing="0" w:line="400" w:lineRule="exact"/>
        <w:ind w:left="0" w:right="0" w:firstLine="426"/>
        <w:rPr>
          <w:rFonts w:ascii="宋体" w:hAnsi="宋体"/>
          <w:color w:val="auto"/>
          <w:highlight w:val="none"/>
        </w:rPr>
      </w:pPr>
    </w:p>
    <w:p>
      <w:pPr>
        <w:snapToGrid w:val="0"/>
        <w:spacing w:before="0" w:after="0" w:afterAutospacing="0" w:line="400" w:lineRule="exact"/>
        <w:ind w:left="0" w:right="0" w:firstLine="426"/>
        <w:rPr>
          <w:rFonts w:ascii="宋体" w:hAnsi="宋体"/>
          <w:color w:val="auto"/>
          <w:highlight w:val="none"/>
        </w:rPr>
      </w:pPr>
      <w:r>
        <w:rPr>
          <w:rFonts w:hint="eastAsia" w:ascii="宋体" w:hAnsi="宋体"/>
          <w:color w:val="auto"/>
          <w:highlight w:val="none"/>
        </w:rPr>
        <w:t>比选申请</w:t>
      </w:r>
      <w:r>
        <w:rPr>
          <w:rFonts w:ascii="宋体" w:hAnsi="宋体"/>
          <w:color w:val="auto"/>
          <w:highlight w:val="none"/>
        </w:rPr>
        <w:t>人</w:t>
      </w:r>
      <w:r>
        <w:rPr>
          <w:rFonts w:hint="eastAsia" w:ascii="宋体" w:hAnsi="宋体"/>
          <w:color w:val="auto"/>
          <w:highlight w:val="none"/>
        </w:rPr>
        <w:t>：</w:t>
      </w:r>
      <w:r>
        <w:rPr>
          <w:rFonts w:ascii="宋体" w:hAnsi="宋体"/>
          <w:color w:val="auto"/>
          <w:highlight w:val="none"/>
          <w:u w:val="single"/>
        </w:rPr>
        <w:t xml:space="preserve"> </w:t>
      </w:r>
      <w:r>
        <w:rPr>
          <w:rFonts w:hint="eastAsia" w:ascii="宋体" w:hAnsi="宋体" w:cs="Arial"/>
          <w:color w:val="auto"/>
          <w:highlight w:val="none"/>
          <w:u w:val="single"/>
        </w:rPr>
        <w:t>（填写）</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rPr>
      </w:pPr>
      <w:r>
        <w:rPr>
          <w:rFonts w:ascii="宋体" w:hAnsi="宋体"/>
          <w:color w:val="auto"/>
          <w:highlight w:val="none"/>
        </w:rPr>
        <w:t>日期：年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spacing w:before="0" w:after="0" w:afterAutospacing="0"/>
        <w:ind w:left="0" w:right="0" w:firstLine="420" w:firstLineChars="200"/>
        <w:rPr>
          <w:rFonts w:hAnsi="宋体"/>
          <w:color w:val="auto"/>
          <w:highlight w:val="none"/>
        </w:rPr>
      </w:pPr>
    </w:p>
    <w:p>
      <w:pPr>
        <w:pStyle w:val="5"/>
        <w:pageBreakBefore/>
        <w:widowControl w:val="0"/>
        <w:spacing w:before="40" w:after="100" w:line="240" w:lineRule="auto"/>
        <w:ind w:left="0" w:right="-28" w:firstLine="0"/>
        <w:jc w:val="center"/>
        <w:rPr>
          <w:rFonts w:ascii="Times New Roman" w:hAnsi="Times New Roman" w:eastAsia="宋体"/>
          <w:color w:val="auto"/>
          <w:highlight w:val="none"/>
        </w:rPr>
      </w:pPr>
      <w:bookmarkStart w:id="684" w:name="_Toc100643467"/>
      <w:bookmarkStart w:id="685" w:name="_Toc16744"/>
      <w:r>
        <w:rPr>
          <w:rFonts w:hint="eastAsia" w:ascii="Times New Roman" w:hAnsi="Times New Roman" w:eastAsia="宋体"/>
          <w:color w:val="auto"/>
          <w:highlight w:val="none"/>
        </w:rPr>
        <w:t>三、比选申请报价</w:t>
      </w:r>
      <w:r>
        <w:rPr>
          <w:rFonts w:hint="eastAsia" w:ascii="Times New Roman" w:hAnsi="Times New Roman" w:eastAsia="宋体"/>
          <w:color w:val="auto"/>
          <w:highlight w:val="none"/>
          <w:lang w:eastAsia="zh-CN"/>
        </w:rPr>
        <w:t>表</w:t>
      </w:r>
      <w:bookmarkEnd w:id="684"/>
      <w:bookmarkEnd w:id="685"/>
    </w:p>
    <w:p>
      <w:pPr>
        <w:spacing w:before="0" w:after="0" w:afterAutospacing="0"/>
        <w:ind w:left="812" w:right="0" w:hanging="812" w:hangingChars="337"/>
        <w:jc w:val="left"/>
        <w:outlineLvl w:val="2"/>
        <w:rPr>
          <w:rFonts w:hint="default" w:asciiTheme="minorEastAsia" w:hAnsiTheme="minorEastAsia" w:eastAsiaTheme="minorEastAsia"/>
          <w:b/>
          <w:color w:val="auto"/>
          <w:sz w:val="24"/>
          <w:szCs w:val="24"/>
          <w:highlight w:val="none"/>
          <w:lang w:val="en-US" w:eastAsia="zh-CN"/>
        </w:rPr>
      </w:pPr>
      <w:r>
        <w:rPr>
          <w:rFonts w:hint="eastAsia" w:asciiTheme="minorEastAsia" w:hAnsiTheme="minorEastAsia" w:eastAsiaTheme="minorEastAsia"/>
          <w:b/>
          <w:color w:val="auto"/>
          <w:sz w:val="24"/>
          <w:szCs w:val="24"/>
          <w:highlight w:val="none"/>
          <w:lang w:val="en-US" w:eastAsia="zh-CN"/>
        </w:rPr>
        <w:t>3</w:t>
      </w:r>
      <w:r>
        <w:rPr>
          <w:rFonts w:hint="eastAsia" w:asciiTheme="minorEastAsia" w:hAnsiTheme="minorEastAsia" w:eastAsiaTheme="minorEastAsia"/>
          <w:b/>
          <w:color w:val="auto"/>
          <w:sz w:val="24"/>
          <w:szCs w:val="24"/>
          <w:highlight w:val="none"/>
        </w:rPr>
        <w:t>.1</w:t>
      </w:r>
      <w:r>
        <w:rPr>
          <w:rFonts w:hint="eastAsia" w:asciiTheme="minorEastAsia" w:hAnsiTheme="minorEastAsia" w:eastAsiaTheme="minorEastAsia"/>
          <w:b/>
          <w:color w:val="auto"/>
          <w:sz w:val="24"/>
          <w:szCs w:val="24"/>
          <w:highlight w:val="none"/>
          <w:lang w:val="en-US" w:eastAsia="zh-CN"/>
        </w:rPr>
        <w:t>比选申请报价一览表</w:t>
      </w:r>
    </w:p>
    <w:tbl>
      <w:tblPr>
        <w:tblStyle w:val="29"/>
        <w:tblW w:w="875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46"/>
        <w:gridCol w:w="5009"/>
        <w:gridCol w:w="13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7455" w:type="dxa"/>
            <w:gridSpan w:val="2"/>
            <w:tcBorders>
              <w:bottom w:val="single" w:color="auto" w:sz="4" w:space="0"/>
            </w:tcBorders>
            <w:vAlign w:val="center"/>
          </w:tcPr>
          <w:p>
            <w:pPr>
              <w:widowControl w:val="0"/>
              <w:snapToGrid w:val="0"/>
              <w:spacing w:before="0" w:after="0" w:afterAutospacing="0"/>
              <w:ind w:right="-57" w:rightChars="-27"/>
              <w:jc w:val="center"/>
              <w:rPr>
                <w:rFonts w:hint="eastAsia" w:ascii="宋体" w:hAnsi="宋体" w:eastAsia="宋体"/>
                <w:b/>
                <w:color w:val="auto"/>
                <w:kern w:val="2"/>
                <w:highlight w:val="none"/>
                <w:u w:val="single"/>
                <w:lang w:val="en-US" w:eastAsia="zh-CN"/>
              </w:rPr>
            </w:pPr>
            <w:r>
              <w:rPr>
                <w:rFonts w:hint="eastAsia" w:ascii="宋体" w:hAnsi="宋体"/>
                <w:b/>
                <w:bCs/>
                <w:color w:val="auto"/>
                <w:kern w:val="2"/>
                <w:highlight w:val="none"/>
              </w:rPr>
              <w:t>比选申请报价</w:t>
            </w:r>
            <w:r>
              <w:rPr>
                <w:rFonts w:hint="eastAsia" w:ascii="宋体" w:hAnsi="宋体"/>
                <w:b/>
                <w:bCs/>
                <w:color w:val="auto"/>
                <w:kern w:val="2"/>
                <w:highlight w:val="none"/>
                <w:lang w:val="en-US" w:eastAsia="zh-CN"/>
              </w:rPr>
              <w:t>一览表</w:t>
            </w:r>
          </w:p>
        </w:tc>
        <w:tc>
          <w:tcPr>
            <w:tcW w:w="1300" w:type="dxa"/>
            <w:tcBorders>
              <w:bottom w:val="single" w:color="auto" w:sz="4" w:space="0"/>
            </w:tcBorders>
            <w:vAlign w:val="center"/>
          </w:tcPr>
          <w:p>
            <w:pPr>
              <w:widowControl w:val="0"/>
              <w:snapToGrid w:val="0"/>
              <w:spacing w:before="0" w:after="0" w:afterAutospacing="0"/>
              <w:ind w:right="-57" w:rightChars="-27"/>
              <w:jc w:val="center"/>
              <w:rPr>
                <w:rFonts w:ascii="宋体" w:hAnsi="宋体"/>
                <w:b/>
                <w:color w:val="auto"/>
                <w:kern w:val="2"/>
                <w:highlight w:val="none"/>
              </w:rPr>
            </w:pPr>
            <w:r>
              <w:rPr>
                <w:rFonts w:hint="eastAsia" w:ascii="宋体" w:hAnsi="宋体"/>
                <w:b/>
                <w:color w:val="auto"/>
                <w:kern w:val="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0" w:hRule="atLeast"/>
        </w:trPr>
        <w:tc>
          <w:tcPr>
            <w:tcW w:w="2446" w:type="dxa"/>
            <w:tcBorders>
              <w:bottom w:val="single" w:color="auto" w:sz="4" w:space="0"/>
            </w:tcBorders>
            <w:vAlign w:val="center"/>
          </w:tcPr>
          <w:p>
            <w:pPr>
              <w:widowControl w:val="0"/>
              <w:snapToGrid w:val="0"/>
              <w:spacing w:before="0" w:after="0" w:afterAutospacing="0"/>
              <w:ind w:right="-57" w:rightChars="-27"/>
              <w:jc w:val="center"/>
              <w:rPr>
                <w:rFonts w:ascii="宋体" w:hAnsi="宋体"/>
                <w:b/>
                <w:bCs/>
                <w:color w:val="auto"/>
                <w:kern w:val="2"/>
                <w:highlight w:val="none"/>
              </w:rPr>
            </w:pPr>
            <w:r>
              <w:rPr>
                <w:rFonts w:hint="eastAsia" w:ascii="宋体" w:hAnsi="宋体"/>
                <w:b/>
                <w:bCs/>
                <w:color w:val="auto"/>
                <w:kern w:val="2"/>
                <w:highlight w:val="none"/>
              </w:rPr>
              <w:t>比选申请总报价</w:t>
            </w:r>
          </w:p>
          <w:p>
            <w:pPr>
              <w:widowControl w:val="0"/>
              <w:snapToGrid w:val="0"/>
              <w:spacing w:before="0" w:after="0" w:afterAutospacing="0"/>
              <w:ind w:right="-57" w:rightChars="-27"/>
              <w:jc w:val="center"/>
              <w:rPr>
                <w:rFonts w:ascii="宋体" w:hAnsi="宋体"/>
                <w:b/>
                <w:bCs/>
                <w:color w:val="auto"/>
                <w:kern w:val="2"/>
                <w:highlight w:val="none"/>
              </w:rPr>
            </w:pPr>
            <w:r>
              <w:rPr>
                <w:rFonts w:hint="eastAsia" w:ascii="宋体" w:hAnsi="宋体"/>
                <w:b/>
                <w:bCs/>
                <w:color w:val="auto"/>
                <w:kern w:val="2"/>
                <w:highlight w:val="none"/>
              </w:rPr>
              <w:t>(不含增值税)</w:t>
            </w:r>
          </w:p>
        </w:tc>
        <w:tc>
          <w:tcPr>
            <w:tcW w:w="5009" w:type="dxa"/>
            <w:tcBorders>
              <w:bottom w:val="single" w:color="auto" w:sz="4" w:space="0"/>
            </w:tcBorders>
            <w:vAlign w:val="center"/>
          </w:tcPr>
          <w:p>
            <w:pPr>
              <w:widowControl w:val="0"/>
              <w:snapToGrid w:val="0"/>
              <w:spacing w:before="0" w:after="0" w:afterAutospacing="0"/>
              <w:ind w:right="-57" w:rightChars="-27"/>
              <w:jc w:val="left"/>
              <w:rPr>
                <w:rFonts w:ascii="宋体" w:hAnsi="宋体"/>
                <w:b/>
                <w:color w:val="auto"/>
                <w:kern w:val="2"/>
                <w:highlight w:val="none"/>
                <w:u w:val="single"/>
              </w:rPr>
            </w:pPr>
            <w:r>
              <w:rPr>
                <w:rFonts w:hint="eastAsia" w:ascii="宋体" w:hAnsi="宋体"/>
                <w:b/>
                <w:color w:val="auto"/>
                <w:kern w:val="2"/>
                <w:highlight w:val="none"/>
              </w:rPr>
              <w:t>小写：</w:t>
            </w:r>
          </w:p>
          <w:p>
            <w:pPr>
              <w:widowControl w:val="0"/>
              <w:snapToGrid w:val="0"/>
              <w:spacing w:before="0" w:after="0" w:afterAutospacing="0"/>
              <w:ind w:left="0" w:right="-57" w:rightChars="-27" w:firstLine="0"/>
              <w:jc w:val="left"/>
              <w:rPr>
                <w:rFonts w:ascii="宋体" w:hAnsi="宋体"/>
                <w:b/>
                <w:color w:val="auto"/>
                <w:kern w:val="2"/>
                <w:highlight w:val="none"/>
              </w:rPr>
            </w:pPr>
            <w:r>
              <w:rPr>
                <w:rFonts w:hint="eastAsia" w:ascii="宋体" w:hAnsi="宋体"/>
                <w:b/>
                <w:color w:val="auto"/>
                <w:kern w:val="2"/>
                <w:highlight w:val="none"/>
              </w:rPr>
              <w:t>大写：</w:t>
            </w:r>
          </w:p>
        </w:tc>
        <w:tc>
          <w:tcPr>
            <w:tcW w:w="1300" w:type="dxa"/>
            <w:vMerge w:val="restart"/>
            <w:vAlign w:val="center"/>
          </w:tcPr>
          <w:p>
            <w:pPr>
              <w:widowControl w:val="0"/>
              <w:snapToGrid w:val="0"/>
              <w:spacing w:before="0" w:after="0" w:afterAutospacing="0"/>
              <w:ind w:right="-57" w:rightChars="-27"/>
              <w:rPr>
                <w:rFonts w:ascii="宋体" w:hAnsi="宋体"/>
                <w:b/>
                <w:color w:val="auto"/>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Align w:val="center"/>
          </w:tcPr>
          <w:p>
            <w:pPr>
              <w:widowControl w:val="0"/>
              <w:snapToGrid w:val="0"/>
              <w:spacing w:before="0" w:after="0" w:afterAutospacing="0"/>
              <w:ind w:right="-57" w:rightChars="-27"/>
              <w:jc w:val="center"/>
              <w:rPr>
                <w:rFonts w:ascii="宋体" w:hAnsi="宋体"/>
                <w:b/>
                <w:color w:val="auto"/>
                <w:kern w:val="2"/>
                <w:highlight w:val="none"/>
              </w:rPr>
            </w:pPr>
            <w:r>
              <w:rPr>
                <w:rFonts w:hint="eastAsia" w:ascii="宋体" w:hAnsi="宋体"/>
                <w:b/>
                <w:color w:val="auto"/>
                <w:kern w:val="2"/>
                <w:highlight w:val="none"/>
              </w:rPr>
              <w:t>税率</w:t>
            </w:r>
          </w:p>
        </w:tc>
        <w:tc>
          <w:tcPr>
            <w:tcW w:w="5009" w:type="dxa"/>
            <w:vAlign w:val="center"/>
          </w:tcPr>
          <w:p>
            <w:pPr>
              <w:widowControl w:val="0"/>
              <w:snapToGrid w:val="0"/>
              <w:spacing w:before="0" w:after="0" w:afterAutospacing="0"/>
              <w:ind w:right="-57" w:rightChars="-27"/>
              <w:rPr>
                <w:rFonts w:ascii="宋体" w:hAnsi="宋体"/>
                <w:b/>
                <w:color w:val="auto"/>
                <w:kern w:val="2"/>
                <w:highlight w:val="none"/>
              </w:rPr>
            </w:pPr>
          </w:p>
        </w:tc>
        <w:tc>
          <w:tcPr>
            <w:tcW w:w="1300" w:type="dxa"/>
            <w:vMerge w:val="continue"/>
            <w:vAlign w:val="center"/>
          </w:tcPr>
          <w:p>
            <w:pPr>
              <w:widowControl w:val="0"/>
              <w:snapToGrid w:val="0"/>
              <w:spacing w:before="0" w:after="0" w:afterAutospacing="0"/>
              <w:ind w:right="-57" w:rightChars="-27"/>
              <w:rPr>
                <w:rFonts w:ascii="宋体" w:hAnsi="宋体"/>
                <w:b/>
                <w:color w:val="auto"/>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Align w:val="center"/>
          </w:tcPr>
          <w:p>
            <w:pPr>
              <w:widowControl w:val="0"/>
              <w:snapToGrid w:val="0"/>
              <w:spacing w:before="0" w:after="0" w:afterAutospacing="0"/>
              <w:ind w:right="-57" w:rightChars="-27"/>
              <w:jc w:val="center"/>
              <w:rPr>
                <w:rFonts w:ascii="宋体" w:hAnsi="宋体"/>
                <w:b/>
                <w:color w:val="auto"/>
                <w:kern w:val="2"/>
                <w:highlight w:val="none"/>
              </w:rPr>
            </w:pPr>
            <w:r>
              <w:rPr>
                <w:rFonts w:hint="eastAsia" w:ascii="宋体" w:hAnsi="宋体"/>
                <w:b/>
                <w:color w:val="auto"/>
                <w:kern w:val="2"/>
                <w:highlight w:val="none"/>
                <w:lang w:eastAsia="zh-CN"/>
              </w:rPr>
              <w:t>服务期</w:t>
            </w:r>
          </w:p>
        </w:tc>
        <w:tc>
          <w:tcPr>
            <w:tcW w:w="5009" w:type="dxa"/>
            <w:vAlign w:val="center"/>
          </w:tcPr>
          <w:p>
            <w:pPr>
              <w:widowControl w:val="0"/>
              <w:snapToGrid w:val="0"/>
              <w:spacing w:before="0" w:after="0" w:afterAutospacing="0"/>
              <w:ind w:right="-57" w:rightChars="-27"/>
              <w:rPr>
                <w:rFonts w:hint="eastAsia" w:ascii="宋体" w:hAnsi="宋体" w:eastAsia="宋体"/>
                <w:b/>
                <w:color w:val="auto"/>
                <w:kern w:val="2"/>
                <w:highlight w:val="none"/>
                <w:lang w:eastAsia="zh-CN"/>
              </w:rPr>
            </w:pPr>
            <w:r>
              <w:rPr>
                <w:rFonts w:hint="eastAsia" w:ascii="宋体" w:hAnsi="宋体"/>
                <w:b/>
                <w:color w:val="auto"/>
                <w:kern w:val="2"/>
                <w:highlight w:val="none"/>
                <w:lang w:eastAsia="zh-CN"/>
              </w:rPr>
              <w:t>按比选文件执行。</w:t>
            </w:r>
          </w:p>
        </w:tc>
        <w:tc>
          <w:tcPr>
            <w:tcW w:w="1300" w:type="dxa"/>
            <w:vMerge w:val="continue"/>
            <w:vAlign w:val="center"/>
          </w:tcPr>
          <w:p>
            <w:pPr>
              <w:widowControl w:val="0"/>
              <w:snapToGrid w:val="0"/>
              <w:spacing w:before="0" w:after="0" w:afterAutospacing="0"/>
              <w:ind w:right="-57" w:rightChars="-27"/>
              <w:rPr>
                <w:rFonts w:ascii="宋体" w:hAnsi="宋体"/>
                <w:b/>
                <w:color w:val="auto"/>
                <w:kern w:val="2"/>
                <w:highlight w:val="none"/>
              </w:rPr>
            </w:pPr>
          </w:p>
        </w:tc>
      </w:tr>
    </w:tbl>
    <w:p>
      <w:pPr>
        <w:spacing w:before="0" w:after="0" w:afterAutospacing="0"/>
        <w:ind w:left="812" w:right="0" w:hanging="812" w:hangingChars="337"/>
        <w:jc w:val="left"/>
        <w:outlineLvl w:val="2"/>
        <w:rPr>
          <w:rFonts w:hint="default" w:asciiTheme="minorEastAsia" w:hAnsiTheme="minorEastAsia" w:eastAsiaTheme="minorEastAsia"/>
          <w:b/>
          <w:color w:val="auto"/>
          <w:sz w:val="24"/>
          <w:szCs w:val="24"/>
          <w:highlight w:val="none"/>
          <w:lang w:val="en-US" w:eastAsia="zh-CN"/>
        </w:rPr>
      </w:pPr>
      <w:r>
        <w:rPr>
          <w:rFonts w:hint="eastAsia" w:asciiTheme="minorEastAsia" w:hAnsiTheme="minorEastAsia" w:eastAsiaTheme="minorEastAsia"/>
          <w:b/>
          <w:color w:val="auto"/>
          <w:sz w:val="24"/>
          <w:szCs w:val="24"/>
          <w:highlight w:val="none"/>
          <w:lang w:val="en-US" w:eastAsia="zh-CN"/>
        </w:rPr>
        <w:t>3</w:t>
      </w:r>
      <w:r>
        <w:rPr>
          <w:rFonts w:hint="eastAsia" w:asciiTheme="minorEastAsia" w:hAnsiTheme="minorEastAsia" w:eastAsiaTheme="minorEastAsia"/>
          <w:b/>
          <w:color w:val="auto"/>
          <w:sz w:val="24"/>
          <w:szCs w:val="24"/>
          <w:highlight w:val="none"/>
        </w:rPr>
        <w:t>.</w:t>
      </w:r>
      <w:r>
        <w:rPr>
          <w:rFonts w:hint="eastAsia" w:asciiTheme="minorEastAsia" w:hAnsiTheme="minorEastAsia" w:eastAsiaTheme="minorEastAsia"/>
          <w:b/>
          <w:color w:val="auto"/>
          <w:sz w:val="24"/>
          <w:szCs w:val="24"/>
          <w:highlight w:val="none"/>
          <w:lang w:val="en-US" w:eastAsia="zh-CN"/>
        </w:rPr>
        <w:t>2比选申请报价明细表</w:t>
      </w:r>
    </w:p>
    <w:tbl>
      <w:tblPr>
        <w:tblStyle w:val="29"/>
        <w:tblW w:w="875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8"/>
        <w:gridCol w:w="1719"/>
        <w:gridCol w:w="681"/>
        <w:gridCol w:w="1245"/>
        <w:gridCol w:w="1455"/>
        <w:gridCol w:w="1457"/>
        <w:gridCol w:w="13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8755" w:type="dxa"/>
            <w:gridSpan w:val="7"/>
            <w:tcBorders>
              <w:bottom w:val="single" w:color="auto" w:sz="4" w:space="0"/>
            </w:tcBorders>
            <w:vAlign w:val="center"/>
          </w:tcPr>
          <w:p>
            <w:pPr>
              <w:widowControl w:val="0"/>
              <w:snapToGrid w:val="0"/>
              <w:spacing w:before="0" w:after="0" w:afterAutospacing="0"/>
              <w:ind w:right="-57" w:rightChars="-27"/>
              <w:jc w:val="center"/>
              <w:rPr>
                <w:rFonts w:hint="default" w:ascii="宋体" w:hAnsi="宋体"/>
                <w:b/>
                <w:color w:val="auto"/>
                <w:kern w:val="2"/>
                <w:highlight w:val="none"/>
                <w:lang w:val="en-US"/>
              </w:rPr>
            </w:pPr>
            <w:r>
              <w:rPr>
                <w:rFonts w:hint="eastAsia" w:ascii="宋体" w:hAnsi="宋体"/>
                <w:b/>
                <w:bCs/>
                <w:color w:val="auto"/>
                <w:kern w:val="2"/>
                <w:highlight w:val="none"/>
              </w:rPr>
              <w:t>比选申请报价</w:t>
            </w:r>
            <w:r>
              <w:rPr>
                <w:rFonts w:hint="eastAsia" w:ascii="宋体" w:hAnsi="宋体"/>
                <w:b/>
                <w:bCs/>
                <w:color w:val="auto"/>
                <w:kern w:val="2"/>
                <w:highlight w:val="none"/>
                <w:lang w:val="en-US" w:eastAsia="zh-CN"/>
              </w:rPr>
              <w:t>明细表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0" w:hRule="atLeast"/>
        </w:trPr>
        <w:tc>
          <w:tcPr>
            <w:tcW w:w="898" w:type="dxa"/>
            <w:tcBorders>
              <w:bottom w:val="single" w:color="auto" w:sz="4" w:space="0"/>
            </w:tcBorders>
            <w:vAlign w:val="center"/>
          </w:tcPr>
          <w:p>
            <w:pPr>
              <w:widowControl w:val="0"/>
              <w:snapToGrid w:val="0"/>
              <w:spacing w:before="0" w:after="0" w:afterAutospacing="0"/>
              <w:ind w:right="-57" w:rightChars="-27"/>
              <w:jc w:val="center"/>
              <w:rPr>
                <w:rFonts w:hint="eastAsia" w:ascii="宋体" w:hAnsi="宋体" w:eastAsia="宋体"/>
                <w:b/>
                <w:bCs/>
                <w:color w:val="auto"/>
                <w:kern w:val="2"/>
                <w:highlight w:val="none"/>
                <w:lang w:val="en-US" w:eastAsia="zh-CN"/>
              </w:rPr>
            </w:pPr>
            <w:r>
              <w:rPr>
                <w:rFonts w:hint="eastAsia" w:ascii="宋体" w:hAnsi="宋体"/>
                <w:b/>
                <w:bCs/>
                <w:color w:val="auto"/>
                <w:kern w:val="2"/>
                <w:highlight w:val="none"/>
                <w:lang w:val="en-US" w:eastAsia="zh-CN"/>
              </w:rPr>
              <w:t>序号</w:t>
            </w:r>
          </w:p>
        </w:tc>
        <w:tc>
          <w:tcPr>
            <w:tcW w:w="1719" w:type="dxa"/>
            <w:tcBorders>
              <w:bottom w:val="single" w:color="auto" w:sz="4" w:space="0"/>
            </w:tcBorders>
            <w:vAlign w:val="center"/>
          </w:tcPr>
          <w:p>
            <w:pPr>
              <w:widowControl w:val="0"/>
              <w:snapToGrid w:val="0"/>
              <w:spacing w:before="0" w:after="0" w:afterAutospacing="0"/>
              <w:ind w:left="0" w:right="-57" w:rightChars="-27" w:firstLine="0"/>
              <w:jc w:val="center"/>
              <w:rPr>
                <w:rFonts w:hint="eastAsia" w:ascii="宋体" w:hAnsi="宋体" w:eastAsia="宋体"/>
                <w:b/>
                <w:color w:val="auto"/>
                <w:kern w:val="2"/>
                <w:highlight w:val="none"/>
                <w:lang w:val="en-US" w:eastAsia="zh-CN"/>
              </w:rPr>
            </w:pPr>
            <w:r>
              <w:rPr>
                <w:rFonts w:hint="eastAsia" w:ascii="宋体" w:hAnsi="宋体"/>
                <w:b/>
                <w:color w:val="auto"/>
                <w:kern w:val="2"/>
                <w:highlight w:val="none"/>
                <w:lang w:val="en-US" w:eastAsia="zh-CN"/>
              </w:rPr>
              <w:t>物料名称</w:t>
            </w:r>
          </w:p>
        </w:tc>
        <w:tc>
          <w:tcPr>
            <w:tcW w:w="681" w:type="dxa"/>
            <w:tcBorders>
              <w:bottom w:val="single" w:color="auto" w:sz="4" w:space="0"/>
            </w:tcBorders>
            <w:vAlign w:val="center"/>
          </w:tcPr>
          <w:p>
            <w:pPr>
              <w:widowControl w:val="0"/>
              <w:snapToGrid w:val="0"/>
              <w:spacing w:before="0" w:after="0" w:afterAutospacing="0"/>
              <w:ind w:left="0" w:right="-57" w:rightChars="-27" w:firstLine="0"/>
              <w:jc w:val="center"/>
              <w:rPr>
                <w:rFonts w:hint="eastAsia" w:ascii="宋体" w:hAnsi="宋体" w:eastAsia="宋体"/>
                <w:b/>
                <w:color w:val="auto"/>
                <w:kern w:val="2"/>
                <w:highlight w:val="none"/>
                <w:lang w:val="en-US" w:eastAsia="zh-CN"/>
              </w:rPr>
            </w:pPr>
            <w:r>
              <w:rPr>
                <w:rFonts w:hint="eastAsia" w:ascii="宋体" w:hAnsi="宋体"/>
                <w:b/>
                <w:color w:val="auto"/>
                <w:kern w:val="2"/>
                <w:highlight w:val="none"/>
                <w:lang w:val="en-US" w:eastAsia="zh-CN"/>
              </w:rPr>
              <w:t>数量</w:t>
            </w:r>
          </w:p>
        </w:tc>
        <w:tc>
          <w:tcPr>
            <w:tcW w:w="1245" w:type="dxa"/>
            <w:tcBorders>
              <w:bottom w:val="single" w:color="auto" w:sz="4" w:space="0"/>
            </w:tcBorders>
            <w:vAlign w:val="center"/>
          </w:tcPr>
          <w:p>
            <w:pPr>
              <w:widowControl w:val="0"/>
              <w:snapToGrid w:val="0"/>
              <w:spacing w:before="0" w:after="0" w:afterAutospacing="0"/>
              <w:ind w:left="0" w:right="-57" w:rightChars="-27" w:firstLine="0"/>
              <w:jc w:val="center"/>
              <w:rPr>
                <w:rFonts w:hint="eastAsia" w:ascii="宋体" w:hAnsi="宋体" w:eastAsia="宋体"/>
                <w:b/>
                <w:color w:val="auto"/>
                <w:kern w:val="2"/>
                <w:highlight w:val="none"/>
                <w:lang w:val="en-US" w:eastAsia="zh-CN"/>
              </w:rPr>
            </w:pPr>
            <w:r>
              <w:rPr>
                <w:rFonts w:hint="eastAsia" w:ascii="宋体" w:hAnsi="宋体"/>
                <w:b/>
                <w:color w:val="auto"/>
                <w:kern w:val="2"/>
                <w:highlight w:val="none"/>
                <w:lang w:val="en-US" w:eastAsia="zh-CN"/>
              </w:rPr>
              <w:t>计量单位</w:t>
            </w:r>
          </w:p>
        </w:tc>
        <w:tc>
          <w:tcPr>
            <w:tcW w:w="1455" w:type="dxa"/>
            <w:tcBorders>
              <w:bottom w:val="single" w:color="auto" w:sz="4" w:space="0"/>
            </w:tcBorders>
            <w:vAlign w:val="center"/>
          </w:tcPr>
          <w:p>
            <w:pPr>
              <w:widowControl w:val="0"/>
              <w:snapToGrid w:val="0"/>
              <w:spacing w:before="0" w:after="0" w:afterAutospacing="0"/>
              <w:ind w:left="0" w:right="-57" w:rightChars="-27" w:firstLine="0"/>
              <w:jc w:val="center"/>
              <w:rPr>
                <w:rFonts w:hint="default" w:ascii="宋体" w:hAnsi="宋体" w:eastAsia="宋体"/>
                <w:b/>
                <w:color w:val="auto"/>
                <w:kern w:val="2"/>
                <w:highlight w:val="none"/>
                <w:lang w:val="en-US" w:eastAsia="zh-CN"/>
              </w:rPr>
            </w:pPr>
            <w:r>
              <w:rPr>
                <w:rFonts w:hint="eastAsia" w:ascii="宋体" w:hAnsi="宋体"/>
                <w:b/>
                <w:color w:val="auto"/>
                <w:kern w:val="2"/>
                <w:highlight w:val="none"/>
                <w:lang w:val="en-US" w:eastAsia="zh-CN"/>
              </w:rPr>
              <w:t>不含税单价</w:t>
            </w:r>
          </w:p>
        </w:tc>
        <w:tc>
          <w:tcPr>
            <w:tcW w:w="1457" w:type="dxa"/>
            <w:tcBorders>
              <w:bottom w:val="single" w:color="auto" w:sz="4" w:space="0"/>
            </w:tcBorders>
            <w:vAlign w:val="center"/>
          </w:tcPr>
          <w:p>
            <w:pPr>
              <w:widowControl w:val="0"/>
              <w:snapToGrid w:val="0"/>
              <w:spacing w:before="0" w:after="0" w:afterAutospacing="0"/>
              <w:ind w:left="0" w:right="-57" w:rightChars="-27" w:firstLine="0"/>
              <w:jc w:val="center"/>
              <w:rPr>
                <w:rFonts w:hint="eastAsia" w:ascii="宋体" w:hAnsi="宋体" w:eastAsia="宋体"/>
                <w:b/>
                <w:color w:val="auto"/>
                <w:kern w:val="2"/>
                <w:highlight w:val="none"/>
                <w:lang w:val="en-US" w:eastAsia="zh-CN"/>
              </w:rPr>
            </w:pPr>
            <w:r>
              <w:rPr>
                <w:rFonts w:hint="eastAsia" w:ascii="宋体" w:hAnsi="宋体"/>
                <w:b/>
                <w:color w:val="auto"/>
                <w:kern w:val="2"/>
                <w:highlight w:val="none"/>
                <w:lang w:val="en-US" w:eastAsia="zh-CN"/>
              </w:rPr>
              <w:t>不含税总价</w:t>
            </w:r>
          </w:p>
        </w:tc>
        <w:tc>
          <w:tcPr>
            <w:tcW w:w="1300" w:type="dxa"/>
            <w:vAlign w:val="center"/>
          </w:tcPr>
          <w:p>
            <w:pPr>
              <w:widowControl w:val="0"/>
              <w:snapToGrid w:val="0"/>
              <w:spacing w:before="0" w:after="0" w:afterAutospacing="0"/>
              <w:ind w:right="-57" w:rightChars="-27"/>
              <w:jc w:val="center"/>
              <w:rPr>
                <w:rFonts w:hint="eastAsia" w:ascii="宋体" w:hAnsi="宋体" w:eastAsia="宋体"/>
                <w:b/>
                <w:color w:val="auto"/>
                <w:kern w:val="2"/>
                <w:highlight w:val="none"/>
                <w:lang w:val="en-US" w:eastAsia="zh-CN"/>
              </w:rPr>
            </w:pPr>
            <w:r>
              <w:rPr>
                <w:rFonts w:hint="eastAsia" w:ascii="宋体" w:hAnsi="宋体"/>
                <w:b/>
                <w:color w:val="auto"/>
                <w:kern w:val="2"/>
                <w:highlight w:val="none"/>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27" w:hRule="atLeast"/>
        </w:trPr>
        <w:tc>
          <w:tcPr>
            <w:tcW w:w="898" w:type="dxa"/>
            <w:vAlign w:val="center"/>
          </w:tcPr>
          <w:p>
            <w:pPr>
              <w:widowControl w:val="0"/>
              <w:snapToGrid w:val="0"/>
              <w:spacing w:before="0" w:after="0" w:afterAutospacing="0"/>
              <w:ind w:right="-57" w:rightChars="-27"/>
              <w:jc w:val="center"/>
              <w:rPr>
                <w:rFonts w:hint="eastAsia" w:ascii="宋体" w:hAnsi="宋体" w:eastAsia="宋体"/>
                <w:b/>
                <w:color w:val="auto"/>
                <w:kern w:val="2"/>
                <w:highlight w:val="none"/>
                <w:lang w:val="en-US" w:eastAsia="zh-CN"/>
              </w:rPr>
            </w:pPr>
            <w:r>
              <w:rPr>
                <w:rFonts w:hint="eastAsia" w:ascii="宋体" w:hAnsi="宋体"/>
                <w:b/>
                <w:color w:val="auto"/>
                <w:kern w:val="2"/>
                <w:highlight w:val="none"/>
                <w:lang w:val="en-US" w:eastAsia="zh-CN"/>
              </w:rPr>
              <w:t>1</w:t>
            </w:r>
          </w:p>
        </w:tc>
        <w:tc>
          <w:tcPr>
            <w:tcW w:w="1719" w:type="dxa"/>
            <w:vAlign w:val="center"/>
          </w:tcPr>
          <w:p>
            <w:pPr>
              <w:widowControl w:val="0"/>
              <w:snapToGrid w:val="0"/>
              <w:spacing w:before="0" w:after="0" w:afterAutospacing="0"/>
              <w:ind w:left="0" w:right="-57" w:rightChars="-27" w:firstLine="0"/>
              <w:jc w:val="center"/>
              <w:rPr>
                <w:rFonts w:hint="eastAsia" w:ascii="宋体" w:hAnsi="宋体"/>
                <w:b w:val="0"/>
                <w:bCs/>
                <w:color w:val="auto"/>
                <w:kern w:val="2"/>
                <w:highlight w:val="none"/>
                <w:lang w:val="en-US" w:eastAsia="zh-CN"/>
              </w:rPr>
            </w:pPr>
            <w:r>
              <w:rPr>
                <w:rFonts w:hint="eastAsia" w:ascii="宋体" w:hAnsi="宋体"/>
                <w:b w:val="0"/>
                <w:bCs/>
                <w:color w:val="auto"/>
                <w:kern w:val="2"/>
                <w:highlight w:val="none"/>
                <w:lang w:val="en-US" w:eastAsia="zh-CN"/>
              </w:rPr>
              <w:t>VR全景培训与展示软件系统</w:t>
            </w:r>
          </w:p>
        </w:tc>
        <w:tc>
          <w:tcPr>
            <w:tcW w:w="681" w:type="dxa"/>
            <w:vAlign w:val="center"/>
          </w:tcPr>
          <w:p>
            <w:pPr>
              <w:widowControl w:val="0"/>
              <w:snapToGrid w:val="0"/>
              <w:spacing w:before="0" w:after="0" w:afterAutospacing="0"/>
              <w:ind w:left="0" w:right="-57" w:rightChars="-27" w:firstLine="0"/>
              <w:jc w:val="center"/>
              <w:rPr>
                <w:rFonts w:hint="eastAsia" w:ascii="宋体" w:hAnsi="宋体"/>
                <w:b w:val="0"/>
                <w:bCs/>
                <w:color w:val="auto"/>
                <w:kern w:val="2"/>
                <w:highlight w:val="none"/>
                <w:lang w:val="en-US" w:eastAsia="zh-CN"/>
              </w:rPr>
            </w:pPr>
            <w:r>
              <w:rPr>
                <w:rFonts w:hint="eastAsia" w:ascii="宋体" w:hAnsi="宋体"/>
                <w:b w:val="0"/>
                <w:bCs/>
                <w:color w:val="auto"/>
                <w:kern w:val="2"/>
                <w:highlight w:val="none"/>
                <w:lang w:val="en-US" w:eastAsia="zh-CN"/>
              </w:rPr>
              <w:t>1</w:t>
            </w:r>
          </w:p>
        </w:tc>
        <w:tc>
          <w:tcPr>
            <w:tcW w:w="1245" w:type="dxa"/>
            <w:vAlign w:val="center"/>
          </w:tcPr>
          <w:p>
            <w:pPr>
              <w:widowControl w:val="0"/>
              <w:snapToGrid w:val="0"/>
              <w:spacing w:before="0" w:after="0" w:afterAutospacing="0"/>
              <w:ind w:left="0" w:right="-57" w:rightChars="-27" w:firstLine="0"/>
              <w:jc w:val="center"/>
              <w:rPr>
                <w:rFonts w:hint="eastAsia" w:ascii="宋体" w:hAnsi="宋体"/>
                <w:b w:val="0"/>
                <w:bCs/>
                <w:color w:val="auto"/>
                <w:kern w:val="2"/>
                <w:highlight w:val="none"/>
                <w:lang w:val="en-US" w:eastAsia="zh-CN"/>
              </w:rPr>
            </w:pPr>
            <w:r>
              <w:rPr>
                <w:rFonts w:hint="eastAsia" w:ascii="宋体" w:hAnsi="宋体"/>
                <w:b w:val="0"/>
                <w:bCs/>
                <w:color w:val="auto"/>
                <w:kern w:val="2"/>
                <w:highlight w:val="none"/>
                <w:lang w:val="en-US" w:eastAsia="zh-CN"/>
              </w:rPr>
              <w:t>套</w:t>
            </w:r>
          </w:p>
        </w:tc>
        <w:tc>
          <w:tcPr>
            <w:tcW w:w="1455" w:type="dxa"/>
            <w:vAlign w:val="center"/>
          </w:tcPr>
          <w:p>
            <w:pPr>
              <w:widowControl w:val="0"/>
              <w:snapToGrid w:val="0"/>
              <w:spacing w:before="0" w:after="0" w:afterAutospacing="0"/>
              <w:ind w:right="-57" w:rightChars="-27"/>
              <w:rPr>
                <w:rFonts w:ascii="宋体" w:hAnsi="宋体"/>
                <w:b/>
                <w:color w:val="auto"/>
                <w:kern w:val="2"/>
                <w:highlight w:val="none"/>
              </w:rPr>
            </w:pPr>
          </w:p>
        </w:tc>
        <w:tc>
          <w:tcPr>
            <w:tcW w:w="1457" w:type="dxa"/>
            <w:vAlign w:val="center"/>
          </w:tcPr>
          <w:p>
            <w:pPr>
              <w:widowControl w:val="0"/>
              <w:snapToGrid w:val="0"/>
              <w:spacing w:before="0" w:after="0" w:afterAutospacing="0"/>
              <w:ind w:right="-57" w:rightChars="-27"/>
              <w:rPr>
                <w:rFonts w:ascii="宋体" w:hAnsi="宋体"/>
                <w:b/>
                <w:color w:val="auto"/>
                <w:kern w:val="2"/>
                <w:highlight w:val="none"/>
              </w:rPr>
            </w:pPr>
          </w:p>
        </w:tc>
        <w:tc>
          <w:tcPr>
            <w:tcW w:w="1300" w:type="dxa"/>
            <w:vAlign w:val="center"/>
          </w:tcPr>
          <w:p>
            <w:pPr>
              <w:widowControl w:val="0"/>
              <w:snapToGrid w:val="0"/>
              <w:spacing w:before="0" w:after="0" w:afterAutospacing="0"/>
              <w:ind w:right="-57" w:rightChars="-27"/>
              <w:rPr>
                <w:rFonts w:ascii="宋体" w:hAnsi="宋体"/>
                <w:b/>
                <w:color w:val="auto"/>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898" w:type="dxa"/>
            <w:vAlign w:val="center"/>
          </w:tcPr>
          <w:p>
            <w:pPr>
              <w:widowControl w:val="0"/>
              <w:snapToGrid w:val="0"/>
              <w:spacing w:before="0" w:after="0" w:afterAutospacing="0"/>
              <w:ind w:right="-57" w:rightChars="-27"/>
              <w:jc w:val="center"/>
              <w:rPr>
                <w:rFonts w:hint="eastAsia" w:ascii="宋体" w:hAnsi="宋体" w:eastAsia="宋体"/>
                <w:b/>
                <w:color w:val="auto"/>
                <w:kern w:val="2"/>
                <w:highlight w:val="none"/>
                <w:lang w:val="en-US" w:eastAsia="zh-CN"/>
              </w:rPr>
            </w:pPr>
            <w:r>
              <w:rPr>
                <w:rFonts w:hint="eastAsia" w:ascii="宋体" w:hAnsi="宋体"/>
                <w:b/>
                <w:color w:val="auto"/>
                <w:kern w:val="2"/>
                <w:highlight w:val="none"/>
                <w:lang w:val="en-US" w:eastAsia="zh-CN"/>
              </w:rPr>
              <w:t>2</w:t>
            </w:r>
          </w:p>
        </w:tc>
        <w:tc>
          <w:tcPr>
            <w:tcW w:w="1719" w:type="dxa"/>
            <w:vAlign w:val="center"/>
          </w:tcPr>
          <w:p>
            <w:pPr>
              <w:widowControl w:val="0"/>
              <w:snapToGrid w:val="0"/>
              <w:spacing w:before="0" w:after="0" w:afterAutospacing="0"/>
              <w:ind w:left="0" w:right="-57" w:rightChars="-27" w:firstLine="0"/>
              <w:jc w:val="center"/>
              <w:rPr>
                <w:rFonts w:hint="eastAsia" w:ascii="宋体" w:hAnsi="宋体"/>
                <w:b w:val="0"/>
                <w:bCs/>
                <w:color w:val="auto"/>
                <w:kern w:val="2"/>
                <w:highlight w:val="none"/>
                <w:lang w:val="en-US" w:eastAsia="zh-CN"/>
              </w:rPr>
            </w:pPr>
            <w:r>
              <w:rPr>
                <w:rFonts w:hint="eastAsia" w:ascii="宋体" w:hAnsi="宋体"/>
                <w:b w:val="0"/>
                <w:bCs/>
                <w:color w:val="auto"/>
                <w:kern w:val="2"/>
                <w:highlight w:val="none"/>
                <w:lang w:val="en-US" w:eastAsia="zh-CN"/>
              </w:rPr>
              <w:t>VR头戴显示设备</w:t>
            </w:r>
          </w:p>
        </w:tc>
        <w:tc>
          <w:tcPr>
            <w:tcW w:w="681" w:type="dxa"/>
            <w:vAlign w:val="center"/>
          </w:tcPr>
          <w:p>
            <w:pPr>
              <w:widowControl w:val="0"/>
              <w:snapToGrid w:val="0"/>
              <w:spacing w:before="0" w:after="0" w:afterAutospacing="0"/>
              <w:ind w:left="0" w:right="-57" w:rightChars="-27" w:firstLine="0"/>
              <w:jc w:val="center"/>
              <w:rPr>
                <w:rFonts w:hint="default" w:ascii="宋体" w:hAnsi="宋体"/>
                <w:b w:val="0"/>
                <w:bCs/>
                <w:color w:val="auto"/>
                <w:kern w:val="2"/>
                <w:highlight w:val="none"/>
                <w:lang w:val="en-US" w:eastAsia="zh-CN"/>
              </w:rPr>
            </w:pPr>
            <w:r>
              <w:rPr>
                <w:rFonts w:hint="eastAsia" w:ascii="宋体" w:hAnsi="宋体"/>
                <w:b w:val="0"/>
                <w:bCs/>
                <w:color w:val="auto"/>
                <w:kern w:val="2"/>
                <w:highlight w:val="none"/>
                <w:lang w:val="en-US" w:eastAsia="zh-CN"/>
              </w:rPr>
              <w:t>1</w:t>
            </w:r>
          </w:p>
        </w:tc>
        <w:tc>
          <w:tcPr>
            <w:tcW w:w="1245" w:type="dxa"/>
            <w:vAlign w:val="center"/>
          </w:tcPr>
          <w:p>
            <w:pPr>
              <w:widowControl w:val="0"/>
              <w:snapToGrid w:val="0"/>
              <w:spacing w:before="0" w:after="0" w:afterAutospacing="0"/>
              <w:ind w:left="0" w:right="-57" w:rightChars="-27" w:firstLine="0"/>
              <w:jc w:val="center"/>
              <w:rPr>
                <w:rFonts w:hint="default" w:ascii="宋体" w:hAnsi="宋体"/>
                <w:b w:val="0"/>
                <w:bCs/>
                <w:color w:val="auto"/>
                <w:kern w:val="2"/>
                <w:highlight w:val="none"/>
                <w:lang w:val="en-US" w:eastAsia="zh-CN"/>
              </w:rPr>
            </w:pPr>
            <w:r>
              <w:rPr>
                <w:rFonts w:hint="eastAsia" w:ascii="宋体" w:hAnsi="宋体"/>
                <w:b w:val="0"/>
                <w:bCs/>
                <w:color w:val="auto"/>
                <w:kern w:val="2"/>
                <w:highlight w:val="none"/>
                <w:lang w:val="en-US" w:eastAsia="zh-CN"/>
              </w:rPr>
              <w:t>套</w:t>
            </w:r>
          </w:p>
        </w:tc>
        <w:tc>
          <w:tcPr>
            <w:tcW w:w="1455" w:type="dxa"/>
            <w:vAlign w:val="center"/>
          </w:tcPr>
          <w:p>
            <w:pPr>
              <w:widowControl w:val="0"/>
              <w:snapToGrid w:val="0"/>
              <w:spacing w:before="0" w:after="0" w:afterAutospacing="0"/>
              <w:ind w:right="-57" w:rightChars="-27"/>
              <w:rPr>
                <w:rFonts w:hint="eastAsia" w:ascii="宋体" w:hAnsi="宋体" w:eastAsia="宋体"/>
                <w:b/>
                <w:color w:val="auto"/>
                <w:kern w:val="2"/>
                <w:highlight w:val="none"/>
                <w:lang w:eastAsia="zh-CN"/>
              </w:rPr>
            </w:pPr>
          </w:p>
        </w:tc>
        <w:tc>
          <w:tcPr>
            <w:tcW w:w="1457" w:type="dxa"/>
            <w:vAlign w:val="center"/>
          </w:tcPr>
          <w:p>
            <w:pPr>
              <w:widowControl w:val="0"/>
              <w:snapToGrid w:val="0"/>
              <w:spacing w:before="0" w:after="0" w:afterAutospacing="0"/>
              <w:ind w:right="-57" w:rightChars="-27"/>
              <w:rPr>
                <w:rFonts w:hint="eastAsia" w:ascii="宋体" w:hAnsi="宋体" w:eastAsia="宋体"/>
                <w:b/>
                <w:color w:val="auto"/>
                <w:kern w:val="2"/>
                <w:highlight w:val="none"/>
                <w:lang w:eastAsia="zh-CN"/>
              </w:rPr>
            </w:pPr>
          </w:p>
        </w:tc>
        <w:tc>
          <w:tcPr>
            <w:tcW w:w="1300" w:type="dxa"/>
            <w:vAlign w:val="center"/>
          </w:tcPr>
          <w:p>
            <w:pPr>
              <w:widowControl w:val="0"/>
              <w:snapToGrid w:val="0"/>
              <w:spacing w:before="0" w:after="0" w:afterAutospacing="0"/>
              <w:ind w:right="-57" w:rightChars="-27"/>
              <w:rPr>
                <w:rFonts w:ascii="宋体" w:hAnsi="宋体"/>
                <w:b/>
                <w:color w:val="auto"/>
                <w:kern w:val="2"/>
                <w:highlight w:val="none"/>
              </w:rPr>
            </w:pPr>
          </w:p>
        </w:tc>
      </w:tr>
    </w:tbl>
    <w:p>
      <w:pPr>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注</w:t>
      </w:r>
      <w:r>
        <w:rPr>
          <w:rFonts w:ascii="宋体" w:hAnsi="宋体"/>
          <w:color w:val="auto"/>
          <w:highlight w:val="none"/>
        </w:rPr>
        <w:t>:</w:t>
      </w:r>
    </w:p>
    <w:p>
      <w:pPr>
        <w:numPr>
          <w:ilvl w:val="0"/>
          <w:numId w:val="6"/>
        </w:numPr>
        <w:spacing w:before="0" w:after="0" w:afterAutospacing="0"/>
        <w:ind w:left="0" w:right="0" w:firstLine="424" w:firstLineChars="202"/>
        <w:rPr>
          <w:rFonts w:hint="eastAsia" w:ascii="宋体" w:hAnsi="宋体"/>
          <w:b w:val="0"/>
          <w:bCs w:val="0"/>
          <w:color w:val="auto"/>
          <w:highlight w:val="none"/>
        </w:rPr>
      </w:pPr>
      <w:r>
        <w:rPr>
          <w:rFonts w:hint="eastAsia" w:ascii="宋体" w:hAnsi="宋体"/>
          <w:b w:val="0"/>
          <w:bCs w:val="0"/>
          <w:color w:val="auto"/>
          <w:highlight w:val="none"/>
        </w:rPr>
        <w:t>比选申请</w:t>
      </w:r>
      <w:r>
        <w:rPr>
          <w:rFonts w:hint="eastAsia" w:ascii="宋体" w:hAnsi="宋体"/>
          <w:b w:val="0"/>
          <w:bCs w:val="0"/>
          <w:color w:val="auto"/>
          <w:highlight w:val="none"/>
          <w:lang w:eastAsia="zh-CN"/>
        </w:rPr>
        <w:t>总</w:t>
      </w:r>
      <w:r>
        <w:rPr>
          <w:rFonts w:hint="eastAsia" w:ascii="宋体" w:hAnsi="宋体"/>
          <w:b w:val="0"/>
          <w:bCs w:val="0"/>
          <w:color w:val="auto"/>
          <w:highlight w:val="none"/>
        </w:rPr>
        <w:t>报价应包括</w:t>
      </w:r>
      <w:r>
        <w:rPr>
          <w:rFonts w:hint="eastAsia" w:ascii="宋体" w:hAnsi="宋体"/>
          <w:b w:val="0"/>
          <w:bCs w:val="0"/>
          <w:color w:val="auto"/>
          <w:highlight w:val="none"/>
          <w:lang w:eastAsia="zh-CN"/>
        </w:rPr>
        <w:t>但不限于：</w:t>
      </w:r>
      <w:r>
        <w:rPr>
          <w:rFonts w:hint="default" w:ascii="Calibri" w:hAnsi="Calibri" w:cs="Calibri"/>
          <w:b w:val="0"/>
          <w:bCs w:val="0"/>
          <w:color w:val="auto"/>
          <w:highlight w:val="none"/>
          <w:lang w:eastAsia="zh-CN"/>
        </w:rPr>
        <w:t>①</w:t>
      </w:r>
      <w:r>
        <w:rPr>
          <w:rFonts w:hint="eastAsia" w:ascii="宋体" w:hAnsi="宋体"/>
          <w:b w:val="0"/>
          <w:bCs w:val="0"/>
          <w:color w:val="auto"/>
          <w:highlight w:val="none"/>
          <w:lang w:eastAsia="zh-CN"/>
        </w:rPr>
        <w:t>提供的</w:t>
      </w:r>
      <w:r>
        <w:rPr>
          <w:rFonts w:hint="eastAsia" w:ascii="宋体" w:hAnsi="宋体"/>
          <w:color w:val="auto"/>
          <w:highlight w:val="none"/>
          <w:lang w:eastAsia="zh-CN"/>
        </w:rPr>
        <w:t>所有的</w:t>
      </w:r>
      <w:r>
        <w:rPr>
          <w:rFonts w:hint="eastAsia" w:ascii="宋体" w:hAnsi="宋体"/>
          <w:b w:val="0"/>
          <w:color w:val="auto"/>
          <w:highlight w:val="none"/>
        </w:rPr>
        <w:t>设备投入</w:t>
      </w:r>
      <w:r>
        <w:rPr>
          <w:rFonts w:hint="eastAsia" w:ascii="宋体" w:hAnsi="宋体"/>
          <w:b w:val="0"/>
          <w:color w:val="auto"/>
          <w:highlight w:val="none"/>
          <w:lang w:eastAsia="zh-CN"/>
        </w:rPr>
        <w:t>、</w:t>
      </w:r>
      <w:r>
        <w:rPr>
          <w:rFonts w:hint="eastAsia" w:ascii="宋体" w:hAnsi="宋体"/>
          <w:b w:val="0"/>
          <w:color w:val="auto"/>
          <w:highlight w:val="none"/>
          <w:lang w:val="en-US" w:eastAsia="zh-CN"/>
        </w:rPr>
        <w:t>全景</w:t>
      </w:r>
      <w:r>
        <w:rPr>
          <w:rFonts w:hint="eastAsia" w:ascii="宋体" w:hAnsi="宋体"/>
          <w:color w:val="auto"/>
          <w:highlight w:val="none"/>
          <w:lang w:eastAsia="zh-CN"/>
        </w:rPr>
        <w:t>拍摄投入</w:t>
      </w:r>
      <w:r>
        <w:rPr>
          <w:rFonts w:hint="eastAsia" w:ascii="宋体" w:hAnsi="宋体"/>
          <w:b w:val="0"/>
          <w:color w:val="auto"/>
          <w:highlight w:val="none"/>
          <w:lang w:eastAsia="zh-CN"/>
        </w:rPr>
        <w:t>、</w:t>
      </w:r>
      <w:r>
        <w:rPr>
          <w:rFonts w:hint="eastAsia" w:ascii="宋体" w:hAnsi="宋体"/>
          <w:b w:val="0"/>
          <w:color w:val="auto"/>
          <w:highlight w:val="none"/>
          <w:lang w:val="en-US" w:eastAsia="zh-CN"/>
        </w:rPr>
        <w:t>软件开发费用</w:t>
      </w:r>
      <w:r>
        <w:rPr>
          <w:rFonts w:hint="eastAsia" w:ascii="宋体" w:hAnsi="宋体"/>
          <w:color w:val="auto"/>
          <w:highlight w:val="none"/>
        </w:rPr>
        <w:t>、培训、人工工资、管理费、利润、保险等一切履行合同标的全过程产生的除增值税外</w:t>
      </w:r>
      <w:r>
        <w:rPr>
          <w:rFonts w:hint="eastAsia" w:ascii="宋体" w:hAnsi="宋体"/>
          <w:color w:val="auto"/>
          <w:highlight w:val="none"/>
          <w:lang w:eastAsia="zh-CN"/>
        </w:rPr>
        <w:t>的</w:t>
      </w:r>
      <w:r>
        <w:rPr>
          <w:rFonts w:hint="eastAsia" w:ascii="宋体" w:hAnsi="宋体"/>
          <w:color w:val="auto"/>
          <w:highlight w:val="none"/>
        </w:rPr>
        <w:t>所有费用。</w:t>
      </w:r>
      <w:r>
        <w:rPr>
          <w:rFonts w:hint="default" w:ascii="Calibri" w:hAnsi="Calibri" w:cs="Calibri"/>
          <w:b w:val="0"/>
          <w:bCs w:val="0"/>
          <w:color w:val="auto"/>
          <w:highlight w:val="none"/>
          <w:lang w:eastAsia="zh-CN"/>
        </w:rPr>
        <w:t>②</w:t>
      </w:r>
      <w:r>
        <w:rPr>
          <w:rFonts w:hint="eastAsia" w:ascii="宋体" w:hAnsi="宋体"/>
          <w:b w:val="0"/>
          <w:bCs w:val="0"/>
          <w:color w:val="auto"/>
          <w:highlight w:val="none"/>
          <w:lang w:eastAsia="zh-CN"/>
        </w:rPr>
        <w:t>用户需求书中的所有内容</w:t>
      </w:r>
      <w:r>
        <w:rPr>
          <w:rFonts w:hint="eastAsia" w:ascii="宋体" w:hAnsi="宋体" w:cs="宋体"/>
          <w:b w:val="0"/>
          <w:bCs w:val="0"/>
          <w:color w:val="auto"/>
          <w:highlight w:val="none"/>
          <w:lang w:eastAsia="zh-CN"/>
        </w:rPr>
        <w:t>及可能额外增加的相应设备、物资的使用，费用包含在投标总价中。</w:t>
      </w:r>
      <w:r>
        <w:rPr>
          <w:rFonts w:hint="default" w:ascii="Calibri" w:hAnsi="Calibri" w:cs="Calibri"/>
          <w:b w:val="0"/>
          <w:bCs w:val="0"/>
          <w:color w:val="auto"/>
          <w:highlight w:val="none"/>
          <w:lang w:eastAsia="zh-CN"/>
        </w:rPr>
        <w:t>③</w:t>
      </w:r>
      <w:r>
        <w:rPr>
          <w:rFonts w:hint="eastAsia" w:ascii="宋体" w:hAnsi="宋体"/>
          <w:color w:val="auto"/>
          <w:highlight w:val="none"/>
        </w:rPr>
        <w:t>比选申请人</w:t>
      </w:r>
      <w:r>
        <w:rPr>
          <w:rFonts w:hint="eastAsia" w:ascii="宋体" w:hAnsi="宋体"/>
          <w:color w:val="auto"/>
          <w:highlight w:val="none"/>
          <w:lang w:eastAsia="zh-CN"/>
        </w:rPr>
        <w:t>根据用户需求书</w:t>
      </w:r>
      <w:r>
        <w:rPr>
          <w:rFonts w:hint="eastAsia" w:ascii="宋体" w:hAnsi="宋体"/>
          <w:color w:val="auto"/>
          <w:highlight w:val="none"/>
        </w:rPr>
        <w:t>报价，比选申请人应已充分考虑项目可能因</w:t>
      </w:r>
      <w:r>
        <w:rPr>
          <w:rFonts w:hint="eastAsia" w:ascii="宋体" w:hAnsi="宋体"/>
          <w:color w:val="auto"/>
          <w:highlight w:val="none"/>
          <w:lang w:eastAsia="zh-CN"/>
        </w:rPr>
        <w:t>实际情况、</w:t>
      </w:r>
      <w:r>
        <w:rPr>
          <w:rFonts w:hint="eastAsia" w:ascii="宋体" w:hAnsi="宋体"/>
          <w:color w:val="auto"/>
          <w:highlight w:val="none"/>
        </w:rPr>
        <w:t>气候和其他一切客观因素造成</w:t>
      </w:r>
      <w:r>
        <w:rPr>
          <w:rFonts w:hint="eastAsia" w:ascii="宋体" w:hAnsi="宋体"/>
          <w:color w:val="auto"/>
          <w:highlight w:val="none"/>
          <w:lang w:eastAsia="zh-CN"/>
        </w:rPr>
        <w:t>的其他费用</w:t>
      </w:r>
      <w:r>
        <w:rPr>
          <w:rFonts w:hint="eastAsia" w:ascii="宋体" w:hAnsi="宋体"/>
          <w:color w:val="auto"/>
          <w:highlight w:val="none"/>
        </w:rPr>
        <w:t>。</w:t>
      </w:r>
    </w:p>
    <w:p>
      <w:pPr>
        <w:numPr>
          <w:ilvl w:val="0"/>
          <w:numId w:val="6"/>
        </w:numPr>
        <w:spacing w:before="0" w:after="0" w:afterAutospacing="0"/>
        <w:ind w:left="0" w:right="0" w:firstLine="424" w:firstLineChars="202"/>
        <w:rPr>
          <w:rFonts w:hint="eastAsia" w:ascii="宋体" w:hAnsi="宋体"/>
          <w:b w:val="0"/>
          <w:bCs w:val="0"/>
          <w:color w:val="auto"/>
          <w:highlight w:val="none"/>
          <w:lang w:val="en-US" w:eastAsia="zh-CN"/>
        </w:rPr>
      </w:pPr>
      <w:r>
        <w:rPr>
          <w:rFonts w:hint="eastAsia" w:ascii="宋体" w:hAnsi="宋体"/>
          <w:b w:val="0"/>
          <w:bCs w:val="0"/>
          <w:color w:val="auto"/>
          <w:highlight w:val="none"/>
          <w:lang w:val="en-US" w:eastAsia="zh-CN"/>
        </w:rPr>
        <w:t>不含增值税总价包干。</w:t>
      </w:r>
    </w:p>
    <w:p>
      <w:pPr>
        <w:spacing w:before="0" w:after="0" w:afterAutospacing="0"/>
        <w:ind w:left="0" w:right="0" w:firstLine="424" w:firstLineChars="202"/>
        <w:rPr>
          <w:rFonts w:hint="eastAsia" w:ascii="宋体" w:hAnsi="宋体"/>
          <w:color w:val="auto"/>
          <w:highlight w:val="none"/>
        </w:rPr>
      </w:pPr>
    </w:p>
    <w:p>
      <w:pPr>
        <w:spacing w:before="0" w:after="0" w:afterAutospacing="0"/>
        <w:ind w:left="0" w:right="0" w:firstLine="420" w:firstLineChars="200"/>
        <w:rPr>
          <w:rFonts w:hAnsi="宋体"/>
          <w:color w:val="auto"/>
          <w:highlight w:val="none"/>
        </w:rPr>
      </w:pPr>
    </w:p>
    <w:p>
      <w:pPr>
        <w:snapToGrid w:val="0"/>
        <w:spacing w:before="0" w:after="0" w:afterAutospacing="0" w:line="400" w:lineRule="exact"/>
        <w:ind w:left="0" w:right="0" w:firstLine="426"/>
        <w:rPr>
          <w:rFonts w:ascii="宋体" w:hAnsi="宋体"/>
          <w:color w:val="auto"/>
          <w:highlight w:val="none"/>
        </w:rPr>
      </w:pPr>
      <w:r>
        <w:rPr>
          <w:rFonts w:hint="eastAsia" w:ascii="宋体" w:hAnsi="宋体"/>
          <w:color w:val="auto"/>
          <w:highlight w:val="none"/>
        </w:rPr>
        <w:t>比选申请</w:t>
      </w:r>
      <w:r>
        <w:rPr>
          <w:rFonts w:ascii="宋体" w:hAnsi="宋体"/>
          <w:color w:val="auto"/>
          <w:highlight w:val="none"/>
        </w:rPr>
        <w:t>人</w:t>
      </w:r>
      <w:r>
        <w:rPr>
          <w:rFonts w:hint="eastAsia" w:ascii="宋体" w:hAnsi="宋体"/>
          <w:color w:val="auto"/>
          <w:highlight w:val="none"/>
        </w:rPr>
        <w:t>：</w:t>
      </w:r>
      <w:r>
        <w:rPr>
          <w:rFonts w:ascii="宋体" w:hAnsi="宋体"/>
          <w:color w:val="auto"/>
          <w:highlight w:val="none"/>
          <w:u w:val="single"/>
        </w:rPr>
        <w:t xml:space="preserve"> </w:t>
      </w:r>
      <w:r>
        <w:rPr>
          <w:rFonts w:hint="eastAsia" w:ascii="宋体" w:hAnsi="宋体" w:cs="Arial"/>
          <w:color w:val="auto"/>
          <w:highlight w:val="none"/>
          <w:u w:val="single"/>
        </w:rPr>
        <w:t>（填写）</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rPr>
      </w:pPr>
      <w:r>
        <w:rPr>
          <w:rFonts w:ascii="宋体" w:hAnsi="宋体"/>
          <w:color w:val="auto"/>
          <w:highlight w:val="none"/>
        </w:rPr>
        <w:t>日期：年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spacing w:before="0" w:after="0" w:afterAutospacing="0"/>
        <w:ind w:left="0" w:right="0" w:firstLine="420" w:firstLineChars="200"/>
        <w:rPr>
          <w:rFonts w:hAnsi="宋体"/>
          <w:color w:val="auto"/>
          <w:highlight w:val="none"/>
        </w:rPr>
      </w:pPr>
    </w:p>
    <w:p>
      <w:pPr>
        <w:pStyle w:val="5"/>
        <w:pageBreakBefore/>
        <w:widowControl w:val="0"/>
        <w:spacing w:before="40" w:after="100" w:line="240" w:lineRule="auto"/>
        <w:ind w:left="0" w:right="-28" w:firstLine="0"/>
        <w:jc w:val="center"/>
        <w:rPr>
          <w:rFonts w:ascii="Times New Roman" w:hAnsi="Times New Roman" w:eastAsia="宋体"/>
          <w:color w:val="auto"/>
          <w:highlight w:val="none"/>
        </w:rPr>
      </w:pPr>
      <w:bookmarkStart w:id="686" w:name="_Toc100643468"/>
      <w:bookmarkStart w:id="687" w:name="_Toc10059"/>
      <w:r>
        <w:rPr>
          <w:rFonts w:hint="eastAsia" w:ascii="Times New Roman" w:hAnsi="Times New Roman" w:eastAsia="宋体"/>
          <w:color w:val="auto"/>
          <w:highlight w:val="none"/>
        </w:rPr>
        <w:t>四、法定代表人身份证明及授权书</w:t>
      </w:r>
      <w:bookmarkEnd w:id="686"/>
      <w:bookmarkEnd w:id="687"/>
    </w:p>
    <w:p>
      <w:pPr>
        <w:spacing w:before="0" w:after="0" w:afterAutospacing="0"/>
        <w:ind w:left="0" w:right="0" w:firstLine="420" w:firstLineChars="200"/>
        <w:rPr>
          <w:rFonts w:hAnsi="宋体"/>
          <w:color w:val="auto"/>
          <w:highlight w:val="none"/>
        </w:rPr>
      </w:pPr>
    </w:p>
    <w:p>
      <w:pPr>
        <w:spacing w:before="0" w:after="0" w:afterAutospacing="0"/>
        <w:ind w:left="812" w:right="0" w:hanging="812" w:hangingChars="337"/>
        <w:jc w:val="left"/>
        <w:outlineLvl w:val="2"/>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4.1法定代表人身份证明</w:t>
      </w:r>
    </w:p>
    <w:p>
      <w:pPr>
        <w:spacing w:before="0" w:after="0" w:afterAutospacing="0"/>
        <w:ind w:left="0" w:right="0" w:firstLine="420" w:firstLineChars="200"/>
        <w:rPr>
          <w:rFonts w:hAnsi="宋体"/>
          <w:color w:val="auto"/>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法定代表人资格证明书</w:t>
      </w:r>
    </w:p>
    <w:p>
      <w:pPr>
        <w:ind w:right="0" w:firstLine="200"/>
        <w:rPr>
          <w:rFonts w:ascii="宋体" w:hAnsi="宋体"/>
          <w:color w:val="auto"/>
          <w:highlight w:val="none"/>
          <w:u w:val="single"/>
        </w:rPr>
      </w:pPr>
      <w:r>
        <w:rPr>
          <w:rFonts w:ascii="宋体" w:hAnsi="宋体"/>
          <w:color w:val="auto"/>
          <w:highlight w:val="none"/>
        </w:rPr>
        <w:t>单位名称：</w:t>
      </w:r>
    </w:p>
    <w:p>
      <w:pPr>
        <w:ind w:right="0" w:firstLine="200"/>
        <w:rPr>
          <w:rFonts w:ascii="宋体" w:hAnsi="宋体"/>
          <w:color w:val="auto"/>
          <w:highlight w:val="none"/>
          <w:u w:val="single"/>
        </w:rPr>
      </w:pPr>
      <w:r>
        <w:rPr>
          <w:rFonts w:ascii="宋体" w:hAnsi="宋体"/>
          <w:color w:val="auto"/>
          <w:highlight w:val="none"/>
        </w:rPr>
        <w:t>地址：</w:t>
      </w:r>
    </w:p>
    <w:p>
      <w:pPr>
        <w:ind w:right="0" w:firstLine="200"/>
        <w:rPr>
          <w:rFonts w:ascii="宋体" w:hAnsi="宋体"/>
          <w:color w:val="auto"/>
          <w:highlight w:val="none"/>
          <w:u w:val="single"/>
        </w:rPr>
      </w:pPr>
      <w:r>
        <w:rPr>
          <w:rFonts w:ascii="宋体" w:hAnsi="宋体"/>
          <w:color w:val="auto"/>
          <w:highlight w:val="none"/>
        </w:rPr>
        <w:t>姓名</w:t>
      </w:r>
      <w:r>
        <w:rPr>
          <w:rFonts w:hint="eastAsia" w:ascii="宋体" w:hAnsi="宋体"/>
          <w:color w:val="auto"/>
          <w:highlight w:val="none"/>
        </w:rPr>
        <w:t>：</w:t>
      </w:r>
      <w:r>
        <w:rPr>
          <w:rFonts w:hint="eastAsia" w:ascii="宋体" w:hAnsi="宋体"/>
          <w:color w:val="auto"/>
          <w:highlight w:val="none"/>
          <w:u w:val="single"/>
        </w:rPr>
        <w:t>（填写）</w:t>
      </w:r>
      <w:r>
        <w:rPr>
          <w:rFonts w:ascii="宋体" w:hAnsi="宋体"/>
          <w:color w:val="auto"/>
          <w:highlight w:val="none"/>
        </w:rPr>
        <w:t>性别：</w:t>
      </w:r>
      <w:r>
        <w:rPr>
          <w:rFonts w:hint="eastAsia" w:ascii="宋体" w:hAnsi="宋体"/>
          <w:color w:val="auto"/>
          <w:highlight w:val="none"/>
          <w:u w:val="single"/>
        </w:rPr>
        <w:t>（填写）</w:t>
      </w:r>
      <w:r>
        <w:rPr>
          <w:rFonts w:ascii="宋体" w:hAnsi="宋体"/>
          <w:color w:val="auto"/>
          <w:highlight w:val="none"/>
        </w:rPr>
        <w:t>年龄：</w:t>
      </w:r>
      <w:r>
        <w:rPr>
          <w:rFonts w:hint="eastAsia" w:ascii="宋体" w:hAnsi="宋体"/>
          <w:color w:val="auto"/>
          <w:highlight w:val="none"/>
          <w:u w:val="single"/>
        </w:rPr>
        <w:t>（填写）</w:t>
      </w:r>
      <w:r>
        <w:rPr>
          <w:rFonts w:ascii="宋体" w:hAnsi="宋体"/>
          <w:color w:val="auto"/>
          <w:highlight w:val="none"/>
        </w:rPr>
        <w:t>职务：</w:t>
      </w:r>
      <w:r>
        <w:rPr>
          <w:rFonts w:hint="eastAsia" w:ascii="宋体" w:hAnsi="宋体"/>
          <w:color w:val="auto"/>
          <w:highlight w:val="none"/>
          <w:u w:val="single"/>
        </w:rPr>
        <w:t>（填写）</w:t>
      </w:r>
    </w:p>
    <w:p>
      <w:pPr>
        <w:ind w:right="0" w:firstLine="200"/>
        <w:rPr>
          <w:rFonts w:ascii="宋体" w:hAnsi="宋体"/>
          <w:color w:val="auto"/>
          <w:highlight w:val="none"/>
        </w:rPr>
      </w:pPr>
      <w:r>
        <w:rPr>
          <w:rFonts w:ascii="宋体" w:hAnsi="宋体"/>
          <w:color w:val="auto"/>
          <w:highlight w:val="none"/>
        </w:rPr>
        <w:t>系</w:t>
      </w:r>
      <w:r>
        <w:rPr>
          <w:rFonts w:hint="eastAsia" w:ascii="宋体" w:hAnsi="宋体"/>
          <w:color w:val="auto"/>
          <w:highlight w:val="none"/>
          <w:u w:val="single"/>
        </w:rPr>
        <w:t xml:space="preserve">   （填写）       </w:t>
      </w:r>
      <w:r>
        <w:rPr>
          <w:rFonts w:hint="eastAsia" w:ascii="宋体" w:hAnsi="宋体"/>
          <w:color w:val="auto"/>
          <w:highlight w:val="none"/>
        </w:rPr>
        <w:t xml:space="preserve"> </w:t>
      </w:r>
      <w:r>
        <w:rPr>
          <w:rFonts w:ascii="宋体" w:hAnsi="宋体"/>
          <w:color w:val="auto"/>
          <w:highlight w:val="none"/>
        </w:rPr>
        <w:t>的法定代表人。</w:t>
      </w:r>
    </w:p>
    <w:p>
      <w:pPr>
        <w:ind w:right="0" w:firstLine="200"/>
        <w:rPr>
          <w:rFonts w:ascii="宋体" w:hAnsi="宋体"/>
          <w:color w:val="auto"/>
          <w:highlight w:val="none"/>
        </w:rPr>
      </w:pPr>
      <w:r>
        <w:rPr>
          <w:rFonts w:ascii="宋体" w:hAnsi="宋体"/>
          <w:color w:val="auto"/>
          <w:highlight w:val="none"/>
        </w:rPr>
        <w:t>特此证明。</w:t>
      </w:r>
    </w:p>
    <w:p>
      <w:pPr>
        <w:ind w:right="0" w:firstLine="200"/>
        <w:rPr>
          <w:rFonts w:ascii="宋体" w:hAnsi="宋体"/>
          <w:color w:val="auto"/>
          <w:highlight w:val="none"/>
        </w:rPr>
      </w:pPr>
    </w:p>
    <w:p>
      <w:pPr>
        <w:ind w:right="0" w:firstLine="200"/>
        <w:rPr>
          <w:rFonts w:ascii="宋体" w:hAnsi="宋体"/>
          <w:color w:val="auto"/>
          <w:highlight w:val="none"/>
          <w:u w:val="single"/>
        </w:rPr>
      </w:pPr>
      <w:r>
        <w:rPr>
          <w:rFonts w:ascii="宋体" w:hAnsi="宋体"/>
          <w:color w:val="auto"/>
          <w:highlight w:val="none"/>
        </w:rPr>
        <w:t>投标人：</w:t>
      </w:r>
      <w:r>
        <w:rPr>
          <w:rFonts w:hint="eastAsia" w:ascii="宋体" w:hAnsi="宋体"/>
          <w:color w:val="auto"/>
          <w:highlight w:val="none"/>
          <w:u w:val="single"/>
        </w:rPr>
        <w:t>（填写）</w:t>
      </w:r>
      <w:r>
        <w:rPr>
          <w:rFonts w:ascii="宋体" w:hAnsi="宋体"/>
          <w:color w:val="auto"/>
          <w:highlight w:val="none"/>
        </w:rPr>
        <w:t>（盖章）</w:t>
      </w:r>
    </w:p>
    <w:p>
      <w:pPr>
        <w:ind w:right="0" w:firstLine="200"/>
        <w:rPr>
          <w:rFonts w:ascii="宋体" w:hAnsi="宋体"/>
          <w:color w:val="auto"/>
          <w:highlight w:val="none"/>
        </w:rPr>
      </w:pPr>
      <w:r>
        <w:rPr>
          <w:rFonts w:ascii="宋体" w:hAnsi="宋体"/>
          <w:color w:val="auto"/>
          <w:highlight w:val="none"/>
        </w:rPr>
        <w:t>日期：</w:t>
      </w:r>
      <w:r>
        <w:rPr>
          <w:rFonts w:hint="eastAsia" w:ascii="宋体" w:hAnsi="宋体"/>
          <w:color w:val="auto"/>
          <w:highlight w:val="none"/>
        </w:rPr>
        <w:t xml:space="preserve">    </w:t>
      </w:r>
      <w:r>
        <w:rPr>
          <w:rFonts w:ascii="宋体" w:hAnsi="宋体"/>
          <w:color w:val="auto"/>
          <w:highlight w:val="none"/>
        </w:rPr>
        <w:t>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ind w:right="0" w:firstLine="200"/>
        <w:rPr>
          <w:rFonts w:ascii="宋体" w:hAnsi="宋体"/>
          <w:color w:val="auto"/>
          <w:highlight w:val="none"/>
        </w:rPr>
      </w:pPr>
      <w:r>
        <w:rPr>
          <w:rFonts w:hint="eastAsia" w:ascii="宋体" w:hAnsi="宋体"/>
          <w:color w:val="auto"/>
          <w:highlight w:val="none"/>
        </w:rPr>
        <w:t>附</w:t>
      </w:r>
      <w:r>
        <w:rPr>
          <w:rFonts w:ascii="宋体" w:hAnsi="宋体"/>
          <w:color w:val="auto"/>
          <w:highlight w:val="none"/>
        </w:rPr>
        <w:t xml:space="preserve">: </w:t>
      </w:r>
      <w:r>
        <w:rPr>
          <w:rFonts w:hint="eastAsia" w:ascii="宋体" w:hAnsi="宋体"/>
          <w:color w:val="auto"/>
          <w:highlight w:val="none"/>
        </w:rPr>
        <w:t>法定代表人身份证复印件</w:t>
      </w:r>
    </w:p>
    <w:p>
      <w:pPr>
        <w:spacing w:before="0" w:after="0" w:afterAutospacing="0"/>
        <w:ind w:left="0" w:right="0" w:firstLine="420" w:firstLineChars="200"/>
        <w:rPr>
          <w:rFonts w:hAnsi="宋体"/>
          <w:color w:val="auto"/>
          <w:highlight w:val="none"/>
        </w:rPr>
      </w:pPr>
    </w:p>
    <w:p>
      <w:pPr>
        <w:pageBreakBefore/>
        <w:spacing w:before="0" w:after="0" w:afterAutospacing="0"/>
        <w:ind w:left="812" w:right="0" w:hanging="812" w:hangingChars="337"/>
        <w:jc w:val="left"/>
        <w:outlineLvl w:val="2"/>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4.2法定代表人授权书</w:t>
      </w:r>
    </w:p>
    <w:p>
      <w:pPr>
        <w:spacing w:before="0" w:after="0" w:afterAutospacing="0"/>
        <w:ind w:left="0" w:right="0" w:firstLine="420" w:firstLineChars="200"/>
        <w:rPr>
          <w:rFonts w:hAnsi="宋体"/>
          <w:color w:val="auto"/>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w:t>
      </w:r>
      <w:r>
        <w:rPr>
          <w:rFonts w:hint="eastAsia" w:ascii="宋体" w:hAnsi="宋体"/>
          <w:b/>
          <w:color w:val="auto"/>
          <w:sz w:val="32"/>
          <w:szCs w:val="32"/>
          <w:highlight w:val="none"/>
        </w:rPr>
        <w:t>授权</w:t>
      </w:r>
      <w:r>
        <w:rPr>
          <w:rFonts w:ascii="宋体" w:hAnsi="宋体"/>
          <w:b/>
          <w:color w:val="auto"/>
          <w:sz w:val="32"/>
          <w:szCs w:val="32"/>
          <w:highlight w:val="none"/>
        </w:rPr>
        <w:t>书</w:t>
      </w:r>
    </w:p>
    <w:p>
      <w:pPr>
        <w:spacing w:before="0" w:after="0" w:afterAutospacing="0"/>
        <w:ind w:left="0" w:right="0" w:firstLine="420" w:firstLineChars="200"/>
        <w:rPr>
          <w:rFonts w:hAnsi="宋体"/>
          <w:color w:val="auto"/>
          <w:highlight w:val="none"/>
        </w:rPr>
      </w:pPr>
    </w:p>
    <w:p>
      <w:pPr>
        <w:tabs>
          <w:tab w:val="left" w:pos="8364"/>
        </w:tabs>
        <w:snapToGrid w:val="0"/>
        <w:ind w:left="500" w:right="0" w:hanging="499"/>
        <w:rPr>
          <w:rFonts w:ascii="宋体" w:hAnsi="宋体"/>
          <w:color w:val="auto"/>
          <w:highlight w:val="none"/>
        </w:rPr>
      </w:pPr>
      <w:r>
        <w:rPr>
          <w:rFonts w:ascii="宋体" w:hAnsi="宋体"/>
          <w:color w:val="auto"/>
          <w:highlight w:val="none"/>
        </w:rPr>
        <w:t>致：</w:t>
      </w:r>
      <w:r>
        <w:rPr>
          <w:rFonts w:hint="eastAsia" w:ascii="宋体" w:hAnsi="宋体" w:cs="Arial"/>
          <w:color w:val="auto"/>
          <w:highlight w:val="none"/>
          <w:u w:val="single"/>
        </w:rPr>
        <w:t>（比选人名称）</w:t>
      </w:r>
    </w:p>
    <w:p>
      <w:pPr>
        <w:tabs>
          <w:tab w:val="left" w:pos="8364"/>
        </w:tabs>
        <w:snapToGrid w:val="0"/>
        <w:ind w:left="0" w:right="0" w:firstLine="426"/>
        <w:rPr>
          <w:rFonts w:ascii="宋体" w:hAnsi="宋体"/>
          <w:color w:val="auto"/>
          <w:highlight w:val="none"/>
        </w:rPr>
      </w:pPr>
      <w:r>
        <w:rPr>
          <w:rFonts w:ascii="宋体" w:hAnsi="宋体"/>
          <w:color w:val="auto"/>
          <w:highlight w:val="none"/>
        </w:rPr>
        <w:t>本授权书声明：注册于</w:t>
      </w:r>
      <w:r>
        <w:rPr>
          <w:rFonts w:ascii="宋体" w:hAnsi="宋体"/>
          <w:color w:val="auto"/>
          <w:highlight w:val="none"/>
          <w:u w:val="single"/>
        </w:rPr>
        <w:t>(国家或地区)</w:t>
      </w:r>
      <w:r>
        <w:rPr>
          <w:rFonts w:ascii="宋体" w:hAnsi="宋体"/>
          <w:color w:val="auto"/>
          <w:highlight w:val="none"/>
        </w:rPr>
        <w:t>的</w:t>
      </w:r>
      <w:r>
        <w:rPr>
          <w:rFonts w:ascii="宋体" w:hAnsi="宋体"/>
          <w:color w:val="auto"/>
          <w:highlight w:val="none"/>
          <w:u w:val="single"/>
        </w:rPr>
        <w:t>（</w:t>
      </w:r>
      <w:r>
        <w:rPr>
          <w:rFonts w:hint="eastAsia" w:ascii="宋体" w:hAnsi="宋体"/>
          <w:color w:val="auto"/>
          <w:highlight w:val="none"/>
          <w:u w:val="single"/>
        </w:rPr>
        <w:t>比选申请</w:t>
      </w:r>
      <w:r>
        <w:rPr>
          <w:rFonts w:ascii="宋体" w:hAnsi="宋体"/>
          <w:color w:val="auto"/>
          <w:highlight w:val="none"/>
          <w:u w:val="single"/>
        </w:rPr>
        <w:t>人名称）</w:t>
      </w:r>
      <w:r>
        <w:rPr>
          <w:rFonts w:ascii="宋体" w:hAnsi="宋体"/>
          <w:color w:val="auto"/>
          <w:highlight w:val="none"/>
        </w:rPr>
        <w:t>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（法定代表人姓名、职务）</w:t>
      </w:r>
      <w:r>
        <w:rPr>
          <w:rFonts w:ascii="宋体" w:hAnsi="宋体"/>
          <w:color w:val="auto"/>
          <w:highlight w:val="none"/>
        </w:rPr>
        <w:t>代表本公司授权在下面签字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（被授权人的姓名、职务）</w:t>
      </w:r>
      <w:r>
        <w:rPr>
          <w:rFonts w:ascii="宋体" w:hAnsi="宋体"/>
          <w:color w:val="auto"/>
          <w:highlight w:val="none"/>
        </w:rPr>
        <w:t>为本公司的合法代理人，就招标编号为</w:t>
      </w:r>
      <w:r>
        <w:rPr>
          <w:rFonts w:hint="eastAsia" w:ascii="宋体" w:hAnsi="宋体"/>
          <w:color w:val="auto"/>
          <w:highlight w:val="none"/>
          <w:u w:val="single"/>
        </w:rPr>
        <w:t>（填写）</w:t>
      </w:r>
      <w:r>
        <w:rPr>
          <w:rFonts w:ascii="宋体" w:hAnsi="宋体"/>
          <w:color w:val="auto"/>
          <w:highlight w:val="none"/>
        </w:rPr>
        <w:t>的</w:t>
      </w:r>
      <w:r>
        <w:rPr>
          <w:rFonts w:hint="eastAsia" w:ascii="宋体" w:hAnsi="宋体"/>
          <w:color w:val="auto"/>
          <w:highlight w:val="none"/>
          <w:u w:val="single"/>
        </w:rPr>
        <w:t>（填写）</w:t>
      </w:r>
      <w:r>
        <w:rPr>
          <w:rFonts w:ascii="宋体" w:hAnsi="宋体"/>
          <w:color w:val="auto"/>
          <w:highlight w:val="none"/>
        </w:rPr>
        <w:t>项目的</w:t>
      </w:r>
      <w:r>
        <w:rPr>
          <w:rFonts w:hint="eastAsia" w:ascii="宋体" w:hAnsi="宋体"/>
          <w:color w:val="auto"/>
          <w:highlight w:val="none"/>
        </w:rPr>
        <w:t>比选申请</w:t>
      </w:r>
      <w:r>
        <w:rPr>
          <w:rFonts w:ascii="宋体" w:hAnsi="宋体"/>
          <w:color w:val="auto"/>
          <w:highlight w:val="none"/>
        </w:rPr>
        <w:t>和合同执行，作为</w:t>
      </w:r>
      <w:r>
        <w:rPr>
          <w:rFonts w:hint="eastAsia" w:ascii="宋体" w:hAnsi="宋体"/>
          <w:color w:val="auto"/>
          <w:highlight w:val="none"/>
        </w:rPr>
        <w:t>比选申请</w:t>
      </w:r>
      <w:r>
        <w:rPr>
          <w:rFonts w:ascii="宋体" w:hAnsi="宋体"/>
          <w:color w:val="auto"/>
          <w:highlight w:val="none"/>
        </w:rPr>
        <w:t>人代表以本公司的名义处理一切与之有关的事宜。</w:t>
      </w:r>
    </w:p>
    <w:p>
      <w:pPr>
        <w:tabs>
          <w:tab w:val="left" w:pos="8364"/>
        </w:tabs>
        <w:snapToGrid w:val="0"/>
        <w:ind w:left="0" w:right="0" w:firstLine="426"/>
        <w:rPr>
          <w:rFonts w:ascii="宋体" w:hAnsi="宋体"/>
          <w:color w:val="auto"/>
          <w:highlight w:val="none"/>
        </w:rPr>
      </w:pPr>
      <w:r>
        <w:rPr>
          <w:rFonts w:ascii="宋体" w:hAnsi="宋体"/>
          <w:color w:val="auto"/>
          <w:highlight w:val="none"/>
        </w:rPr>
        <w:t>本授权书于</w:t>
      </w:r>
      <w:r>
        <w:rPr>
          <w:rFonts w:hint="eastAsia" w:ascii="宋体" w:hAnsi="宋体"/>
          <w:color w:val="auto"/>
          <w:highlight w:val="none"/>
          <w:u w:val="single"/>
        </w:rPr>
        <w:t>（填写）</w:t>
      </w:r>
      <w:r>
        <w:rPr>
          <w:rFonts w:ascii="宋体" w:hAnsi="宋体"/>
          <w:color w:val="auto"/>
          <w:highlight w:val="none"/>
        </w:rPr>
        <w:t>年</w:t>
      </w:r>
      <w:r>
        <w:rPr>
          <w:rFonts w:hint="eastAsia" w:ascii="宋体" w:hAnsi="宋体"/>
          <w:color w:val="auto"/>
          <w:highlight w:val="none"/>
          <w:u w:val="single"/>
        </w:rPr>
        <w:t>（填写）</w:t>
      </w:r>
      <w:r>
        <w:rPr>
          <w:rFonts w:ascii="宋体" w:hAnsi="宋体"/>
          <w:color w:val="auto"/>
          <w:highlight w:val="none"/>
        </w:rPr>
        <w:t>月</w:t>
      </w:r>
      <w:r>
        <w:rPr>
          <w:rFonts w:hint="eastAsia" w:ascii="宋体" w:hAnsi="宋体"/>
          <w:color w:val="auto"/>
          <w:highlight w:val="none"/>
          <w:u w:val="single"/>
        </w:rPr>
        <w:t>（填写）</w:t>
      </w:r>
      <w:r>
        <w:rPr>
          <w:rFonts w:ascii="宋体" w:hAnsi="宋体"/>
          <w:color w:val="auto"/>
          <w:highlight w:val="none"/>
        </w:rPr>
        <w:t>日签字生效，特此声明。</w:t>
      </w:r>
    </w:p>
    <w:p>
      <w:pPr>
        <w:tabs>
          <w:tab w:val="left" w:pos="8364"/>
        </w:tabs>
        <w:snapToGrid w:val="0"/>
        <w:ind w:right="0" w:firstLine="200"/>
        <w:rPr>
          <w:rFonts w:ascii="宋体" w:hAnsi="宋体"/>
          <w:color w:val="auto"/>
          <w:highlight w:val="none"/>
        </w:rPr>
      </w:pPr>
    </w:p>
    <w:p>
      <w:pPr>
        <w:tabs>
          <w:tab w:val="left" w:pos="8364"/>
        </w:tabs>
        <w:snapToGrid w:val="0"/>
        <w:spacing w:line="300" w:lineRule="exact"/>
        <w:ind w:right="0" w:firstLine="198"/>
        <w:rPr>
          <w:rFonts w:ascii="宋体" w:hAnsi="宋体"/>
          <w:color w:val="auto"/>
          <w:highlight w:val="none"/>
          <w:u w:val="single"/>
        </w:rPr>
      </w:pPr>
      <w:r>
        <w:rPr>
          <w:rFonts w:ascii="宋体" w:hAnsi="宋体"/>
          <w:color w:val="auto"/>
          <w:highlight w:val="none"/>
        </w:rPr>
        <w:t>法定代表人签字或盖章：</w:t>
      </w:r>
    </w:p>
    <w:p>
      <w:pPr>
        <w:tabs>
          <w:tab w:val="left" w:pos="8364"/>
        </w:tabs>
        <w:snapToGrid w:val="0"/>
        <w:spacing w:line="300" w:lineRule="exact"/>
        <w:ind w:right="0" w:firstLine="198"/>
        <w:rPr>
          <w:rFonts w:ascii="宋体" w:hAnsi="宋体"/>
          <w:color w:val="auto"/>
          <w:highlight w:val="none"/>
          <w:u w:val="single"/>
        </w:rPr>
      </w:pPr>
      <w:r>
        <w:rPr>
          <w:rFonts w:ascii="宋体" w:hAnsi="宋体"/>
          <w:color w:val="auto"/>
          <w:highlight w:val="none"/>
        </w:rPr>
        <w:t>职务：</w:t>
      </w:r>
    </w:p>
    <w:p>
      <w:pPr>
        <w:tabs>
          <w:tab w:val="left" w:pos="8364"/>
        </w:tabs>
        <w:snapToGrid w:val="0"/>
        <w:spacing w:line="300" w:lineRule="exact"/>
        <w:ind w:right="0" w:firstLine="198"/>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spacing w:line="300" w:lineRule="exact"/>
        <w:ind w:right="0" w:firstLine="198"/>
        <w:rPr>
          <w:rFonts w:ascii="宋体" w:hAnsi="宋体"/>
          <w:color w:val="auto"/>
          <w:highlight w:val="none"/>
          <w:u w:val="single"/>
        </w:rPr>
      </w:pPr>
      <w:r>
        <w:rPr>
          <w:rFonts w:ascii="宋体" w:hAnsi="宋体"/>
          <w:color w:val="auto"/>
          <w:highlight w:val="none"/>
        </w:rPr>
        <w:t>地址：</w:t>
      </w:r>
    </w:p>
    <w:p>
      <w:pPr>
        <w:tabs>
          <w:tab w:val="left" w:pos="8364"/>
        </w:tabs>
        <w:snapToGrid w:val="0"/>
        <w:spacing w:line="300" w:lineRule="exact"/>
        <w:ind w:right="0" w:firstLine="198"/>
        <w:rPr>
          <w:rFonts w:ascii="宋体" w:hAnsi="宋体"/>
          <w:color w:val="auto"/>
          <w:highlight w:val="none"/>
        </w:rPr>
      </w:pPr>
    </w:p>
    <w:p>
      <w:pPr>
        <w:tabs>
          <w:tab w:val="left" w:pos="8364"/>
        </w:tabs>
        <w:snapToGrid w:val="0"/>
        <w:spacing w:line="300" w:lineRule="exact"/>
        <w:ind w:right="0" w:firstLine="198"/>
        <w:rPr>
          <w:rFonts w:ascii="宋体" w:hAnsi="宋体"/>
          <w:color w:val="auto"/>
          <w:highlight w:val="none"/>
          <w:u w:val="single"/>
        </w:rPr>
      </w:pPr>
      <w:r>
        <w:rPr>
          <w:rFonts w:hint="eastAsia" w:ascii="宋体" w:hAnsi="宋体"/>
          <w:color w:val="auto"/>
          <w:highlight w:val="none"/>
        </w:rPr>
        <w:t>比选申请</w:t>
      </w:r>
      <w:r>
        <w:rPr>
          <w:rFonts w:ascii="宋体" w:hAnsi="宋体"/>
          <w:color w:val="auto"/>
          <w:highlight w:val="none"/>
        </w:rPr>
        <w:t>人代表（被授权人）签字或盖章：</w:t>
      </w:r>
    </w:p>
    <w:p>
      <w:pPr>
        <w:tabs>
          <w:tab w:val="left" w:pos="8364"/>
        </w:tabs>
        <w:snapToGrid w:val="0"/>
        <w:spacing w:line="300" w:lineRule="exact"/>
        <w:ind w:right="0" w:firstLine="198"/>
        <w:rPr>
          <w:rFonts w:ascii="宋体" w:hAnsi="宋体"/>
          <w:color w:val="auto"/>
          <w:highlight w:val="none"/>
          <w:u w:val="single"/>
        </w:rPr>
      </w:pPr>
      <w:r>
        <w:rPr>
          <w:rFonts w:ascii="宋体" w:hAnsi="宋体"/>
          <w:color w:val="auto"/>
          <w:highlight w:val="none"/>
        </w:rPr>
        <w:t>职务：</w:t>
      </w:r>
    </w:p>
    <w:p>
      <w:pPr>
        <w:tabs>
          <w:tab w:val="left" w:pos="8364"/>
        </w:tabs>
        <w:snapToGrid w:val="0"/>
        <w:spacing w:line="300" w:lineRule="exact"/>
        <w:ind w:right="0" w:firstLine="198"/>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spacing w:line="300" w:lineRule="exact"/>
        <w:ind w:right="0" w:firstLine="198"/>
        <w:rPr>
          <w:rFonts w:ascii="宋体" w:hAnsi="宋体"/>
          <w:color w:val="auto"/>
          <w:highlight w:val="none"/>
          <w:u w:val="single"/>
        </w:rPr>
      </w:pPr>
      <w:r>
        <w:rPr>
          <w:rFonts w:ascii="宋体" w:hAnsi="宋体"/>
          <w:color w:val="auto"/>
          <w:highlight w:val="none"/>
        </w:rPr>
        <w:t>地址：</w:t>
      </w:r>
    </w:p>
    <w:p>
      <w:pPr>
        <w:spacing w:before="0"/>
        <w:ind w:right="0" w:firstLine="135"/>
        <w:rPr>
          <w:rFonts w:ascii="宋体" w:hAnsi="宋体"/>
          <w:b/>
          <w:color w:val="auto"/>
          <w:highlight w:val="none"/>
        </w:rPr>
      </w:pPr>
      <w:r>
        <w:rPr>
          <w:rFonts w:hint="eastAsia" w:ascii="宋体" w:hAnsi="宋体"/>
          <w:b/>
          <w:color w:val="auto"/>
          <w:highlight w:val="none"/>
        </w:rPr>
        <w:t>附：授权代理人身份证复印件</w:t>
      </w:r>
    </w:p>
    <w:p>
      <w:pPr>
        <w:tabs>
          <w:tab w:val="left" w:pos="8364"/>
        </w:tabs>
        <w:snapToGrid w:val="0"/>
        <w:ind w:right="0" w:firstLine="200"/>
        <w:rPr>
          <w:rFonts w:ascii="宋体" w:hAnsi="宋体"/>
          <w:color w:val="auto"/>
          <w:highlight w:val="none"/>
          <w:u w:val="single"/>
        </w:rPr>
      </w:pPr>
    </w:p>
    <w:p>
      <w:pPr>
        <w:pStyle w:val="5"/>
        <w:pageBreakBefore/>
        <w:widowControl w:val="0"/>
        <w:spacing w:before="40" w:after="100" w:line="240" w:lineRule="auto"/>
        <w:ind w:left="0" w:right="-28" w:firstLine="0"/>
        <w:jc w:val="center"/>
        <w:rPr>
          <w:rFonts w:ascii="Times New Roman" w:hAnsi="Times New Roman" w:eastAsia="宋体"/>
          <w:color w:val="auto"/>
          <w:highlight w:val="none"/>
        </w:rPr>
      </w:pPr>
      <w:bookmarkStart w:id="688" w:name="_Toc16205"/>
      <w:bookmarkStart w:id="689" w:name="_Toc100643469"/>
      <w:r>
        <w:rPr>
          <w:rFonts w:hint="eastAsia" w:ascii="Times New Roman" w:hAnsi="Times New Roman" w:eastAsia="宋体"/>
          <w:color w:val="auto"/>
          <w:highlight w:val="none"/>
        </w:rPr>
        <w:t>五、企业证照</w:t>
      </w:r>
      <w:bookmarkEnd w:id="688"/>
      <w:bookmarkEnd w:id="689"/>
    </w:p>
    <w:p>
      <w:pPr>
        <w:spacing w:before="0" w:after="0" w:afterAutospacing="0"/>
        <w:ind w:left="0" w:right="0" w:firstLine="420" w:firstLineChars="200"/>
        <w:rPr>
          <w:rFonts w:hAnsi="宋体"/>
          <w:color w:val="auto"/>
          <w:highlight w:val="none"/>
        </w:rPr>
      </w:pPr>
    </w:p>
    <w:p>
      <w:pPr>
        <w:snapToGrid w:val="0"/>
        <w:spacing w:before="0" w:after="0" w:afterAutospacing="0"/>
        <w:ind w:right="0" w:firstLine="0"/>
        <w:jc w:val="left"/>
        <w:rPr>
          <w:rFonts w:ascii="宋体" w:hAnsi="宋体"/>
          <w:b/>
          <w:color w:val="auto"/>
          <w:sz w:val="24"/>
          <w:szCs w:val="24"/>
          <w:highlight w:val="none"/>
        </w:rPr>
      </w:pPr>
      <w:r>
        <w:rPr>
          <w:rFonts w:hint="eastAsia" w:ascii="宋体" w:hAnsi="宋体"/>
          <w:b/>
          <w:color w:val="auto"/>
          <w:sz w:val="24"/>
          <w:szCs w:val="24"/>
          <w:highlight w:val="none"/>
        </w:rPr>
        <w:t>【复印件并加盖公章】</w:t>
      </w:r>
    </w:p>
    <w:p>
      <w:pPr>
        <w:spacing w:before="0" w:after="0" w:afterAutospacing="0"/>
        <w:ind w:left="0" w:right="0" w:firstLine="420" w:firstLineChars="200"/>
        <w:rPr>
          <w:rFonts w:hAnsi="宋体"/>
          <w:color w:val="auto"/>
          <w:highlight w:val="none"/>
        </w:rPr>
      </w:pPr>
    </w:p>
    <w:p>
      <w:pPr>
        <w:spacing w:before="0" w:after="0" w:afterAutospacing="0"/>
        <w:ind w:left="0" w:right="0" w:firstLine="420" w:firstLineChars="200"/>
        <w:rPr>
          <w:rFonts w:hAnsi="宋体"/>
          <w:color w:val="auto"/>
          <w:highlight w:val="none"/>
        </w:rPr>
      </w:pPr>
    </w:p>
    <w:p>
      <w:pPr>
        <w:pStyle w:val="5"/>
        <w:pageBreakBefore/>
        <w:widowControl w:val="0"/>
        <w:spacing w:before="40" w:after="100" w:line="240" w:lineRule="auto"/>
        <w:ind w:left="0" w:right="-28" w:firstLine="0"/>
        <w:jc w:val="center"/>
        <w:rPr>
          <w:rFonts w:ascii="Times New Roman" w:hAnsi="Times New Roman" w:eastAsia="宋体"/>
          <w:color w:val="auto"/>
          <w:highlight w:val="none"/>
        </w:rPr>
      </w:pPr>
      <w:bookmarkStart w:id="690" w:name="_Toc100643470"/>
      <w:bookmarkStart w:id="691" w:name="_Toc25012"/>
      <w:r>
        <w:rPr>
          <w:rFonts w:hint="eastAsia" w:ascii="Times New Roman" w:hAnsi="Times New Roman" w:eastAsia="宋体"/>
          <w:color w:val="auto"/>
          <w:highlight w:val="none"/>
        </w:rPr>
        <w:t>六、类似项目业绩表</w:t>
      </w:r>
      <w:bookmarkEnd w:id="690"/>
      <w:bookmarkEnd w:id="691"/>
    </w:p>
    <w:p>
      <w:pPr>
        <w:spacing w:before="0" w:after="0" w:afterAutospacing="0"/>
        <w:ind w:left="0" w:right="0" w:firstLine="420" w:firstLineChars="200"/>
        <w:rPr>
          <w:rFonts w:hAnsi="宋体"/>
          <w:color w:val="auto"/>
          <w:highlight w:val="none"/>
        </w:rPr>
      </w:pPr>
    </w:p>
    <w:p>
      <w:pPr>
        <w:spacing w:before="0"/>
        <w:ind w:right="-57" w:firstLine="0"/>
        <w:jc w:val="center"/>
        <w:rPr>
          <w:rFonts w:ascii="宋体" w:hAnsi="宋体"/>
          <w:b/>
          <w:color w:val="auto"/>
          <w:spacing w:val="20"/>
          <w:highlight w:val="none"/>
        </w:rPr>
      </w:pPr>
      <w:r>
        <w:rPr>
          <w:rFonts w:hint="eastAsia" w:ascii="宋体" w:hAnsi="宋体"/>
          <w:b/>
          <w:color w:val="auto"/>
          <w:spacing w:val="20"/>
          <w:highlight w:val="none"/>
        </w:rPr>
        <w:t>类似项目</w:t>
      </w:r>
      <w:r>
        <w:rPr>
          <w:rFonts w:ascii="宋体" w:hAnsi="宋体"/>
          <w:b/>
          <w:color w:val="auto"/>
          <w:spacing w:val="20"/>
          <w:highlight w:val="none"/>
        </w:rPr>
        <w:t>业绩表</w:t>
      </w:r>
      <w:r>
        <w:rPr>
          <w:rFonts w:hint="eastAsia" w:ascii="宋体" w:hAnsi="宋体"/>
          <w:b/>
          <w:color w:val="auto"/>
          <w:highlight w:val="none"/>
        </w:rPr>
        <w:t>（如有）</w:t>
      </w:r>
    </w:p>
    <w:tbl>
      <w:tblPr>
        <w:tblStyle w:val="29"/>
        <w:tblW w:w="8940"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789"/>
        <w:gridCol w:w="992"/>
        <w:gridCol w:w="993"/>
        <w:gridCol w:w="1388"/>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序号</w:t>
            </w:r>
          </w:p>
        </w:tc>
        <w:tc>
          <w:tcPr>
            <w:tcW w:w="1092" w:type="dxa"/>
            <w:tcBorders>
              <w:top w:val="double" w:color="auto" w:sz="4" w:space="0"/>
            </w:tcBorders>
            <w:vAlign w:val="center"/>
          </w:tcPr>
          <w:p>
            <w:pPr>
              <w:ind w:left="0" w:firstLine="0"/>
              <w:rPr>
                <w:rFonts w:ascii="宋体" w:hAnsi="宋体"/>
                <w:color w:val="auto"/>
                <w:highlight w:val="none"/>
              </w:rPr>
            </w:pPr>
            <w:r>
              <w:rPr>
                <w:rFonts w:hint="eastAsia" w:ascii="宋体" w:hAnsi="宋体"/>
                <w:color w:val="auto"/>
                <w:highlight w:val="none"/>
              </w:rPr>
              <w:t>项目名称</w:t>
            </w:r>
          </w:p>
        </w:tc>
        <w:tc>
          <w:tcPr>
            <w:tcW w:w="1789" w:type="dxa"/>
            <w:tcBorders>
              <w:top w:val="doub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合同内容（简述）</w:t>
            </w:r>
          </w:p>
        </w:tc>
        <w:tc>
          <w:tcPr>
            <w:tcW w:w="992"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合同</w:t>
            </w:r>
            <w:r>
              <w:rPr>
                <w:rFonts w:ascii="宋体" w:hAnsi="宋体"/>
                <w:color w:val="auto"/>
                <w:highlight w:val="none"/>
              </w:rPr>
              <w:br w:type="textWrapping"/>
            </w:r>
            <w:r>
              <w:rPr>
                <w:rFonts w:hint="eastAsia" w:ascii="宋体" w:hAnsi="宋体"/>
                <w:color w:val="auto"/>
                <w:highlight w:val="none"/>
              </w:rPr>
              <w:t>金额</w:t>
            </w:r>
          </w:p>
        </w:tc>
        <w:tc>
          <w:tcPr>
            <w:tcW w:w="993"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签订</w:t>
            </w:r>
            <w:r>
              <w:rPr>
                <w:rFonts w:ascii="宋体" w:hAnsi="宋体"/>
                <w:color w:val="auto"/>
                <w:highlight w:val="none"/>
              </w:rPr>
              <w:br w:type="textWrapping"/>
            </w:r>
            <w:r>
              <w:rPr>
                <w:rFonts w:hint="eastAsia" w:ascii="宋体" w:hAnsi="宋体"/>
                <w:color w:val="auto"/>
                <w:highlight w:val="none"/>
              </w:rPr>
              <w:t>时间</w:t>
            </w:r>
          </w:p>
        </w:tc>
        <w:tc>
          <w:tcPr>
            <w:tcW w:w="1388"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供货、</w:t>
            </w:r>
            <w:r>
              <w:rPr>
                <w:rFonts w:hint="eastAsia"/>
                <w:color w:val="auto"/>
                <w:highlight w:val="none"/>
              </w:rPr>
              <w:t>工期或服务</w:t>
            </w:r>
            <w:r>
              <w:rPr>
                <w:rFonts w:hint="eastAsia" w:ascii="宋体" w:hAnsi="宋体"/>
                <w:color w:val="auto"/>
                <w:highlight w:val="none"/>
              </w:rPr>
              <w:t>时间</w:t>
            </w:r>
          </w:p>
        </w:tc>
        <w:tc>
          <w:tcPr>
            <w:tcW w:w="1044" w:type="dxa"/>
            <w:tcBorders>
              <w:top w:val="double" w:color="auto" w:sz="4" w:space="0"/>
            </w:tcBorders>
            <w:vAlign w:val="center"/>
          </w:tcPr>
          <w:p>
            <w:pPr>
              <w:ind w:left="0" w:firstLine="0"/>
              <w:rPr>
                <w:rFonts w:ascii="宋体" w:hAnsi="宋体"/>
                <w:color w:val="auto"/>
                <w:highlight w:val="none"/>
              </w:rPr>
            </w:pPr>
            <w:r>
              <w:rPr>
                <w:rFonts w:hint="eastAsia" w:ascii="宋体" w:hAnsi="宋体"/>
                <w:color w:val="auto"/>
                <w:highlight w:val="none"/>
              </w:rPr>
              <w:t>业主单位</w:t>
            </w:r>
          </w:p>
        </w:tc>
        <w:tc>
          <w:tcPr>
            <w:tcW w:w="1043" w:type="dxa"/>
            <w:tcBorders>
              <w:top w:val="double" w:color="auto" w:sz="4" w:space="0"/>
            </w:tcBorders>
            <w:vAlign w:val="center"/>
          </w:tcPr>
          <w:p>
            <w:pPr>
              <w:ind w:left="0" w:firstLine="0"/>
              <w:rPr>
                <w:rFonts w:ascii="宋体" w:hAnsi="宋体"/>
                <w:color w:val="auto"/>
                <w:highlight w:val="none"/>
              </w:rPr>
            </w:pPr>
            <w:r>
              <w:rPr>
                <w:rFonts w:hint="eastAsia" w:ascii="宋体" w:hAnsi="宋体"/>
                <w:color w:val="auto"/>
                <w:highlight w:val="none"/>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color w:val="auto"/>
                <w:highlight w:val="none"/>
              </w:rPr>
            </w:pPr>
          </w:p>
        </w:tc>
        <w:tc>
          <w:tcPr>
            <w:tcW w:w="1092" w:type="dxa"/>
          </w:tcPr>
          <w:p>
            <w:pPr>
              <w:ind w:left="0" w:firstLine="0"/>
              <w:rPr>
                <w:rFonts w:ascii="宋体" w:hAnsi="宋体"/>
                <w:color w:val="auto"/>
                <w:highlight w:val="none"/>
              </w:rPr>
            </w:pPr>
          </w:p>
        </w:tc>
        <w:tc>
          <w:tcPr>
            <w:tcW w:w="1789" w:type="dxa"/>
          </w:tcPr>
          <w:p>
            <w:pPr>
              <w:ind w:left="0" w:firstLine="0"/>
              <w:rPr>
                <w:rFonts w:ascii="宋体" w:hAnsi="宋体"/>
                <w:color w:val="auto"/>
                <w:highlight w:val="none"/>
              </w:rPr>
            </w:pPr>
          </w:p>
        </w:tc>
        <w:tc>
          <w:tcPr>
            <w:tcW w:w="992" w:type="dxa"/>
          </w:tcPr>
          <w:p>
            <w:pPr>
              <w:ind w:left="0" w:firstLine="0"/>
              <w:rPr>
                <w:rFonts w:ascii="宋体" w:hAnsi="宋体"/>
                <w:color w:val="auto"/>
                <w:highlight w:val="none"/>
              </w:rPr>
            </w:pPr>
          </w:p>
        </w:tc>
        <w:tc>
          <w:tcPr>
            <w:tcW w:w="993" w:type="dxa"/>
          </w:tcPr>
          <w:p>
            <w:pPr>
              <w:ind w:left="0" w:firstLine="0"/>
              <w:rPr>
                <w:rFonts w:ascii="宋体" w:hAnsi="宋体"/>
                <w:color w:val="auto"/>
                <w:highlight w:val="none"/>
              </w:rPr>
            </w:pPr>
          </w:p>
        </w:tc>
        <w:tc>
          <w:tcPr>
            <w:tcW w:w="1388" w:type="dxa"/>
          </w:tcPr>
          <w:p>
            <w:pPr>
              <w:ind w:left="0" w:firstLine="0"/>
              <w:rPr>
                <w:rFonts w:ascii="宋体" w:hAnsi="宋体"/>
                <w:color w:val="auto"/>
                <w:highlight w:val="none"/>
              </w:rPr>
            </w:pPr>
          </w:p>
        </w:tc>
        <w:tc>
          <w:tcPr>
            <w:tcW w:w="1044" w:type="dxa"/>
          </w:tcPr>
          <w:p>
            <w:pPr>
              <w:ind w:left="0" w:firstLine="0"/>
              <w:rPr>
                <w:rFonts w:ascii="宋体" w:hAnsi="宋体"/>
                <w:color w:val="auto"/>
                <w:highlight w:val="none"/>
              </w:rPr>
            </w:pPr>
          </w:p>
        </w:tc>
        <w:tc>
          <w:tcPr>
            <w:tcW w:w="1043" w:type="dxa"/>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992" w:type="dxa"/>
            <w:vAlign w:val="center"/>
          </w:tcPr>
          <w:p>
            <w:pPr>
              <w:ind w:left="0" w:firstLine="0"/>
              <w:rPr>
                <w:rFonts w:ascii="宋体" w:hAnsi="宋体"/>
                <w:color w:val="auto"/>
                <w:highlight w:val="none"/>
              </w:rPr>
            </w:pPr>
          </w:p>
        </w:tc>
        <w:tc>
          <w:tcPr>
            <w:tcW w:w="993" w:type="dxa"/>
            <w:vAlign w:val="center"/>
          </w:tcPr>
          <w:p>
            <w:pPr>
              <w:ind w:left="0" w:firstLine="0"/>
              <w:rPr>
                <w:rFonts w:ascii="宋体" w:hAnsi="宋体"/>
                <w:color w:val="auto"/>
                <w:highlight w:val="none"/>
              </w:rPr>
            </w:pPr>
          </w:p>
        </w:tc>
        <w:tc>
          <w:tcPr>
            <w:tcW w:w="1388"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992" w:type="dxa"/>
            <w:vAlign w:val="center"/>
          </w:tcPr>
          <w:p>
            <w:pPr>
              <w:ind w:left="0" w:firstLine="0"/>
              <w:rPr>
                <w:rFonts w:ascii="宋体" w:hAnsi="宋体"/>
                <w:color w:val="auto"/>
                <w:highlight w:val="none"/>
              </w:rPr>
            </w:pPr>
          </w:p>
        </w:tc>
        <w:tc>
          <w:tcPr>
            <w:tcW w:w="993" w:type="dxa"/>
            <w:vAlign w:val="center"/>
          </w:tcPr>
          <w:p>
            <w:pPr>
              <w:ind w:left="0" w:firstLine="0"/>
              <w:rPr>
                <w:rFonts w:ascii="宋体" w:hAnsi="宋体"/>
                <w:color w:val="auto"/>
                <w:highlight w:val="none"/>
              </w:rPr>
            </w:pPr>
          </w:p>
        </w:tc>
        <w:tc>
          <w:tcPr>
            <w:tcW w:w="1388"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992" w:type="dxa"/>
            <w:vAlign w:val="center"/>
          </w:tcPr>
          <w:p>
            <w:pPr>
              <w:ind w:left="0" w:firstLine="0"/>
              <w:rPr>
                <w:rFonts w:ascii="宋体" w:hAnsi="宋体"/>
                <w:color w:val="auto"/>
                <w:highlight w:val="none"/>
              </w:rPr>
            </w:pPr>
          </w:p>
        </w:tc>
        <w:tc>
          <w:tcPr>
            <w:tcW w:w="993" w:type="dxa"/>
            <w:vAlign w:val="center"/>
          </w:tcPr>
          <w:p>
            <w:pPr>
              <w:ind w:left="0" w:firstLine="0"/>
              <w:rPr>
                <w:rFonts w:ascii="宋体" w:hAnsi="宋体"/>
                <w:color w:val="auto"/>
                <w:highlight w:val="none"/>
              </w:rPr>
            </w:pPr>
          </w:p>
        </w:tc>
        <w:tc>
          <w:tcPr>
            <w:tcW w:w="1388"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992" w:type="dxa"/>
            <w:vAlign w:val="center"/>
          </w:tcPr>
          <w:p>
            <w:pPr>
              <w:ind w:left="0" w:firstLine="0"/>
              <w:rPr>
                <w:rFonts w:ascii="宋体" w:hAnsi="宋体"/>
                <w:color w:val="auto"/>
                <w:highlight w:val="none"/>
              </w:rPr>
            </w:pPr>
          </w:p>
        </w:tc>
        <w:tc>
          <w:tcPr>
            <w:tcW w:w="993" w:type="dxa"/>
            <w:vAlign w:val="center"/>
          </w:tcPr>
          <w:p>
            <w:pPr>
              <w:ind w:left="0" w:firstLine="0"/>
              <w:rPr>
                <w:rFonts w:ascii="宋体" w:hAnsi="宋体"/>
                <w:color w:val="auto"/>
                <w:highlight w:val="none"/>
              </w:rPr>
            </w:pPr>
          </w:p>
        </w:tc>
        <w:tc>
          <w:tcPr>
            <w:tcW w:w="1388"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992" w:type="dxa"/>
            <w:vAlign w:val="center"/>
          </w:tcPr>
          <w:p>
            <w:pPr>
              <w:ind w:left="0" w:firstLine="0"/>
              <w:rPr>
                <w:rFonts w:ascii="宋体" w:hAnsi="宋体"/>
                <w:color w:val="auto"/>
                <w:highlight w:val="none"/>
              </w:rPr>
            </w:pPr>
          </w:p>
        </w:tc>
        <w:tc>
          <w:tcPr>
            <w:tcW w:w="993" w:type="dxa"/>
            <w:vAlign w:val="center"/>
          </w:tcPr>
          <w:p>
            <w:pPr>
              <w:ind w:left="0" w:firstLine="0"/>
              <w:rPr>
                <w:rFonts w:ascii="宋体" w:hAnsi="宋体"/>
                <w:color w:val="auto"/>
                <w:highlight w:val="none"/>
              </w:rPr>
            </w:pPr>
          </w:p>
        </w:tc>
        <w:tc>
          <w:tcPr>
            <w:tcW w:w="1388"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992" w:type="dxa"/>
            <w:vAlign w:val="center"/>
          </w:tcPr>
          <w:p>
            <w:pPr>
              <w:ind w:left="0" w:firstLine="0"/>
              <w:rPr>
                <w:rFonts w:ascii="宋体" w:hAnsi="宋体"/>
                <w:color w:val="auto"/>
                <w:highlight w:val="none"/>
              </w:rPr>
            </w:pPr>
          </w:p>
        </w:tc>
        <w:tc>
          <w:tcPr>
            <w:tcW w:w="993" w:type="dxa"/>
            <w:vAlign w:val="center"/>
          </w:tcPr>
          <w:p>
            <w:pPr>
              <w:ind w:left="0" w:firstLine="0"/>
              <w:rPr>
                <w:rFonts w:ascii="宋体" w:hAnsi="宋体"/>
                <w:color w:val="auto"/>
                <w:highlight w:val="none"/>
              </w:rPr>
            </w:pPr>
          </w:p>
        </w:tc>
        <w:tc>
          <w:tcPr>
            <w:tcW w:w="1388"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992" w:type="dxa"/>
            <w:vAlign w:val="center"/>
          </w:tcPr>
          <w:p>
            <w:pPr>
              <w:ind w:left="0" w:firstLine="0"/>
              <w:rPr>
                <w:rFonts w:ascii="宋体" w:hAnsi="宋体"/>
                <w:color w:val="auto"/>
                <w:highlight w:val="none"/>
              </w:rPr>
            </w:pPr>
          </w:p>
        </w:tc>
        <w:tc>
          <w:tcPr>
            <w:tcW w:w="993" w:type="dxa"/>
            <w:vAlign w:val="center"/>
          </w:tcPr>
          <w:p>
            <w:pPr>
              <w:ind w:left="0" w:firstLine="0"/>
              <w:rPr>
                <w:rFonts w:ascii="宋体" w:hAnsi="宋体"/>
                <w:color w:val="auto"/>
                <w:highlight w:val="none"/>
              </w:rPr>
            </w:pPr>
          </w:p>
        </w:tc>
        <w:tc>
          <w:tcPr>
            <w:tcW w:w="1388"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992" w:type="dxa"/>
            <w:vAlign w:val="center"/>
          </w:tcPr>
          <w:p>
            <w:pPr>
              <w:ind w:left="0" w:firstLine="0"/>
              <w:rPr>
                <w:rFonts w:ascii="宋体" w:hAnsi="宋体"/>
                <w:color w:val="auto"/>
                <w:highlight w:val="none"/>
              </w:rPr>
            </w:pPr>
          </w:p>
        </w:tc>
        <w:tc>
          <w:tcPr>
            <w:tcW w:w="993" w:type="dxa"/>
            <w:vAlign w:val="center"/>
          </w:tcPr>
          <w:p>
            <w:pPr>
              <w:ind w:left="0" w:firstLine="0"/>
              <w:rPr>
                <w:rFonts w:ascii="宋体" w:hAnsi="宋体"/>
                <w:color w:val="auto"/>
                <w:highlight w:val="none"/>
              </w:rPr>
            </w:pPr>
          </w:p>
        </w:tc>
        <w:tc>
          <w:tcPr>
            <w:tcW w:w="1388"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bl>
    <w:p>
      <w:pPr>
        <w:spacing w:before="0"/>
        <w:ind w:left="567" w:right="-57" w:hanging="567"/>
        <w:jc w:val="left"/>
        <w:rPr>
          <w:rFonts w:ascii="宋体" w:hAnsi="宋体"/>
          <w:color w:val="auto"/>
          <w:highlight w:val="none"/>
        </w:rPr>
      </w:pPr>
    </w:p>
    <w:p>
      <w:pPr>
        <w:spacing w:before="0" w:after="0" w:afterAutospacing="0"/>
        <w:ind w:left="0" w:right="0" w:firstLine="0"/>
        <w:rPr>
          <w:rFonts w:ascii="宋体" w:hAnsi="宋体"/>
          <w:color w:val="auto"/>
          <w:highlight w:val="none"/>
        </w:rPr>
      </w:pPr>
      <w:r>
        <w:rPr>
          <w:rFonts w:ascii="宋体" w:hAnsi="宋体"/>
          <w:color w:val="auto"/>
          <w:highlight w:val="none"/>
        </w:rPr>
        <w:t>注：1.</w:t>
      </w:r>
      <w:r>
        <w:rPr>
          <w:rFonts w:hint="eastAsia" w:ascii="宋体" w:hAnsi="宋体"/>
          <w:color w:val="auto"/>
          <w:highlight w:val="none"/>
        </w:rPr>
        <w:t>类似项目业绩。</w:t>
      </w:r>
    </w:p>
    <w:p>
      <w:pPr>
        <w:spacing w:before="0" w:after="0" w:afterAutospacing="0"/>
        <w:ind w:left="0" w:right="0" w:firstLine="0"/>
        <w:rPr>
          <w:rFonts w:ascii="宋体" w:hAnsi="宋体"/>
          <w:color w:val="auto"/>
          <w:highlight w:val="none"/>
        </w:rPr>
      </w:pPr>
      <w:r>
        <w:rPr>
          <w:rFonts w:ascii="宋体" w:hAnsi="宋体"/>
          <w:color w:val="auto"/>
          <w:highlight w:val="none"/>
        </w:rPr>
        <w:t>2.</w:t>
      </w:r>
      <w:r>
        <w:rPr>
          <w:rFonts w:hint="eastAsia" w:ascii="宋体" w:hAnsi="宋体"/>
          <w:color w:val="auto"/>
          <w:highlight w:val="none"/>
        </w:rPr>
        <w:t>项目按照时间顺序排列，时间以合同签订时间为准。</w:t>
      </w:r>
    </w:p>
    <w:p>
      <w:pPr>
        <w:spacing w:before="0" w:after="0" w:afterAutospacing="0"/>
        <w:ind w:left="0" w:right="0" w:firstLine="0"/>
        <w:rPr>
          <w:rFonts w:ascii="宋体" w:hAnsi="宋体"/>
          <w:color w:val="auto"/>
          <w:highlight w:val="none"/>
        </w:rPr>
      </w:pPr>
      <w:r>
        <w:rPr>
          <w:rFonts w:ascii="宋体" w:hAnsi="宋体"/>
          <w:color w:val="auto"/>
          <w:highlight w:val="none"/>
        </w:rPr>
        <w:t>3.</w:t>
      </w:r>
      <w:r>
        <w:rPr>
          <w:rFonts w:hint="eastAsia" w:ascii="宋体" w:hAnsi="宋体"/>
          <w:color w:val="auto"/>
          <w:highlight w:val="none"/>
        </w:rPr>
        <w:t>比选申请人须提供相应的业绩证明材料：提供下述材料之一即可：①合同文件；②业主（采购方）开具的证明材料，但所提供的材料须能明确反映类似项目特征，</w:t>
      </w:r>
      <w:r>
        <w:rPr>
          <w:rFonts w:ascii="宋体" w:hAnsi="宋体"/>
          <w:color w:val="auto"/>
          <w:highlight w:val="none"/>
        </w:rPr>
        <w:t>复印件加盖比选申请人公章</w:t>
      </w:r>
      <w:r>
        <w:rPr>
          <w:rFonts w:hint="eastAsia" w:ascii="宋体" w:hAnsi="宋体"/>
          <w:color w:val="auto"/>
          <w:highlight w:val="none"/>
        </w:rPr>
        <w:t>。</w:t>
      </w:r>
    </w:p>
    <w:p>
      <w:pPr>
        <w:spacing w:before="0"/>
        <w:ind w:left="479" w:right="-57" w:hanging="17"/>
        <w:rPr>
          <w:rFonts w:ascii="宋体" w:hAnsi="宋体"/>
          <w:color w:val="auto"/>
          <w:highlight w:val="none"/>
        </w:rPr>
      </w:pPr>
    </w:p>
    <w:p>
      <w:pPr>
        <w:spacing w:before="0"/>
        <w:ind w:left="479" w:right="-57" w:hanging="17"/>
        <w:rPr>
          <w:rFonts w:ascii="宋体" w:hAnsi="宋体"/>
          <w:color w:val="auto"/>
          <w:highlight w:val="none"/>
        </w:rPr>
      </w:pPr>
    </w:p>
    <w:p>
      <w:pPr>
        <w:snapToGrid w:val="0"/>
        <w:spacing w:before="0" w:after="0" w:afterAutospacing="0" w:line="400" w:lineRule="exact"/>
        <w:ind w:left="0" w:right="0" w:firstLine="426"/>
        <w:rPr>
          <w:rFonts w:ascii="宋体" w:hAnsi="宋体"/>
          <w:color w:val="auto"/>
          <w:highlight w:val="none"/>
        </w:rPr>
      </w:pPr>
      <w:r>
        <w:rPr>
          <w:rFonts w:hint="eastAsia" w:ascii="宋体" w:hAnsi="宋体"/>
          <w:color w:val="auto"/>
          <w:highlight w:val="none"/>
        </w:rPr>
        <w:t>比选申请</w:t>
      </w:r>
      <w:r>
        <w:rPr>
          <w:rFonts w:ascii="宋体" w:hAnsi="宋体"/>
          <w:color w:val="auto"/>
          <w:highlight w:val="none"/>
        </w:rPr>
        <w:t>人</w:t>
      </w:r>
      <w:r>
        <w:rPr>
          <w:rFonts w:hint="eastAsia" w:ascii="宋体" w:hAnsi="宋体"/>
          <w:color w:val="auto"/>
          <w:highlight w:val="none"/>
        </w:rPr>
        <w:t>：</w:t>
      </w:r>
      <w:r>
        <w:rPr>
          <w:rFonts w:ascii="宋体" w:hAnsi="宋体"/>
          <w:color w:val="auto"/>
          <w:highlight w:val="none"/>
          <w:u w:val="single"/>
        </w:rPr>
        <w:t xml:space="preserve"> </w:t>
      </w:r>
      <w:r>
        <w:rPr>
          <w:rFonts w:hint="eastAsia" w:ascii="宋体" w:hAnsi="宋体" w:cs="Arial"/>
          <w:color w:val="auto"/>
          <w:highlight w:val="none"/>
          <w:u w:val="single"/>
        </w:rPr>
        <w:t>（填写）</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rPr>
      </w:pPr>
      <w:r>
        <w:rPr>
          <w:rFonts w:ascii="宋体" w:hAnsi="宋体"/>
          <w:color w:val="auto"/>
          <w:highlight w:val="none"/>
        </w:rPr>
        <w:t>日期：年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spacing w:before="0" w:after="0" w:afterAutospacing="0"/>
        <w:ind w:left="0" w:right="0" w:firstLine="420" w:firstLineChars="200"/>
        <w:rPr>
          <w:rFonts w:hAnsi="宋体"/>
          <w:color w:val="auto"/>
          <w:highlight w:val="none"/>
        </w:rPr>
      </w:pPr>
    </w:p>
    <w:p>
      <w:pPr>
        <w:pStyle w:val="5"/>
        <w:pageBreakBefore/>
        <w:widowControl w:val="0"/>
        <w:spacing w:before="40" w:after="100" w:line="240" w:lineRule="auto"/>
        <w:ind w:left="0" w:right="-28" w:firstLine="0"/>
        <w:jc w:val="center"/>
        <w:rPr>
          <w:rFonts w:ascii="Times New Roman" w:hAnsi="Times New Roman" w:eastAsia="宋体"/>
          <w:color w:val="auto"/>
          <w:highlight w:val="none"/>
        </w:rPr>
      </w:pPr>
      <w:bookmarkStart w:id="692" w:name="_Toc100643471"/>
      <w:bookmarkStart w:id="693" w:name="_Toc9444"/>
      <w:r>
        <w:rPr>
          <w:rFonts w:hint="eastAsia" w:ascii="Times New Roman" w:hAnsi="Times New Roman" w:eastAsia="宋体"/>
          <w:color w:val="auto"/>
          <w:highlight w:val="none"/>
        </w:rPr>
        <w:t>七、商务响应表</w:t>
      </w:r>
      <w:bookmarkEnd w:id="692"/>
      <w:bookmarkEnd w:id="693"/>
    </w:p>
    <w:p>
      <w:pPr>
        <w:spacing w:before="0" w:after="0" w:afterAutospacing="0"/>
        <w:ind w:left="0" w:right="0" w:firstLine="420" w:firstLineChars="200"/>
        <w:rPr>
          <w:rFonts w:hAnsi="宋体"/>
          <w:color w:val="auto"/>
          <w:highlight w:val="none"/>
        </w:rPr>
      </w:pPr>
    </w:p>
    <w:tbl>
      <w:tblPr>
        <w:tblStyle w:val="29"/>
        <w:tblW w:w="8613"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567"/>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比选申请人承诺是否响应比选文件要求</w:t>
            </w:r>
          </w:p>
        </w:tc>
        <w:tc>
          <w:tcPr>
            <w:tcW w:w="56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8613"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第二章</w:t>
            </w:r>
            <w:r>
              <w:rPr>
                <w:rFonts w:ascii="宋体" w:hAnsi="宋体"/>
                <w:color w:val="auto"/>
                <w:highlight w:val="none"/>
              </w:rPr>
              <w:t> </w:t>
            </w:r>
            <w:r>
              <w:rPr>
                <w:rFonts w:hint="eastAsia" w:ascii="宋体" w:hAnsi="宋体"/>
                <w:color w:val="auto"/>
                <w:highlight w:val="none"/>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lang w:val="en-US" w:eastAsia="zh-CN"/>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比选申请须知</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56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8613"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第三章</w:t>
            </w:r>
            <w:r>
              <w:rPr>
                <w:rFonts w:ascii="宋体" w:hAnsi="宋体"/>
                <w:color w:val="auto"/>
                <w:highlight w:val="none"/>
              </w:rPr>
              <w:t> </w:t>
            </w:r>
            <w:r>
              <w:rPr>
                <w:rFonts w:hint="eastAsia" w:ascii="宋体" w:hAnsi="宋体"/>
                <w:color w:val="auto"/>
                <w:highlight w:val="none"/>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56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56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8613"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第五章用户需求书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56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napToGrid w:val="0"/>
        <w:spacing w:after="50"/>
        <w:ind w:right="-57" w:firstLine="0"/>
        <w:rPr>
          <w:rFonts w:ascii="宋体" w:hAnsi="宋体"/>
          <w:color w:val="auto"/>
          <w:spacing w:val="20"/>
          <w:sz w:val="24"/>
          <w:szCs w:val="24"/>
          <w:highlight w:val="none"/>
        </w:rPr>
      </w:pPr>
      <w:r>
        <w:rPr>
          <w:rFonts w:hint="eastAsia" w:ascii="宋体" w:hAnsi="宋体"/>
          <w:b/>
          <w:color w:val="auto"/>
          <w:highlight w:val="none"/>
        </w:rPr>
        <w:t>注：上述响应要求必须全部为“完全响应”，否则，比选申请人将不能通过符合性评审。</w:t>
      </w:r>
    </w:p>
    <w:p>
      <w:pPr>
        <w:snapToGrid w:val="0"/>
        <w:spacing w:before="0" w:after="0" w:afterAutospacing="0" w:line="400" w:lineRule="exact"/>
        <w:ind w:left="0" w:right="0" w:firstLine="426"/>
        <w:rPr>
          <w:rFonts w:ascii="宋体" w:hAnsi="宋体"/>
          <w:color w:val="auto"/>
          <w:highlight w:val="none"/>
        </w:rPr>
      </w:pPr>
    </w:p>
    <w:p>
      <w:pPr>
        <w:snapToGrid w:val="0"/>
        <w:spacing w:before="0" w:after="0" w:afterAutospacing="0" w:line="400" w:lineRule="exact"/>
        <w:ind w:left="0" w:right="0" w:firstLine="426"/>
        <w:rPr>
          <w:rFonts w:ascii="宋体" w:hAnsi="宋体"/>
          <w:color w:val="auto"/>
          <w:highlight w:val="none"/>
        </w:rPr>
      </w:pPr>
    </w:p>
    <w:p>
      <w:pPr>
        <w:snapToGrid w:val="0"/>
        <w:spacing w:before="0" w:after="0" w:afterAutospacing="0"/>
        <w:ind w:left="0" w:right="0" w:firstLine="425"/>
        <w:rPr>
          <w:rFonts w:ascii="宋体" w:hAnsi="宋体"/>
          <w:color w:val="auto"/>
          <w:highlight w:val="none"/>
        </w:rPr>
      </w:pPr>
      <w:r>
        <w:rPr>
          <w:rFonts w:hint="eastAsia" w:ascii="宋体" w:hAnsi="宋体"/>
          <w:color w:val="auto"/>
          <w:highlight w:val="none"/>
        </w:rPr>
        <w:t>比选申请</w:t>
      </w:r>
      <w:r>
        <w:rPr>
          <w:rFonts w:ascii="宋体" w:hAnsi="宋体"/>
          <w:color w:val="auto"/>
          <w:highlight w:val="none"/>
        </w:rPr>
        <w:t>人</w:t>
      </w:r>
      <w:r>
        <w:rPr>
          <w:rFonts w:hint="eastAsia" w:ascii="宋体" w:hAnsi="宋体"/>
          <w:color w:val="auto"/>
          <w:highlight w:val="none"/>
        </w:rPr>
        <w:t>：</w:t>
      </w:r>
      <w:r>
        <w:rPr>
          <w:rFonts w:ascii="宋体" w:hAnsi="宋体"/>
          <w:color w:val="auto"/>
          <w:highlight w:val="none"/>
          <w:u w:val="single"/>
        </w:rPr>
        <w:t xml:space="preserve"> </w:t>
      </w:r>
      <w:r>
        <w:rPr>
          <w:rFonts w:hint="eastAsia" w:ascii="宋体" w:hAnsi="宋体" w:cs="Arial"/>
          <w:color w:val="auto"/>
          <w:highlight w:val="none"/>
          <w:u w:val="single"/>
        </w:rPr>
        <w:t>（填写）</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napToGrid w:val="0"/>
        <w:spacing w:before="0" w:after="0" w:afterAutospacing="0"/>
        <w:ind w:left="0" w:right="0" w:firstLine="425"/>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napToGrid w:val="0"/>
        <w:spacing w:before="0" w:after="0" w:afterAutospacing="0"/>
        <w:ind w:left="0" w:right="0" w:firstLine="425"/>
        <w:rPr>
          <w:rFonts w:ascii="宋体" w:hAnsi="宋体"/>
          <w:color w:val="auto"/>
          <w:highlight w:val="none"/>
        </w:rPr>
      </w:pPr>
      <w:r>
        <w:rPr>
          <w:rFonts w:ascii="宋体" w:hAnsi="宋体"/>
          <w:color w:val="auto"/>
          <w:highlight w:val="none"/>
        </w:rPr>
        <w:t>日期：年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spacing w:before="0" w:after="0" w:afterAutospacing="0"/>
        <w:ind w:left="0" w:right="0" w:firstLine="420" w:firstLineChars="200"/>
        <w:rPr>
          <w:rFonts w:hAnsi="宋体"/>
          <w:color w:val="auto"/>
          <w:highlight w:val="none"/>
        </w:rPr>
      </w:pPr>
    </w:p>
    <w:p>
      <w:pPr>
        <w:pStyle w:val="5"/>
        <w:pageBreakBefore/>
        <w:widowControl w:val="0"/>
        <w:spacing w:before="40" w:after="100" w:line="240" w:lineRule="auto"/>
        <w:ind w:left="0" w:right="-28" w:firstLine="0"/>
        <w:jc w:val="center"/>
        <w:rPr>
          <w:rFonts w:ascii="Times New Roman" w:hAnsi="Times New Roman" w:eastAsia="宋体"/>
          <w:color w:val="auto"/>
          <w:highlight w:val="none"/>
        </w:rPr>
      </w:pPr>
      <w:bookmarkStart w:id="694" w:name="_Toc100643472"/>
      <w:bookmarkStart w:id="695" w:name="_Toc24346"/>
      <w:r>
        <w:rPr>
          <w:rFonts w:hint="eastAsia" w:ascii="Times New Roman" w:hAnsi="Times New Roman" w:eastAsia="宋体"/>
          <w:color w:val="auto"/>
          <w:highlight w:val="none"/>
        </w:rPr>
        <w:t>八、技术响应表</w:t>
      </w:r>
      <w:bookmarkEnd w:id="694"/>
      <w:bookmarkEnd w:id="695"/>
    </w:p>
    <w:p>
      <w:pPr>
        <w:spacing w:before="0" w:after="0" w:afterAutospacing="0"/>
        <w:ind w:left="0" w:right="0" w:firstLine="420" w:firstLineChars="200"/>
        <w:rPr>
          <w:rFonts w:hAnsi="宋体"/>
          <w:color w:val="auto"/>
          <w:highlight w:val="none"/>
        </w:rPr>
      </w:pPr>
    </w:p>
    <w:p>
      <w:pPr>
        <w:spacing w:before="0" w:after="0" w:afterAutospacing="0"/>
        <w:ind w:left="0" w:right="0" w:firstLine="482" w:firstLineChars="200"/>
        <w:rPr>
          <w:rFonts w:ascii="宋体" w:hAnsi="宋体"/>
          <w:b/>
          <w:color w:val="auto"/>
          <w:sz w:val="24"/>
          <w:szCs w:val="24"/>
          <w:highlight w:val="none"/>
        </w:rPr>
      </w:pPr>
    </w:p>
    <w:tbl>
      <w:tblPr>
        <w:tblStyle w:val="29"/>
        <w:tblW w:w="70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3"/>
        <w:gridCol w:w="1888"/>
        <w:gridCol w:w="1638"/>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95"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ascii="宋体" w:hAnsi="宋体"/>
                <w:color w:val="auto"/>
                <w:highlight w:val="none"/>
              </w:rPr>
            </w:pPr>
            <w:r>
              <w:rPr>
                <w:rFonts w:hint="eastAsia" w:ascii="宋体" w:hAnsi="宋体"/>
                <w:color w:val="auto"/>
                <w:highlight w:val="none"/>
              </w:rPr>
              <w:t>序号</w:t>
            </w:r>
          </w:p>
        </w:tc>
        <w:tc>
          <w:tcPr>
            <w:tcW w:w="188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olor w:val="auto"/>
                <w:highlight w:val="none"/>
              </w:rPr>
            </w:pPr>
            <w:r>
              <w:rPr>
                <w:rFonts w:hint="eastAsia" w:ascii="宋体" w:hAnsi="宋体"/>
                <w:color w:val="auto"/>
                <w:highlight w:val="none"/>
              </w:rPr>
              <w:t>比选文件条目号</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ascii="宋体" w:hAnsi="宋体"/>
                <w:color w:val="auto"/>
                <w:highlight w:val="none"/>
              </w:rPr>
            </w:pPr>
            <w:r>
              <w:rPr>
                <w:rFonts w:hint="eastAsia" w:ascii="宋体" w:hAnsi="宋体"/>
                <w:color w:val="auto"/>
                <w:highlight w:val="none"/>
              </w:rPr>
              <w:t>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ascii="宋体" w:hAnsi="宋体"/>
                <w:color w:val="auto"/>
                <w:highlight w:val="none"/>
              </w:rPr>
            </w:pPr>
            <w:r>
              <w:rPr>
                <w:rFonts w:hint="eastAsia" w:ascii="宋体" w:hAnsi="宋体"/>
                <w:color w:val="auto"/>
                <w:highlight w:val="none"/>
              </w:rPr>
              <w:t>偏离情况</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ascii="宋体" w:hAnsi="宋体"/>
                <w:color w:val="auto"/>
                <w:highlight w:val="none"/>
              </w:rPr>
            </w:pPr>
            <w:r>
              <w:rPr>
                <w:rFonts w:hint="eastAsia" w:ascii="宋体" w:hAnsi="宋体"/>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723"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rPr>
            </w:pPr>
            <w:r>
              <w:rPr>
                <w:rFonts w:hint="eastAsia" w:cs="Arial"/>
                <w:color w:val="auto"/>
                <w:kern w:val="2"/>
                <w:highlight w:val="none"/>
              </w:rPr>
              <w:t>1</w:t>
            </w:r>
          </w:p>
        </w:tc>
        <w:tc>
          <w:tcPr>
            <w:tcW w:w="188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hint="eastAsia" w:eastAsia="宋体" w:cs="Arial"/>
                <w:color w:val="auto"/>
                <w:kern w:val="2"/>
                <w:highlight w:val="none"/>
                <w:lang w:eastAsia="zh-CN"/>
              </w:rPr>
            </w:pPr>
            <w:r>
              <w:rPr>
                <w:rFonts w:hint="eastAsia" w:cs="Arial"/>
                <w:color w:val="auto"/>
                <w:kern w:val="2"/>
                <w:highlight w:val="none"/>
                <w:lang w:eastAsia="zh-CN"/>
              </w:rPr>
              <w:t>第五章用户需求书</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rPr>
            </w:pPr>
            <w:r>
              <w:rPr>
                <w:rFonts w:hint="eastAsia" w:ascii="宋体" w:hAnsi="宋体"/>
                <w:color w:val="auto"/>
                <w:highlight w:val="none"/>
              </w:rPr>
              <w:t>本章节全部内容</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hint="default" w:eastAsia="宋体" w:cs="Arial"/>
                <w:color w:val="auto"/>
                <w:kern w:val="2"/>
                <w:highlight w:val="none"/>
                <w:lang w:val="en-US" w:eastAsia="zh-CN"/>
              </w:rPr>
            </w:pPr>
            <w:r>
              <w:rPr>
                <w:rFonts w:hint="eastAsia" w:cs="Arial"/>
                <w:color w:val="auto"/>
                <w:kern w:val="2"/>
                <w:highlight w:val="none"/>
                <w:lang w:val="en-US" w:eastAsia="zh-CN"/>
              </w:rPr>
              <w:t>完全响应</w:t>
            </w:r>
          </w:p>
        </w:tc>
        <w:tc>
          <w:tcPr>
            <w:tcW w:w="1417" w:type="dxa"/>
            <w:tcBorders>
              <w:top w:val="single" w:color="auto" w:sz="4" w:space="0"/>
              <w:left w:val="single" w:color="auto" w:sz="4" w:space="0"/>
              <w:bottom w:val="single" w:color="auto" w:sz="4" w:space="0"/>
              <w:right w:val="single" w:color="auto" w:sz="4" w:space="0"/>
            </w:tcBorders>
          </w:tcPr>
          <w:p>
            <w:pPr>
              <w:widowControl w:val="0"/>
              <w:adjustRightInd w:val="0"/>
              <w:jc w:val="center"/>
              <w:rPr>
                <w:rFonts w:cs="Arial"/>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723"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rPr>
            </w:pPr>
            <w:r>
              <w:rPr>
                <w:rFonts w:hint="eastAsia" w:cs="Arial"/>
                <w:color w:val="auto"/>
                <w:kern w:val="2"/>
                <w:highlight w:val="none"/>
              </w:rPr>
              <w:t>2</w:t>
            </w:r>
          </w:p>
        </w:tc>
        <w:tc>
          <w:tcPr>
            <w:tcW w:w="188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rPr>
            </w:pPr>
          </w:p>
        </w:tc>
        <w:tc>
          <w:tcPr>
            <w:tcW w:w="163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rPr>
            </w:pPr>
          </w:p>
        </w:tc>
        <w:tc>
          <w:tcPr>
            <w:tcW w:w="1417" w:type="dxa"/>
            <w:tcBorders>
              <w:top w:val="single" w:color="auto" w:sz="4" w:space="0"/>
              <w:left w:val="single" w:color="auto" w:sz="4" w:space="0"/>
              <w:bottom w:val="single" w:color="auto" w:sz="4" w:space="0"/>
              <w:right w:val="single" w:color="auto" w:sz="4" w:space="0"/>
            </w:tcBorders>
          </w:tcPr>
          <w:p>
            <w:pPr>
              <w:widowControl w:val="0"/>
              <w:adjustRightInd w:val="0"/>
              <w:jc w:val="center"/>
              <w:rPr>
                <w:rFonts w:cs="Arial"/>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723"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rPr>
            </w:pPr>
            <w:r>
              <w:rPr>
                <w:rFonts w:cs="Arial"/>
                <w:color w:val="auto"/>
                <w:kern w:val="2"/>
                <w:highlight w:val="none"/>
              </w:rPr>
              <w:t>…</w:t>
            </w:r>
          </w:p>
        </w:tc>
        <w:tc>
          <w:tcPr>
            <w:tcW w:w="188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rPr>
            </w:pPr>
          </w:p>
        </w:tc>
        <w:tc>
          <w:tcPr>
            <w:tcW w:w="163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rPr>
            </w:pPr>
          </w:p>
        </w:tc>
        <w:tc>
          <w:tcPr>
            <w:tcW w:w="1417" w:type="dxa"/>
            <w:tcBorders>
              <w:top w:val="single" w:color="auto" w:sz="4" w:space="0"/>
              <w:left w:val="single" w:color="auto" w:sz="4" w:space="0"/>
              <w:bottom w:val="single" w:color="auto" w:sz="4" w:space="0"/>
              <w:right w:val="single" w:color="auto" w:sz="4" w:space="0"/>
            </w:tcBorders>
          </w:tcPr>
          <w:p>
            <w:pPr>
              <w:widowControl w:val="0"/>
              <w:adjustRightInd w:val="0"/>
              <w:jc w:val="center"/>
              <w:rPr>
                <w:rFonts w:cs="Arial"/>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83" w:hRule="atLeast"/>
          <w:jc w:val="center"/>
        </w:trPr>
        <w:tc>
          <w:tcPr>
            <w:tcW w:w="7084" w:type="dxa"/>
            <w:gridSpan w:val="5"/>
            <w:tcBorders>
              <w:top w:val="single" w:color="auto" w:sz="4" w:space="0"/>
              <w:left w:val="single" w:color="auto" w:sz="4" w:space="0"/>
              <w:bottom w:val="single" w:color="auto" w:sz="4" w:space="0"/>
              <w:right w:val="single" w:color="auto" w:sz="4" w:space="0"/>
            </w:tcBorders>
            <w:vAlign w:val="center"/>
          </w:tcPr>
          <w:p>
            <w:pPr>
              <w:widowControl w:val="0"/>
              <w:rPr>
                <w:rFonts w:cs="Arial"/>
                <w:color w:val="auto"/>
                <w:kern w:val="2"/>
                <w:highlight w:val="none"/>
              </w:rPr>
            </w:pPr>
            <w:r>
              <w:rPr>
                <w:rFonts w:hint="eastAsia" w:cs="Arial"/>
                <w:color w:val="auto"/>
                <w:highlight w:val="none"/>
              </w:rPr>
              <w:t>我方确认：除了表中所列的条款外，我方的比选申请函将依从比选文件对于技术的全部要求和规定。</w:t>
            </w:r>
          </w:p>
        </w:tc>
      </w:tr>
    </w:tbl>
    <w:p>
      <w:pPr>
        <w:spacing w:before="0"/>
        <w:ind w:right="-57" w:firstLine="0"/>
        <w:jc w:val="center"/>
        <w:rPr>
          <w:rFonts w:ascii="宋体" w:hAnsi="宋体"/>
          <w:color w:val="auto"/>
          <w:highlight w:val="none"/>
        </w:rPr>
      </w:pPr>
    </w:p>
    <w:p>
      <w:pPr>
        <w:spacing w:before="0" w:after="0" w:afterAutospacing="0"/>
        <w:ind w:left="708" w:right="0" w:hanging="708" w:hangingChars="336"/>
        <w:rPr>
          <w:rFonts w:ascii="宋体" w:hAnsi="宋体"/>
          <w:b/>
          <w:color w:val="auto"/>
          <w:highlight w:val="none"/>
        </w:rPr>
      </w:pPr>
      <w:r>
        <w:rPr>
          <w:rFonts w:ascii="宋体" w:hAnsi="宋体"/>
          <w:b/>
          <w:color w:val="auto"/>
          <w:highlight w:val="none"/>
        </w:rPr>
        <w:t>说明：</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比选申请人必须对应根据比选文件的第五章用户需求书条款逐条应答并按要求填写下表。</w:t>
      </w:r>
    </w:p>
    <w:p>
      <w:pPr>
        <w:pStyle w:val="37"/>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color w:val="auto"/>
          <w:highlight w:val="none"/>
        </w:rPr>
        <w:t xml:space="preserve">。     </w:t>
      </w:r>
    </w:p>
    <w:p>
      <w:pPr>
        <w:spacing w:before="0"/>
        <w:ind w:left="105" w:leftChars="50" w:right="-57" w:firstLine="316" w:firstLineChars="150"/>
        <w:rPr>
          <w:rFonts w:ascii="宋体" w:hAnsi="宋体"/>
          <w:b/>
          <w:color w:val="auto"/>
          <w:highlight w:val="none"/>
        </w:rPr>
      </w:pPr>
      <w:r>
        <w:rPr>
          <w:rFonts w:hint="eastAsia" w:ascii="宋体" w:hAnsi="宋体"/>
          <w:b/>
          <w:color w:val="auto"/>
          <w:highlight w:val="none"/>
        </w:rPr>
        <w:t>6.如有任意一项负偏离，比选申请人将不能通过符合性评审。</w:t>
      </w:r>
    </w:p>
    <w:p>
      <w:pPr>
        <w:spacing w:before="0"/>
        <w:ind w:left="105" w:leftChars="50" w:right="-57" w:firstLine="316" w:firstLineChars="150"/>
        <w:rPr>
          <w:rFonts w:ascii="宋体" w:hAnsi="宋体"/>
          <w:b/>
          <w:color w:val="auto"/>
          <w:highlight w:val="none"/>
        </w:rPr>
      </w:pPr>
    </w:p>
    <w:p>
      <w:pPr>
        <w:snapToGrid w:val="0"/>
        <w:spacing w:before="0" w:after="0" w:afterAutospacing="0"/>
        <w:ind w:left="0" w:right="0" w:firstLine="425"/>
        <w:rPr>
          <w:rFonts w:ascii="宋体" w:hAnsi="宋体"/>
          <w:color w:val="auto"/>
          <w:highlight w:val="none"/>
        </w:rPr>
      </w:pPr>
      <w:r>
        <w:rPr>
          <w:rFonts w:hint="eastAsia" w:ascii="宋体" w:hAnsi="宋体"/>
          <w:color w:val="auto"/>
          <w:highlight w:val="none"/>
        </w:rPr>
        <w:t>比选申请</w:t>
      </w:r>
      <w:r>
        <w:rPr>
          <w:rFonts w:ascii="宋体" w:hAnsi="宋体"/>
          <w:color w:val="auto"/>
          <w:highlight w:val="none"/>
        </w:rPr>
        <w:t>人</w:t>
      </w:r>
      <w:r>
        <w:rPr>
          <w:rFonts w:hint="eastAsia" w:ascii="宋体" w:hAnsi="宋体"/>
          <w:color w:val="auto"/>
          <w:highlight w:val="none"/>
        </w:rPr>
        <w:t>：</w:t>
      </w:r>
      <w:r>
        <w:rPr>
          <w:rFonts w:ascii="宋体" w:hAnsi="宋体"/>
          <w:color w:val="auto"/>
          <w:highlight w:val="none"/>
          <w:u w:val="single"/>
        </w:rPr>
        <w:t xml:space="preserve"> </w:t>
      </w:r>
      <w:r>
        <w:rPr>
          <w:rFonts w:hint="eastAsia" w:ascii="宋体" w:hAnsi="宋体" w:cs="Arial"/>
          <w:color w:val="auto"/>
          <w:highlight w:val="none"/>
          <w:u w:val="single"/>
        </w:rPr>
        <w:t>（填写）</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napToGrid w:val="0"/>
        <w:spacing w:before="0" w:after="0" w:afterAutospacing="0"/>
        <w:ind w:left="0" w:right="0" w:firstLine="425"/>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napToGrid w:val="0"/>
        <w:spacing w:before="0" w:after="0" w:afterAutospacing="0"/>
        <w:ind w:left="0" w:right="0" w:firstLine="425"/>
        <w:rPr>
          <w:rFonts w:ascii="宋体" w:hAnsi="宋体"/>
          <w:color w:val="auto"/>
          <w:highlight w:val="none"/>
        </w:rPr>
      </w:pPr>
      <w:r>
        <w:rPr>
          <w:rFonts w:ascii="宋体" w:hAnsi="宋体"/>
          <w:color w:val="auto"/>
          <w:highlight w:val="none"/>
        </w:rPr>
        <w:t>日期：年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spacing w:before="0"/>
        <w:ind w:left="105" w:leftChars="50" w:right="-57" w:firstLine="316" w:firstLineChars="150"/>
        <w:rPr>
          <w:rFonts w:ascii="宋体" w:hAnsi="宋体"/>
          <w:b/>
          <w:color w:val="auto"/>
          <w:highlight w:val="none"/>
        </w:rPr>
      </w:pPr>
    </w:p>
    <w:p>
      <w:pPr>
        <w:pStyle w:val="5"/>
        <w:pageBreakBefore/>
        <w:widowControl w:val="0"/>
        <w:spacing w:before="40" w:after="100" w:line="240" w:lineRule="auto"/>
        <w:ind w:left="0" w:right="-28" w:firstLine="0"/>
        <w:jc w:val="center"/>
        <w:rPr>
          <w:rFonts w:ascii="Times New Roman" w:hAnsi="Times New Roman" w:eastAsia="宋体"/>
          <w:color w:val="auto"/>
          <w:highlight w:val="none"/>
        </w:rPr>
      </w:pPr>
      <w:bookmarkStart w:id="696" w:name="_Toc23642"/>
      <w:bookmarkStart w:id="697" w:name="_Toc100643473"/>
      <w:r>
        <w:rPr>
          <w:rFonts w:hint="eastAsia" w:ascii="Times New Roman" w:hAnsi="Times New Roman" w:eastAsia="宋体"/>
          <w:color w:val="auto"/>
          <w:highlight w:val="none"/>
        </w:rPr>
        <w:t>九、项目实施方案</w:t>
      </w:r>
      <w:bookmarkEnd w:id="696"/>
      <w:bookmarkEnd w:id="697"/>
    </w:p>
    <w:p>
      <w:pPr>
        <w:spacing w:before="0" w:after="0" w:afterAutospacing="0"/>
        <w:ind w:left="0" w:right="0" w:firstLine="482" w:firstLineChars="200"/>
        <w:rPr>
          <w:rFonts w:ascii="宋体" w:hAnsi="宋体"/>
          <w:b/>
          <w:color w:val="auto"/>
          <w:sz w:val="24"/>
          <w:szCs w:val="24"/>
          <w:highlight w:val="none"/>
        </w:rPr>
      </w:pPr>
    </w:p>
    <w:p>
      <w:pPr>
        <w:spacing w:before="0"/>
        <w:ind w:left="105" w:leftChars="50" w:right="-57" w:firstLine="316" w:firstLineChars="150"/>
        <w:rPr>
          <w:rFonts w:ascii="宋体" w:hAnsi="宋体"/>
          <w:b/>
          <w:color w:val="auto"/>
          <w:highlight w:val="none"/>
        </w:rPr>
      </w:pPr>
    </w:p>
    <w:p>
      <w:pPr>
        <w:pStyle w:val="14"/>
        <w:pageBreakBefore/>
        <w:ind w:right="-57" w:firstLine="0"/>
        <w:jc w:val="center"/>
        <w:outlineLvl w:val="0"/>
        <w:rPr>
          <w:rStyle w:val="42"/>
          <w:rFonts w:ascii="宋体" w:hAnsi="宋体" w:eastAsia="宋体"/>
          <w:color w:val="auto"/>
          <w:highlight w:val="none"/>
        </w:rPr>
      </w:pPr>
      <w:bookmarkStart w:id="698" w:name="_Toc13941"/>
      <w:bookmarkStart w:id="699" w:name="_Toc20298"/>
      <w:bookmarkStart w:id="700" w:name="_Toc328"/>
      <w:bookmarkStart w:id="701" w:name="_Toc26409"/>
      <w:bookmarkStart w:id="702" w:name="_Toc31582"/>
      <w:bookmarkStart w:id="703" w:name="_Toc14566"/>
      <w:bookmarkStart w:id="704" w:name="_Toc6454"/>
      <w:bookmarkStart w:id="705" w:name="_Toc12695"/>
      <w:bookmarkStart w:id="706" w:name="_Toc25061"/>
      <w:bookmarkStart w:id="707" w:name="_Toc31681"/>
      <w:bookmarkStart w:id="708" w:name="_Toc21321"/>
      <w:bookmarkStart w:id="709" w:name="_Toc100643475"/>
      <w:bookmarkStart w:id="710" w:name="_Toc28535"/>
      <w:bookmarkStart w:id="711" w:name="_Toc30897"/>
      <w:bookmarkStart w:id="712" w:name="_Toc6337"/>
      <w:bookmarkStart w:id="713" w:name="_Toc28135"/>
      <w:bookmarkStart w:id="714" w:name="_Toc5010"/>
      <w:bookmarkStart w:id="715" w:name="_Toc16754"/>
      <w:bookmarkStart w:id="716" w:name="_Toc9597"/>
      <w:bookmarkStart w:id="717" w:name="_Toc492478835"/>
      <w:r>
        <w:rPr>
          <w:rStyle w:val="42"/>
          <w:rFonts w:hint="eastAsia" w:ascii="宋体" w:hAnsi="宋体" w:eastAsia="宋体"/>
          <w:color w:val="auto"/>
          <w:highlight w:val="none"/>
        </w:rPr>
        <w:t>第五章用户需求书</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keepNext/>
        <w:keepLines/>
        <w:pageBreakBefore/>
        <w:numPr>
          <w:ilvl w:val="0"/>
          <w:numId w:val="0"/>
        </w:numPr>
        <w:spacing w:before="360" w:after="0" w:line="360" w:lineRule="auto"/>
        <w:jc w:val="center"/>
        <w:outlineLvl w:val="9"/>
        <w:rPr>
          <w:rFonts w:ascii="Times New Roman" w:hAnsi="Times New Roman" w:eastAsia="仿宋" w:cs="Times New Roman"/>
          <w:b/>
          <w:bCs/>
          <w:color w:val="auto"/>
          <w:kern w:val="0"/>
          <w:sz w:val="32"/>
          <w:szCs w:val="21"/>
          <w:lang w:val="en-US" w:eastAsia="zh-CN" w:bidi="ar-SA"/>
        </w:rPr>
      </w:pPr>
      <w:bookmarkStart w:id="718" w:name="_Toc12674"/>
      <w:r>
        <w:rPr>
          <w:rFonts w:ascii="Times New Roman" w:hAnsi="Times New Roman" w:eastAsia="仿宋" w:cs="Times New Roman"/>
          <w:b/>
          <w:bCs/>
          <w:color w:val="auto"/>
          <w:kern w:val="0"/>
          <w:sz w:val="32"/>
          <w:szCs w:val="21"/>
          <w:lang w:val="zh-CN" w:eastAsia="zh-CN" w:bidi="ar-SA"/>
        </w:rPr>
        <w:t>目录</w:t>
      </w:r>
      <w:bookmarkEnd w:id="718"/>
    </w:p>
    <w:p>
      <w:pPr>
        <w:tabs>
          <w:tab w:val="right" w:leader="dot" w:pos="8306"/>
        </w:tabs>
        <w:spacing w:line="360" w:lineRule="auto"/>
        <w:rPr>
          <w:rFonts w:ascii="宋体" w:hAnsi="宋体" w:eastAsia="宋体" w:cs="Times New Roman"/>
          <w:b/>
          <w:color w:val="auto"/>
          <w:kern w:val="2"/>
          <w:sz w:val="24"/>
          <w:szCs w:val="24"/>
          <w:lang w:val="en-US" w:eastAsia="zh-CN" w:bidi="ar-SA"/>
        </w:rPr>
      </w:pPr>
      <w:r>
        <w:rPr>
          <w:rFonts w:hint="default" w:ascii="Times New Roman" w:hAnsi="Times New Roman" w:eastAsia="仿宋" w:cs="Times New Roman"/>
          <w:b/>
          <w:bCs/>
          <w:color w:val="auto"/>
          <w:kern w:val="2"/>
          <w:sz w:val="24"/>
          <w:szCs w:val="24"/>
          <w:lang w:val="zh-CN" w:eastAsia="zh-CN" w:bidi="ar-SA"/>
        </w:rPr>
        <w:fldChar w:fldCharType="begin"/>
      </w:r>
      <w:r>
        <w:rPr>
          <w:rFonts w:hint="default" w:ascii="Times New Roman" w:hAnsi="Times New Roman" w:eastAsia="仿宋" w:cs="Times New Roman"/>
          <w:b/>
          <w:bCs/>
          <w:color w:val="auto"/>
          <w:kern w:val="2"/>
          <w:sz w:val="24"/>
          <w:szCs w:val="24"/>
          <w:lang w:val="zh-CN" w:eastAsia="zh-CN" w:bidi="ar-SA"/>
        </w:rPr>
        <w:instrText xml:space="preserve"> TOC \o "1-3" \h \z \u </w:instrText>
      </w:r>
      <w:r>
        <w:rPr>
          <w:rFonts w:hint="default" w:ascii="Times New Roman" w:hAnsi="Times New Roman" w:eastAsia="仿宋" w:cs="Times New Roman"/>
          <w:b/>
          <w:bCs/>
          <w:color w:val="auto"/>
          <w:kern w:val="2"/>
          <w:sz w:val="24"/>
          <w:szCs w:val="24"/>
          <w:lang w:val="zh-CN" w:eastAsia="zh-CN" w:bidi="ar-SA"/>
        </w:rPr>
        <w:fldChar w:fldCharType="separate"/>
      </w:r>
      <w:r>
        <w:rPr>
          <w:rFonts w:hint="default" w:ascii="Times New Roman" w:hAnsi="Times New Roman" w:eastAsia="仿宋" w:cs="Times New Roman"/>
          <w:b/>
          <w:bCs/>
          <w:color w:val="auto"/>
          <w:kern w:val="2"/>
          <w:sz w:val="24"/>
          <w:szCs w:val="24"/>
          <w:lang w:val="zh-CN" w:eastAsia="zh-CN" w:bidi="ar-SA"/>
        </w:rPr>
        <w:fldChar w:fldCharType="begin"/>
      </w:r>
      <w:r>
        <w:rPr>
          <w:rFonts w:hint="default" w:ascii="Times New Roman" w:hAnsi="Times New Roman" w:eastAsia="仿宋" w:cs="Times New Roman"/>
          <w:b/>
          <w:bCs/>
          <w:color w:val="auto"/>
          <w:kern w:val="2"/>
          <w:sz w:val="24"/>
          <w:szCs w:val="24"/>
          <w:lang w:val="zh-CN" w:eastAsia="zh-CN" w:bidi="ar-SA"/>
        </w:rPr>
        <w:instrText xml:space="preserve"> HYPERLINK \l _Toc12674 </w:instrText>
      </w:r>
      <w:r>
        <w:rPr>
          <w:rFonts w:hint="default" w:ascii="Times New Roman" w:hAnsi="Times New Roman" w:eastAsia="仿宋" w:cs="Times New Roman"/>
          <w:b/>
          <w:bCs/>
          <w:color w:val="auto"/>
          <w:kern w:val="2"/>
          <w:sz w:val="24"/>
          <w:szCs w:val="24"/>
          <w:lang w:val="zh-CN" w:eastAsia="zh-CN" w:bidi="ar-SA"/>
        </w:rPr>
        <w:fldChar w:fldCharType="separate"/>
      </w:r>
      <w:r>
        <w:rPr>
          <w:rFonts w:ascii="Times New Roman" w:hAnsi="Times New Roman" w:eastAsia="仿宋" w:cs="Times New Roman"/>
          <w:b/>
          <w:color w:val="auto"/>
          <w:kern w:val="2"/>
          <w:sz w:val="24"/>
          <w:szCs w:val="24"/>
          <w:lang w:val="zh-CN" w:eastAsia="zh-CN" w:bidi="ar-SA"/>
        </w:rPr>
        <w:t>目录</w:t>
      </w:r>
      <w:r>
        <w:rPr>
          <w:rFonts w:ascii="宋体" w:hAnsi="宋体" w:eastAsia="宋体" w:cs="Times New Roman"/>
          <w:b/>
          <w:color w:val="auto"/>
          <w:kern w:val="2"/>
          <w:sz w:val="24"/>
          <w:szCs w:val="24"/>
          <w:lang w:val="en-US" w:eastAsia="zh-CN" w:bidi="ar-SA"/>
        </w:rPr>
        <w:tab/>
      </w:r>
      <w:r>
        <w:rPr>
          <w:rFonts w:ascii="宋体" w:hAnsi="宋体" w:eastAsia="宋体" w:cs="Times New Roman"/>
          <w:b/>
          <w:color w:val="auto"/>
          <w:kern w:val="2"/>
          <w:sz w:val="24"/>
          <w:szCs w:val="24"/>
          <w:lang w:val="en-US" w:eastAsia="zh-CN" w:bidi="ar-SA"/>
        </w:rPr>
        <w:fldChar w:fldCharType="begin"/>
      </w:r>
      <w:r>
        <w:rPr>
          <w:rFonts w:ascii="宋体" w:hAnsi="宋体" w:eastAsia="宋体" w:cs="Times New Roman"/>
          <w:b/>
          <w:color w:val="auto"/>
          <w:kern w:val="2"/>
          <w:sz w:val="24"/>
          <w:szCs w:val="24"/>
          <w:lang w:val="en-US" w:eastAsia="zh-CN" w:bidi="ar-SA"/>
        </w:rPr>
        <w:instrText xml:space="preserve"> PAGEREF _Toc12674 \h </w:instrText>
      </w:r>
      <w:r>
        <w:rPr>
          <w:rFonts w:ascii="宋体" w:hAnsi="宋体" w:eastAsia="宋体" w:cs="Times New Roman"/>
          <w:b/>
          <w:color w:val="auto"/>
          <w:kern w:val="2"/>
          <w:sz w:val="24"/>
          <w:szCs w:val="24"/>
          <w:lang w:val="en-US" w:eastAsia="zh-CN" w:bidi="ar-SA"/>
        </w:rPr>
        <w:fldChar w:fldCharType="separate"/>
      </w:r>
      <w:r>
        <w:rPr>
          <w:rFonts w:ascii="宋体" w:hAnsi="宋体" w:eastAsia="宋体" w:cs="Times New Roman"/>
          <w:b/>
          <w:color w:val="auto"/>
          <w:kern w:val="2"/>
          <w:sz w:val="24"/>
          <w:szCs w:val="24"/>
          <w:lang w:val="en-US" w:eastAsia="zh-CN" w:bidi="ar-SA"/>
        </w:rPr>
        <w:t>57</w:t>
      </w:r>
      <w:r>
        <w:rPr>
          <w:rFonts w:ascii="宋体" w:hAnsi="宋体" w:eastAsia="宋体" w:cs="Times New Roman"/>
          <w:b/>
          <w:color w:val="auto"/>
          <w:kern w:val="2"/>
          <w:sz w:val="24"/>
          <w:szCs w:val="24"/>
          <w:lang w:val="en-US" w:eastAsia="zh-CN" w:bidi="ar-SA"/>
        </w:rPr>
        <w:fldChar w:fldCharType="end"/>
      </w:r>
      <w:r>
        <w:rPr>
          <w:rFonts w:hint="default" w:ascii="Times New Roman" w:hAnsi="Times New Roman" w:eastAsia="仿宋" w:cs="Times New Roman"/>
          <w:b/>
          <w:bCs/>
          <w:color w:val="auto"/>
          <w:kern w:val="2"/>
          <w:sz w:val="24"/>
          <w:szCs w:val="24"/>
          <w:lang w:val="zh-CN" w:eastAsia="zh-CN" w:bidi="ar-SA"/>
        </w:rPr>
        <w:fldChar w:fldCharType="end"/>
      </w:r>
    </w:p>
    <w:p>
      <w:pPr>
        <w:tabs>
          <w:tab w:val="right" w:leader="dot" w:pos="8306"/>
        </w:tabs>
        <w:spacing w:line="360" w:lineRule="auto"/>
        <w:rPr>
          <w:rFonts w:ascii="宋体" w:hAnsi="宋体" w:eastAsia="宋体" w:cs="Times New Roman"/>
          <w:b/>
          <w:color w:val="auto"/>
          <w:kern w:val="2"/>
          <w:sz w:val="24"/>
          <w:szCs w:val="24"/>
          <w:lang w:val="en-US" w:eastAsia="zh-CN" w:bidi="ar-SA"/>
        </w:rPr>
      </w:pPr>
      <w:r>
        <w:rPr>
          <w:rFonts w:hint="default" w:ascii="Times New Roman" w:hAnsi="Times New Roman" w:eastAsia="仿宋" w:cs="Times New Roman"/>
          <w:b/>
          <w:bCs/>
          <w:color w:val="auto"/>
          <w:kern w:val="2"/>
          <w:sz w:val="24"/>
          <w:szCs w:val="24"/>
          <w:lang w:val="zh-CN" w:eastAsia="zh-CN" w:bidi="ar-SA"/>
        </w:rPr>
        <w:fldChar w:fldCharType="begin"/>
      </w:r>
      <w:r>
        <w:rPr>
          <w:rFonts w:hint="default" w:ascii="Times New Roman" w:hAnsi="Times New Roman" w:eastAsia="仿宋" w:cs="Times New Roman"/>
          <w:b/>
          <w:bCs/>
          <w:color w:val="auto"/>
          <w:kern w:val="2"/>
          <w:sz w:val="24"/>
          <w:szCs w:val="24"/>
          <w:lang w:val="zh-CN" w:eastAsia="zh-CN" w:bidi="ar-SA"/>
        </w:rPr>
        <w:instrText xml:space="preserve"> HYPERLINK \l _Toc21333 </w:instrText>
      </w:r>
      <w:r>
        <w:rPr>
          <w:rFonts w:hint="default" w:ascii="Times New Roman" w:hAnsi="Times New Roman" w:eastAsia="仿宋" w:cs="Times New Roman"/>
          <w:b/>
          <w:bCs/>
          <w:color w:val="auto"/>
          <w:kern w:val="2"/>
          <w:sz w:val="24"/>
          <w:szCs w:val="24"/>
          <w:lang w:val="zh-CN" w:eastAsia="zh-CN" w:bidi="ar-SA"/>
        </w:rPr>
        <w:fldChar w:fldCharType="separate"/>
      </w:r>
      <w:r>
        <w:rPr>
          <w:rFonts w:hint="eastAsia" w:ascii="宋体" w:hAnsi="宋体" w:eastAsia="宋体" w:cs="Times New Roman"/>
          <w:b/>
          <w:i w:val="0"/>
          <w:color w:val="auto"/>
          <w:kern w:val="2"/>
          <w:sz w:val="24"/>
          <w:szCs w:val="32"/>
          <w:lang w:val="en-US" w:eastAsia="zh-CN" w:bidi="ar-SA"/>
        </w:rPr>
        <w:t xml:space="preserve">第一章 </w:t>
      </w:r>
      <w:r>
        <w:rPr>
          <w:rFonts w:ascii="Times New Roman" w:hAnsi="Times New Roman" w:eastAsia="仿宋" w:cs="Times New Roman"/>
          <w:b/>
          <w:color w:val="auto"/>
          <w:kern w:val="2"/>
          <w:sz w:val="24"/>
          <w:szCs w:val="24"/>
          <w:lang w:val="en-US" w:eastAsia="zh-CN" w:bidi="ar-SA"/>
        </w:rPr>
        <w:t>总</w:t>
      </w:r>
      <w:r>
        <w:rPr>
          <w:rFonts w:hint="eastAsia" w:ascii="Times New Roman" w:hAnsi="Times New Roman" w:eastAsia="仿宋" w:cs="Times New Roman"/>
          <w:b/>
          <w:color w:val="auto"/>
          <w:kern w:val="2"/>
          <w:sz w:val="24"/>
          <w:szCs w:val="24"/>
          <w:lang w:val="en-US" w:eastAsia="zh-CN" w:bidi="ar-SA"/>
        </w:rPr>
        <w:t>则</w:t>
      </w:r>
      <w:r>
        <w:rPr>
          <w:rFonts w:ascii="宋体" w:hAnsi="宋体" w:eastAsia="宋体" w:cs="Times New Roman"/>
          <w:b/>
          <w:color w:val="auto"/>
          <w:kern w:val="2"/>
          <w:sz w:val="24"/>
          <w:szCs w:val="24"/>
          <w:lang w:val="en-US" w:eastAsia="zh-CN" w:bidi="ar-SA"/>
        </w:rPr>
        <w:tab/>
      </w:r>
      <w:r>
        <w:rPr>
          <w:rFonts w:ascii="宋体" w:hAnsi="宋体" w:eastAsia="宋体" w:cs="Times New Roman"/>
          <w:b/>
          <w:color w:val="auto"/>
          <w:kern w:val="2"/>
          <w:sz w:val="24"/>
          <w:szCs w:val="24"/>
          <w:lang w:val="en-US" w:eastAsia="zh-CN" w:bidi="ar-SA"/>
        </w:rPr>
        <w:fldChar w:fldCharType="begin"/>
      </w:r>
      <w:r>
        <w:rPr>
          <w:rFonts w:ascii="宋体" w:hAnsi="宋体" w:eastAsia="宋体" w:cs="Times New Roman"/>
          <w:b/>
          <w:color w:val="auto"/>
          <w:kern w:val="2"/>
          <w:sz w:val="24"/>
          <w:szCs w:val="24"/>
          <w:lang w:val="en-US" w:eastAsia="zh-CN" w:bidi="ar-SA"/>
        </w:rPr>
        <w:instrText xml:space="preserve"> PAGEREF _Toc21333 \h </w:instrText>
      </w:r>
      <w:r>
        <w:rPr>
          <w:rFonts w:ascii="宋体" w:hAnsi="宋体" w:eastAsia="宋体" w:cs="Times New Roman"/>
          <w:b/>
          <w:color w:val="auto"/>
          <w:kern w:val="2"/>
          <w:sz w:val="24"/>
          <w:szCs w:val="24"/>
          <w:lang w:val="en-US" w:eastAsia="zh-CN" w:bidi="ar-SA"/>
        </w:rPr>
        <w:fldChar w:fldCharType="separate"/>
      </w:r>
      <w:r>
        <w:rPr>
          <w:rFonts w:ascii="宋体" w:hAnsi="宋体" w:eastAsia="宋体" w:cs="Times New Roman"/>
          <w:b/>
          <w:color w:val="auto"/>
          <w:kern w:val="2"/>
          <w:sz w:val="24"/>
          <w:szCs w:val="24"/>
          <w:lang w:val="en-US" w:eastAsia="zh-CN" w:bidi="ar-SA"/>
        </w:rPr>
        <w:t>61</w:t>
      </w:r>
      <w:r>
        <w:rPr>
          <w:rFonts w:ascii="宋体" w:hAnsi="宋体" w:eastAsia="宋体" w:cs="Times New Roman"/>
          <w:b/>
          <w:color w:val="auto"/>
          <w:kern w:val="2"/>
          <w:sz w:val="24"/>
          <w:szCs w:val="24"/>
          <w:lang w:val="en-US" w:eastAsia="zh-CN" w:bidi="ar-SA"/>
        </w:rPr>
        <w:fldChar w:fldCharType="end"/>
      </w:r>
      <w:r>
        <w:rPr>
          <w:rFonts w:hint="default" w:ascii="Times New Roman" w:hAnsi="Times New Roman" w:eastAsia="仿宋" w:cs="Times New Roman"/>
          <w:b/>
          <w:bCs/>
          <w:color w:val="auto"/>
          <w:kern w:val="2"/>
          <w:sz w:val="24"/>
          <w:szCs w:val="24"/>
          <w:lang w:val="zh-CN" w:eastAsia="zh-CN" w:bidi="ar-SA"/>
        </w:rPr>
        <w:fldChar w:fldCharType="end"/>
      </w:r>
    </w:p>
    <w:p>
      <w:pPr>
        <w:tabs>
          <w:tab w:val="right" w:leader="dot" w:pos="8306"/>
        </w:tabs>
        <w:ind w:left="1129" w:leftChars="2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_Toc24460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Times New Roman"/>
          <w:color w:val="auto"/>
          <w:kern w:val="2"/>
          <w:sz w:val="21"/>
          <w:lang w:val="en-US" w:eastAsia="zh-CN" w:bidi="ar-SA"/>
        </w:rPr>
        <w:t xml:space="preserve">1.1 </w:t>
      </w:r>
      <w:r>
        <w:rPr>
          <w:rFonts w:ascii="Times New Roman" w:hAnsi="Times New Roman" w:eastAsia="仿宋" w:cs="Times New Roman"/>
          <w:color w:val="auto"/>
          <w:kern w:val="2"/>
          <w:sz w:val="21"/>
          <w:lang w:val="en-US" w:eastAsia="zh-CN" w:bidi="ar-SA"/>
        </w:rPr>
        <w:t>总则</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_Toc24460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61</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ind w:left="1129" w:leftChars="2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_Toc18375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Times New Roman"/>
          <w:color w:val="auto"/>
          <w:kern w:val="2"/>
          <w:sz w:val="21"/>
          <w:lang w:val="en-US" w:eastAsia="zh-CN" w:bidi="ar-SA"/>
        </w:rPr>
        <w:t xml:space="preserve">1.2 </w:t>
      </w:r>
      <w:r>
        <w:rPr>
          <w:rFonts w:ascii="Times New Roman" w:hAnsi="Times New Roman" w:eastAsia="仿宋" w:cs="Times New Roman"/>
          <w:color w:val="auto"/>
          <w:kern w:val="2"/>
          <w:sz w:val="21"/>
          <w:lang w:val="en-US" w:eastAsia="zh-CN" w:bidi="ar-SA"/>
        </w:rPr>
        <w:t>名词</w:t>
      </w:r>
      <w:r>
        <w:rPr>
          <w:rFonts w:hint="eastAsia" w:ascii="Times New Roman" w:hAnsi="Times New Roman" w:eastAsia="仿宋" w:cs="Times New Roman"/>
          <w:color w:val="auto"/>
          <w:kern w:val="2"/>
          <w:sz w:val="21"/>
          <w:lang w:val="en-US" w:eastAsia="zh-CN" w:bidi="ar-SA"/>
        </w:rPr>
        <w:t>解释</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_Toc18375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64</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spacing w:line="360" w:lineRule="auto"/>
        <w:rPr>
          <w:rFonts w:ascii="宋体" w:hAnsi="宋体" w:eastAsia="宋体" w:cs="Times New Roman"/>
          <w:b/>
          <w:color w:val="auto"/>
          <w:kern w:val="2"/>
          <w:sz w:val="24"/>
          <w:szCs w:val="24"/>
          <w:lang w:val="en-US" w:eastAsia="zh-CN" w:bidi="ar-SA"/>
        </w:rPr>
      </w:pPr>
      <w:r>
        <w:rPr>
          <w:rFonts w:hint="default" w:ascii="Times New Roman" w:hAnsi="Times New Roman" w:eastAsia="仿宋" w:cs="Times New Roman"/>
          <w:b/>
          <w:bCs/>
          <w:color w:val="auto"/>
          <w:kern w:val="2"/>
          <w:sz w:val="24"/>
          <w:szCs w:val="24"/>
          <w:lang w:val="zh-CN" w:eastAsia="zh-CN" w:bidi="ar-SA"/>
        </w:rPr>
        <w:fldChar w:fldCharType="begin"/>
      </w:r>
      <w:r>
        <w:rPr>
          <w:rFonts w:hint="default" w:ascii="Times New Roman" w:hAnsi="Times New Roman" w:eastAsia="仿宋" w:cs="Times New Roman"/>
          <w:b/>
          <w:bCs/>
          <w:color w:val="auto"/>
          <w:kern w:val="2"/>
          <w:sz w:val="24"/>
          <w:szCs w:val="24"/>
          <w:lang w:val="zh-CN" w:eastAsia="zh-CN" w:bidi="ar-SA"/>
        </w:rPr>
        <w:instrText xml:space="preserve"> HYPERLINK \l _Toc676 </w:instrText>
      </w:r>
      <w:r>
        <w:rPr>
          <w:rFonts w:hint="default" w:ascii="Times New Roman" w:hAnsi="Times New Roman" w:eastAsia="仿宋" w:cs="Times New Roman"/>
          <w:b/>
          <w:bCs/>
          <w:color w:val="auto"/>
          <w:kern w:val="2"/>
          <w:sz w:val="24"/>
          <w:szCs w:val="24"/>
          <w:lang w:val="zh-CN" w:eastAsia="zh-CN" w:bidi="ar-SA"/>
        </w:rPr>
        <w:fldChar w:fldCharType="separate"/>
      </w:r>
      <w:r>
        <w:rPr>
          <w:rFonts w:hint="eastAsia" w:ascii="宋体" w:hAnsi="宋体" w:eastAsia="宋体" w:cs="Times New Roman"/>
          <w:b/>
          <w:i w:val="0"/>
          <w:color w:val="auto"/>
          <w:kern w:val="2"/>
          <w:sz w:val="24"/>
          <w:szCs w:val="32"/>
          <w:lang w:val="en-US" w:eastAsia="zh-CN" w:bidi="ar-SA"/>
        </w:rPr>
        <w:t xml:space="preserve">第二章 </w:t>
      </w:r>
      <w:r>
        <w:rPr>
          <w:rFonts w:ascii="Times New Roman" w:hAnsi="Times New Roman" w:eastAsia="仿宋" w:cs="Times New Roman"/>
          <w:b/>
          <w:color w:val="auto"/>
          <w:kern w:val="2"/>
          <w:sz w:val="24"/>
          <w:szCs w:val="24"/>
          <w:lang w:val="en-US" w:eastAsia="zh-CN" w:bidi="ar-SA"/>
        </w:rPr>
        <w:t>项目概况</w:t>
      </w:r>
      <w:r>
        <w:rPr>
          <w:rFonts w:ascii="宋体" w:hAnsi="宋体" w:eastAsia="宋体" w:cs="Times New Roman"/>
          <w:b/>
          <w:color w:val="auto"/>
          <w:kern w:val="2"/>
          <w:sz w:val="24"/>
          <w:szCs w:val="24"/>
          <w:lang w:val="en-US" w:eastAsia="zh-CN" w:bidi="ar-SA"/>
        </w:rPr>
        <w:tab/>
      </w:r>
      <w:r>
        <w:rPr>
          <w:rFonts w:ascii="宋体" w:hAnsi="宋体" w:eastAsia="宋体" w:cs="Times New Roman"/>
          <w:b/>
          <w:color w:val="auto"/>
          <w:kern w:val="2"/>
          <w:sz w:val="24"/>
          <w:szCs w:val="24"/>
          <w:lang w:val="en-US" w:eastAsia="zh-CN" w:bidi="ar-SA"/>
        </w:rPr>
        <w:fldChar w:fldCharType="begin"/>
      </w:r>
      <w:r>
        <w:rPr>
          <w:rFonts w:ascii="宋体" w:hAnsi="宋体" w:eastAsia="宋体" w:cs="Times New Roman"/>
          <w:b/>
          <w:color w:val="auto"/>
          <w:kern w:val="2"/>
          <w:sz w:val="24"/>
          <w:szCs w:val="24"/>
          <w:lang w:val="en-US" w:eastAsia="zh-CN" w:bidi="ar-SA"/>
        </w:rPr>
        <w:instrText xml:space="preserve"> PAGEREF _Toc676 \h </w:instrText>
      </w:r>
      <w:r>
        <w:rPr>
          <w:rFonts w:ascii="宋体" w:hAnsi="宋体" w:eastAsia="宋体" w:cs="Times New Roman"/>
          <w:b/>
          <w:color w:val="auto"/>
          <w:kern w:val="2"/>
          <w:sz w:val="24"/>
          <w:szCs w:val="24"/>
          <w:lang w:val="en-US" w:eastAsia="zh-CN" w:bidi="ar-SA"/>
        </w:rPr>
        <w:fldChar w:fldCharType="separate"/>
      </w:r>
      <w:r>
        <w:rPr>
          <w:rFonts w:ascii="宋体" w:hAnsi="宋体" w:eastAsia="宋体" w:cs="Times New Roman"/>
          <w:b/>
          <w:color w:val="auto"/>
          <w:kern w:val="2"/>
          <w:sz w:val="24"/>
          <w:szCs w:val="24"/>
          <w:lang w:val="en-US" w:eastAsia="zh-CN" w:bidi="ar-SA"/>
        </w:rPr>
        <w:t>65</w:t>
      </w:r>
      <w:r>
        <w:rPr>
          <w:rFonts w:ascii="宋体" w:hAnsi="宋体" w:eastAsia="宋体" w:cs="Times New Roman"/>
          <w:b/>
          <w:color w:val="auto"/>
          <w:kern w:val="2"/>
          <w:sz w:val="24"/>
          <w:szCs w:val="24"/>
          <w:lang w:val="en-US" w:eastAsia="zh-CN" w:bidi="ar-SA"/>
        </w:rPr>
        <w:fldChar w:fldCharType="end"/>
      </w:r>
      <w:r>
        <w:rPr>
          <w:rFonts w:hint="default" w:ascii="Times New Roman" w:hAnsi="Times New Roman" w:eastAsia="仿宋" w:cs="Times New Roman"/>
          <w:b/>
          <w:bCs/>
          <w:color w:val="auto"/>
          <w:kern w:val="2"/>
          <w:sz w:val="24"/>
          <w:szCs w:val="24"/>
          <w:lang w:val="zh-CN" w:eastAsia="zh-CN" w:bidi="ar-SA"/>
        </w:rPr>
        <w:fldChar w:fldCharType="end"/>
      </w:r>
    </w:p>
    <w:p>
      <w:pPr>
        <w:tabs>
          <w:tab w:val="right" w:leader="dot" w:pos="8306"/>
        </w:tabs>
        <w:ind w:left="1129" w:leftChars="2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_Toc26836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Times New Roman"/>
          <w:color w:val="auto"/>
          <w:kern w:val="2"/>
          <w:sz w:val="21"/>
          <w:lang w:val="en-US" w:eastAsia="zh-CN" w:bidi="ar-SA"/>
        </w:rPr>
        <w:t xml:space="preserve">2.1 </w:t>
      </w:r>
      <w:r>
        <w:rPr>
          <w:rFonts w:ascii="Times New Roman" w:hAnsi="Times New Roman" w:eastAsia="仿宋" w:cs="Times New Roman"/>
          <w:color w:val="auto"/>
          <w:kern w:val="2"/>
          <w:sz w:val="21"/>
          <w:lang w:val="en-US" w:eastAsia="zh-CN" w:bidi="ar-SA"/>
        </w:rPr>
        <w:t>项目背景</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_Toc26836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65</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ind w:left="1129" w:leftChars="2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_Toc23965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Times New Roman"/>
          <w:color w:val="auto"/>
          <w:kern w:val="2"/>
          <w:sz w:val="21"/>
          <w:lang w:val="en-US" w:eastAsia="zh-CN" w:bidi="ar-SA"/>
        </w:rPr>
        <w:t xml:space="preserve">2.2 </w:t>
      </w:r>
      <w:r>
        <w:rPr>
          <w:rFonts w:ascii="Times New Roman" w:hAnsi="Times New Roman" w:eastAsia="仿宋" w:cs="Times New Roman"/>
          <w:color w:val="auto"/>
          <w:kern w:val="2"/>
          <w:sz w:val="21"/>
          <w:lang w:val="en-US" w:eastAsia="zh-CN" w:bidi="ar-SA"/>
        </w:rPr>
        <w:t>项目目标</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_Toc23965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66</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ind w:left="1129" w:leftChars="2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_Toc1572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Times New Roman"/>
          <w:color w:val="auto"/>
          <w:kern w:val="2"/>
          <w:sz w:val="21"/>
          <w:lang w:val="en-US" w:eastAsia="zh-CN" w:bidi="ar-SA"/>
        </w:rPr>
        <w:t xml:space="preserve">2.3 </w:t>
      </w:r>
      <w:r>
        <w:rPr>
          <w:rFonts w:ascii="Times New Roman" w:hAnsi="Times New Roman" w:eastAsia="仿宋" w:cs="Times New Roman"/>
          <w:color w:val="auto"/>
          <w:kern w:val="2"/>
          <w:sz w:val="21"/>
          <w:lang w:val="en-US" w:eastAsia="zh-CN" w:bidi="ar-SA"/>
        </w:rPr>
        <w:t>项目范围</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_Toc1572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66</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ind w:left="1129" w:leftChars="2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_Toc16668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Times New Roman"/>
          <w:color w:val="auto"/>
          <w:kern w:val="2"/>
          <w:sz w:val="21"/>
          <w:lang w:val="en-US" w:eastAsia="zh-CN" w:bidi="ar-SA"/>
        </w:rPr>
        <w:t xml:space="preserve">2.4 </w:t>
      </w:r>
      <w:r>
        <w:rPr>
          <w:rFonts w:ascii="Times New Roman" w:hAnsi="Times New Roman" w:eastAsia="仿宋" w:cs="Times New Roman"/>
          <w:color w:val="auto"/>
          <w:kern w:val="2"/>
          <w:sz w:val="21"/>
          <w:lang w:val="en-US" w:eastAsia="zh-CN" w:bidi="ar-SA"/>
        </w:rPr>
        <w:t>项目进度要求</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_Toc16668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66</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ind w:left="1129" w:leftChars="2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_Toc22267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Times New Roman"/>
          <w:color w:val="auto"/>
          <w:kern w:val="2"/>
          <w:sz w:val="21"/>
          <w:lang w:val="en-US" w:eastAsia="zh-CN" w:bidi="ar-SA"/>
        </w:rPr>
        <w:t>2.5 承包方式</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_Toc22267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67</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ind w:left="1129" w:leftChars="2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_Toc10817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Times New Roman"/>
          <w:color w:val="auto"/>
          <w:kern w:val="2"/>
          <w:sz w:val="21"/>
          <w:lang w:val="en-US" w:eastAsia="zh-CN" w:bidi="ar-SA"/>
        </w:rPr>
        <w:t>2.6 项目分包</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_Toc10817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67</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spacing w:line="360" w:lineRule="auto"/>
        <w:rPr>
          <w:rFonts w:ascii="宋体" w:hAnsi="宋体" w:eastAsia="宋体" w:cs="Times New Roman"/>
          <w:b/>
          <w:color w:val="auto"/>
          <w:kern w:val="2"/>
          <w:sz w:val="24"/>
          <w:szCs w:val="24"/>
          <w:lang w:val="en-US" w:eastAsia="zh-CN" w:bidi="ar-SA"/>
        </w:rPr>
      </w:pPr>
      <w:r>
        <w:rPr>
          <w:rFonts w:hint="default" w:ascii="Times New Roman" w:hAnsi="Times New Roman" w:eastAsia="仿宋" w:cs="Times New Roman"/>
          <w:b/>
          <w:bCs/>
          <w:color w:val="auto"/>
          <w:kern w:val="2"/>
          <w:sz w:val="24"/>
          <w:szCs w:val="24"/>
          <w:lang w:val="zh-CN" w:eastAsia="zh-CN" w:bidi="ar-SA"/>
        </w:rPr>
        <w:fldChar w:fldCharType="begin"/>
      </w:r>
      <w:r>
        <w:rPr>
          <w:rFonts w:hint="default" w:ascii="Times New Roman" w:hAnsi="Times New Roman" w:eastAsia="仿宋" w:cs="Times New Roman"/>
          <w:b/>
          <w:bCs/>
          <w:color w:val="auto"/>
          <w:kern w:val="2"/>
          <w:sz w:val="24"/>
          <w:szCs w:val="24"/>
          <w:lang w:val="zh-CN" w:eastAsia="zh-CN" w:bidi="ar-SA"/>
        </w:rPr>
        <w:instrText xml:space="preserve"> HYPERLINK \l _Toc26757 </w:instrText>
      </w:r>
      <w:r>
        <w:rPr>
          <w:rFonts w:hint="default" w:ascii="Times New Roman" w:hAnsi="Times New Roman" w:eastAsia="仿宋" w:cs="Times New Roman"/>
          <w:b/>
          <w:bCs/>
          <w:color w:val="auto"/>
          <w:kern w:val="2"/>
          <w:sz w:val="24"/>
          <w:szCs w:val="24"/>
          <w:lang w:val="zh-CN" w:eastAsia="zh-CN" w:bidi="ar-SA"/>
        </w:rPr>
        <w:fldChar w:fldCharType="separate"/>
      </w:r>
      <w:r>
        <w:rPr>
          <w:rFonts w:hint="eastAsia" w:ascii="宋体" w:hAnsi="宋体" w:eastAsia="宋体" w:cs="Times New Roman"/>
          <w:b/>
          <w:i w:val="0"/>
          <w:color w:val="auto"/>
          <w:kern w:val="2"/>
          <w:sz w:val="24"/>
          <w:szCs w:val="32"/>
          <w:lang w:val="en-US" w:eastAsia="zh-CN" w:bidi="ar-SA"/>
        </w:rPr>
        <w:t xml:space="preserve">第三章 </w:t>
      </w:r>
      <w:r>
        <w:rPr>
          <w:rFonts w:hint="eastAsia" w:ascii="Times New Roman" w:hAnsi="Times New Roman" w:eastAsia="仿宋" w:cs="Times New Roman"/>
          <w:b/>
          <w:color w:val="auto"/>
          <w:kern w:val="2"/>
          <w:sz w:val="24"/>
          <w:szCs w:val="24"/>
          <w:lang w:val="en-US" w:eastAsia="zh-CN" w:bidi="ar-SA"/>
        </w:rPr>
        <w:t>技术需求及数量</w:t>
      </w:r>
      <w:r>
        <w:rPr>
          <w:rFonts w:ascii="宋体" w:hAnsi="宋体" w:eastAsia="宋体" w:cs="Times New Roman"/>
          <w:b/>
          <w:color w:val="auto"/>
          <w:kern w:val="2"/>
          <w:sz w:val="24"/>
          <w:szCs w:val="24"/>
          <w:lang w:val="en-US" w:eastAsia="zh-CN" w:bidi="ar-SA"/>
        </w:rPr>
        <w:tab/>
      </w:r>
      <w:r>
        <w:rPr>
          <w:rFonts w:ascii="宋体" w:hAnsi="宋体" w:eastAsia="宋体" w:cs="Times New Roman"/>
          <w:b/>
          <w:color w:val="auto"/>
          <w:kern w:val="2"/>
          <w:sz w:val="24"/>
          <w:szCs w:val="24"/>
          <w:lang w:val="en-US" w:eastAsia="zh-CN" w:bidi="ar-SA"/>
        </w:rPr>
        <w:fldChar w:fldCharType="begin"/>
      </w:r>
      <w:r>
        <w:rPr>
          <w:rFonts w:ascii="宋体" w:hAnsi="宋体" w:eastAsia="宋体" w:cs="Times New Roman"/>
          <w:b/>
          <w:color w:val="auto"/>
          <w:kern w:val="2"/>
          <w:sz w:val="24"/>
          <w:szCs w:val="24"/>
          <w:lang w:val="en-US" w:eastAsia="zh-CN" w:bidi="ar-SA"/>
        </w:rPr>
        <w:instrText xml:space="preserve"> PAGEREF _Toc26757 \h </w:instrText>
      </w:r>
      <w:r>
        <w:rPr>
          <w:rFonts w:ascii="宋体" w:hAnsi="宋体" w:eastAsia="宋体" w:cs="Times New Roman"/>
          <w:b/>
          <w:color w:val="auto"/>
          <w:kern w:val="2"/>
          <w:sz w:val="24"/>
          <w:szCs w:val="24"/>
          <w:lang w:val="en-US" w:eastAsia="zh-CN" w:bidi="ar-SA"/>
        </w:rPr>
        <w:fldChar w:fldCharType="separate"/>
      </w:r>
      <w:r>
        <w:rPr>
          <w:rFonts w:ascii="宋体" w:hAnsi="宋体" w:eastAsia="宋体" w:cs="Times New Roman"/>
          <w:b/>
          <w:color w:val="auto"/>
          <w:kern w:val="2"/>
          <w:sz w:val="24"/>
          <w:szCs w:val="24"/>
          <w:lang w:val="en-US" w:eastAsia="zh-CN" w:bidi="ar-SA"/>
        </w:rPr>
        <w:t>68</w:t>
      </w:r>
      <w:r>
        <w:rPr>
          <w:rFonts w:ascii="宋体" w:hAnsi="宋体" w:eastAsia="宋体" w:cs="Times New Roman"/>
          <w:b/>
          <w:color w:val="auto"/>
          <w:kern w:val="2"/>
          <w:sz w:val="24"/>
          <w:szCs w:val="24"/>
          <w:lang w:val="en-US" w:eastAsia="zh-CN" w:bidi="ar-SA"/>
        </w:rPr>
        <w:fldChar w:fldCharType="end"/>
      </w:r>
      <w:r>
        <w:rPr>
          <w:rFonts w:hint="default" w:ascii="Times New Roman" w:hAnsi="Times New Roman" w:eastAsia="仿宋" w:cs="Times New Roman"/>
          <w:b/>
          <w:bCs/>
          <w:color w:val="auto"/>
          <w:kern w:val="2"/>
          <w:sz w:val="24"/>
          <w:szCs w:val="24"/>
          <w:lang w:val="zh-CN" w:eastAsia="zh-CN" w:bidi="ar-SA"/>
        </w:rPr>
        <w:fldChar w:fldCharType="end"/>
      </w:r>
    </w:p>
    <w:p>
      <w:pPr>
        <w:tabs>
          <w:tab w:val="right" w:leader="dot" w:pos="8306"/>
        </w:tabs>
        <w:ind w:left="1129" w:leftChars="2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_Toc12231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Times New Roman"/>
          <w:color w:val="auto"/>
          <w:kern w:val="2"/>
          <w:sz w:val="21"/>
          <w:lang w:val="en-US" w:eastAsia="zh-CN" w:bidi="ar-SA"/>
        </w:rPr>
        <w:t>3.1 系统采购目标</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_Toc12231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68</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ind w:left="1129" w:leftChars="2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_Toc15747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Times New Roman"/>
          <w:color w:val="auto"/>
          <w:kern w:val="2"/>
          <w:sz w:val="21"/>
          <w:lang w:val="en-US" w:eastAsia="zh-CN" w:bidi="ar-SA"/>
        </w:rPr>
        <w:t>3.2 技术需求及数量表</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_Toc15747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68</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spacing w:line="360" w:lineRule="auto"/>
        <w:rPr>
          <w:rFonts w:ascii="宋体" w:hAnsi="宋体" w:eastAsia="宋体" w:cs="Times New Roman"/>
          <w:b/>
          <w:color w:val="auto"/>
          <w:kern w:val="2"/>
          <w:sz w:val="24"/>
          <w:szCs w:val="24"/>
          <w:lang w:val="en-US" w:eastAsia="zh-CN" w:bidi="ar-SA"/>
        </w:rPr>
      </w:pPr>
      <w:r>
        <w:rPr>
          <w:rFonts w:hint="default" w:ascii="Times New Roman" w:hAnsi="Times New Roman" w:eastAsia="仿宋" w:cs="Times New Roman"/>
          <w:b/>
          <w:bCs/>
          <w:color w:val="auto"/>
          <w:kern w:val="2"/>
          <w:sz w:val="24"/>
          <w:szCs w:val="24"/>
          <w:lang w:val="zh-CN" w:eastAsia="zh-CN" w:bidi="ar-SA"/>
        </w:rPr>
        <w:fldChar w:fldCharType="begin"/>
      </w:r>
      <w:r>
        <w:rPr>
          <w:rFonts w:hint="default" w:ascii="Times New Roman" w:hAnsi="Times New Roman" w:eastAsia="仿宋" w:cs="Times New Roman"/>
          <w:b/>
          <w:bCs/>
          <w:color w:val="auto"/>
          <w:kern w:val="2"/>
          <w:sz w:val="24"/>
          <w:szCs w:val="24"/>
          <w:lang w:val="zh-CN" w:eastAsia="zh-CN" w:bidi="ar-SA"/>
        </w:rPr>
        <w:instrText xml:space="preserve"> HYPERLINK \l _Toc27828 </w:instrText>
      </w:r>
      <w:r>
        <w:rPr>
          <w:rFonts w:hint="default" w:ascii="Times New Roman" w:hAnsi="Times New Roman" w:eastAsia="仿宋" w:cs="Times New Roman"/>
          <w:b/>
          <w:bCs/>
          <w:color w:val="auto"/>
          <w:kern w:val="2"/>
          <w:sz w:val="24"/>
          <w:szCs w:val="24"/>
          <w:lang w:val="zh-CN" w:eastAsia="zh-CN" w:bidi="ar-SA"/>
        </w:rPr>
        <w:fldChar w:fldCharType="separate"/>
      </w:r>
      <w:r>
        <w:rPr>
          <w:rFonts w:hint="eastAsia" w:ascii="宋体" w:hAnsi="宋体" w:eastAsia="宋体" w:cs="Times New Roman"/>
          <w:b/>
          <w:i w:val="0"/>
          <w:color w:val="auto"/>
          <w:kern w:val="2"/>
          <w:sz w:val="24"/>
          <w:szCs w:val="32"/>
          <w:lang w:val="en-US" w:eastAsia="zh-CN" w:bidi="ar-SA"/>
        </w:rPr>
        <w:t xml:space="preserve">第四章 </w:t>
      </w:r>
      <w:r>
        <w:rPr>
          <w:rFonts w:hint="eastAsia" w:ascii="Times New Roman" w:hAnsi="Times New Roman" w:eastAsia="仿宋" w:cs="Times New Roman"/>
          <w:b/>
          <w:color w:val="auto"/>
          <w:kern w:val="2"/>
          <w:sz w:val="24"/>
          <w:szCs w:val="24"/>
          <w:lang w:val="en-US" w:eastAsia="zh-CN" w:bidi="ar-SA"/>
        </w:rPr>
        <w:t>系统技术</w:t>
      </w:r>
      <w:r>
        <w:rPr>
          <w:rFonts w:ascii="Times New Roman" w:hAnsi="Times New Roman" w:eastAsia="仿宋" w:cs="Times New Roman"/>
          <w:b/>
          <w:color w:val="auto"/>
          <w:kern w:val="2"/>
          <w:sz w:val="24"/>
          <w:szCs w:val="24"/>
          <w:lang w:val="en-US" w:eastAsia="zh-CN" w:bidi="ar-SA"/>
        </w:rPr>
        <w:t>要求</w:t>
      </w:r>
      <w:r>
        <w:rPr>
          <w:rFonts w:ascii="宋体" w:hAnsi="宋体" w:eastAsia="宋体" w:cs="Times New Roman"/>
          <w:b/>
          <w:color w:val="auto"/>
          <w:kern w:val="2"/>
          <w:sz w:val="24"/>
          <w:szCs w:val="24"/>
          <w:lang w:val="en-US" w:eastAsia="zh-CN" w:bidi="ar-SA"/>
        </w:rPr>
        <w:tab/>
      </w:r>
      <w:r>
        <w:rPr>
          <w:rFonts w:ascii="宋体" w:hAnsi="宋体" w:eastAsia="宋体" w:cs="Times New Roman"/>
          <w:b/>
          <w:color w:val="auto"/>
          <w:kern w:val="2"/>
          <w:sz w:val="24"/>
          <w:szCs w:val="24"/>
          <w:lang w:val="en-US" w:eastAsia="zh-CN" w:bidi="ar-SA"/>
        </w:rPr>
        <w:fldChar w:fldCharType="begin"/>
      </w:r>
      <w:r>
        <w:rPr>
          <w:rFonts w:ascii="宋体" w:hAnsi="宋体" w:eastAsia="宋体" w:cs="Times New Roman"/>
          <w:b/>
          <w:color w:val="auto"/>
          <w:kern w:val="2"/>
          <w:sz w:val="24"/>
          <w:szCs w:val="24"/>
          <w:lang w:val="en-US" w:eastAsia="zh-CN" w:bidi="ar-SA"/>
        </w:rPr>
        <w:instrText xml:space="preserve"> PAGEREF _Toc27828 \h </w:instrText>
      </w:r>
      <w:r>
        <w:rPr>
          <w:rFonts w:ascii="宋体" w:hAnsi="宋体" w:eastAsia="宋体" w:cs="Times New Roman"/>
          <w:b/>
          <w:color w:val="auto"/>
          <w:kern w:val="2"/>
          <w:sz w:val="24"/>
          <w:szCs w:val="24"/>
          <w:lang w:val="en-US" w:eastAsia="zh-CN" w:bidi="ar-SA"/>
        </w:rPr>
        <w:fldChar w:fldCharType="separate"/>
      </w:r>
      <w:r>
        <w:rPr>
          <w:rFonts w:ascii="宋体" w:hAnsi="宋体" w:eastAsia="宋体" w:cs="Times New Roman"/>
          <w:b/>
          <w:color w:val="auto"/>
          <w:kern w:val="2"/>
          <w:sz w:val="24"/>
          <w:szCs w:val="24"/>
          <w:lang w:val="en-US" w:eastAsia="zh-CN" w:bidi="ar-SA"/>
        </w:rPr>
        <w:t>69</w:t>
      </w:r>
      <w:r>
        <w:rPr>
          <w:rFonts w:ascii="宋体" w:hAnsi="宋体" w:eastAsia="宋体" w:cs="Times New Roman"/>
          <w:b/>
          <w:color w:val="auto"/>
          <w:kern w:val="2"/>
          <w:sz w:val="24"/>
          <w:szCs w:val="24"/>
          <w:lang w:val="en-US" w:eastAsia="zh-CN" w:bidi="ar-SA"/>
        </w:rPr>
        <w:fldChar w:fldCharType="end"/>
      </w:r>
      <w:r>
        <w:rPr>
          <w:rFonts w:hint="default" w:ascii="Times New Roman" w:hAnsi="Times New Roman" w:eastAsia="仿宋" w:cs="Times New Roman"/>
          <w:b/>
          <w:bCs/>
          <w:color w:val="auto"/>
          <w:kern w:val="2"/>
          <w:sz w:val="24"/>
          <w:szCs w:val="24"/>
          <w:lang w:val="zh-CN" w:eastAsia="zh-CN" w:bidi="ar-SA"/>
        </w:rPr>
        <w:fldChar w:fldCharType="end"/>
      </w:r>
    </w:p>
    <w:p>
      <w:pPr>
        <w:tabs>
          <w:tab w:val="right" w:leader="dot" w:pos="8306"/>
        </w:tabs>
        <w:ind w:left="1129" w:leftChars="2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_Toc3366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Times New Roman"/>
          <w:color w:val="auto"/>
          <w:kern w:val="2"/>
          <w:sz w:val="21"/>
          <w:lang w:val="en-US" w:eastAsia="zh-CN" w:bidi="ar-SA"/>
        </w:rPr>
        <w:t>4.1 系统</w:t>
      </w:r>
      <w:r>
        <w:rPr>
          <w:rFonts w:ascii="Times New Roman" w:hAnsi="Times New Roman" w:eastAsia="仿宋" w:cs="Times New Roman"/>
          <w:color w:val="auto"/>
          <w:kern w:val="2"/>
          <w:sz w:val="21"/>
          <w:lang w:val="en-US" w:eastAsia="zh-CN" w:bidi="ar-SA"/>
        </w:rPr>
        <w:t>概述</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_Toc3366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69</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ind w:left="1129" w:leftChars="2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_Toc15412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Times New Roman"/>
          <w:color w:val="auto"/>
          <w:kern w:val="2"/>
          <w:sz w:val="21"/>
          <w:lang w:val="en-US" w:eastAsia="zh-CN" w:bidi="ar-SA"/>
        </w:rPr>
        <w:t xml:space="preserve">4.2 </w:t>
      </w:r>
      <w:r>
        <w:rPr>
          <w:rFonts w:ascii="Times New Roman" w:hAnsi="Times New Roman" w:eastAsia="仿宋" w:cs="Times New Roman"/>
          <w:color w:val="auto"/>
          <w:kern w:val="2"/>
          <w:sz w:val="21"/>
          <w:lang w:val="en-US" w:eastAsia="zh-CN" w:bidi="ar-SA"/>
        </w:rPr>
        <w:t>项目实施原则</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_Toc15412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69</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ind w:left="1129" w:leftChars="2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_Toc28300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Times New Roman"/>
          <w:color w:val="auto"/>
          <w:kern w:val="2"/>
          <w:sz w:val="21"/>
          <w:lang w:val="en-US" w:eastAsia="zh-CN" w:bidi="ar-SA"/>
        </w:rPr>
        <w:t>4.3 系统</w:t>
      </w:r>
      <w:r>
        <w:rPr>
          <w:rFonts w:ascii="Times New Roman" w:hAnsi="Times New Roman" w:eastAsia="仿宋" w:cs="Times New Roman"/>
          <w:color w:val="auto"/>
          <w:kern w:val="2"/>
          <w:sz w:val="21"/>
          <w:lang w:val="en-US" w:eastAsia="zh-CN" w:bidi="ar-SA"/>
        </w:rPr>
        <w:t>技术要求</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_Toc28300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70</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ind w:left="1549" w:leftChars="4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_Toc1771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Arial"/>
          <w:color w:val="auto"/>
          <w:kern w:val="2"/>
          <w:sz w:val="21"/>
          <w:lang w:val="en-US" w:eastAsia="zh-CN" w:bidi="ar-SA"/>
        </w:rPr>
        <w:t xml:space="preserve">4.3.1 </w:t>
      </w:r>
      <w:r>
        <w:rPr>
          <w:rFonts w:ascii="Times New Roman" w:hAnsi="Times New Roman" w:eastAsia="仿宋" w:cs="Times New Roman"/>
          <w:color w:val="auto"/>
          <w:kern w:val="2"/>
          <w:sz w:val="21"/>
          <w:lang w:val="en-US" w:eastAsia="zh-CN" w:bidi="ar-SA"/>
        </w:rPr>
        <w:t>总体要求</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_Toc1771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70</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ind w:left="1549" w:leftChars="4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_Toc9671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Arial"/>
          <w:color w:val="auto"/>
          <w:kern w:val="2"/>
          <w:sz w:val="21"/>
          <w:lang w:val="en-US" w:eastAsia="zh-CN" w:bidi="ar-SA"/>
        </w:rPr>
        <w:t xml:space="preserve">4.3.2 </w:t>
      </w:r>
      <w:r>
        <w:rPr>
          <w:rFonts w:ascii="Times New Roman" w:hAnsi="Times New Roman" w:eastAsia="仿宋" w:cs="Times New Roman"/>
          <w:color w:val="auto"/>
          <w:kern w:val="2"/>
          <w:sz w:val="21"/>
          <w:lang w:val="en-US" w:eastAsia="zh-CN" w:bidi="ar-SA"/>
        </w:rPr>
        <w:t>软件技术架构</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_Toc9671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70</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ind w:left="1549" w:leftChars="4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_Toc28346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Arial"/>
          <w:color w:val="auto"/>
          <w:kern w:val="2"/>
          <w:sz w:val="21"/>
          <w:lang w:val="en-US" w:eastAsia="zh-CN" w:bidi="ar-SA"/>
        </w:rPr>
        <w:t xml:space="preserve">4.3.3 </w:t>
      </w:r>
      <w:r>
        <w:rPr>
          <w:rFonts w:hint="eastAsia" w:ascii="Times New Roman" w:hAnsi="Times New Roman" w:eastAsia="仿宋" w:cs="Times New Roman"/>
          <w:color w:val="auto"/>
          <w:kern w:val="2"/>
          <w:sz w:val="21"/>
          <w:lang w:val="en-US" w:eastAsia="zh-CN" w:bidi="ar-SA"/>
        </w:rPr>
        <w:t>系统功能需求</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_Toc28346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71</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ind w:left="1549" w:leftChars="4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_Toc19197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Arial"/>
          <w:color w:val="auto"/>
          <w:kern w:val="2"/>
          <w:sz w:val="21"/>
          <w:lang w:val="en-US" w:eastAsia="zh-CN" w:bidi="ar-SA"/>
        </w:rPr>
        <w:t xml:space="preserve">4.3.4 </w:t>
      </w:r>
      <w:r>
        <w:rPr>
          <w:rFonts w:hint="eastAsia" w:ascii="Times New Roman" w:hAnsi="Times New Roman" w:eastAsia="仿宋" w:cs="Times New Roman"/>
          <w:color w:val="auto"/>
          <w:kern w:val="2"/>
          <w:sz w:val="21"/>
          <w:lang w:val="en-US" w:eastAsia="zh-CN" w:bidi="ar-SA"/>
        </w:rPr>
        <w:t>系统性能</w:t>
      </w:r>
      <w:r>
        <w:rPr>
          <w:rFonts w:ascii="Times New Roman" w:hAnsi="Times New Roman" w:eastAsia="仿宋" w:cs="Times New Roman"/>
          <w:color w:val="auto"/>
          <w:kern w:val="2"/>
          <w:sz w:val="21"/>
          <w:lang w:val="en-US" w:eastAsia="zh-CN" w:bidi="ar-SA"/>
        </w:rPr>
        <w:t>要求</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_Toc19197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72</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ind w:left="1549" w:leftChars="4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_Toc22990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Arial"/>
          <w:color w:val="auto"/>
          <w:kern w:val="2"/>
          <w:sz w:val="21"/>
          <w:lang w:val="en-US" w:eastAsia="zh-CN" w:bidi="ar-SA"/>
        </w:rPr>
        <w:t xml:space="preserve">4.3.5 </w:t>
      </w:r>
      <w:r>
        <w:rPr>
          <w:rFonts w:hint="eastAsia" w:ascii="Times New Roman" w:hAnsi="Times New Roman" w:eastAsia="仿宋" w:cs="Times New Roman"/>
          <w:color w:val="auto"/>
          <w:kern w:val="2"/>
          <w:sz w:val="21"/>
          <w:highlight w:val="none"/>
          <w:lang w:val="en-US" w:eastAsia="zh-CN" w:bidi="ar-SA"/>
        </w:rPr>
        <w:t>系统预留接口要求</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_Toc22990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73</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ind w:left="1549" w:leftChars="4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_Toc10179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Arial"/>
          <w:color w:val="auto"/>
          <w:kern w:val="2"/>
          <w:sz w:val="21"/>
          <w:lang w:val="en-US" w:eastAsia="zh-CN" w:bidi="ar-SA"/>
        </w:rPr>
        <w:t xml:space="preserve">4.3.6 </w:t>
      </w:r>
      <w:r>
        <w:rPr>
          <w:rFonts w:ascii="Times New Roman" w:hAnsi="Times New Roman" w:eastAsia="仿宋" w:cs="Times New Roman"/>
          <w:color w:val="auto"/>
          <w:kern w:val="2"/>
          <w:sz w:val="21"/>
          <w:lang w:val="en-US" w:eastAsia="zh-CN" w:bidi="ar-SA"/>
        </w:rPr>
        <w:t>系统运行环境要求</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_Toc10179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73</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ind w:left="1549" w:leftChars="4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_Toc24344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Arial"/>
          <w:color w:val="auto"/>
          <w:kern w:val="2"/>
          <w:sz w:val="21"/>
          <w:lang w:val="en-US" w:eastAsia="zh-CN" w:bidi="ar-SA"/>
        </w:rPr>
        <w:t xml:space="preserve">4.3.7 </w:t>
      </w:r>
      <w:r>
        <w:rPr>
          <w:rFonts w:ascii="Times New Roman" w:hAnsi="Times New Roman" w:eastAsia="仿宋" w:cs="Times New Roman"/>
          <w:color w:val="auto"/>
          <w:kern w:val="2"/>
          <w:sz w:val="21"/>
          <w:lang w:val="en-US" w:eastAsia="zh-CN" w:bidi="ar-SA"/>
        </w:rPr>
        <w:t>系统安全性要求</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_Toc24344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74</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spacing w:line="360" w:lineRule="auto"/>
        <w:rPr>
          <w:rFonts w:ascii="宋体" w:hAnsi="宋体" w:eastAsia="宋体" w:cs="Times New Roman"/>
          <w:b/>
          <w:color w:val="auto"/>
          <w:kern w:val="2"/>
          <w:sz w:val="24"/>
          <w:szCs w:val="24"/>
          <w:lang w:val="en-US" w:eastAsia="zh-CN" w:bidi="ar-SA"/>
        </w:rPr>
      </w:pPr>
      <w:r>
        <w:rPr>
          <w:rFonts w:hint="default" w:ascii="Times New Roman" w:hAnsi="Times New Roman" w:eastAsia="仿宋" w:cs="Times New Roman"/>
          <w:b/>
          <w:bCs/>
          <w:color w:val="auto"/>
          <w:kern w:val="2"/>
          <w:sz w:val="24"/>
          <w:szCs w:val="24"/>
          <w:lang w:val="zh-CN" w:eastAsia="zh-CN" w:bidi="ar-SA"/>
        </w:rPr>
        <w:fldChar w:fldCharType="begin"/>
      </w:r>
      <w:r>
        <w:rPr>
          <w:rFonts w:hint="default" w:ascii="Times New Roman" w:hAnsi="Times New Roman" w:eastAsia="仿宋" w:cs="Times New Roman"/>
          <w:b/>
          <w:bCs/>
          <w:color w:val="auto"/>
          <w:kern w:val="2"/>
          <w:sz w:val="24"/>
          <w:szCs w:val="24"/>
          <w:lang w:val="zh-CN" w:eastAsia="zh-CN" w:bidi="ar-SA"/>
        </w:rPr>
        <w:instrText xml:space="preserve"> HYPERLINK \l _Toc25645 </w:instrText>
      </w:r>
      <w:r>
        <w:rPr>
          <w:rFonts w:hint="default" w:ascii="Times New Roman" w:hAnsi="Times New Roman" w:eastAsia="仿宋" w:cs="Times New Roman"/>
          <w:b/>
          <w:bCs/>
          <w:color w:val="auto"/>
          <w:kern w:val="2"/>
          <w:sz w:val="24"/>
          <w:szCs w:val="24"/>
          <w:lang w:val="zh-CN" w:eastAsia="zh-CN" w:bidi="ar-SA"/>
        </w:rPr>
        <w:fldChar w:fldCharType="separate"/>
      </w:r>
      <w:r>
        <w:rPr>
          <w:rFonts w:hint="eastAsia" w:ascii="宋体" w:hAnsi="宋体" w:eastAsia="宋体" w:cs="Times New Roman"/>
          <w:b/>
          <w:i w:val="0"/>
          <w:color w:val="auto"/>
          <w:kern w:val="2"/>
          <w:sz w:val="24"/>
          <w:szCs w:val="32"/>
          <w:lang w:val="en-US" w:eastAsia="zh-CN" w:bidi="ar-SA"/>
        </w:rPr>
        <w:t xml:space="preserve">第五章 </w:t>
      </w:r>
      <w:r>
        <w:rPr>
          <w:rFonts w:ascii="Times New Roman" w:hAnsi="Times New Roman" w:eastAsia="仿宋" w:cs="Times New Roman"/>
          <w:b/>
          <w:color w:val="auto"/>
          <w:kern w:val="2"/>
          <w:sz w:val="24"/>
          <w:szCs w:val="24"/>
          <w:lang w:val="en-US" w:eastAsia="zh-CN" w:bidi="ar-SA"/>
        </w:rPr>
        <w:t>项目</w:t>
      </w:r>
      <w:r>
        <w:rPr>
          <w:rFonts w:hint="eastAsia" w:ascii="Times New Roman" w:hAnsi="Times New Roman" w:eastAsia="仿宋" w:cs="Times New Roman"/>
          <w:b/>
          <w:color w:val="auto"/>
          <w:kern w:val="2"/>
          <w:sz w:val="24"/>
          <w:szCs w:val="24"/>
          <w:lang w:val="en-US" w:eastAsia="zh-CN" w:bidi="ar-SA"/>
        </w:rPr>
        <w:t>管理</w:t>
      </w:r>
      <w:r>
        <w:rPr>
          <w:rFonts w:ascii="宋体" w:hAnsi="宋体" w:eastAsia="宋体" w:cs="Times New Roman"/>
          <w:b/>
          <w:color w:val="auto"/>
          <w:kern w:val="2"/>
          <w:sz w:val="24"/>
          <w:szCs w:val="24"/>
          <w:lang w:val="en-US" w:eastAsia="zh-CN" w:bidi="ar-SA"/>
        </w:rPr>
        <w:tab/>
      </w:r>
      <w:r>
        <w:rPr>
          <w:rFonts w:ascii="宋体" w:hAnsi="宋体" w:eastAsia="宋体" w:cs="Times New Roman"/>
          <w:b/>
          <w:color w:val="auto"/>
          <w:kern w:val="2"/>
          <w:sz w:val="24"/>
          <w:szCs w:val="24"/>
          <w:lang w:val="en-US" w:eastAsia="zh-CN" w:bidi="ar-SA"/>
        </w:rPr>
        <w:fldChar w:fldCharType="begin"/>
      </w:r>
      <w:r>
        <w:rPr>
          <w:rFonts w:ascii="宋体" w:hAnsi="宋体" w:eastAsia="宋体" w:cs="Times New Roman"/>
          <w:b/>
          <w:color w:val="auto"/>
          <w:kern w:val="2"/>
          <w:sz w:val="24"/>
          <w:szCs w:val="24"/>
          <w:lang w:val="en-US" w:eastAsia="zh-CN" w:bidi="ar-SA"/>
        </w:rPr>
        <w:instrText xml:space="preserve"> PAGEREF _Toc25645 \h </w:instrText>
      </w:r>
      <w:r>
        <w:rPr>
          <w:rFonts w:ascii="宋体" w:hAnsi="宋体" w:eastAsia="宋体" w:cs="Times New Roman"/>
          <w:b/>
          <w:color w:val="auto"/>
          <w:kern w:val="2"/>
          <w:sz w:val="24"/>
          <w:szCs w:val="24"/>
          <w:lang w:val="en-US" w:eastAsia="zh-CN" w:bidi="ar-SA"/>
        </w:rPr>
        <w:fldChar w:fldCharType="separate"/>
      </w:r>
      <w:r>
        <w:rPr>
          <w:rFonts w:ascii="宋体" w:hAnsi="宋体" w:eastAsia="宋体" w:cs="Times New Roman"/>
          <w:b/>
          <w:color w:val="auto"/>
          <w:kern w:val="2"/>
          <w:sz w:val="24"/>
          <w:szCs w:val="24"/>
          <w:lang w:val="en-US" w:eastAsia="zh-CN" w:bidi="ar-SA"/>
        </w:rPr>
        <w:t>75</w:t>
      </w:r>
      <w:r>
        <w:rPr>
          <w:rFonts w:ascii="宋体" w:hAnsi="宋体" w:eastAsia="宋体" w:cs="Times New Roman"/>
          <w:b/>
          <w:color w:val="auto"/>
          <w:kern w:val="2"/>
          <w:sz w:val="24"/>
          <w:szCs w:val="24"/>
          <w:lang w:val="en-US" w:eastAsia="zh-CN" w:bidi="ar-SA"/>
        </w:rPr>
        <w:fldChar w:fldCharType="end"/>
      </w:r>
      <w:r>
        <w:rPr>
          <w:rFonts w:hint="default" w:ascii="Times New Roman" w:hAnsi="Times New Roman" w:eastAsia="仿宋" w:cs="Times New Roman"/>
          <w:b/>
          <w:bCs/>
          <w:color w:val="auto"/>
          <w:kern w:val="2"/>
          <w:sz w:val="24"/>
          <w:szCs w:val="24"/>
          <w:lang w:val="zh-CN" w:eastAsia="zh-CN" w:bidi="ar-SA"/>
        </w:rPr>
        <w:fldChar w:fldCharType="end"/>
      </w:r>
    </w:p>
    <w:p>
      <w:pPr>
        <w:tabs>
          <w:tab w:val="right" w:leader="dot" w:pos="8306"/>
        </w:tabs>
        <w:ind w:left="1129" w:leftChars="2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_Toc26528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Times New Roman"/>
          <w:color w:val="auto"/>
          <w:kern w:val="2"/>
          <w:sz w:val="21"/>
          <w:lang w:val="en-US" w:eastAsia="zh-CN" w:bidi="ar-SA"/>
        </w:rPr>
        <w:t>5.1 比选申请人资质要求</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_Toc26528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75</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ind w:left="1129" w:leftChars="2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_Toc10591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Times New Roman"/>
          <w:color w:val="auto"/>
          <w:kern w:val="2"/>
          <w:sz w:val="21"/>
          <w:lang w:val="en-US" w:eastAsia="zh-CN" w:bidi="ar-SA"/>
        </w:rPr>
        <w:t>5.2 人员及培训要求</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_Toc10591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75</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ind w:left="1549" w:leftChars="4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_Toc13136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Arial"/>
          <w:color w:val="auto"/>
          <w:kern w:val="2"/>
          <w:sz w:val="21"/>
          <w:lang w:val="en-US" w:eastAsia="zh-CN" w:bidi="ar-SA"/>
        </w:rPr>
        <w:t xml:space="preserve">5.2.1 </w:t>
      </w:r>
      <w:r>
        <w:rPr>
          <w:rFonts w:hint="eastAsia" w:ascii="Times New Roman" w:hAnsi="Times New Roman" w:eastAsia="仿宋" w:cs="Times New Roman"/>
          <w:color w:val="auto"/>
          <w:kern w:val="2"/>
          <w:sz w:val="21"/>
          <w:lang w:val="en-US" w:eastAsia="zh-CN" w:bidi="ar-SA"/>
        </w:rPr>
        <w:t>人员要求</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_Toc13136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75</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ind w:left="1549" w:leftChars="4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_Toc19875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Arial"/>
          <w:color w:val="auto"/>
          <w:kern w:val="2"/>
          <w:sz w:val="21"/>
          <w:lang w:val="en-US" w:eastAsia="zh-CN" w:bidi="ar-SA"/>
        </w:rPr>
        <w:t xml:space="preserve">5.2.2 </w:t>
      </w:r>
      <w:r>
        <w:rPr>
          <w:rFonts w:hint="eastAsia" w:ascii="Times New Roman" w:hAnsi="Times New Roman" w:eastAsia="仿宋" w:cs="Times New Roman"/>
          <w:color w:val="auto"/>
          <w:kern w:val="2"/>
          <w:sz w:val="21"/>
          <w:lang w:val="en-US" w:eastAsia="zh-CN" w:bidi="ar-SA"/>
        </w:rPr>
        <w:t>人员培训要求</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_Toc19875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75</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ind w:left="1129" w:leftChars="2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_Toc9510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Times New Roman"/>
          <w:color w:val="auto"/>
          <w:kern w:val="2"/>
          <w:sz w:val="21"/>
          <w:lang w:val="en-US" w:eastAsia="zh-CN" w:bidi="ar-SA"/>
        </w:rPr>
        <w:t>5.3 劳保用品及工器具配置要求</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_Toc9510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76</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ind w:left="1549" w:leftChars="4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_Toc32346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Arial"/>
          <w:color w:val="auto"/>
          <w:kern w:val="2"/>
          <w:sz w:val="21"/>
          <w:lang w:val="en-US" w:eastAsia="zh-CN" w:bidi="ar-SA"/>
        </w:rPr>
        <w:t xml:space="preserve">5.3.1 </w:t>
      </w:r>
      <w:r>
        <w:rPr>
          <w:rFonts w:hint="eastAsia" w:ascii="Times New Roman" w:hAnsi="Times New Roman" w:eastAsia="仿宋" w:cs="Times New Roman"/>
          <w:color w:val="auto"/>
          <w:kern w:val="2"/>
          <w:sz w:val="21"/>
          <w:lang w:val="en-US" w:eastAsia="zh-CN" w:bidi="ar-SA"/>
        </w:rPr>
        <w:t>劳保用品配置要求</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_Toc32346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76</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ind w:left="1129" w:leftChars="2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_Toc6643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Times New Roman"/>
          <w:color w:val="auto"/>
          <w:kern w:val="2"/>
          <w:sz w:val="21"/>
          <w:lang w:val="en-US" w:eastAsia="zh-CN" w:bidi="ar-SA"/>
        </w:rPr>
        <w:t>5.4 项目质量管理</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_Toc6643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76</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ind w:left="1549" w:leftChars="4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_Toc15934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Arial"/>
          <w:color w:val="auto"/>
          <w:kern w:val="2"/>
          <w:sz w:val="21"/>
          <w:lang w:val="en-US" w:eastAsia="zh-CN" w:bidi="ar-SA"/>
        </w:rPr>
        <w:t xml:space="preserve">5.4.1 </w:t>
      </w:r>
      <w:r>
        <w:rPr>
          <w:rFonts w:hint="eastAsia" w:ascii="Times New Roman" w:hAnsi="Times New Roman" w:eastAsia="仿宋" w:cs="Times New Roman"/>
          <w:color w:val="auto"/>
          <w:kern w:val="2"/>
          <w:sz w:val="21"/>
          <w:lang w:val="en-US" w:eastAsia="zh-CN" w:bidi="ar-SA"/>
        </w:rPr>
        <w:t>现场成品保护要求</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_Toc15934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76</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ind w:left="1549" w:leftChars="4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_Toc26124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Arial"/>
          <w:color w:val="auto"/>
          <w:kern w:val="2"/>
          <w:sz w:val="21"/>
          <w:lang w:val="en-US" w:eastAsia="zh-CN" w:bidi="ar-SA"/>
        </w:rPr>
        <w:t xml:space="preserve">5.4.2 </w:t>
      </w:r>
      <w:r>
        <w:rPr>
          <w:rFonts w:hint="eastAsia" w:ascii="Times New Roman" w:hAnsi="Times New Roman" w:eastAsia="仿宋" w:cs="Times New Roman"/>
          <w:color w:val="auto"/>
          <w:kern w:val="2"/>
          <w:sz w:val="21"/>
          <w:lang w:val="en-US" w:eastAsia="zh-CN" w:bidi="ar-SA"/>
        </w:rPr>
        <w:t>质量控制措施</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_Toc26124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76</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ind w:left="1129" w:leftChars="2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_Toc709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Times New Roman"/>
          <w:color w:val="auto"/>
          <w:kern w:val="2"/>
          <w:sz w:val="21"/>
          <w:lang w:val="en-US" w:eastAsia="zh-CN" w:bidi="ar-SA"/>
        </w:rPr>
        <w:t>5.5 项目安全管理</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_Toc709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77</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ind w:left="1129" w:leftChars="2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_Toc14750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Times New Roman"/>
          <w:color w:val="auto"/>
          <w:kern w:val="2"/>
          <w:sz w:val="21"/>
          <w:lang w:val="en-US" w:eastAsia="zh-CN" w:bidi="ar-SA"/>
        </w:rPr>
        <w:t>5.6 知识产权</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_Toc14750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78</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spacing w:line="360" w:lineRule="auto"/>
        <w:rPr>
          <w:rFonts w:ascii="宋体" w:hAnsi="宋体" w:eastAsia="宋体" w:cs="Times New Roman"/>
          <w:b/>
          <w:color w:val="auto"/>
          <w:kern w:val="2"/>
          <w:sz w:val="24"/>
          <w:szCs w:val="24"/>
          <w:lang w:val="en-US" w:eastAsia="zh-CN" w:bidi="ar-SA"/>
        </w:rPr>
      </w:pPr>
      <w:r>
        <w:rPr>
          <w:rFonts w:hint="default" w:ascii="Times New Roman" w:hAnsi="Times New Roman" w:eastAsia="仿宋" w:cs="Times New Roman"/>
          <w:b/>
          <w:bCs/>
          <w:color w:val="auto"/>
          <w:kern w:val="2"/>
          <w:sz w:val="24"/>
          <w:szCs w:val="24"/>
          <w:lang w:val="zh-CN" w:eastAsia="zh-CN" w:bidi="ar-SA"/>
        </w:rPr>
        <w:fldChar w:fldCharType="begin"/>
      </w:r>
      <w:r>
        <w:rPr>
          <w:rFonts w:hint="default" w:ascii="Times New Roman" w:hAnsi="Times New Roman" w:eastAsia="仿宋" w:cs="Times New Roman"/>
          <w:b/>
          <w:bCs/>
          <w:color w:val="auto"/>
          <w:kern w:val="2"/>
          <w:sz w:val="24"/>
          <w:szCs w:val="24"/>
          <w:lang w:val="zh-CN" w:eastAsia="zh-CN" w:bidi="ar-SA"/>
        </w:rPr>
        <w:instrText xml:space="preserve"> HYPERLINK \l _Toc20915 </w:instrText>
      </w:r>
      <w:r>
        <w:rPr>
          <w:rFonts w:hint="default" w:ascii="Times New Roman" w:hAnsi="Times New Roman" w:eastAsia="仿宋" w:cs="Times New Roman"/>
          <w:b/>
          <w:bCs/>
          <w:color w:val="auto"/>
          <w:kern w:val="2"/>
          <w:sz w:val="24"/>
          <w:szCs w:val="24"/>
          <w:lang w:val="zh-CN" w:eastAsia="zh-CN" w:bidi="ar-SA"/>
        </w:rPr>
        <w:fldChar w:fldCharType="separate"/>
      </w:r>
      <w:r>
        <w:rPr>
          <w:rFonts w:hint="eastAsia" w:ascii="宋体" w:hAnsi="宋体" w:eastAsia="宋体" w:cs="Times New Roman"/>
          <w:b/>
          <w:i w:val="0"/>
          <w:color w:val="auto"/>
          <w:kern w:val="2"/>
          <w:sz w:val="24"/>
          <w:szCs w:val="32"/>
          <w:lang w:val="en-US" w:eastAsia="zh-CN" w:bidi="ar-SA"/>
        </w:rPr>
        <w:t xml:space="preserve">第六章 </w:t>
      </w:r>
      <w:r>
        <w:rPr>
          <w:rFonts w:hint="eastAsia" w:ascii="Times New Roman" w:hAnsi="Times New Roman" w:eastAsia="仿宋" w:cs="Times New Roman"/>
          <w:b/>
          <w:color w:val="auto"/>
          <w:kern w:val="2"/>
          <w:sz w:val="24"/>
          <w:szCs w:val="24"/>
          <w:lang w:val="en-US" w:eastAsia="zh-CN" w:bidi="ar-SA"/>
        </w:rPr>
        <w:t>项目实施作业</w:t>
      </w:r>
      <w:r>
        <w:rPr>
          <w:rFonts w:ascii="宋体" w:hAnsi="宋体" w:eastAsia="宋体" w:cs="Times New Roman"/>
          <w:b/>
          <w:color w:val="auto"/>
          <w:kern w:val="2"/>
          <w:sz w:val="24"/>
          <w:szCs w:val="24"/>
          <w:lang w:val="en-US" w:eastAsia="zh-CN" w:bidi="ar-SA"/>
        </w:rPr>
        <w:tab/>
      </w:r>
      <w:r>
        <w:rPr>
          <w:rFonts w:ascii="宋体" w:hAnsi="宋体" w:eastAsia="宋体" w:cs="Times New Roman"/>
          <w:b/>
          <w:color w:val="auto"/>
          <w:kern w:val="2"/>
          <w:sz w:val="24"/>
          <w:szCs w:val="24"/>
          <w:lang w:val="en-US" w:eastAsia="zh-CN" w:bidi="ar-SA"/>
        </w:rPr>
        <w:fldChar w:fldCharType="begin"/>
      </w:r>
      <w:r>
        <w:rPr>
          <w:rFonts w:ascii="宋体" w:hAnsi="宋体" w:eastAsia="宋体" w:cs="Times New Roman"/>
          <w:b/>
          <w:color w:val="auto"/>
          <w:kern w:val="2"/>
          <w:sz w:val="24"/>
          <w:szCs w:val="24"/>
          <w:lang w:val="en-US" w:eastAsia="zh-CN" w:bidi="ar-SA"/>
        </w:rPr>
        <w:instrText xml:space="preserve"> PAGEREF _Toc20915 \h </w:instrText>
      </w:r>
      <w:r>
        <w:rPr>
          <w:rFonts w:ascii="宋体" w:hAnsi="宋体" w:eastAsia="宋体" w:cs="Times New Roman"/>
          <w:b/>
          <w:color w:val="auto"/>
          <w:kern w:val="2"/>
          <w:sz w:val="24"/>
          <w:szCs w:val="24"/>
          <w:lang w:val="en-US" w:eastAsia="zh-CN" w:bidi="ar-SA"/>
        </w:rPr>
        <w:fldChar w:fldCharType="separate"/>
      </w:r>
      <w:r>
        <w:rPr>
          <w:rFonts w:ascii="宋体" w:hAnsi="宋体" w:eastAsia="宋体" w:cs="Times New Roman"/>
          <w:b/>
          <w:color w:val="auto"/>
          <w:kern w:val="2"/>
          <w:sz w:val="24"/>
          <w:szCs w:val="24"/>
          <w:lang w:val="en-US" w:eastAsia="zh-CN" w:bidi="ar-SA"/>
        </w:rPr>
        <w:t>80</w:t>
      </w:r>
      <w:r>
        <w:rPr>
          <w:rFonts w:ascii="宋体" w:hAnsi="宋体" w:eastAsia="宋体" w:cs="Times New Roman"/>
          <w:b/>
          <w:color w:val="auto"/>
          <w:kern w:val="2"/>
          <w:sz w:val="24"/>
          <w:szCs w:val="24"/>
          <w:lang w:val="en-US" w:eastAsia="zh-CN" w:bidi="ar-SA"/>
        </w:rPr>
        <w:fldChar w:fldCharType="end"/>
      </w:r>
      <w:r>
        <w:rPr>
          <w:rFonts w:hint="default" w:ascii="Times New Roman" w:hAnsi="Times New Roman" w:eastAsia="仿宋" w:cs="Times New Roman"/>
          <w:b/>
          <w:bCs/>
          <w:color w:val="auto"/>
          <w:kern w:val="2"/>
          <w:sz w:val="24"/>
          <w:szCs w:val="24"/>
          <w:lang w:val="zh-CN" w:eastAsia="zh-CN" w:bidi="ar-SA"/>
        </w:rPr>
        <w:fldChar w:fldCharType="end"/>
      </w:r>
    </w:p>
    <w:p>
      <w:pPr>
        <w:tabs>
          <w:tab w:val="right" w:leader="dot" w:pos="8306"/>
        </w:tabs>
        <w:ind w:left="1129" w:leftChars="2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_Toc2069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Times New Roman"/>
          <w:color w:val="auto"/>
          <w:kern w:val="2"/>
          <w:sz w:val="21"/>
          <w:lang w:val="en-US" w:eastAsia="zh-CN" w:bidi="ar-SA"/>
        </w:rPr>
        <w:t>6.1 比选人提供作业条件</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_Toc2069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26</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ind w:left="1129" w:leftChars="2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_Toc14789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Times New Roman"/>
          <w:color w:val="auto"/>
          <w:kern w:val="2"/>
          <w:sz w:val="21"/>
          <w:lang w:val="en-US" w:eastAsia="zh-CN" w:bidi="ar-SA"/>
        </w:rPr>
        <w:t>6.2 进场要求</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_Toc14789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80</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ind w:left="1129" w:leftChars="2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_Toc32317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Times New Roman"/>
          <w:color w:val="auto"/>
          <w:kern w:val="2"/>
          <w:sz w:val="21"/>
          <w:lang w:val="en-US" w:eastAsia="zh-CN" w:bidi="ar-SA"/>
        </w:rPr>
        <w:t>6.3 作业计划编制</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_Toc32317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81</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ind w:left="1129" w:leftChars="2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_Toc17456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Times New Roman"/>
          <w:color w:val="auto"/>
          <w:kern w:val="2"/>
          <w:sz w:val="21"/>
          <w:lang w:val="en-US" w:eastAsia="zh-CN" w:bidi="ar-SA"/>
        </w:rPr>
        <w:t>6.4 作业计划申报</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_Toc17456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81</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ind w:left="1129" w:leftChars="2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_Toc6263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Times New Roman"/>
          <w:color w:val="auto"/>
          <w:kern w:val="2"/>
          <w:sz w:val="21"/>
          <w:lang w:val="en-US" w:eastAsia="zh-CN" w:bidi="ar-SA"/>
        </w:rPr>
        <w:t>6.5 作业计划实施</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_Toc6263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81</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ind w:left="1549" w:leftChars="4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_Toc18607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Arial"/>
          <w:color w:val="auto"/>
          <w:kern w:val="2"/>
          <w:sz w:val="21"/>
          <w:lang w:val="en-US" w:eastAsia="zh-CN" w:bidi="ar-SA"/>
        </w:rPr>
        <w:t xml:space="preserve">6.5.1 </w:t>
      </w:r>
      <w:r>
        <w:rPr>
          <w:rFonts w:hint="eastAsia" w:ascii="Times New Roman" w:hAnsi="Times New Roman" w:eastAsia="仿宋" w:cs="Times New Roman"/>
          <w:color w:val="auto"/>
          <w:kern w:val="2"/>
          <w:sz w:val="21"/>
          <w:lang w:val="en-US" w:eastAsia="zh-CN" w:bidi="ar-SA"/>
        </w:rPr>
        <w:t>作业计划的实施</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_Toc18607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81</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ind w:left="1549" w:leftChars="4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_Toc4751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Arial"/>
          <w:color w:val="auto"/>
          <w:kern w:val="2"/>
          <w:sz w:val="21"/>
          <w:lang w:val="en-US" w:eastAsia="zh-CN" w:bidi="ar-SA"/>
        </w:rPr>
        <w:t xml:space="preserve">6.5.2 </w:t>
      </w:r>
      <w:r>
        <w:rPr>
          <w:rFonts w:hint="eastAsia" w:ascii="Times New Roman" w:hAnsi="Times New Roman" w:eastAsia="仿宋" w:cs="Times New Roman"/>
          <w:color w:val="auto"/>
          <w:kern w:val="2"/>
          <w:sz w:val="21"/>
          <w:lang w:val="en-US" w:eastAsia="zh-CN" w:bidi="ar-SA"/>
        </w:rPr>
        <w:t>作业过程的控制</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_Toc4751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82</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ind w:left="1129" w:leftChars="2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_Toc16450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Times New Roman"/>
          <w:color w:val="auto"/>
          <w:kern w:val="2"/>
          <w:sz w:val="21"/>
          <w:lang w:val="en-US" w:eastAsia="zh-CN" w:bidi="ar-SA"/>
        </w:rPr>
        <w:t>6.6 劳动纪律</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_Toc16450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82</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ind w:left="1129" w:leftChars="2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_Toc1123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Times New Roman"/>
          <w:color w:val="auto"/>
          <w:kern w:val="2"/>
          <w:sz w:val="21"/>
          <w:lang w:val="en-US" w:eastAsia="zh-CN" w:bidi="ar-SA"/>
        </w:rPr>
        <w:t>6.7 文明施工管理</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_Toc1123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83</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spacing w:line="360" w:lineRule="auto"/>
        <w:rPr>
          <w:rFonts w:ascii="宋体" w:hAnsi="宋体" w:eastAsia="宋体" w:cs="Times New Roman"/>
          <w:b/>
          <w:color w:val="auto"/>
          <w:kern w:val="2"/>
          <w:sz w:val="24"/>
          <w:szCs w:val="24"/>
          <w:lang w:val="en-US" w:eastAsia="zh-CN" w:bidi="ar-SA"/>
        </w:rPr>
      </w:pPr>
      <w:r>
        <w:rPr>
          <w:rFonts w:hint="default" w:ascii="Times New Roman" w:hAnsi="Times New Roman" w:eastAsia="仿宋" w:cs="Times New Roman"/>
          <w:b/>
          <w:bCs/>
          <w:color w:val="auto"/>
          <w:kern w:val="2"/>
          <w:sz w:val="24"/>
          <w:szCs w:val="24"/>
          <w:lang w:val="zh-CN" w:eastAsia="zh-CN" w:bidi="ar-SA"/>
        </w:rPr>
        <w:fldChar w:fldCharType="begin"/>
      </w:r>
      <w:r>
        <w:rPr>
          <w:rFonts w:hint="default" w:ascii="Times New Roman" w:hAnsi="Times New Roman" w:eastAsia="仿宋" w:cs="Times New Roman"/>
          <w:b/>
          <w:bCs/>
          <w:color w:val="auto"/>
          <w:kern w:val="2"/>
          <w:sz w:val="24"/>
          <w:szCs w:val="24"/>
          <w:lang w:val="zh-CN" w:eastAsia="zh-CN" w:bidi="ar-SA"/>
        </w:rPr>
        <w:instrText xml:space="preserve"> HYPERLINK \l _Toc17090 </w:instrText>
      </w:r>
      <w:r>
        <w:rPr>
          <w:rFonts w:hint="default" w:ascii="Times New Roman" w:hAnsi="Times New Roman" w:eastAsia="仿宋" w:cs="Times New Roman"/>
          <w:b/>
          <w:bCs/>
          <w:color w:val="auto"/>
          <w:kern w:val="2"/>
          <w:sz w:val="24"/>
          <w:szCs w:val="24"/>
          <w:lang w:val="zh-CN" w:eastAsia="zh-CN" w:bidi="ar-SA"/>
        </w:rPr>
        <w:fldChar w:fldCharType="separate"/>
      </w:r>
      <w:r>
        <w:rPr>
          <w:rFonts w:hint="eastAsia" w:ascii="宋体" w:hAnsi="宋体" w:eastAsia="宋体" w:cs="Times New Roman"/>
          <w:b/>
          <w:i w:val="0"/>
          <w:color w:val="auto"/>
          <w:kern w:val="2"/>
          <w:sz w:val="24"/>
          <w:szCs w:val="32"/>
          <w:lang w:val="en-US" w:eastAsia="zh-CN" w:bidi="ar-SA"/>
        </w:rPr>
        <w:t xml:space="preserve">第七章 </w:t>
      </w:r>
      <w:r>
        <w:rPr>
          <w:rFonts w:hint="eastAsia" w:ascii="Times New Roman" w:hAnsi="Times New Roman" w:eastAsia="仿宋" w:cs="Times New Roman"/>
          <w:b/>
          <w:color w:val="auto"/>
          <w:kern w:val="2"/>
          <w:sz w:val="24"/>
          <w:szCs w:val="24"/>
          <w:lang w:val="en-US" w:eastAsia="zh-CN" w:bidi="ar-SA"/>
        </w:rPr>
        <w:t>考核条款</w:t>
      </w:r>
      <w:r>
        <w:rPr>
          <w:rFonts w:ascii="宋体" w:hAnsi="宋体" w:eastAsia="宋体" w:cs="Times New Roman"/>
          <w:b/>
          <w:color w:val="auto"/>
          <w:kern w:val="2"/>
          <w:sz w:val="24"/>
          <w:szCs w:val="24"/>
          <w:lang w:val="en-US" w:eastAsia="zh-CN" w:bidi="ar-SA"/>
        </w:rPr>
        <w:tab/>
      </w:r>
      <w:r>
        <w:rPr>
          <w:rFonts w:ascii="宋体" w:hAnsi="宋体" w:eastAsia="宋体" w:cs="Times New Roman"/>
          <w:b/>
          <w:color w:val="auto"/>
          <w:kern w:val="2"/>
          <w:sz w:val="24"/>
          <w:szCs w:val="24"/>
          <w:lang w:val="en-US" w:eastAsia="zh-CN" w:bidi="ar-SA"/>
        </w:rPr>
        <w:fldChar w:fldCharType="begin"/>
      </w:r>
      <w:r>
        <w:rPr>
          <w:rFonts w:ascii="宋体" w:hAnsi="宋体" w:eastAsia="宋体" w:cs="Times New Roman"/>
          <w:b/>
          <w:color w:val="auto"/>
          <w:kern w:val="2"/>
          <w:sz w:val="24"/>
          <w:szCs w:val="24"/>
          <w:lang w:val="en-US" w:eastAsia="zh-CN" w:bidi="ar-SA"/>
        </w:rPr>
        <w:instrText xml:space="preserve"> PAGEREF _Toc17090 \h </w:instrText>
      </w:r>
      <w:r>
        <w:rPr>
          <w:rFonts w:ascii="宋体" w:hAnsi="宋体" w:eastAsia="宋体" w:cs="Times New Roman"/>
          <w:b/>
          <w:color w:val="auto"/>
          <w:kern w:val="2"/>
          <w:sz w:val="24"/>
          <w:szCs w:val="24"/>
          <w:lang w:val="en-US" w:eastAsia="zh-CN" w:bidi="ar-SA"/>
        </w:rPr>
        <w:fldChar w:fldCharType="separate"/>
      </w:r>
      <w:r>
        <w:rPr>
          <w:rFonts w:ascii="宋体" w:hAnsi="宋体" w:eastAsia="宋体" w:cs="Times New Roman"/>
          <w:b/>
          <w:color w:val="auto"/>
          <w:kern w:val="2"/>
          <w:sz w:val="24"/>
          <w:szCs w:val="24"/>
          <w:lang w:val="en-US" w:eastAsia="zh-CN" w:bidi="ar-SA"/>
        </w:rPr>
        <w:t>84</w:t>
      </w:r>
      <w:r>
        <w:rPr>
          <w:rFonts w:ascii="宋体" w:hAnsi="宋体" w:eastAsia="宋体" w:cs="Times New Roman"/>
          <w:b/>
          <w:color w:val="auto"/>
          <w:kern w:val="2"/>
          <w:sz w:val="24"/>
          <w:szCs w:val="24"/>
          <w:lang w:val="en-US" w:eastAsia="zh-CN" w:bidi="ar-SA"/>
        </w:rPr>
        <w:fldChar w:fldCharType="end"/>
      </w:r>
      <w:r>
        <w:rPr>
          <w:rFonts w:hint="default" w:ascii="Times New Roman" w:hAnsi="Times New Roman" w:eastAsia="仿宋" w:cs="Times New Roman"/>
          <w:b/>
          <w:bCs/>
          <w:color w:val="auto"/>
          <w:kern w:val="2"/>
          <w:sz w:val="24"/>
          <w:szCs w:val="24"/>
          <w:lang w:val="zh-CN" w:eastAsia="zh-CN" w:bidi="ar-SA"/>
        </w:rPr>
        <w:fldChar w:fldCharType="end"/>
      </w:r>
    </w:p>
    <w:p>
      <w:pPr>
        <w:tabs>
          <w:tab w:val="right" w:leader="dot" w:pos="8306"/>
        </w:tabs>
        <w:ind w:left="1129" w:leftChars="2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_Toc20494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Times New Roman"/>
          <w:color w:val="auto"/>
          <w:kern w:val="2"/>
          <w:sz w:val="21"/>
          <w:lang w:val="en-US" w:eastAsia="zh-CN" w:bidi="ar-SA"/>
        </w:rPr>
        <w:t>7.1 合同期评价</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_Toc20494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84</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ind w:left="1129" w:leftChars="2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_Toc21730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Times New Roman"/>
          <w:color w:val="auto"/>
          <w:kern w:val="2"/>
          <w:sz w:val="21"/>
          <w:lang w:val="en-US" w:eastAsia="zh-CN" w:bidi="ar-SA"/>
        </w:rPr>
        <w:t>7.2 违约处理</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_Toc21730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84</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spacing w:line="360" w:lineRule="auto"/>
        <w:rPr>
          <w:rFonts w:ascii="宋体" w:hAnsi="宋体" w:eastAsia="宋体" w:cs="Times New Roman"/>
          <w:b/>
          <w:color w:val="auto"/>
          <w:kern w:val="2"/>
          <w:sz w:val="24"/>
          <w:szCs w:val="24"/>
          <w:lang w:val="en-US" w:eastAsia="zh-CN" w:bidi="ar-SA"/>
        </w:rPr>
      </w:pPr>
      <w:r>
        <w:rPr>
          <w:rFonts w:hint="default" w:ascii="Times New Roman" w:hAnsi="Times New Roman" w:eastAsia="仿宋" w:cs="Times New Roman"/>
          <w:b/>
          <w:bCs/>
          <w:color w:val="auto"/>
          <w:kern w:val="2"/>
          <w:sz w:val="24"/>
          <w:szCs w:val="24"/>
          <w:lang w:val="zh-CN" w:eastAsia="zh-CN" w:bidi="ar-SA"/>
        </w:rPr>
        <w:fldChar w:fldCharType="begin"/>
      </w:r>
      <w:r>
        <w:rPr>
          <w:rFonts w:hint="default" w:ascii="Times New Roman" w:hAnsi="Times New Roman" w:eastAsia="仿宋" w:cs="Times New Roman"/>
          <w:b/>
          <w:bCs/>
          <w:color w:val="auto"/>
          <w:kern w:val="2"/>
          <w:sz w:val="24"/>
          <w:szCs w:val="24"/>
          <w:lang w:val="zh-CN" w:eastAsia="zh-CN" w:bidi="ar-SA"/>
        </w:rPr>
        <w:instrText xml:space="preserve"> HYPERLINK \l _Toc28276 </w:instrText>
      </w:r>
      <w:r>
        <w:rPr>
          <w:rFonts w:hint="default" w:ascii="Times New Roman" w:hAnsi="Times New Roman" w:eastAsia="仿宋" w:cs="Times New Roman"/>
          <w:b/>
          <w:bCs/>
          <w:color w:val="auto"/>
          <w:kern w:val="2"/>
          <w:sz w:val="24"/>
          <w:szCs w:val="24"/>
          <w:lang w:val="zh-CN" w:eastAsia="zh-CN" w:bidi="ar-SA"/>
        </w:rPr>
        <w:fldChar w:fldCharType="separate"/>
      </w:r>
      <w:r>
        <w:rPr>
          <w:rFonts w:hint="eastAsia" w:ascii="宋体" w:hAnsi="宋体" w:eastAsia="宋体" w:cs="Times New Roman"/>
          <w:b/>
          <w:i w:val="0"/>
          <w:color w:val="auto"/>
          <w:kern w:val="2"/>
          <w:sz w:val="24"/>
          <w:szCs w:val="32"/>
          <w:lang w:val="en-US" w:eastAsia="zh-CN" w:bidi="ar-SA"/>
        </w:rPr>
        <w:t xml:space="preserve">第八章 </w:t>
      </w:r>
      <w:r>
        <w:rPr>
          <w:rFonts w:ascii="Times New Roman" w:hAnsi="Times New Roman" w:eastAsia="仿宋" w:cs="Times New Roman"/>
          <w:b/>
          <w:color w:val="auto"/>
          <w:kern w:val="2"/>
          <w:sz w:val="24"/>
          <w:szCs w:val="24"/>
          <w:lang w:val="en-US" w:eastAsia="zh-CN" w:bidi="ar-SA"/>
        </w:rPr>
        <w:t>项目验收</w:t>
      </w:r>
      <w:r>
        <w:rPr>
          <w:rFonts w:ascii="宋体" w:hAnsi="宋体" w:eastAsia="宋体" w:cs="Times New Roman"/>
          <w:b/>
          <w:color w:val="auto"/>
          <w:kern w:val="2"/>
          <w:sz w:val="24"/>
          <w:szCs w:val="24"/>
          <w:lang w:val="en-US" w:eastAsia="zh-CN" w:bidi="ar-SA"/>
        </w:rPr>
        <w:tab/>
      </w:r>
      <w:r>
        <w:rPr>
          <w:rFonts w:ascii="宋体" w:hAnsi="宋体" w:eastAsia="宋体" w:cs="Times New Roman"/>
          <w:b/>
          <w:color w:val="auto"/>
          <w:kern w:val="2"/>
          <w:sz w:val="24"/>
          <w:szCs w:val="24"/>
          <w:lang w:val="en-US" w:eastAsia="zh-CN" w:bidi="ar-SA"/>
        </w:rPr>
        <w:fldChar w:fldCharType="begin"/>
      </w:r>
      <w:r>
        <w:rPr>
          <w:rFonts w:ascii="宋体" w:hAnsi="宋体" w:eastAsia="宋体" w:cs="Times New Roman"/>
          <w:b/>
          <w:color w:val="auto"/>
          <w:kern w:val="2"/>
          <w:sz w:val="24"/>
          <w:szCs w:val="24"/>
          <w:lang w:val="en-US" w:eastAsia="zh-CN" w:bidi="ar-SA"/>
        </w:rPr>
        <w:instrText xml:space="preserve"> PAGEREF _Toc28276 \h </w:instrText>
      </w:r>
      <w:r>
        <w:rPr>
          <w:rFonts w:ascii="宋体" w:hAnsi="宋体" w:eastAsia="宋体" w:cs="Times New Roman"/>
          <w:b/>
          <w:color w:val="auto"/>
          <w:kern w:val="2"/>
          <w:sz w:val="24"/>
          <w:szCs w:val="24"/>
          <w:lang w:val="en-US" w:eastAsia="zh-CN" w:bidi="ar-SA"/>
        </w:rPr>
        <w:fldChar w:fldCharType="separate"/>
      </w:r>
      <w:r>
        <w:rPr>
          <w:rFonts w:ascii="宋体" w:hAnsi="宋体" w:eastAsia="宋体" w:cs="Times New Roman"/>
          <w:b/>
          <w:color w:val="auto"/>
          <w:kern w:val="2"/>
          <w:sz w:val="24"/>
          <w:szCs w:val="24"/>
          <w:lang w:val="en-US" w:eastAsia="zh-CN" w:bidi="ar-SA"/>
        </w:rPr>
        <w:t>86</w:t>
      </w:r>
      <w:r>
        <w:rPr>
          <w:rFonts w:ascii="宋体" w:hAnsi="宋体" w:eastAsia="宋体" w:cs="Times New Roman"/>
          <w:b/>
          <w:color w:val="auto"/>
          <w:kern w:val="2"/>
          <w:sz w:val="24"/>
          <w:szCs w:val="24"/>
          <w:lang w:val="en-US" w:eastAsia="zh-CN" w:bidi="ar-SA"/>
        </w:rPr>
        <w:fldChar w:fldCharType="end"/>
      </w:r>
      <w:r>
        <w:rPr>
          <w:rFonts w:hint="default" w:ascii="Times New Roman" w:hAnsi="Times New Roman" w:eastAsia="仿宋" w:cs="Times New Roman"/>
          <w:b/>
          <w:bCs/>
          <w:color w:val="auto"/>
          <w:kern w:val="2"/>
          <w:sz w:val="24"/>
          <w:szCs w:val="24"/>
          <w:lang w:val="zh-CN" w:eastAsia="zh-CN" w:bidi="ar-SA"/>
        </w:rPr>
        <w:fldChar w:fldCharType="end"/>
      </w:r>
    </w:p>
    <w:p>
      <w:pPr>
        <w:tabs>
          <w:tab w:val="right" w:leader="dot" w:pos="8306"/>
        </w:tabs>
        <w:ind w:left="1129" w:leftChars="2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_Toc24321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Times New Roman"/>
          <w:color w:val="auto"/>
          <w:kern w:val="2"/>
          <w:sz w:val="21"/>
          <w:lang w:val="en-US" w:eastAsia="zh-CN" w:bidi="ar-SA"/>
        </w:rPr>
        <w:t>8.1 项目验收的组织机构</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_Toc24321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86</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ind w:left="1129" w:leftChars="2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_Toc30013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Times New Roman"/>
          <w:color w:val="auto"/>
          <w:kern w:val="2"/>
          <w:sz w:val="21"/>
          <w:lang w:val="en-US" w:eastAsia="zh-CN" w:bidi="ar-SA"/>
        </w:rPr>
        <w:t xml:space="preserve">8.2 </w:t>
      </w:r>
      <w:r>
        <w:rPr>
          <w:rFonts w:ascii="Times New Roman" w:hAnsi="Times New Roman" w:eastAsia="仿宋" w:cs="Times New Roman"/>
          <w:color w:val="auto"/>
          <w:kern w:val="2"/>
          <w:sz w:val="21"/>
          <w:lang w:val="en-US" w:eastAsia="zh-CN" w:bidi="ar-SA"/>
        </w:rPr>
        <w:t>初步验收标准</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_Toc30013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86</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ind w:left="1129" w:leftChars="2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_Toc23504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Times New Roman"/>
          <w:color w:val="auto"/>
          <w:kern w:val="2"/>
          <w:sz w:val="21"/>
          <w:lang w:val="en-US" w:eastAsia="zh-CN" w:bidi="ar-SA"/>
        </w:rPr>
        <w:t xml:space="preserve">8.3 </w:t>
      </w:r>
      <w:r>
        <w:rPr>
          <w:rFonts w:ascii="Times New Roman" w:hAnsi="Times New Roman" w:eastAsia="仿宋" w:cs="Times New Roman"/>
          <w:color w:val="auto"/>
          <w:kern w:val="2"/>
          <w:sz w:val="21"/>
          <w:lang w:val="en-US" w:eastAsia="zh-CN" w:bidi="ar-SA"/>
        </w:rPr>
        <w:t>阶段成果确认</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_Toc23504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86</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ind w:left="1129" w:leftChars="2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_Toc18807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Times New Roman"/>
          <w:color w:val="auto"/>
          <w:kern w:val="2"/>
          <w:sz w:val="21"/>
          <w:lang w:val="en-US" w:eastAsia="zh-CN" w:bidi="ar-SA"/>
        </w:rPr>
        <w:t xml:space="preserve">8.4 </w:t>
      </w:r>
      <w:r>
        <w:rPr>
          <w:rFonts w:ascii="Times New Roman" w:hAnsi="Times New Roman" w:eastAsia="仿宋" w:cs="Times New Roman"/>
          <w:color w:val="auto"/>
          <w:kern w:val="2"/>
          <w:sz w:val="21"/>
          <w:lang w:val="en-US" w:eastAsia="zh-CN" w:bidi="ar-SA"/>
        </w:rPr>
        <w:t>初步验收</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_Toc18807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86</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ind w:left="1129" w:leftChars="2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_Toc1235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Times New Roman"/>
          <w:color w:val="auto"/>
          <w:kern w:val="2"/>
          <w:sz w:val="21"/>
          <w:lang w:val="en-US" w:eastAsia="zh-CN" w:bidi="ar-SA"/>
        </w:rPr>
        <w:t>8.5 项目验收</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_Toc1235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86</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ind w:left="1129" w:leftChars="2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_Toc19576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Times New Roman"/>
          <w:color w:val="auto"/>
          <w:kern w:val="2"/>
          <w:sz w:val="21"/>
          <w:lang w:val="en-US" w:eastAsia="zh-CN" w:bidi="ar-SA"/>
        </w:rPr>
        <w:t>8.6 项目交付成果</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_Toc19576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87</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ind w:left="1129" w:leftChars="200"/>
        <w:rPr>
          <w:rFonts w:ascii="Times New Roman" w:hAnsi="Times New Roman" w:eastAsia="宋体" w:cs="Times New Roman"/>
          <w:color w:val="auto"/>
          <w:kern w:val="2"/>
          <w:sz w:val="21"/>
          <w:lang w:val="en-US" w:eastAsia="zh-CN" w:bidi="ar-SA"/>
        </w:rPr>
      </w:pPr>
      <w:r>
        <w:rPr>
          <w:rFonts w:hint="default" w:ascii="Times New Roman" w:hAnsi="Times New Roman" w:eastAsia="仿宋" w:cs="Times New Roman"/>
          <w:bCs/>
          <w:color w:val="auto"/>
          <w:kern w:val="2"/>
          <w:sz w:val="21"/>
          <w:lang w:val="zh-CN" w:eastAsia="zh-CN" w:bidi="ar-SA"/>
        </w:rPr>
        <w:fldChar w:fldCharType="begin"/>
      </w:r>
      <w:r>
        <w:rPr>
          <w:rFonts w:hint="default" w:ascii="Times New Roman" w:hAnsi="Times New Roman" w:eastAsia="仿宋" w:cs="Times New Roman"/>
          <w:bCs/>
          <w:color w:val="auto"/>
          <w:kern w:val="2"/>
          <w:sz w:val="21"/>
          <w:lang w:val="zh-CN" w:eastAsia="zh-CN" w:bidi="ar-SA"/>
        </w:rPr>
        <w:instrText xml:space="preserve"> HYPERLINK \l _Toc13386 </w:instrText>
      </w:r>
      <w:r>
        <w:rPr>
          <w:rFonts w:hint="default" w:ascii="Times New Roman" w:hAnsi="Times New Roman" w:eastAsia="仿宋" w:cs="Times New Roman"/>
          <w:bCs/>
          <w:color w:val="auto"/>
          <w:kern w:val="2"/>
          <w:sz w:val="21"/>
          <w:lang w:val="zh-CN" w:eastAsia="zh-CN" w:bidi="ar-SA"/>
        </w:rPr>
        <w:fldChar w:fldCharType="separate"/>
      </w:r>
      <w:r>
        <w:rPr>
          <w:rFonts w:hint="eastAsia" w:ascii="Times New Roman" w:hAnsi="Times New Roman" w:eastAsia="仿宋" w:cs="Times New Roman"/>
          <w:color w:val="auto"/>
          <w:kern w:val="2"/>
          <w:sz w:val="21"/>
          <w:lang w:val="en-US" w:eastAsia="zh-CN" w:bidi="ar-SA"/>
        </w:rPr>
        <w:t>8.7 质保要求</w:t>
      </w:r>
      <w:r>
        <w:rPr>
          <w:rFonts w:ascii="Times New Roman" w:hAnsi="Times New Roman" w:eastAsia="宋体" w:cs="Times New Roman"/>
          <w:color w:val="auto"/>
          <w:kern w:val="2"/>
          <w:sz w:val="21"/>
          <w:lang w:val="en-US" w:eastAsia="zh-CN" w:bidi="ar-SA"/>
        </w:rPr>
        <w:tab/>
      </w:r>
      <w:r>
        <w:rPr>
          <w:rFonts w:ascii="Times New Roman" w:hAnsi="Times New Roman" w:eastAsia="宋体" w:cs="Times New Roman"/>
          <w:color w:val="auto"/>
          <w:kern w:val="2"/>
          <w:sz w:val="21"/>
          <w:lang w:val="en-US" w:eastAsia="zh-CN" w:bidi="ar-SA"/>
        </w:rPr>
        <w:fldChar w:fldCharType="begin"/>
      </w:r>
      <w:r>
        <w:rPr>
          <w:rFonts w:ascii="Times New Roman" w:hAnsi="Times New Roman" w:eastAsia="宋体" w:cs="Times New Roman"/>
          <w:color w:val="auto"/>
          <w:kern w:val="2"/>
          <w:sz w:val="21"/>
          <w:lang w:val="en-US" w:eastAsia="zh-CN" w:bidi="ar-SA"/>
        </w:rPr>
        <w:instrText xml:space="preserve"> PAGEREF _Toc13386 \h </w:instrText>
      </w:r>
      <w:r>
        <w:rPr>
          <w:rFonts w:ascii="Times New Roman" w:hAnsi="Times New Roman" w:eastAsia="宋体" w:cs="Times New Roman"/>
          <w:color w:val="auto"/>
          <w:kern w:val="2"/>
          <w:sz w:val="21"/>
          <w:lang w:val="en-US" w:eastAsia="zh-CN" w:bidi="ar-SA"/>
        </w:rPr>
        <w:fldChar w:fldCharType="separate"/>
      </w:r>
      <w:r>
        <w:rPr>
          <w:rFonts w:ascii="Times New Roman" w:hAnsi="Times New Roman" w:eastAsia="宋体" w:cs="Times New Roman"/>
          <w:color w:val="auto"/>
          <w:kern w:val="2"/>
          <w:sz w:val="21"/>
          <w:lang w:val="en-US" w:eastAsia="zh-CN" w:bidi="ar-SA"/>
        </w:rPr>
        <w:t>87</w:t>
      </w:r>
      <w:r>
        <w:rPr>
          <w:rFonts w:ascii="Times New Roman" w:hAnsi="Times New Roman" w:eastAsia="宋体" w:cs="Times New Roman"/>
          <w:color w:val="auto"/>
          <w:kern w:val="2"/>
          <w:sz w:val="21"/>
          <w:lang w:val="en-US" w:eastAsia="zh-CN" w:bidi="ar-SA"/>
        </w:rPr>
        <w:fldChar w:fldCharType="end"/>
      </w:r>
      <w:r>
        <w:rPr>
          <w:rFonts w:hint="default" w:ascii="Times New Roman" w:hAnsi="Times New Roman" w:eastAsia="仿宋" w:cs="Times New Roman"/>
          <w:bCs/>
          <w:color w:val="auto"/>
          <w:kern w:val="2"/>
          <w:sz w:val="21"/>
          <w:lang w:val="zh-CN" w:eastAsia="zh-CN" w:bidi="ar-SA"/>
        </w:rPr>
        <w:fldChar w:fldCharType="end"/>
      </w:r>
    </w:p>
    <w:p>
      <w:pPr>
        <w:tabs>
          <w:tab w:val="right" w:leader="dot" w:pos="8306"/>
        </w:tabs>
        <w:spacing w:line="360" w:lineRule="auto"/>
        <w:rPr>
          <w:rFonts w:ascii="宋体" w:hAnsi="宋体" w:eastAsia="宋体" w:cs="Times New Roman"/>
          <w:b/>
          <w:color w:val="auto"/>
          <w:kern w:val="2"/>
          <w:sz w:val="24"/>
          <w:szCs w:val="24"/>
          <w:lang w:val="en-US" w:eastAsia="zh-CN" w:bidi="ar-SA"/>
        </w:rPr>
      </w:pPr>
      <w:r>
        <w:rPr>
          <w:rFonts w:hint="default" w:ascii="Times New Roman" w:hAnsi="Times New Roman" w:eastAsia="仿宋" w:cs="Times New Roman"/>
          <w:b/>
          <w:bCs/>
          <w:color w:val="auto"/>
          <w:kern w:val="2"/>
          <w:sz w:val="24"/>
          <w:szCs w:val="24"/>
          <w:lang w:val="zh-CN" w:eastAsia="zh-CN" w:bidi="ar-SA"/>
        </w:rPr>
        <w:fldChar w:fldCharType="begin"/>
      </w:r>
      <w:r>
        <w:rPr>
          <w:rFonts w:hint="default" w:ascii="Times New Roman" w:hAnsi="Times New Roman" w:eastAsia="仿宋" w:cs="Times New Roman"/>
          <w:b/>
          <w:bCs/>
          <w:color w:val="auto"/>
          <w:kern w:val="2"/>
          <w:sz w:val="24"/>
          <w:szCs w:val="24"/>
          <w:lang w:val="zh-CN" w:eastAsia="zh-CN" w:bidi="ar-SA"/>
        </w:rPr>
        <w:instrText xml:space="preserve"> HYPERLINK \l _Toc31938 </w:instrText>
      </w:r>
      <w:r>
        <w:rPr>
          <w:rFonts w:hint="default" w:ascii="Times New Roman" w:hAnsi="Times New Roman" w:eastAsia="仿宋" w:cs="Times New Roman"/>
          <w:b/>
          <w:bCs/>
          <w:color w:val="auto"/>
          <w:kern w:val="2"/>
          <w:sz w:val="24"/>
          <w:szCs w:val="24"/>
          <w:lang w:val="zh-CN" w:eastAsia="zh-CN" w:bidi="ar-SA"/>
        </w:rPr>
        <w:fldChar w:fldCharType="separate"/>
      </w:r>
      <w:r>
        <w:rPr>
          <w:rFonts w:hint="eastAsia" w:ascii="宋体" w:hAnsi="宋体" w:eastAsia="宋体" w:cs="Times New Roman"/>
          <w:b/>
          <w:i w:val="0"/>
          <w:color w:val="auto"/>
          <w:kern w:val="2"/>
          <w:sz w:val="24"/>
          <w:szCs w:val="32"/>
          <w:lang w:val="en-US" w:eastAsia="zh-CN" w:bidi="ar-SA"/>
        </w:rPr>
        <w:t xml:space="preserve">第九章 </w:t>
      </w:r>
      <w:r>
        <w:rPr>
          <w:rFonts w:hint="eastAsia" w:ascii="Times New Roman" w:hAnsi="Times New Roman" w:eastAsia="仿宋" w:cs="Times New Roman"/>
          <w:b/>
          <w:color w:val="auto"/>
          <w:kern w:val="2"/>
          <w:sz w:val="24"/>
          <w:szCs w:val="24"/>
          <w:lang w:val="en-US" w:eastAsia="zh-CN" w:bidi="ar-SA"/>
        </w:rPr>
        <w:t>附件</w:t>
      </w:r>
      <w:r>
        <w:rPr>
          <w:rFonts w:ascii="宋体" w:hAnsi="宋体" w:eastAsia="宋体" w:cs="Times New Roman"/>
          <w:b/>
          <w:color w:val="auto"/>
          <w:kern w:val="2"/>
          <w:sz w:val="24"/>
          <w:szCs w:val="24"/>
          <w:lang w:val="en-US" w:eastAsia="zh-CN" w:bidi="ar-SA"/>
        </w:rPr>
        <w:tab/>
      </w:r>
      <w:r>
        <w:rPr>
          <w:rFonts w:ascii="宋体" w:hAnsi="宋体" w:eastAsia="宋体" w:cs="Times New Roman"/>
          <w:b/>
          <w:color w:val="auto"/>
          <w:kern w:val="2"/>
          <w:sz w:val="24"/>
          <w:szCs w:val="24"/>
          <w:lang w:val="en-US" w:eastAsia="zh-CN" w:bidi="ar-SA"/>
        </w:rPr>
        <w:fldChar w:fldCharType="begin"/>
      </w:r>
      <w:r>
        <w:rPr>
          <w:rFonts w:ascii="宋体" w:hAnsi="宋体" w:eastAsia="宋体" w:cs="Times New Roman"/>
          <w:b/>
          <w:color w:val="auto"/>
          <w:kern w:val="2"/>
          <w:sz w:val="24"/>
          <w:szCs w:val="24"/>
          <w:lang w:val="en-US" w:eastAsia="zh-CN" w:bidi="ar-SA"/>
        </w:rPr>
        <w:instrText xml:space="preserve"> PAGEREF _Toc31938 \h </w:instrText>
      </w:r>
      <w:r>
        <w:rPr>
          <w:rFonts w:ascii="宋体" w:hAnsi="宋体" w:eastAsia="宋体" w:cs="Times New Roman"/>
          <w:b/>
          <w:color w:val="auto"/>
          <w:kern w:val="2"/>
          <w:sz w:val="24"/>
          <w:szCs w:val="24"/>
          <w:lang w:val="en-US" w:eastAsia="zh-CN" w:bidi="ar-SA"/>
        </w:rPr>
        <w:fldChar w:fldCharType="separate"/>
      </w:r>
      <w:r>
        <w:rPr>
          <w:rFonts w:ascii="宋体" w:hAnsi="宋体" w:eastAsia="宋体" w:cs="Times New Roman"/>
          <w:b/>
          <w:color w:val="auto"/>
          <w:kern w:val="2"/>
          <w:sz w:val="24"/>
          <w:szCs w:val="24"/>
          <w:lang w:val="en-US" w:eastAsia="zh-CN" w:bidi="ar-SA"/>
        </w:rPr>
        <w:t>88</w:t>
      </w:r>
      <w:r>
        <w:rPr>
          <w:rFonts w:ascii="宋体" w:hAnsi="宋体" w:eastAsia="宋体" w:cs="Times New Roman"/>
          <w:b/>
          <w:color w:val="auto"/>
          <w:kern w:val="2"/>
          <w:sz w:val="24"/>
          <w:szCs w:val="24"/>
          <w:lang w:val="en-US" w:eastAsia="zh-CN" w:bidi="ar-SA"/>
        </w:rPr>
        <w:fldChar w:fldCharType="end"/>
      </w:r>
      <w:r>
        <w:rPr>
          <w:rFonts w:hint="default" w:ascii="Times New Roman" w:hAnsi="Times New Roman" w:eastAsia="仿宋" w:cs="Times New Roman"/>
          <w:b/>
          <w:bCs/>
          <w:color w:val="auto"/>
          <w:kern w:val="2"/>
          <w:sz w:val="24"/>
          <w:szCs w:val="24"/>
          <w:lang w:val="zh-CN" w:eastAsia="zh-CN" w:bidi="ar-SA"/>
        </w:rPr>
        <w:fldChar w:fldCharType="end"/>
      </w:r>
    </w:p>
    <w:p>
      <w:pPr>
        <w:spacing w:before="0" w:after="0" w:afterAutospacing="0" w:line="360" w:lineRule="auto"/>
        <w:ind w:left="0" w:right="0" w:firstLine="0"/>
        <w:jc w:val="left"/>
        <w:rPr>
          <w:rFonts w:hint="default" w:ascii="Times New Roman" w:hAnsi="Times New Roman" w:eastAsia="仿宋" w:cs="Times New Roman"/>
          <w:color w:val="auto"/>
          <w:kern w:val="2"/>
          <w:szCs w:val="20"/>
        </w:rPr>
      </w:pPr>
      <w:r>
        <w:rPr>
          <w:rFonts w:hint="default" w:ascii="Times New Roman" w:hAnsi="Times New Roman" w:eastAsia="仿宋" w:cs="Times New Roman"/>
          <w:bCs/>
          <w:color w:val="auto"/>
          <w:kern w:val="2"/>
          <w:szCs w:val="20"/>
          <w:lang w:val="zh-CN"/>
        </w:rPr>
        <w:fldChar w:fldCharType="end"/>
      </w:r>
    </w:p>
    <w:p>
      <w:pPr>
        <w:spacing w:before="0" w:after="0" w:afterAutospacing="0" w:line="360" w:lineRule="auto"/>
        <w:ind w:left="0" w:right="0" w:firstLine="0"/>
        <w:jc w:val="left"/>
        <w:rPr>
          <w:rFonts w:ascii="Times New Roman" w:hAnsi="Times New Roman" w:eastAsia="仿宋" w:cs="Times New Roman"/>
          <w:color w:val="auto"/>
          <w:kern w:val="2"/>
          <w:szCs w:val="20"/>
        </w:rPr>
      </w:pPr>
    </w:p>
    <w:p>
      <w:pPr>
        <w:spacing w:line="360" w:lineRule="auto"/>
        <w:ind w:left="-2" w:firstLine="420"/>
        <w:rPr>
          <w:rFonts w:eastAsia="仿宋"/>
          <w:color w:val="auto"/>
        </w:rPr>
        <w:sectPr>
          <w:footerReference r:id="rId5" w:type="default"/>
          <w:pgSz w:w="11906" w:h="16838"/>
          <w:pgMar w:top="1440" w:right="1800" w:bottom="1440" w:left="1800" w:header="851" w:footer="992" w:gutter="0"/>
          <w:pgNumType w:start="1"/>
          <w:cols w:space="720" w:num="1"/>
          <w:docGrid w:type="lines" w:linePitch="312" w:charSpace="0"/>
        </w:sectPr>
      </w:pPr>
    </w:p>
    <w:p>
      <w:pPr>
        <w:keepNext/>
        <w:keepLines/>
        <w:pageBreakBefore/>
        <w:numPr>
          <w:ilvl w:val="0"/>
          <w:numId w:val="7"/>
        </w:numPr>
        <w:spacing w:before="240" w:after="240" w:line="360" w:lineRule="auto"/>
        <w:outlineLvl w:val="0"/>
        <w:rPr>
          <w:rFonts w:ascii="Times New Roman" w:hAnsi="Times New Roman" w:eastAsia="仿宋" w:cs="Times New Roman"/>
          <w:b/>
          <w:color w:val="auto"/>
          <w:kern w:val="28"/>
          <w:sz w:val="32"/>
          <w:szCs w:val="30"/>
          <w:lang w:val="en-GB" w:eastAsia="zh-CN" w:bidi="ar-SA"/>
        </w:rPr>
      </w:pPr>
      <w:bookmarkStart w:id="719" w:name="_Toc17661"/>
      <w:bookmarkStart w:id="720" w:name="_Toc49106832"/>
      <w:bookmarkStart w:id="721" w:name="_Toc17056"/>
      <w:bookmarkStart w:id="722" w:name="_Toc339358147"/>
      <w:bookmarkStart w:id="723" w:name="_Toc49008431"/>
      <w:bookmarkStart w:id="724" w:name="_Toc324705166"/>
      <w:bookmarkStart w:id="725" w:name="_Toc21333"/>
      <w:r>
        <w:rPr>
          <w:rFonts w:ascii="Times New Roman" w:hAnsi="Times New Roman" w:eastAsia="仿宋" w:cs="Times New Roman"/>
          <w:b/>
          <w:color w:val="auto"/>
          <w:kern w:val="28"/>
          <w:sz w:val="32"/>
          <w:szCs w:val="30"/>
          <w:lang w:val="en-GB" w:eastAsia="zh-CN" w:bidi="ar-SA"/>
        </w:rPr>
        <w:t>总</w:t>
      </w:r>
      <w:bookmarkEnd w:id="719"/>
      <w:bookmarkEnd w:id="720"/>
      <w:bookmarkEnd w:id="721"/>
      <w:bookmarkEnd w:id="722"/>
      <w:bookmarkEnd w:id="723"/>
      <w:bookmarkEnd w:id="724"/>
      <w:r>
        <w:rPr>
          <w:rFonts w:hint="eastAsia" w:ascii="Times New Roman" w:hAnsi="Times New Roman" w:eastAsia="仿宋" w:cs="Times New Roman"/>
          <w:b/>
          <w:color w:val="auto"/>
          <w:kern w:val="28"/>
          <w:sz w:val="32"/>
          <w:szCs w:val="30"/>
          <w:lang w:val="en-GB" w:eastAsia="zh-CN" w:bidi="ar-SA"/>
        </w:rPr>
        <w:t>则</w:t>
      </w:r>
      <w:bookmarkEnd w:id="725"/>
    </w:p>
    <w:p>
      <w:pPr>
        <w:keepNext/>
        <w:numPr>
          <w:ilvl w:val="1"/>
          <w:numId w:val="7"/>
        </w:numPr>
        <w:spacing w:before="120" w:after="120" w:line="360" w:lineRule="auto"/>
        <w:outlineLvl w:val="1"/>
        <w:rPr>
          <w:rFonts w:ascii="Times New Roman" w:hAnsi="Times New Roman" w:eastAsia="仿宋" w:cs="Times New Roman"/>
          <w:b/>
          <w:color w:val="auto"/>
          <w:kern w:val="0"/>
          <w:sz w:val="30"/>
          <w:szCs w:val="30"/>
          <w:lang w:val="en-GB" w:eastAsia="zh-CN" w:bidi="ar-SA"/>
        </w:rPr>
      </w:pPr>
      <w:bookmarkStart w:id="726" w:name="_Toc49106833"/>
      <w:bookmarkStart w:id="727" w:name="_Toc24460"/>
      <w:bookmarkStart w:id="728" w:name="_Toc32446"/>
      <w:bookmarkStart w:id="729" w:name="_Toc339358148"/>
      <w:bookmarkStart w:id="730" w:name="_Toc49008432"/>
      <w:bookmarkStart w:id="731" w:name="_Toc324705167"/>
      <w:bookmarkStart w:id="732" w:name="_Toc2395"/>
      <w:r>
        <w:rPr>
          <w:rFonts w:ascii="Times New Roman" w:hAnsi="Times New Roman" w:eastAsia="仿宋" w:cs="Times New Roman"/>
          <w:b/>
          <w:color w:val="auto"/>
          <w:kern w:val="0"/>
          <w:sz w:val="30"/>
          <w:szCs w:val="30"/>
          <w:lang w:val="en-GB" w:eastAsia="zh-CN" w:bidi="ar-SA"/>
        </w:rPr>
        <w:t>总则</w:t>
      </w:r>
      <w:bookmarkEnd w:id="726"/>
      <w:bookmarkEnd w:id="727"/>
      <w:bookmarkEnd w:id="728"/>
      <w:bookmarkEnd w:id="729"/>
      <w:bookmarkEnd w:id="730"/>
      <w:bookmarkEnd w:id="731"/>
      <w:bookmarkEnd w:id="732"/>
    </w:p>
    <w:p>
      <w:pPr>
        <w:spacing w:before="0" w:after="0" w:afterAutospacing="0" w:line="360" w:lineRule="auto"/>
        <w:ind w:left="0" w:right="0" w:firstLine="420" w:firstLineChars="200"/>
        <w:jc w:val="left"/>
        <w:rPr>
          <w:rFonts w:ascii="Times New Roman" w:hAnsi="Times New Roman" w:eastAsia="仿宋" w:cs="Times New Roman"/>
          <w:color w:val="auto"/>
          <w:kern w:val="2"/>
          <w:szCs w:val="22"/>
        </w:rPr>
      </w:pPr>
      <w:bookmarkStart w:id="733" w:name="_Toc26756"/>
      <w:bookmarkStart w:id="734" w:name="_Toc49106834"/>
      <w:bookmarkStart w:id="735" w:name="_Toc14800"/>
      <w:bookmarkStart w:id="736" w:name="_Toc324705168"/>
      <w:bookmarkStart w:id="737" w:name="_Toc49008433"/>
      <w:bookmarkStart w:id="738" w:name="_Toc339358149"/>
      <w:r>
        <w:rPr>
          <w:rFonts w:hint="eastAsia" w:ascii="Times New Roman" w:hAnsi="Times New Roman" w:eastAsia="仿宋" w:cs="Times New Roman"/>
          <w:color w:val="auto"/>
          <w:kern w:val="2"/>
          <w:szCs w:val="22"/>
        </w:rPr>
        <w:t>（1）</w:t>
      </w:r>
      <w:r>
        <w:rPr>
          <w:rFonts w:hint="eastAsia" w:ascii="Times New Roman" w:hAnsi="Times New Roman" w:eastAsia="仿宋" w:cs="Times New Roman"/>
          <w:color w:val="auto"/>
          <w:kern w:val="2"/>
          <w:szCs w:val="22"/>
          <w:lang w:eastAsia="zh-CN"/>
        </w:rPr>
        <w:t>比选申请人</w:t>
      </w:r>
      <w:r>
        <w:rPr>
          <w:rFonts w:ascii="Times New Roman" w:hAnsi="Times New Roman" w:eastAsia="仿宋" w:cs="Times New Roman"/>
          <w:color w:val="auto"/>
          <w:kern w:val="2"/>
          <w:szCs w:val="22"/>
        </w:rPr>
        <w:t>应根据本用户需求书，制订针对南宁轨道交通调度应急行车调整演练仿真系统的整体建设方案，包括但不限于需求调研、系统设计、开发实施与集成、系统安装部署、测试与联调、系统初始化与历史数据录入、培训、试运行、初步验收、质保期服务、最终验收、项目管理等方面内容。</w:t>
      </w:r>
    </w:p>
    <w:p>
      <w:pPr>
        <w:spacing w:before="0" w:after="0" w:afterAutospacing="0" w:line="360" w:lineRule="auto"/>
        <w:ind w:left="0" w:right="0" w:firstLine="420" w:firstLineChars="200"/>
        <w:jc w:val="left"/>
        <w:rPr>
          <w:rFonts w:ascii="Times New Roman" w:hAnsi="Times New Roman" w:eastAsia="仿宋" w:cs="Times New Roman"/>
          <w:color w:val="auto"/>
          <w:kern w:val="2"/>
          <w:szCs w:val="22"/>
        </w:rPr>
      </w:pPr>
      <w:r>
        <w:rPr>
          <w:rFonts w:hint="eastAsia" w:ascii="Times New Roman" w:hAnsi="Times New Roman" w:eastAsia="仿宋" w:cs="Times New Roman"/>
          <w:color w:val="auto"/>
          <w:kern w:val="2"/>
          <w:szCs w:val="22"/>
        </w:rPr>
        <w:t>（2）</w:t>
      </w:r>
      <w:r>
        <w:rPr>
          <w:rFonts w:hint="eastAsia" w:ascii="Times New Roman" w:hAnsi="Times New Roman" w:eastAsia="仿宋" w:cs="Times New Roman"/>
          <w:color w:val="auto"/>
          <w:kern w:val="2"/>
          <w:szCs w:val="22"/>
          <w:lang w:eastAsia="zh-CN"/>
        </w:rPr>
        <w:t>比选申请人</w:t>
      </w:r>
      <w:r>
        <w:rPr>
          <w:rFonts w:ascii="Times New Roman" w:hAnsi="Times New Roman" w:eastAsia="仿宋" w:cs="Times New Roman"/>
          <w:color w:val="auto"/>
          <w:kern w:val="2"/>
          <w:szCs w:val="22"/>
        </w:rPr>
        <w:t>应结合南宁轨道交通运营有限公司的具体情况，在充分满足本用户需求书、确保工程质量的前提下，综合考虑工期、成本、风险等因素制订建设方案，对用户需求书中要求的所有货物和服务进行投标。</w:t>
      </w:r>
    </w:p>
    <w:p>
      <w:pPr>
        <w:spacing w:before="0" w:after="0" w:afterAutospacing="0" w:line="360" w:lineRule="auto"/>
        <w:ind w:left="0" w:right="0" w:firstLine="420" w:firstLineChars="200"/>
        <w:jc w:val="left"/>
        <w:rPr>
          <w:rFonts w:ascii="Times New Roman" w:hAnsi="Times New Roman" w:eastAsia="仿宋" w:cs="Times New Roman"/>
          <w:color w:val="auto"/>
          <w:kern w:val="2"/>
          <w:szCs w:val="22"/>
        </w:rPr>
      </w:pPr>
      <w:r>
        <w:rPr>
          <w:rFonts w:hint="eastAsia" w:ascii="Times New Roman" w:hAnsi="Times New Roman" w:eastAsia="仿宋" w:cs="Times New Roman"/>
          <w:color w:val="auto"/>
          <w:kern w:val="2"/>
          <w:szCs w:val="22"/>
        </w:rPr>
        <w:t>（3）</w:t>
      </w:r>
      <w:r>
        <w:rPr>
          <w:rFonts w:hint="eastAsia" w:ascii="Times New Roman" w:hAnsi="Times New Roman" w:eastAsia="仿宋" w:cs="Times New Roman"/>
          <w:color w:val="auto"/>
          <w:kern w:val="2"/>
          <w:szCs w:val="22"/>
          <w:lang w:eastAsia="zh-CN"/>
        </w:rPr>
        <w:t>比选申请人</w:t>
      </w:r>
      <w:r>
        <w:rPr>
          <w:rFonts w:ascii="Times New Roman" w:hAnsi="Times New Roman" w:eastAsia="仿宋" w:cs="Times New Roman"/>
          <w:color w:val="auto"/>
          <w:kern w:val="2"/>
          <w:szCs w:val="22"/>
        </w:rPr>
        <w:t>对所提供建设方案的安全性、完整性、可靠性、稳定性、可维护性、可测试性、兼容性、适用性、开放性、可扩展性、先进性负全部责任。本用户需求书提出的是最低限度的用户需求，并未对所有用户需求细节做出规定，也未充分引述有关标准和规范的条文，</w:t>
      </w:r>
      <w:r>
        <w:rPr>
          <w:rFonts w:hint="eastAsia" w:ascii="Times New Roman" w:hAnsi="Times New Roman" w:eastAsia="仿宋" w:cs="Times New Roman"/>
          <w:color w:val="auto"/>
          <w:kern w:val="2"/>
          <w:szCs w:val="22"/>
          <w:lang w:eastAsia="zh-CN"/>
        </w:rPr>
        <w:t>比选申请人</w:t>
      </w:r>
      <w:r>
        <w:rPr>
          <w:rFonts w:ascii="Times New Roman" w:hAnsi="Times New Roman" w:eastAsia="仿宋" w:cs="Times New Roman"/>
          <w:color w:val="auto"/>
          <w:kern w:val="2"/>
          <w:szCs w:val="22"/>
        </w:rPr>
        <w:t>应保证提供符合本用户需求书和符合国家有关标准要求（详见5.2采用标准及规范）、国家有关信息安全、保密等强制性标准的优质货物、服务以及完整系统。</w:t>
      </w:r>
    </w:p>
    <w:p>
      <w:pPr>
        <w:spacing w:before="0" w:after="0" w:afterAutospacing="0" w:line="360" w:lineRule="auto"/>
        <w:ind w:left="0" w:right="0" w:firstLine="420" w:firstLineChars="200"/>
        <w:jc w:val="left"/>
        <w:rPr>
          <w:rFonts w:ascii="Times New Roman" w:hAnsi="Times New Roman" w:eastAsia="仿宋" w:cs="Times New Roman"/>
          <w:color w:val="auto"/>
          <w:kern w:val="2"/>
          <w:szCs w:val="22"/>
        </w:rPr>
      </w:pPr>
      <w:r>
        <w:rPr>
          <w:rFonts w:ascii="Times New Roman" w:hAnsi="Times New Roman" w:eastAsia="仿宋" w:cs="Times New Roman"/>
          <w:color w:val="auto"/>
          <w:kern w:val="2"/>
          <w:szCs w:val="22"/>
        </w:rPr>
        <w:t>※</w:t>
      </w:r>
      <w:r>
        <w:rPr>
          <w:rFonts w:hint="eastAsia" w:ascii="Times New Roman" w:hAnsi="Times New Roman" w:eastAsia="仿宋" w:cs="Times New Roman"/>
          <w:color w:val="auto"/>
          <w:kern w:val="2"/>
          <w:szCs w:val="22"/>
        </w:rPr>
        <w:t>（4）</w:t>
      </w:r>
      <w:r>
        <w:rPr>
          <w:rFonts w:hint="eastAsia" w:ascii="Times New Roman" w:hAnsi="Times New Roman" w:eastAsia="仿宋" w:cs="Times New Roman"/>
          <w:color w:val="auto"/>
          <w:kern w:val="2"/>
          <w:szCs w:val="22"/>
          <w:lang w:eastAsia="zh-CN"/>
        </w:rPr>
        <w:t>比选申请人</w:t>
      </w:r>
      <w:r>
        <w:rPr>
          <w:rFonts w:ascii="Times New Roman" w:hAnsi="Times New Roman" w:eastAsia="仿宋" w:cs="Times New Roman"/>
          <w:color w:val="auto"/>
          <w:kern w:val="2"/>
          <w:szCs w:val="22"/>
        </w:rPr>
        <w:t>应认真理解本用户需求书中所有条款的含义，在投标文件中提供全部用户需求书所要求的内容和文件，用户需求书中星号（※）标注条款为不可负偏离项。</w:t>
      </w:r>
    </w:p>
    <w:p>
      <w:pPr>
        <w:spacing w:before="0" w:after="0" w:afterAutospacing="0" w:line="360" w:lineRule="auto"/>
        <w:ind w:left="0" w:right="0" w:firstLine="420" w:firstLineChars="200"/>
        <w:jc w:val="left"/>
        <w:rPr>
          <w:rFonts w:ascii="Times New Roman" w:hAnsi="Times New Roman" w:eastAsia="仿宋" w:cs="Times New Roman"/>
          <w:color w:val="auto"/>
          <w:kern w:val="2"/>
          <w:szCs w:val="22"/>
        </w:rPr>
      </w:pPr>
      <w:r>
        <w:rPr>
          <w:rFonts w:ascii="Times New Roman" w:hAnsi="Times New Roman" w:eastAsia="仿宋" w:cs="Times New Roman"/>
          <w:color w:val="auto"/>
          <w:kern w:val="2"/>
          <w:szCs w:val="22"/>
        </w:rPr>
        <w:t>※</w:t>
      </w:r>
      <w:r>
        <w:rPr>
          <w:rFonts w:hint="eastAsia" w:ascii="Times New Roman" w:hAnsi="Times New Roman" w:eastAsia="仿宋" w:cs="Times New Roman"/>
          <w:color w:val="auto"/>
          <w:kern w:val="2"/>
          <w:szCs w:val="22"/>
        </w:rPr>
        <w:t>（5）</w:t>
      </w:r>
      <w:r>
        <w:rPr>
          <w:rFonts w:hint="eastAsia" w:ascii="Times New Roman" w:hAnsi="Times New Roman" w:eastAsia="仿宋" w:cs="Times New Roman"/>
          <w:color w:val="auto"/>
          <w:kern w:val="2"/>
          <w:szCs w:val="22"/>
          <w:lang w:eastAsia="zh-CN"/>
        </w:rPr>
        <w:t>比选申请人</w:t>
      </w:r>
      <w:r>
        <w:rPr>
          <w:rFonts w:ascii="Times New Roman" w:hAnsi="Times New Roman" w:eastAsia="仿宋" w:cs="Times New Roman"/>
          <w:color w:val="auto"/>
          <w:kern w:val="2"/>
          <w:szCs w:val="22"/>
        </w:rPr>
        <w:t>对本用户需求书中所有条款必须逐条对应、明确答复和提出详细的技术建议，详细写明参数、规格或方案内容；</w:t>
      </w:r>
      <w:r>
        <w:rPr>
          <w:rFonts w:hint="eastAsia" w:ascii="Times New Roman" w:hAnsi="Times New Roman" w:eastAsia="仿宋" w:cs="Times New Roman"/>
          <w:color w:val="auto"/>
          <w:kern w:val="2"/>
          <w:szCs w:val="22"/>
          <w:lang w:eastAsia="zh-CN"/>
        </w:rPr>
        <w:t>比选申请人</w:t>
      </w:r>
      <w:r>
        <w:rPr>
          <w:rFonts w:ascii="Times New Roman" w:hAnsi="Times New Roman" w:eastAsia="仿宋" w:cs="Times New Roman"/>
          <w:color w:val="auto"/>
          <w:kern w:val="2"/>
          <w:szCs w:val="22"/>
        </w:rPr>
        <w:t>所实施的系统功能及相关技术指标应满足或优于本用户需求书的相关要求。</w:t>
      </w:r>
    </w:p>
    <w:p>
      <w:pPr>
        <w:spacing w:before="0" w:after="0" w:afterAutospacing="0" w:line="360" w:lineRule="auto"/>
        <w:ind w:left="0" w:right="0" w:firstLine="420" w:firstLineChars="200"/>
        <w:jc w:val="left"/>
        <w:rPr>
          <w:rFonts w:ascii="Times New Roman" w:hAnsi="Times New Roman" w:eastAsia="仿宋" w:cs="Times New Roman"/>
          <w:color w:val="auto"/>
          <w:kern w:val="2"/>
          <w:szCs w:val="22"/>
        </w:rPr>
      </w:pPr>
      <w:r>
        <w:rPr>
          <w:rFonts w:ascii="Times New Roman" w:hAnsi="Times New Roman" w:eastAsia="仿宋" w:cs="Times New Roman"/>
          <w:color w:val="auto"/>
          <w:kern w:val="2"/>
          <w:szCs w:val="22"/>
        </w:rPr>
        <w:t>※</w:t>
      </w:r>
      <w:r>
        <w:rPr>
          <w:rFonts w:hint="eastAsia" w:ascii="Times New Roman" w:hAnsi="Times New Roman" w:eastAsia="仿宋" w:cs="Times New Roman"/>
          <w:color w:val="auto"/>
          <w:kern w:val="2"/>
          <w:szCs w:val="22"/>
        </w:rPr>
        <w:t>（6）</w:t>
      </w:r>
      <w:r>
        <w:rPr>
          <w:rFonts w:hint="eastAsia" w:ascii="Times New Roman" w:hAnsi="Times New Roman" w:eastAsia="仿宋" w:cs="Times New Roman"/>
          <w:color w:val="auto"/>
          <w:kern w:val="2"/>
          <w:szCs w:val="20"/>
          <w:lang w:eastAsia="zh-CN"/>
        </w:rPr>
        <w:t>比选申请人</w:t>
      </w:r>
      <w:r>
        <w:rPr>
          <w:rFonts w:ascii="Times New Roman" w:hAnsi="Times New Roman" w:eastAsia="仿宋" w:cs="Times New Roman"/>
          <w:color w:val="auto"/>
          <w:kern w:val="2"/>
          <w:szCs w:val="20"/>
        </w:rPr>
        <w:t>应提供本《用户需求书》规定的功能完整的系统，所提供的所有部分在各细节均应是完整的，以实现包括但不限于本《用户需求书》中的规定。在合同执行期间，</w:t>
      </w:r>
      <w:r>
        <w:rPr>
          <w:rFonts w:hint="eastAsia" w:ascii="Times New Roman" w:hAnsi="Times New Roman" w:eastAsia="仿宋" w:cs="Times New Roman"/>
          <w:color w:val="auto"/>
          <w:kern w:val="2"/>
          <w:szCs w:val="20"/>
          <w:lang w:eastAsia="zh-CN"/>
        </w:rPr>
        <w:t>比选人</w:t>
      </w:r>
      <w:r>
        <w:rPr>
          <w:rFonts w:ascii="Times New Roman" w:hAnsi="Times New Roman" w:eastAsia="仿宋" w:cs="Times New Roman"/>
          <w:color w:val="auto"/>
          <w:kern w:val="2"/>
          <w:szCs w:val="20"/>
        </w:rPr>
        <w:t>有权对技术方案进行调整，但</w:t>
      </w:r>
      <w:r>
        <w:rPr>
          <w:rFonts w:hint="eastAsia" w:ascii="Times New Roman" w:hAnsi="Times New Roman" w:eastAsia="仿宋" w:cs="Times New Roman"/>
          <w:color w:val="auto"/>
          <w:kern w:val="2"/>
          <w:szCs w:val="20"/>
          <w:lang w:eastAsia="zh-CN"/>
        </w:rPr>
        <w:t>比选申请人</w:t>
      </w:r>
      <w:r>
        <w:rPr>
          <w:rFonts w:ascii="Times New Roman" w:hAnsi="Times New Roman" w:eastAsia="仿宋" w:cs="Times New Roman"/>
          <w:color w:val="auto"/>
          <w:kern w:val="2"/>
          <w:szCs w:val="20"/>
        </w:rPr>
        <w:t>不得私自更改用户需求书中的技术要求。在项目实施过程中如发现</w:t>
      </w:r>
      <w:r>
        <w:rPr>
          <w:rFonts w:hint="eastAsia" w:ascii="Times New Roman" w:hAnsi="Times New Roman" w:eastAsia="仿宋" w:cs="Times New Roman"/>
          <w:color w:val="auto"/>
          <w:kern w:val="2"/>
          <w:szCs w:val="20"/>
          <w:lang w:eastAsia="zh-CN"/>
        </w:rPr>
        <w:t>比选申请人</w:t>
      </w:r>
      <w:r>
        <w:rPr>
          <w:rFonts w:ascii="Times New Roman" w:hAnsi="Times New Roman" w:eastAsia="仿宋" w:cs="Times New Roman"/>
          <w:color w:val="auto"/>
          <w:kern w:val="2"/>
          <w:szCs w:val="20"/>
        </w:rPr>
        <w:t>所提供的软件系统不满足兼容性、性能指标、稳定性、可靠性、先进性等相关要求，</w:t>
      </w:r>
      <w:r>
        <w:rPr>
          <w:rFonts w:hint="eastAsia" w:ascii="Times New Roman" w:hAnsi="Times New Roman" w:eastAsia="仿宋" w:cs="Times New Roman"/>
          <w:color w:val="auto"/>
          <w:kern w:val="2"/>
          <w:szCs w:val="20"/>
          <w:lang w:eastAsia="zh-CN"/>
        </w:rPr>
        <w:t>比选人</w:t>
      </w:r>
      <w:r>
        <w:rPr>
          <w:rFonts w:ascii="Times New Roman" w:hAnsi="Times New Roman" w:eastAsia="仿宋" w:cs="Times New Roman"/>
          <w:color w:val="auto"/>
          <w:kern w:val="2"/>
          <w:szCs w:val="20"/>
        </w:rPr>
        <w:t>保留对本项目所采购软件进行调整的权利，</w:t>
      </w:r>
      <w:r>
        <w:rPr>
          <w:rFonts w:hint="eastAsia" w:ascii="Times New Roman" w:hAnsi="Times New Roman" w:eastAsia="仿宋" w:cs="Times New Roman"/>
          <w:color w:val="auto"/>
          <w:kern w:val="2"/>
          <w:szCs w:val="20"/>
          <w:lang w:eastAsia="zh-CN"/>
        </w:rPr>
        <w:t>比选申请人</w:t>
      </w:r>
      <w:r>
        <w:rPr>
          <w:rFonts w:ascii="Times New Roman" w:hAnsi="Times New Roman" w:eastAsia="仿宋" w:cs="Times New Roman"/>
          <w:color w:val="auto"/>
          <w:kern w:val="2"/>
          <w:szCs w:val="20"/>
        </w:rPr>
        <w:t>须承诺此相关调整不引起任何费用变化。</w:t>
      </w:r>
      <w:r>
        <w:rPr>
          <w:rFonts w:hint="eastAsia" w:ascii="Times New Roman" w:hAnsi="Times New Roman" w:eastAsia="仿宋" w:cs="Times New Roman"/>
          <w:color w:val="auto"/>
          <w:kern w:val="2"/>
          <w:szCs w:val="20"/>
          <w:lang w:eastAsia="zh-CN"/>
        </w:rPr>
        <w:t>比选申请人</w:t>
      </w:r>
      <w:r>
        <w:rPr>
          <w:rFonts w:ascii="Times New Roman" w:hAnsi="Times New Roman" w:eastAsia="仿宋" w:cs="Times New Roman"/>
          <w:color w:val="auto"/>
          <w:kern w:val="2"/>
          <w:szCs w:val="20"/>
        </w:rPr>
        <w:t>提供的系统应能满足本项目完整性要求，投标清单中漏列或短缺的又属完成本项目所必须的软件，合同执行时</w:t>
      </w:r>
      <w:r>
        <w:rPr>
          <w:rFonts w:hint="eastAsia" w:ascii="Times New Roman" w:hAnsi="Times New Roman" w:eastAsia="仿宋" w:cs="Times New Roman"/>
          <w:color w:val="auto"/>
          <w:kern w:val="2"/>
          <w:szCs w:val="20"/>
          <w:lang w:eastAsia="zh-CN"/>
        </w:rPr>
        <w:t>比选申请人</w:t>
      </w:r>
      <w:r>
        <w:rPr>
          <w:rFonts w:ascii="Times New Roman" w:hAnsi="Times New Roman" w:eastAsia="仿宋" w:cs="Times New Roman"/>
          <w:color w:val="auto"/>
          <w:kern w:val="2"/>
          <w:szCs w:val="20"/>
        </w:rPr>
        <w:t>须免费追加提供，</w:t>
      </w:r>
      <w:r>
        <w:rPr>
          <w:rFonts w:hint="eastAsia" w:ascii="Times New Roman" w:hAnsi="Times New Roman" w:eastAsia="仿宋" w:cs="Times New Roman"/>
          <w:color w:val="auto"/>
          <w:kern w:val="2"/>
          <w:szCs w:val="20"/>
          <w:lang w:eastAsia="zh-CN"/>
        </w:rPr>
        <w:t>比选申请人</w:t>
      </w:r>
      <w:r>
        <w:rPr>
          <w:rFonts w:ascii="Times New Roman" w:hAnsi="Times New Roman" w:eastAsia="仿宋" w:cs="Times New Roman"/>
          <w:color w:val="auto"/>
          <w:kern w:val="2"/>
          <w:szCs w:val="20"/>
        </w:rPr>
        <w:t>对此须有明确承诺。</w:t>
      </w:r>
    </w:p>
    <w:p>
      <w:pPr>
        <w:spacing w:before="0" w:after="0" w:afterAutospacing="0" w:line="360" w:lineRule="auto"/>
        <w:ind w:left="0" w:right="0" w:firstLine="420" w:firstLineChars="200"/>
        <w:jc w:val="left"/>
        <w:rPr>
          <w:rFonts w:ascii="Times New Roman" w:hAnsi="Times New Roman" w:eastAsia="仿宋" w:cs="Times New Roman"/>
          <w:color w:val="auto"/>
          <w:kern w:val="2"/>
          <w:szCs w:val="22"/>
        </w:rPr>
      </w:pPr>
      <w:r>
        <w:rPr>
          <w:rFonts w:ascii="Times New Roman" w:hAnsi="Times New Roman" w:eastAsia="仿宋" w:cs="Times New Roman"/>
          <w:color w:val="auto"/>
          <w:kern w:val="2"/>
          <w:szCs w:val="22"/>
        </w:rPr>
        <w:t>※</w:t>
      </w:r>
      <w:r>
        <w:rPr>
          <w:rFonts w:hint="eastAsia" w:ascii="Times New Roman" w:hAnsi="Times New Roman" w:eastAsia="仿宋" w:cs="Times New Roman"/>
          <w:color w:val="auto"/>
          <w:kern w:val="2"/>
          <w:szCs w:val="22"/>
        </w:rPr>
        <w:t>（7）</w:t>
      </w:r>
      <w:r>
        <w:rPr>
          <w:rFonts w:hint="eastAsia" w:ascii="Times New Roman" w:hAnsi="Times New Roman" w:eastAsia="仿宋" w:cs="Times New Roman"/>
          <w:color w:val="auto"/>
          <w:kern w:val="2"/>
          <w:szCs w:val="22"/>
          <w:lang w:eastAsia="zh-CN"/>
        </w:rPr>
        <w:t>比选申请人</w:t>
      </w:r>
      <w:r>
        <w:rPr>
          <w:rFonts w:ascii="Times New Roman" w:hAnsi="Times New Roman" w:eastAsia="仿宋" w:cs="Times New Roman"/>
          <w:color w:val="auto"/>
          <w:kern w:val="2"/>
          <w:szCs w:val="22"/>
        </w:rPr>
        <w:t>必须承诺，如本项目中标，在项目实施期间，若因其技术过失、系统缺陷、管理不当、延误工期、违反法律、引发事故，对</w:t>
      </w:r>
      <w:r>
        <w:rPr>
          <w:rFonts w:hint="eastAsia" w:ascii="Times New Roman" w:hAnsi="Times New Roman" w:eastAsia="仿宋" w:cs="Times New Roman"/>
          <w:color w:val="auto"/>
          <w:kern w:val="2"/>
          <w:szCs w:val="22"/>
          <w:lang w:eastAsia="zh-CN"/>
        </w:rPr>
        <w:t>比选人</w:t>
      </w:r>
      <w:r>
        <w:rPr>
          <w:rFonts w:ascii="Times New Roman" w:hAnsi="Times New Roman" w:eastAsia="仿宋" w:cs="Times New Roman"/>
          <w:color w:val="auto"/>
          <w:kern w:val="2"/>
          <w:szCs w:val="22"/>
        </w:rPr>
        <w:t>或其自身造成损失，</w:t>
      </w:r>
      <w:r>
        <w:rPr>
          <w:rFonts w:hint="eastAsia" w:ascii="Times New Roman" w:hAnsi="Times New Roman" w:eastAsia="仿宋" w:cs="Times New Roman"/>
          <w:color w:val="auto"/>
          <w:kern w:val="2"/>
          <w:szCs w:val="22"/>
          <w:lang w:eastAsia="zh-CN"/>
        </w:rPr>
        <w:t>比选申请人</w:t>
      </w:r>
      <w:r>
        <w:rPr>
          <w:rFonts w:ascii="Times New Roman" w:hAnsi="Times New Roman" w:eastAsia="仿宋" w:cs="Times New Roman"/>
          <w:color w:val="auto"/>
          <w:kern w:val="2"/>
          <w:szCs w:val="22"/>
        </w:rPr>
        <w:t>应负全责并承担所有相关费用。</w:t>
      </w:r>
    </w:p>
    <w:p>
      <w:pPr>
        <w:spacing w:before="0" w:after="0" w:afterAutospacing="0" w:line="360" w:lineRule="auto"/>
        <w:ind w:left="0" w:right="0" w:firstLine="420" w:firstLineChars="200"/>
        <w:jc w:val="left"/>
        <w:rPr>
          <w:rFonts w:ascii="Times New Roman" w:hAnsi="Times New Roman" w:eastAsia="仿宋" w:cs="Times New Roman"/>
          <w:color w:val="auto"/>
          <w:kern w:val="2"/>
          <w:szCs w:val="22"/>
        </w:rPr>
      </w:pPr>
      <w:r>
        <w:rPr>
          <w:rFonts w:ascii="Times New Roman" w:hAnsi="Times New Roman" w:eastAsia="仿宋" w:cs="Times New Roman"/>
          <w:color w:val="auto"/>
          <w:kern w:val="2"/>
          <w:szCs w:val="22"/>
        </w:rPr>
        <w:t>※</w:t>
      </w:r>
      <w:r>
        <w:rPr>
          <w:rFonts w:hint="eastAsia" w:ascii="Times New Roman" w:hAnsi="Times New Roman" w:eastAsia="仿宋" w:cs="Times New Roman"/>
          <w:color w:val="auto"/>
          <w:kern w:val="2"/>
          <w:szCs w:val="22"/>
        </w:rPr>
        <w:t>（8）</w:t>
      </w:r>
      <w:r>
        <w:rPr>
          <w:rFonts w:hint="eastAsia" w:ascii="Times New Roman" w:hAnsi="Times New Roman" w:eastAsia="仿宋" w:cs="Times New Roman"/>
          <w:color w:val="auto"/>
          <w:kern w:val="2"/>
          <w:szCs w:val="22"/>
          <w:lang w:eastAsia="zh-CN"/>
        </w:rPr>
        <w:t>比选申请人</w:t>
      </w:r>
      <w:r>
        <w:rPr>
          <w:rFonts w:ascii="Times New Roman" w:hAnsi="Times New Roman" w:eastAsia="仿宋" w:cs="Times New Roman"/>
          <w:color w:val="auto"/>
          <w:kern w:val="2"/>
          <w:szCs w:val="22"/>
        </w:rPr>
        <w:t>应完全保证所供货物的安全可靠性、合理性、完整性和优良性。无论是否经过</w:t>
      </w:r>
      <w:r>
        <w:rPr>
          <w:rFonts w:hint="eastAsia" w:ascii="Times New Roman" w:hAnsi="Times New Roman" w:eastAsia="仿宋" w:cs="Times New Roman"/>
          <w:color w:val="auto"/>
          <w:kern w:val="2"/>
          <w:szCs w:val="22"/>
          <w:lang w:eastAsia="zh-CN"/>
        </w:rPr>
        <w:t>比选人</w:t>
      </w:r>
      <w:r>
        <w:rPr>
          <w:rFonts w:ascii="Times New Roman" w:hAnsi="Times New Roman" w:eastAsia="仿宋" w:cs="Times New Roman"/>
          <w:color w:val="auto"/>
          <w:kern w:val="2"/>
          <w:szCs w:val="22"/>
        </w:rPr>
        <w:t>确认，</w:t>
      </w:r>
      <w:r>
        <w:rPr>
          <w:rFonts w:hint="eastAsia" w:ascii="Times New Roman" w:hAnsi="Times New Roman" w:eastAsia="仿宋" w:cs="Times New Roman"/>
          <w:color w:val="auto"/>
          <w:kern w:val="2"/>
          <w:szCs w:val="22"/>
          <w:lang w:eastAsia="zh-CN"/>
        </w:rPr>
        <w:t>比选申请人</w:t>
      </w:r>
      <w:r>
        <w:rPr>
          <w:rFonts w:ascii="Times New Roman" w:hAnsi="Times New Roman" w:eastAsia="仿宋" w:cs="Times New Roman"/>
          <w:color w:val="auto"/>
          <w:kern w:val="2"/>
          <w:szCs w:val="22"/>
        </w:rPr>
        <w:t>都应无条件对所供货物中的缺陷、不足和与合同不符的地方进行修改、补充或更换，而不增加任何费用。</w:t>
      </w:r>
    </w:p>
    <w:p>
      <w:pPr>
        <w:spacing w:before="0" w:after="0" w:afterAutospacing="0" w:line="360" w:lineRule="auto"/>
        <w:ind w:left="0" w:right="0" w:firstLine="420" w:firstLineChars="200"/>
        <w:jc w:val="left"/>
        <w:rPr>
          <w:rFonts w:ascii="Times New Roman" w:hAnsi="Times New Roman" w:eastAsia="仿宋" w:cs="Times New Roman"/>
          <w:color w:val="auto"/>
          <w:kern w:val="2"/>
          <w:szCs w:val="22"/>
        </w:rPr>
      </w:pPr>
      <w:r>
        <w:rPr>
          <w:rFonts w:ascii="Times New Roman" w:hAnsi="Times New Roman" w:eastAsia="仿宋" w:cs="Times New Roman"/>
          <w:color w:val="auto"/>
          <w:kern w:val="2"/>
          <w:szCs w:val="22"/>
        </w:rPr>
        <w:t>※</w:t>
      </w:r>
      <w:r>
        <w:rPr>
          <w:rFonts w:hint="eastAsia" w:ascii="Times New Roman" w:hAnsi="Times New Roman" w:eastAsia="仿宋" w:cs="Times New Roman"/>
          <w:color w:val="auto"/>
          <w:kern w:val="2"/>
          <w:szCs w:val="22"/>
        </w:rPr>
        <w:t>（9）</w:t>
      </w:r>
      <w:r>
        <w:rPr>
          <w:rFonts w:ascii="Times New Roman" w:hAnsi="Times New Roman" w:eastAsia="仿宋" w:cs="Times New Roman"/>
          <w:color w:val="auto"/>
          <w:kern w:val="2"/>
          <w:szCs w:val="22"/>
        </w:rPr>
        <w:t>采用定制开发方式实施的系统（或系统模块）、制定的技术标准及所有相关技术文件，除非招标文件和投标文件事先列明，否则其知识产权，包括可能的精神上或无形的权利，均归</w:t>
      </w:r>
      <w:r>
        <w:rPr>
          <w:rFonts w:hint="eastAsia" w:ascii="Times New Roman" w:hAnsi="Times New Roman" w:eastAsia="仿宋" w:cs="Times New Roman"/>
          <w:color w:val="auto"/>
          <w:kern w:val="2"/>
          <w:szCs w:val="22"/>
          <w:lang w:eastAsia="zh-CN"/>
        </w:rPr>
        <w:t>比选人</w:t>
      </w:r>
      <w:r>
        <w:rPr>
          <w:rFonts w:ascii="Times New Roman" w:hAnsi="Times New Roman" w:eastAsia="仿宋" w:cs="Times New Roman"/>
          <w:color w:val="auto"/>
          <w:kern w:val="2"/>
          <w:szCs w:val="22"/>
        </w:rPr>
        <w:t>所有。</w:t>
      </w:r>
    </w:p>
    <w:p>
      <w:pPr>
        <w:spacing w:before="0" w:after="0" w:afterAutospacing="0" w:line="360" w:lineRule="auto"/>
        <w:ind w:left="0" w:right="0" w:firstLine="420" w:firstLineChars="200"/>
        <w:jc w:val="left"/>
        <w:rPr>
          <w:rFonts w:ascii="Times New Roman" w:hAnsi="Times New Roman" w:eastAsia="仿宋" w:cs="Times New Roman"/>
          <w:color w:val="auto"/>
          <w:kern w:val="2"/>
          <w:szCs w:val="22"/>
        </w:rPr>
      </w:pPr>
      <w:r>
        <w:rPr>
          <w:rFonts w:hint="eastAsia" w:ascii="Times New Roman" w:hAnsi="Times New Roman" w:eastAsia="仿宋" w:cs="Times New Roman"/>
          <w:color w:val="auto"/>
          <w:kern w:val="2"/>
          <w:szCs w:val="22"/>
        </w:rPr>
        <w:t>（10）</w:t>
      </w:r>
      <w:r>
        <w:rPr>
          <w:rFonts w:hint="eastAsia" w:ascii="Times New Roman" w:hAnsi="Times New Roman" w:eastAsia="仿宋" w:cs="Times New Roman"/>
          <w:color w:val="auto"/>
          <w:kern w:val="2"/>
          <w:szCs w:val="22"/>
          <w:lang w:eastAsia="zh-CN"/>
        </w:rPr>
        <w:t>比选申请人</w:t>
      </w:r>
      <w:r>
        <w:rPr>
          <w:rFonts w:ascii="Times New Roman" w:hAnsi="Times New Roman" w:eastAsia="仿宋" w:cs="Times New Roman"/>
          <w:color w:val="auto"/>
          <w:kern w:val="2"/>
          <w:szCs w:val="22"/>
        </w:rPr>
        <w:t>提供的软件应遵循国际、国内开放系统标准及协议。</w:t>
      </w:r>
    </w:p>
    <w:p>
      <w:pPr>
        <w:spacing w:before="0" w:after="0" w:afterAutospacing="0" w:line="360" w:lineRule="auto"/>
        <w:ind w:left="0" w:right="0" w:firstLine="420" w:firstLineChars="200"/>
        <w:jc w:val="left"/>
        <w:rPr>
          <w:rFonts w:ascii="Times New Roman" w:hAnsi="Times New Roman" w:eastAsia="仿宋" w:cs="Times New Roman"/>
          <w:color w:val="auto"/>
          <w:kern w:val="2"/>
          <w:szCs w:val="22"/>
        </w:rPr>
      </w:pPr>
      <w:r>
        <w:rPr>
          <w:rFonts w:ascii="Times New Roman" w:hAnsi="Times New Roman" w:eastAsia="仿宋" w:cs="Times New Roman"/>
          <w:color w:val="auto"/>
          <w:kern w:val="2"/>
          <w:szCs w:val="22"/>
        </w:rPr>
        <w:t>※</w:t>
      </w:r>
      <w:r>
        <w:rPr>
          <w:rFonts w:hint="eastAsia" w:ascii="Times New Roman" w:hAnsi="Times New Roman" w:eastAsia="仿宋" w:cs="Times New Roman"/>
          <w:color w:val="auto"/>
          <w:kern w:val="2"/>
          <w:szCs w:val="22"/>
        </w:rPr>
        <w:t>（11）</w:t>
      </w:r>
      <w:r>
        <w:rPr>
          <w:rFonts w:ascii="Times New Roman" w:hAnsi="Times New Roman" w:eastAsia="仿宋" w:cs="Times New Roman"/>
          <w:color w:val="auto"/>
          <w:kern w:val="2"/>
          <w:szCs w:val="22"/>
        </w:rPr>
        <w:t>如</w:t>
      </w:r>
      <w:r>
        <w:rPr>
          <w:rFonts w:hint="eastAsia" w:ascii="Times New Roman" w:hAnsi="Times New Roman" w:eastAsia="仿宋" w:cs="Times New Roman"/>
          <w:color w:val="auto"/>
          <w:kern w:val="2"/>
          <w:szCs w:val="22"/>
          <w:lang w:eastAsia="zh-CN"/>
        </w:rPr>
        <w:t>比选人</w:t>
      </w:r>
      <w:r>
        <w:rPr>
          <w:rFonts w:ascii="Times New Roman" w:hAnsi="Times New Roman" w:eastAsia="仿宋" w:cs="Times New Roman"/>
          <w:color w:val="auto"/>
          <w:kern w:val="2"/>
          <w:szCs w:val="22"/>
        </w:rPr>
        <w:t>在</w:t>
      </w:r>
      <w:r>
        <w:rPr>
          <w:rFonts w:hint="eastAsia" w:ascii="Times New Roman" w:hAnsi="Times New Roman" w:eastAsia="仿宋" w:cs="Times New Roman"/>
          <w:color w:val="auto"/>
          <w:kern w:val="2"/>
          <w:szCs w:val="22"/>
          <w:lang w:eastAsia="zh-CN"/>
        </w:rPr>
        <w:t>比选申请人</w:t>
      </w:r>
      <w:r>
        <w:rPr>
          <w:rFonts w:ascii="Times New Roman" w:hAnsi="Times New Roman" w:eastAsia="仿宋" w:cs="Times New Roman"/>
          <w:color w:val="auto"/>
          <w:kern w:val="2"/>
          <w:szCs w:val="22"/>
        </w:rPr>
        <w:t>提供的应用软件运行期间发现</w:t>
      </w:r>
      <w:r>
        <w:rPr>
          <w:rFonts w:hint="eastAsia" w:ascii="Times New Roman" w:hAnsi="Times New Roman" w:eastAsia="仿宋" w:cs="Times New Roman"/>
          <w:color w:val="auto"/>
          <w:kern w:val="2"/>
          <w:szCs w:val="22"/>
          <w:lang w:eastAsia="zh-CN"/>
        </w:rPr>
        <w:t>比选申请人</w:t>
      </w:r>
      <w:r>
        <w:rPr>
          <w:rFonts w:ascii="Times New Roman" w:hAnsi="Times New Roman" w:eastAsia="仿宋" w:cs="Times New Roman"/>
          <w:color w:val="auto"/>
          <w:kern w:val="2"/>
          <w:szCs w:val="22"/>
        </w:rPr>
        <w:t>所实施的系统不满足本用户需求书的技术条款，</w:t>
      </w:r>
      <w:r>
        <w:rPr>
          <w:rFonts w:hint="eastAsia" w:ascii="Times New Roman" w:hAnsi="Times New Roman" w:eastAsia="仿宋" w:cs="Times New Roman"/>
          <w:color w:val="auto"/>
          <w:kern w:val="2"/>
          <w:szCs w:val="22"/>
          <w:lang w:eastAsia="zh-CN"/>
        </w:rPr>
        <w:t>比选人</w:t>
      </w:r>
      <w:r>
        <w:rPr>
          <w:rFonts w:ascii="Times New Roman" w:hAnsi="Times New Roman" w:eastAsia="仿宋" w:cs="Times New Roman"/>
          <w:color w:val="auto"/>
          <w:kern w:val="2"/>
          <w:szCs w:val="22"/>
        </w:rPr>
        <w:t>有权要求</w:t>
      </w:r>
      <w:r>
        <w:rPr>
          <w:rFonts w:hint="eastAsia" w:ascii="Times New Roman" w:hAnsi="Times New Roman" w:eastAsia="仿宋" w:cs="Times New Roman"/>
          <w:color w:val="auto"/>
          <w:kern w:val="2"/>
          <w:szCs w:val="22"/>
          <w:lang w:eastAsia="zh-CN"/>
        </w:rPr>
        <w:t>比选申请人</w:t>
      </w:r>
      <w:r>
        <w:rPr>
          <w:rFonts w:ascii="Times New Roman" w:hAnsi="Times New Roman" w:eastAsia="仿宋" w:cs="Times New Roman"/>
          <w:color w:val="auto"/>
          <w:kern w:val="2"/>
          <w:szCs w:val="22"/>
        </w:rPr>
        <w:t>修改或增加,为此引起的一切费用由</w:t>
      </w:r>
      <w:r>
        <w:rPr>
          <w:rFonts w:hint="eastAsia" w:ascii="Times New Roman" w:hAnsi="Times New Roman" w:eastAsia="仿宋" w:cs="Times New Roman"/>
          <w:color w:val="auto"/>
          <w:kern w:val="2"/>
          <w:szCs w:val="22"/>
          <w:lang w:eastAsia="zh-CN"/>
        </w:rPr>
        <w:t>比选申请人</w:t>
      </w:r>
      <w:r>
        <w:rPr>
          <w:rFonts w:ascii="Times New Roman" w:hAnsi="Times New Roman" w:eastAsia="仿宋" w:cs="Times New Roman"/>
          <w:color w:val="auto"/>
          <w:kern w:val="2"/>
          <w:szCs w:val="22"/>
        </w:rPr>
        <w:t>负责。</w:t>
      </w:r>
    </w:p>
    <w:p>
      <w:pPr>
        <w:spacing w:before="0" w:after="0" w:afterAutospacing="0" w:line="360" w:lineRule="auto"/>
        <w:ind w:left="0" w:right="0" w:firstLine="420" w:firstLineChars="200"/>
        <w:jc w:val="left"/>
        <w:rPr>
          <w:rFonts w:ascii="Times New Roman" w:hAnsi="Times New Roman" w:eastAsia="仿宋" w:cs="Times New Roman"/>
          <w:color w:val="auto"/>
          <w:kern w:val="2"/>
          <w:szCs w:val="22"/>
        </w:rPr>
      </w:pPr>
      <w:r>
        <w:rPr>
          <w:rFonts w:hint="eastAsia" w:ascii="Times New Roman" w:hAnsi="Times New Roman" w:eastAsia="仿宋" w:cs="Times New Roman"/>
          <w:color w:val="auto"/>
          <w:kern w:val="2"/>
          <w:szCs w:val="22"/>
        </w:rPr>
        <w:t>（12）</w:t>
      </w:r>
      <w:r>
        <w:rPr>
          <w:rFonts w:ascii="Times New Roman" w:hAnsi="Times New Roman" w:eastAsia="仿宋" w:cs="Times New Roman"/>
          <w:color w:val="auto"/>
          <w:kern w:val="2"/>
          <w:szCs w:val="22"/>
        </w:rPr>
        <w:t>如果</w:t>
      </w:r>
      <w:r>
        <w:rPr>
          <w:rFonts w:hint="eastAsia" w:ascii="Times New Roman" w:hAnsi="Times New Roman" w:eastAsia="仿宋" w:cs="Times New Roman"/>
          <w:color w:val="auto"/>
          <w:kern w:val="2"/>
          <w:szCs w:val="22"/>
          <w:lang w:eastAsia="zh-CN"/>
        </w:rPr>
        <w:t>比选申请人</w:t>
      </w:r>
      <w:r>
        <w:rPr>
          <w:rFonts w:ascii="Times New Roman" w:hAnsi="Times New Roman" w:eastAsia="仿宋" w:cs="Times New Roman"/>
          <w:color w:val="auto"/>
          <w:kern w:val="2"/>
          <w:szCs w:val="22"/>
        </w:rPr>
        <w:t>没有在招标文件规定的时间内以书面形式对本用户需求书和条文提出异议，则可以认为</w:t>
      </w:r>
      <w:r>
        <w:rPr>
          <w:rFonts w:hint="eastAsia" w:ascii="Times New Roman" w:hAnsi="Times New Roman" w:eastAsia="仿宋" w:cs="Times New Roman"/>
          <w:color w:val="auto"/>
          <w:kern w:val="2"/>
          <w:szCs w:val="22"/>
          <w:lang w:eastAsia="zh-CN"/>
        </w:rPr>
        <w:t>比选申请人</w:t>
      </w:r>
      <w:r>
        <w:rPr>
          <w:rFonts w:ascii="Times New Roman" w:hAnsi="Times New Roman" w:eastAsia="仿宋" w:cs="Times New Roman"/>
          <w:color w:val="auto"/>
          <w:kern w:val="2"/>
          <w:szCs w:val="22"/>
        </w:rPr>
        <w:t>应已阅知并能接受本用户需求书的要求。</w:t>
      </w:r>
    </w:p>
    <w:p>
      <w:pPr>
        <w:spacing w:before="0" w:after="0" w:afterAutospacing="0" w:line="360" w:lineRule="auto"/>
        <w:ind w:left="0" w:right="0" w:firstLine="420" w:firstLineChars="200"/>
        <w:jc w:val="left"/>
        <w:rPr>
          <w:rFonts w:ascii="Times New Roman" w:hAnsi="Times New Roman" w:eastAsia="仿宋" w:cs="Times New Roman"/>
          <w:color w:val="auto"/>
          <w:kern w:val="2"/>
          <w:szCs w:val="22"/>
        </w:rPr>
      </w:pPr>
      <w:r>
        <w:rPr>
          <w:rFonts w:hint="eastAsia" w:ascii="Times New Roman" w:hAnsi="Times New Roman" w:eastAsia="仿宋" w:cs="Times New Roman"/>
          <w:color w:val="auto"/>
          <w:kern w:val="2"/>
          <w:szCs w:val="22"/>
        </w:rPr>
        <w:t>（13）</w:t>
      </w:r>
      <w:r>
        <w:rPr>
          <w:rFonts w:ascii="Times New Roman" w:hAnsi="Times New Roman" w:eastAsia="仿宋" w:cs="Times New Roman"/>
          <w:color w:val="auto"/>
          <w:kern w:val="2"/>
          <w:szCs w:val="22"/>
        </w:rPr>
        <w:t>系统应按照本用户需求书及国家和地方规定的标准和规范进行设计和实施。若在设计和实施中应用的某项标准或规范在本用户需求书中没有规定，则</w:t>
      </w:r>
      <w:r>
        <w:rPr>
          <w:rFonts w:hint="eastAsia" w:ascii="Times New Roman" w:hAnsi="Times New Roman" w:eastAsia="仿宋" w:cs="Times New Roman"/>
          <w:color w:val="auto"/>
          <w:kern w:val="2"/>
          <w:szCs w:val="22"/>
          <w:lang w:eastAsia="zh-CN"/>
        </w:rPr>
        <w:t>比选申请人</w:t>
      </w:r>
      <w:r>
        <w:rPr>
          <w:rFonts w:ascii="Times New Roman" w:hAnsi="Times New Roman" w:eastAsia="仿宋" w:cs="Times New Roman"/>
          <w:color w:val="auto"/>
          <w:kern w:val="2"/>
          <w:szCs w:val="22"/>
        </w:rPr>
        <w:t>应详细说明其所采用的标准和规范，并提供该标准或规范的完整中文资料给</w:t>
      </w:r>
      <w:r>
        <w:rPr>
          <w:rFonts w:hint="eastAsia" w:ascii="Times New Roman" w:hAnsi="Times New Roman" w:eastAsia="仿宋" w:cs="Times New Roman"/>
          <w:color w:val="auto"/>
          <w:kern w:val="2"/>
          <w:szCs w:val="22"/>
          <w:lang w:eastAsia="zh-CN"/>
        </w:rPr>
        <w:t>比选人</w:t>
      </w:r>
      <w:r>
        <w:rPr>
          <w:rFonts w:ascii="Times New Roman" w:hAnsi="Times New Roman" w:eastAsia="仿宋" w:cs="Times New Roman"/>
          <w:color w:val="auto"/>
          <w:kern w:val="2"/>
          <w:szCs w:val="22"/>
        </w:rPr>
        <w:t>。只有当其采用的标准和规范是国际公认的、惯用的，且等于或优于本用户需求书的要求时，此标准或规范才能为</w:t>
      </w:r>
      <w:r>
        <w:rPr>
          <w:rFonts w:hint="eastAsia" w:ascii="Times New Roman" w:hAnsi="Times New Roman" w:eastAsia="仿宋" w:cs="Times New Roman"/>
          <w:color w:val="auto"/>
          <w:kern w:val="2"/>
          <w:szCs w:val="22"/>
          <w:lang w:eastAsia="zh-CN"/>
        </w:rPr>
        <w:t>比选人</w:t>
      </w:r>
      <w:r>
        <w:rPr>
          <w:rFonts w:ascii="Times New Roman" w:hAnsi="Times New Roman" w:eastAsia="仿宋" w:cs="Times New Roman"/>
          <w:color w:val="auto"/>
          <w:kern w:val="2"/>
          <w:szCs w:val="22"/>
        </w:rPr>
        <w:t>所接受。</w:t>
      </w:r>
    </w:p>
    <w:p>
      <w:pPr>
        <w:spacing w:before="0" w:after="0" w:afterAutospacing="0" w:line="360" w:lineRule="auto"/>
        <w:ind w:left="0" w:right="0" w:firstLine="420" w:firstLineChars="200"/>
        <w:jc w:val="left"/>
        <w:rPr>
          <w:rFonts w:ascii="Times New Roman" w:hAnsi="Times New Roman" w:eastAsia="仿宋" w:cs="Times New Roman"/>
          <w:color w:val="auto"/>
          <w:kern w:val="2"/>
          <w:szCs w:val="22"/>
        </w:rPr>
      </w:pPr>
      <w:r>
        <w:rPr>
          <w:rFonts w:ascii="Times New Roman" w:hAnsi="Times New Roman" w:eastAsia="仿宋" w:cs="Times New Roman"/>
          <w:color w:val="auto"/>
          <w:kern w:val="2"/>
          <w:szCs w:val="22"/>
        </w:rPr>
        <w:t>※</w:t>
      </w:r>
      <w:r>
        <w:rPr>
          <w:rFonts w:hint="eastAsia" w:ascii="Times New Roman" w:hAnsi="Times New Roman" w:eastAsia="仿宋" w:cs="Times New Roman"/>
          <w:color w:val="auto"/>
          <w:kern w:val="2"/>
          <w:szCs w:val="22"/>
        </w:rPr>
        <w:t>（14）</w:t>
      </w:r>
      <w:r>
        <w:rPr>
          <w:rFonts w:hint="eastAsia" w:ascii="Times New Roman" w:hAnsi="Times New Roman" w:eastAsia="仿宋" w:cs="Times New Roman"/>
          <w:color w:val="auto"/>
          <w:kern w:val="2"/>
          <w:szCs w:val="22"/>
          <w:lang w:eastAsia="zh-CN"/>
        </w:rPr>
        <w:t>比选申请人</w:t>
      </w:r>
      <w:r>
        <w:rPr>
          <w:rFonts w:ascii="Times New Roman" w:hAnsi="Times New Roman" w:eastAsia="仿宋" w:cs="Times New Roman"/>
          <w:color w:val="auto"/>
          <w:kern w:val="2"/>
          <w:szCs w:val="22"/>
        </w:rPr>
        <w:t>提供的货物及服务所用到的专利或知识产权涉及到的全部费用均被认为已包含在投标报价中，</w:t>
      </w:r>
      <w:r>
        <w:rPr>
          <w:rFonts w:hint="eastAsia" w:ascii="Times New Roman" w:hAnsi="Times New Roman" w:eastAsia="仿宋" w:cs="Times New Roman"/>
          <w:color w:val="auto"/>
          <w:kern w:val="2"/>
          <w:szCs w:val="22"/>
          <w:lang w:eastAsia="zh-CN"/>
        </w:rPr>
        <w:t>比选申请人</w:t>
      </w:r>
      <w:r>
        <w:rPr>
          <w:rFonts w:ascii="Times New Roman" w:hAnsi="Times New Roman" w:eastAsia="仿宋" w:cs="Times New Roman"/>
          <w:color w:val="auto"/>
          <w:kern w:val="2"/>
          <w:szCs w:val="22"/>
        </w:rPr>
        <w:t>应保证</w:t>
      </w:r>
      <w:r>
        <w:rPr>
          <w:rFonts w:hint="eastAsia" w:ascii="Times New Roman" w:hAnsi="Times New Roman" w:eastAsia="仿宋" w:cs="Times New Roman"/>
          <w:color w:val="auto"/>
          <w:kern w:val="2"/>
          <w:szCs w:val="22"/>
          <w:lang w:eastAsia="zh-CN"/>
        </w:rPr>
        <w:t>比选人</w:t>
      </w:r>
      <w:r>
        <w:rPr>
          <w:rFonts w:ascii="Times New Roman" w:hAnsi="Times New Roman" w:eastAsia="仿宋" w:cs="Times New Roman"/>
          <w:color w:val="auto"/>
          <w:kern w:val="2"/>
          <w:szCs w:val="22"/>
        </w:rPr>
        <w:t>不承担有关货物专利或知识产权的一切责任。</w:t>
      </w:r>
    </w:p>
    <w:p>
      <w:pPr>
        <w:spacing w:before="0" w:after="0" w:afterAutospacing="0" w:line="360" w:lineRule="auto"/>
        <w:ind w:left="0" w:right="0" w:firstLine="420" w:firstLineChars="200"/>
        <w:jc w:val="left"/>
        <w:rPr>
          <w:rFonts w:ascii="Times New Roman" w:hAnsi="Times New Roman" w:eastAsia="仿宋" w:cs="Times New Roman"/>
          <w:color w:val="auto"/>
          <w:kern w:val="2"/>
          <w:szCs w:val="22"/>
        </w:rPr>
      </w:pPr>
      <w:r>
        <w:rPr>
          <w:rFonts w:hint="eastAsia" w:ascii="Times New Roman" w:hAnsi="Times New Roman" w:eastAsia="仿宋" w:cs="Times New Roman"/>
          <w:color w:val="auto"/>
          <w:kern w:val="2"/>
          <w:szCs w:val="22"/>
        </w:rPr>
        <w:t>（15）</w:t>
      </w:r>
      <w:r>
        <w:rPr>
          <w:rFonts w:hint="eastAsia" w:ascii="Times New Roman" w:hAnsi="Times New Roman" w:eastAsia="仿宋" w:cs="Times New Roman"/>
          <w:color w:val="auto"/>
          <w:kern w:val="2"/>
          <w:szCs w:val="22"/>
          <w:lang w:eastAsia="zh-CN"/>
        </w:rPr>
        <w:t>比选人</w:t>
      </w:r>
      <w:r>
        <w:rPr>
          <w:rFonts w:ascii="Times New Roman" w:hAnsi="Times New Roman" w:eastAsia="仿宋" w:cs="Times New Roman"/>
          <w:color w:val="auto"/>
          <w:kern w:val="2"/>
          <w:szCs w:val="22"/>
        </w:rPr>
        <w:t>在设计、开发、实施过程中对于</w:t>
      </w:r>
      <w:r>
        <w:rPr>
          <w:rFonts w:hint="eastAsia" w:ascii="Times New Roman" w:hAnsi="Times New Roman" w:eastAsia="仿宋" w:cs="Times New Roman"/>
          <w:color w:val="auto"/>
          <w:kern w:val="2"/>
          <w:szCs w:val="22"/>
          <w:lang w:eastAsia="zh-CN"/>
        </w:rPr>
        <w:t>比选申请人</w:t>
      </w:r>
      <w:r>
        <w:rPr>
          <w:rFonts w:ascii="Times New Roman" w:hAnsi="Times New Roman" w:eastAsia="仿宋" w:cs="Times New Roman"/>
          <w:color w:val="auto"/>
          <w:kern w:val="2"/>
          <w:szCs w:val="22"/>
        </w:rPr>
        <w:t>实施方案和图纸的确认（包括软件产品功能配置、系统模块开发、功能描述、范围界定及工作流程等的确认），不代表</w:t>
      </w:r>
      <w:r>
        <w:rPr>
          <w:rFonts w:hint="eastAsia" w:ascii="Times New Roman" w:hAnsi="Times New Roman" w:eastAsia="仿宋" w:cs="Times New Roman"/>
          <w:color w:val="auto"/>
          <w:kern w:val="2"/>
          <w:szCs w:val="22"/>
          <w:lang w:eastAsia="zh-CN"/>
        </w:rPr>
        <w:t>比选人</w:t>
      </w:r>
      <w:r>
        <w:rPr>
          <w:rFonts w:ascii="Times New Roman" w:hAnsi="Times New Roman" w:eastAsia="仿宋" w:cs="Times New Roman"/>
          <w:color w:val="auto"/>
          <w:kern w:val="2"/>
          <w:szCs w:val="22"/>
        </w:rPr>
        <w:t>将为</w:t>
      </w:r>
      <w:r>
        <w:rPr>
          <w:rFonts w:hint="eastAsia" w:ascii="Times New Roman" w:hAnsi="Times New Roman" w:eastAsia="仿宋" w:cs="Times New Roman"/>
          <w:color w:val="auto"/>
          <w:kern w:val="2"/>
          <w:szCs w:val="22"/>
          <w:lang w:eastAsia="zh-CN"/>
        </w:rPr>
        <w:t>比选申请人</w:t>
      </w:r>
      <w:r>
        <w:rPr>
          <w:rFonts w:ascii="Times New Roman" w:hAnsi="Times New Roman" w:eastAsia="仿宋" w:cs="Times New Roman"/>
          <w:color w:val="auto"/>
          <w:kern w:val="2"/>
          <w:szCs w:val="22"/>
        </w:rPr>
        <w:t>采用的建设方案承担责任。</w:t>
      </w:r>
    </w:p>
    <w:p>
      <w:pPr>
        <w:spacing w:before="0" w:after="0" w:afterAutospacing="0" w:line="360" w:lineRule="auto"/>
        <w:ind w:left="0" w:right="0" w:firstLine="420" w:firstLineChars="200"/>
        <w:jc w:val="left"/>
        <w:rPr>
          <w:rFonts w:ascii="Times New Roman" w:hAnsi="Times New Roman" w:eastAsia="仿宋" w:cs="Times New Roman"/>
          <w:color w:val="auto"/>
          <w:kern w:val="2"/>
          <w:szCs w:val="22"/>
        </w:rPr>
      </w:pPr>
      <w:r>
        <w:rPr>
          <w:rFonts w:hint="eastAsia" w:ascii="Times New Roman" w:hAnsi="Times New Roman" w:eastAsia="仿宋" w:cs="Times New Roman"/>
          <w:color w:val="auto"/>
          <w:kern w:val="2"/>
          <w:szCs w:val="22"/>
        </w:rPr>
        <w:t>（16）</w:t>
      </w:r>
      <w:r>
        <w:rPr>
          <w:rFonts w:hint="eastAsia" w:ascii="Times New Roman" w:hAnsi="Times New Roman" w:eastAsia="仿宋" w:cs="Times New Roman"/>
          <w:color w:val="auto"/>
          <w:kern w:val="2"/>
          <w:szCs w:val="22"/>
          <w:lang w:eastAsia="zh-CN"/>
        </w:rPr>
        <w:t>比选申请人</w:t>
      </w:r>
      <w:r>
        <w:rPr>
          <w:rFonts w:ascii="Times New Roman" w:hAnsi="Times New Roman" w:eastAsia="仿宋" w:cs="Times New Roman"/>
          <w:color w:val="auto"/>
          <w:kern w:val="2"/>
          <w:szCs w:val="22"/>
        </w:rPr>
        <w:t>在项目实施的每个阶段末期须要提供本阶段工作成果给</w:t>
      </w:r>
      <w:r>
        <w:rPr>
          <w:rFonts w:hint="eastAsia" w:ascii="Times New Roman" w:hAnsi="Times New Roman" w:eastAsia="仿宋" w:cs="Times New Roman"/>
          <w:color w:val="auto"/>
          <w:kern w:val="2"/>
          <w:szCs w:val="22"/>
          <w:lang w:eastAsia="zh-CN"/>
        </w:rPr>
        <w:t>比选人</w:t>
      </w:r>
      <w:r>
        <w:rPr>
          <w:rFonts w:ascii="Times New Roman" w:hAnsi="Times New Roman" w:eastAsia="仿宋" w:cs="Times New Roman"/>
          <w:color w:val="auto"/>
          <w:kern w:val="2"/>
          <w:szCs w:val="22"/>
        </w:rPr>
        <w:t>确认，只有工作成果确认通过后，</w:t>
      </w:r>
      <w:r>
        <w:rPr>
          <w:rFonts w:hint="eastAsia" w:ascii="Times New Roman" w:hAnsi="Times New Roman" w:eastAsia="仿宋" w:cs="Times New Roman"/>
          <w:color w:val="auto"/>
          <w:kern w:val="2"/>
          <w:szCs w:val="22"/>
          <w:lang w:eastAsia="zh-CN"/>
        </w:rPr>
        <w:t>比选申请人</w:t>
      </w:r>
      <w:r>
        <w:rPr>
          <w:rFonts w:ascii="Times New Roman" w:hAnsi="Times New Roman" w:eastAsia="仿宋" w:cs="Times New Roman"/>
          <w:color w:val="auto"/>
          <w:kern w:val="2"/>
          <w:szCs w:val="22"/>
        </w:rPr>
        <w:t xml:space="preserve">方可开展下一阶段工作。在最终验收以前, </w:t>
      </w:r>
      <w:r>
        <w:rPr>
          <w:rFonts w:hint="eastAsia" w:ascii="Times New Roman" w:hAnsi="Times New Roman" w:eastAsia="仿宋" w:cs="Times New Roman"/>
          <w:color w:val="auto"/>
          <w:kern w:val="2"/>
          <w:szCs w:val="22"/>
          <w:lang w:eastAsia="zh-CN"/>
        </w:rPr>
        <w:t>比选人</w:t>
      </w:r>
      <w:r>
        <w:rPr>
          <w:rFonts w:ascii="Times New Roman" w:hAnsi="Times New Roman" w:eastAsia="仿宋" w:cs="Times New Roman"/>
          <w:color w:val="auto"/>
          <w:kern w:val="2"/>
          <w:szCs w:val="22"/>
        </w:rPr>
        <w:t>对阶段性成果的确认,不代表</w:t>
      </w:r>
      <w:r>
        <w:rPr>
          <w:rFonts w:hint="eastAsia" w:ascii="Times New Roman" w:hAnsi="Times New Roman" w:eastAsia="仿宋" w:cs="Times New Roman"/>
          <w:color w:val="auto"/>
          <w:kern w:val="2"/>
          <w:szCs w:val="22"/>
          <w:lang w:eastAsia="zh-CN"/>
        </w:rPr>
        <w:t>比选人</w:t>
      </w:r>
      <w:r>
        <w:rPr>
          <w:rFonts w:ascii="Times New Roman" w:hAnsi="Times New Roman" w:eastAsia="仿宋" w:cs="Times New Roman"/>
          <w:color w:val="auto"/>
          <w:kern w:val="2"/>
          <w:szCs w:val="22"/>
        </w:rPr>
        <w:t>将为</w:t>
      </w:r>
      <w:r>
        <w:rPr>
          <w:rFonts w:hint="eastAsia" w:ascii="Times New Roman" w:hAnsi="Times New Roman" w:eastAsia="仿宋" w:cs="Times New Roman"/>
          <w:color w:val="auto"/>
          <w:kern w:val="2"/>
          <w:szCs w:val="22"/>
          <w:lang w:eastAsia="zh-CN"/>
        </w:rPr>
        <w:t>比选申请人</w:t>
      </w:r>
      <w:r>
        <w:rPr>
          <w:rFonts w:ascii="Times New Roman" w:hAnsi="Times New Roman" w:eastAsia="仿宋" w:cs="Times New Roman"/>
          <w:color w:val="auto"/>
          <w:kern w:val="2"/>
          <w:szCs w:val="22"/>
        </w:rPr>
        <w:t>的工作承担责任。</w:t>
      </w:r>
    </w:p>
    <w:p>
      <w:pPr>
        <w:spacing w:before="0" w:after="0" w:afterAutospacing="0" w:line="360" w:lineRule="auto"/>
        <w:ind w:left="0" w:right="0" w:firstLine="420" w:firstLineChars="200"/>
        <w:jc w:val="left"/>
        <w:rPr>
          <w:rFonts w:ascii="Times New Roman" w:hAnsi="Times New Roman" w:eastAsia="仿宋" w:cs="Times New Roman"/>
          <w:color w:val="auto"/>
          <w:kern w:val="2"/>
          <w:szCs w:val="22"/>
        </w:rPr>
      </w:pPr>
      <w:r>
        <w:rPr>
          <w:rFonts w:hint="eastAsia" w:ascii="Times New Roman" w:hAnsi="Times New Roman" w:eastAsia="仿宋" w:cs="Times New Roman"/>
          <w:color w:val="auto"/>
          <w:kern w:val="2"/>
          <w:szCs w:val="22"/>
        </w:rPr>
        <w:t>（17）</w:t>
      </w:r>
      <w:r>
        <w:rPr>
          <w:rFonts w:hint="eastAsia" w:ascii="Times New Roman" w:hAnsi="Times New Roman" w:eastAsia="仿宋" w:cs="Times New Roman"/>
          <w:color w:val="auto"/>
          <w:kern w:val="2"/>
          <w:szCs w:val="22"/>
          <w:lang w:eastAsia="zh-CN"/>
        </w:rPr>
        <w:t>比选申请人</w:t>
      </w:r>
      <w:r>
        <w:rPr>
          <w:rFonts w:ascii="Times New Roman" w:hAnsi="Times New Roman" w:eastAsia="仿宋" w:cs="Times New Roman"/>
          <w:color w:val="auto"/>
          <w:kern w:val="2"/>
          <w:szCs w:val="22"/>
        </w:rPr>
        <w:t>不能在所实施的系统中驻留后门程序；未经</w:t>
      </w:r>
      <w:r>
        <w:rPr>
          <w:rFonts w:hint="eastAsia" w:ascii="Times New Roman" w:hAnsi="Times New Roman" w:eastAsia="仿宋" w:cs="Times New Roman"/>
          <w:color w:val="auto"/>
          <w:kern w:val="2"/>
          <w:szCs w:val="22"/>
          <w:lang w:eastAsia="zh-CN"/>
        </w:rPr>
        <w:t>比选人</w:t>
      </w:r>
      <w:r>
        <w:rPr>
          <w:rFonts w:ascii="Times New Roman" w:hAnsi="Times New Roman" w:eastAsia="仿宋" w:cs="Times New Roman"/>
          <w:color w:val="auto"/>
          <w:kern w:val="2"/>
          <w:szCs w:val="22"/>
        </w:rPr>
        <w:t>正式书面许可，不能向第三方泄漏该</w:t>
      </w:r>
      <w:r>
        <w:rPr>
          <w:rFonts w:hint="eastAsia" w:ascii="Times New Roman" w:hAnsi="Times New Roman" w:eastAsia="仿宋" w:cs="Times New Roman"/>
          <w:color w:val="auto"/>
          <w:kern w:val="2"/>
          <w:szCs w:val="22"/>
          <w:lang w:eastAsia="zh-CN"/>
        </w:rPr>
        <w:t>比选申请人</w:t>
      </w:r>
      <w:r>
        <w:rPr>
          <w:rFonts w:ascii="Times New Roman" w:hAnsi="Times New Roman" w:eastAsia="仿宋" w:cs="Times New Roman"/>
          <w:color w:val="auto"/>
          <w:kern w:val="2"/>
          <w:szCs w:val="22"/>
        </w:rPr>
        <w:t>成功实施后的系统。</w:t>
      </w:r>
      <w:r>
        <w:rPr>
          <w:rFonts w:hint="eastAsia" w:ascii="Times New Roman" w:hAnsi="Times New Roman" w:eastAsia="仿宋" w:cs="Times New Roman"/>
          <w:color w:val="auto"/>
          <w:kern w:val="2"/>
          <w:szCs w:val="22"/>
          <w:lang w:eastAsia="zh-CN"/>
        </w:rPr>
        <w:t>比选申请人</w:t>
      </w:r>
      <w:r>
        <w:rPr>
          <w:rFonts w:ascii="Times New Roman" w:hAnsi="Times New Roman" w:eastAsia="仿宋" w:cs="Times New Roman"/>
          <w:color w:val="auto"/>
          <w:kern w:val="2"/>
          <w:szCs w:val="22"/>
        </w:rPr>
        <w:t>对合同实施后的系统知识产权及商业秘密负有保护及保密义务。</w:t>
      </w:r>
    </w:p>
    <w:p>
      <w:pPr>
        <w:spacing w:before="0" w:after="0" w:afterAutospacing="0" w:line="360" w:lineRule="auto"/>
        <w:ind w:left="0" w:right="0" w:firstLine="420" w:firstLineChars="200"/>
        <w:jc w:val="left"/>
        <w:rPr>
          <w:rFonts w:ascii="Times New Roman" w:hAnsi="Times New Roman" w:eastAsia="仿宋" w:cs="Times New Roman"/>
          <w:color w:val="auto"/>
          <w:kern w:val="2"/>
          <w:szCs w:val="22"/>
        </w:rPr>
      </w:pPr>
      <w:r>
        <w:rPr>
          <w:rFonts w:hint="eastAsia" w:ascii="Times New Roman" w:hAnsi="Times New Roman" w:eastAsia="仿宋" w:cs="Times New Roman"/>
          <w:color w:val="auto"/>
          <w:kern w:val="2"/>
          <w:szCs w:val="22"/>
        </w:rPr>
        <w:t>（18）</w:t>
      </w:r>
      <w:r>
        <w:rPr>
          <w:rFonts w:hint="eastAsia" w:ascii="Times New Roman" w:hAnsi="Times New Roman" w:eastAsia="仿宋" w:cs="Times New Roman"/>
          <w:color w:val="auto"/>
          <w:kern w:val="2"/>
          <w:szCs w:val="22"/>
          <w:lang w:eastAsia="zh-CN"/>
        </w:rPr>
        <w:t>比选申请人</w:t>
      </w:r>
      <w:r>
        <w:rPr>
          <w:rFonts w:ascii="Times New Roman" w:hAnsi="Times New Roman" w:eastAsia="仿宋" w:cs="Times New Roman"/>
          <w:color w:val="auto"/>
          <w:kern w:val="2"/>
          <w:szCs w:val="22"/>
        </w:rPr>
        <w:t>对项目按期实施按期上线负全责。</w:t>
      </w:r>
    </w:p>
    <w:p>
      <w:pPr>
        <w:spacing w:before="0" w:after="0" w:afterAutospacing="0" w:line="360" w:lineRule="auto"/>
        <w:ind w:left="0" w:right="0" w:firstLine="420" w:firstLineChars="200"/>
        <w:jc w:val="left"/>
        <w:rPr>
          <w:rFonts w:ascii="Times New Roman" w:hAnsi="Times New Roman" w:eastAsia="仿宋" w:cs="Times New Roman"/>
          <w:color w:val="auto"/>
          <w:kern w:val="2"/>
          <w:szCs w:val="22"/>
        </w:rPr>
      </w:pPr>
      <w:r>
        <w:rPr>
          <w:rFonts w:hint="eastAsia" w:ascii="Times New Roman" w:hAnsi="Times New Roman" w:eastAsia="仿宋" w:cs="Times New Roman"/>
          <w:color w:val="auto"/>
          <w:kern w:val="2"/>
          <w:szCs w:val="22"/>
        </w:rPr>
        <w:t>（19）</w:t>
      </w:r>
      <w:r>
        <w:rPr>
          <w:rFonts w:ascii="Times New Roman" w:hAnsi="Times New Roman" w:eastAsia="仿宋" w:cs="Times New Roman"/>
          <w:color w:val="auto"/>
          <w:kern w:val="2"/>
          <w:szCs w:val="22"/>
        </w:rPr>
        <w:t>对于本项目建设的系统，</w:t>
      </w:r>
      <w:r>
        <w:rPr>
          <w:rFonts w:hint="eastAsia" w:ascii="Times New Roman" w:hAnsi="Times New Roman" w:eastAsia="仿宋" w:cs="Times New Roman"/>
          <w:color w:val="auto"/>
          <w:kern w:val="2"/>
          <w:szCs w:val="22"/>
          <w:lang w:eastAsia="zh-CN"/>
        </w:rPr>
        <w:t>比选申请人</w:t>
      </w:r>
      <w:r>
        <w:rPr>
          <w:rFonts w:ascii="Times New Roman" w:hAnsi="Times New Roman" w:eastAsia="仿宋" w:cs="Times New Roman"/>
          <w:color w:val="auto"/>
          <w:kern w:val="2"/>
          <w:szCs w:val="22"/>
        </w:rPr>
        <w:t>应拥有丰富的开发经验，并对总体目标需求进行详细深入的分析，充分考虑项目实施过程中各种变化的可能，并将其费用含在总报价范围内；在项目实施过程中，由于</w:t>
      </w:r>
      <w:r>
        <w:rPr>
          <w:rFonts w:hint="eastAsia" w:ascii="Times New Roman" w:hAnsi="Times New Roman" w:eastAsia="仿宋" w:cs="Times New Roman"/>
          <w:color w:val="auto"/>
          <w:kern w:val="2"/>
          <w:szCs w:val="22"/>
          <w:lang w:eastAsia="zh-CN"/>
        </w:rPr>
        <w:t>比选申请人</w:t>
      </w:r>
      <w:r>
        <w:rPr>
          <w:rFonts w:ascii="Times New Roman" w:hAnsi="Times New Roman" w:eastAsia="仿宋" w:cs="Times New Roman"/>
          <w:color w:val="auto"/>
          <w:kern w:val="2"/>
          <w:szCs w:val="22"/>
        </w:rPr>
        <w:t>考虑不周，而向</w:t>
      </w:r>
      <w:r>
        <w:rPr>
          <w:rFonts w:hint="eastAsia" w:ascii="Times New Roman" w:hAnsi="Times New Roman" w:eastAsia="仿宋" w:cs="Times New Roman"/>
          <w:color w:val="auto"/>
          <w:kern w:val="2"/>
          <w:szCs w:val="22"/>
          <w:lang w:eastAsia="zh-CN"/>
        </w:rPr>
        <w:t>比选人</w:t>
      </w:r>
      <w:r>
        <w:rPr>
          <w:rFonts w:ascii="Times New Roman" w:hAnsi="Times New Roman" w:eastAsia="仿宋" w:cs="Times New Roman"/>
          <w:color w:val="auto"/>
          <w:kern w:val="2"/>
          <w:szCs w:val="22"/>
        </w:rPr>
        <w:t>提出的相关要求(含费用要求)将不予考虑。</w:t>
      </w:r>
    </w:p>
    <w:p>
      <w:pPr>
        <w:spacing w:before="0" w:after="0" w:afterAutospacing="0" w:line="360" w:lineRule="auto"/>
        <w:ind w:left="0" w:right="0" w:firstLine="420" w:firstLineChars="200"/>
        <w:jc w:val="left"/>
        <w:rPr>
          <w:rFonts w:ascii="Times New Roman" w:hAnsi="Times New Roman" w:eastAsia="仿宋" w:cs="Times New Roman"/>
          <w:color w:val="auto"/>
          <w:kern w:val="2"/>
          <w:szCs w:val="22"/>
        </w:rPr>
      </w:pPr>
      <w:r>
        <w:rPr>
          <w:rFonts w:hint="eastAsia" w:ascii="Times New Roman" w:hAnsi="Times New Roman" w:eastAsia="仿宋" w:cs="Times New Roman"/>
          <w:color w:val="auto"/>
          <w:kern w:val="2"/>
          <w:szCs w:val="22"/>
        </w:rPr>
        <w:t>（20）</w:t>
      </w:r>
      <w:r>
        <w:rPr>
          <w:rFonts w:ascii="Times New Roman" w:hAnsi="Times New Roman" w:eastAsia="仿宋" w:cs="Times New Roman"/>
          <w:color w:val="auto"/>
          <w:kern w:val="2"/>
          <w:szCs w:val="22"/>
        </w:rPr>
        <w:t>本用户需求书为合同的附件，与合同正文具有同等法律效力。</w:t>
      </w:r>
    </w:p>
    <w:p>
      <w:pPr>
        <w:spacing w:before="0" w:after="0" w:afterAutospacing="0" w:line="360" w:lineRule="auto"/>
        <w:ind w:left="0" w:right="0" w:firstLine="420" w:firstLineChars="200"/>
        <w:jc w:val="left"/>
        <w:rPr>
          <w:rFonts w:ascii="Times New Roman" w:hAnsi="Times New Roman" w:eastAsia="仿宋" w:cs="Times New Roman"/>
          <w:color w:val="auto"/>
          <w:kern w:val="2"/>
          <w:szCs w:val="22"/>
        </w:rPr>
      </w:pPr>
      <w:r>
        <w:rPr>
          <w:rFonts w:hint="eastAsia" w:ascii="Times New Roman" w:hAnsi="Times New Roman" w:eastAsia="仿宋" w:cs="Times New Roman"/>
          <w:color w:val="auto"/>
          <w:kern w:val="2"/>
          <w:szCs w:val="22"/>
        </w:rPr>
        <w:t>（21）</w:t>
      </w:r>
      <w:r>
        <w:rPr>
          <w:rFonts w:ascii="Times New Roman" w:hAnsi="Times New Roman" w:eastAsia="仿宋" w:cs="Times New Roman"/>
          <w:color w:val="auto"/>
          <w:kern w:val="2"/>
          <w:szCs w:val="22"/>
        </w:rPr>
        <w:t>当本《用户需求书》的条款与招标文件的《商务部分》的有关技术条款内容相类似或描述有冲突时，以本《用户需求书》的条款描述内容为准。</w:t>
      </w:r>
    </w:p>
    <w:p>
      <w:pPr>
        <w:spacing w:before="0" w:after="0" w:afterAutospacing="0" w:line="360" w:lineRule="auto"/>
        <w:ind w:left="0" w:right="0" w:firstLine="420" w:firstLineChars="200"/>
        <w:jc w:val="left"/>
        <w:rPr>
          <w:rFonts w:ascii="Times New Roman" w:hAnsi="Times New Roman" w:eastAsia="仿宋" w:cs="Times New Roman"/>
          <w:color w:val="auto"/>
          <w:kern w:val="2"/>
          <w:szCs w:val="22"/>
        </w:rPr>
      </w:pPr>
      <w:r>
        <w:rPr>
          <w:rFonts w:hint="eastAsia" w:ascii="Times New Roman" w:hAnsi="Times New Roman" w:eastAsia="仿宋" w:cs="Times New Roman"/>
          <w:color w:val="auto"/>
          <w:kern w:val="2"/>
          <w:szCs w:val="22"/>
        </w:rPr>
        <w:t>（22）</w:t>
      </w:r>
      <w:r>
        <w:rPr>
          <w:rFonts w:ascii="Times New Roman" w:hAnsi="Times New Roman" w:eastAsia="仿宋" w:cs="Times New Roman"/>
          <w:color w:val="auto"/>
          <w:kern w:val="2"/>
          <w:szCs w:val="22"/>
        </w:rPr>
        <w:t>当本《用户需求书》的条款与招标文件的《商务要求》的有关商务条款内容相类似或描述有冲突时，以《商务要求》的条款描述内容为准。</w:t>
      </w:r>
    </w:p>
    <w:p>
      <w:pPr>
        <w:spacing w:before="0" w:after="0" w:afterAutospacing="0" w:line="360" w:lineRule="auto"/>
        <w:ind w:left="0" w:right="0" w:firstLine="420" w:firstLineChars="200"/>
        <w:jc w:val="left"/>
        <w:rPr>
          <w:rFonts w:ascii="Times New Roman" w:hAnsi="Times New Roman" w:eastAsia="仿宋" w:cs="Times New Roman"/>
          <w:color w:val="auto"/>
          <w:kern w:val="2"/>
          <w:szCs w:val="22"/>
        </w:rPr>
      </w:pPr>
      <w:r>
        <w:rPr>
          <w:rFonts w:hint="eastAsia" w:ascii="Times New Roman" w:hAnsi="Times New Roman" w:eastAsia="仿宋" w:cs="Times New Roman"/>
          <w:color w:val="auto"/>
          <w:kern w:val="2"/>
          <w:szCs w:val="22"/>
        </w:rPr>
        <w:t>（23）</w:t>
      </w:r>
      <w:r>
        <w:rPr>
          <w:rFonts w:ascii="Times New Roman" w:hAnsi="Times New Roman" w:eastAsia="仿宋" w:cs="Times New Roman"/>
          <w:color w:val="auto"/>
          <w:kern w:val="2"/>
          <w:szCs w:val="22"/>
        </w:rPr>
        <w:t>本项目相关的资料文件仅限本项目使用，不得以任何形式外传。</w:t>
      </w:r>
    </w:p>
    <w:p>
      <w:pPr>
        <w:spacing w:before="0" w:after="0" w:afterAutospacing="0" w:line="360" w:lineRule="auto"/>
        <w:ind w:left="0" w:right="0" w:firstLine="420" w:firstLineChars="200"/>
        <w:jc w:val="left"/>
        <w:rPr>
          <w:rFonts w:ascii="Times New Roman" w:hAnsi="Times New Roman" w:eastAsia="仿宋" w:cs="Times New Roman"/>
          <w:color w:val="auto"/>
          <w:kern w:val="2"/>
          <w:szCs w:val="22"/>
        </w:rPr>
      </w:pPr>
      <w:r>
        <w:rPr>
          <w:rFonts w:hint="eastAsia" w:ascii="Times New Roman" w:hAnsi="Times New Roman" w:eastAsia="仿宋" w:cs="Times New Roman"/>
          <w:color w:val="auto"/>
          <w:kern w:val="2"/>
          <w:szCs w:val="22"/>
        </w:rPr>
        <w:t>（24）</w:t>
      </w:r>
      <w:r>
        <w:rPr>
          <w:rFonts w:ascii="Times New Roman" w:hAnsi="Times New Roman" w:eastAsia="仿宋" w:cs="Times New Roman"/>
          <w:color w:val="auto"/>
          <w:kern w:val="2"/>
          <w:szCs w:val="22"/>
        </w:rPr>
        <w:t>投标文件中涉及的英文缩写需与本需求书缩写表保持一致。</w:t>
      </w:r>
    </w:p>
    <w:p>
      <w:pPr>
        <w:spacing w:before="0" w:after="0" w:afterAutospacing="0" w:line="360" w:lineRule="auto"/>
        <w:ind w:left="0" w:right="0" w:firstLine="420" w:firstLineChars="200"/>
        <w:jc w:val="left"/>
        <w:rPr>
          <w:rFonts w:ascii="Times New Roman" w:hAnsi="Times New Roman" w:eastAsia="仿宋" w:cs="Times New Roman"/>
          <w:color w:val="auto"/>
          <w:kern w:val="2"/>
          <w:szCs w:val="22"/>
        </w:rPr>
      </w:pPr>
      <w:r>
        <w:rPr>
          <w:rFonts w:hint="eastAsia" w:ascii="Times New Roman" w:hAnsi="Times New Roman" w:eastAsia="仿宋" w:cs="Times New Roman"/>
          <w:color w:val="auto"/>
          <w:kern w:val="2"/>
          <w:szCs w:val="22"/>
        </w:rPr>
        <w:t>（25）</w:t>
      </w:r>
      <w:r>
        <w:rPr>
          <w:rFonts w:hint="eastAsia" w:ascii="Times New Roman" w:hAnsi="Times New Roman" w:eastAsia="仿宋" w:cs="Times New Roman"/>
          <w:color w:val="auto"/>
          <w:kern w:val="2"/>
          <w:szCs w:val="22"/>
          <w:lang w:eastAsia="zh-CN"/>
        </w:rPr>
        <w:t>比选申请人</w:t>
      </w:r>
      <w:r>
        <w:rPr>
          <w:rFonts w:ascii="Times New Roman" w:hAnsi="Times New Roman" w:eastAsia="仿宋" w:cs="Times New Roman"/>
          <w:color w:val="auto"/>
          <w:kern w:val="2"/>
          <w:szCs w:val="22"/>
        </w:rPr>
        <w:t>提交的所有文件应使用简体中文。不论在合同谈判及签约后的工程建设期间，中文是主要的工作语言。</w:t>
      </w:r>
    </w:p>
    <w:p>
      <w:pPr>
        <w:spacing w:before="0" w:after="0" w:afterAutospacing="0" w:line="360" w:lineRule="auto"/>
        <w:ind w:left="0" w:right="0" w:firstLine="420" w:firstLineChars="200"/>
        <w:jc w:val="left"/>
        <w:rPr>
          <w:rFonts w:ascii="Times New Roman" w:hAnsi="Times New Roman" w:eastAsia="仿宋" w:cs="Times New Roman"/>
          <w:color w:val="auto"/>
          <w:kern w:val="2"/>
          <w:szCs w:val="22"/>
        </w:rPr>
      </w:pPr>
      <w:r>
        <w:rPr>
          <w:rFonts w:hint="eastAsia" w:ascii="Times New Roman" w:hAnsi="Times New Roman" w:eastAsia="仿宋" w:cs="Times New Roman"/>
          <w:color w:val="auto"/>
          <w:kern w:val="2"/>
          <w:szCs w:val="22"/>
        </w:rPr>
        <w:t>（26）</w:t>
      </w:r>
      <w:r>
        <w:rPr>
          <w:rFonts w:ascii="Times New Roman" w:hAnsi="Times New Roman" w:eastAsia="仿宋" w:cs="Times New Roman"/>
          <w:color w:val="auto"/>
          <w:kern w:val="2"/>
          <w:szCs w:val="22"/>
        </w:rPr>
        <w:t>本用户需求书的解释权归</w:t>
      </w:r>
      <w:r>
        <w:rPr>
          <w:rFonts w:hint="eastAsia" w:ascii="Times New Roman" w:hAnsi="Times New Roman" w:eastAsia="仿宋" w:cs="Times New Roman"/>
          <w:color w:val="auto"/>
          <w:kern w:val="2"/>
          <w:szCs w:val="22"/>
          <w:lang w:eastAsia="zh-CN"/>
        </w:rPr>
        <w:t>比选人</w:t>
      </w:r>
      <w:r>
        <w:rPr>
          <w:rFonts w:ascii="Times New Roman" w:hAnsi="Times New Roman" w:eastAsia="仿宋" w:cs="Times New Roman"/>
          <w:color w:val="auto"/>
          <w:kern w:val="2"/>
          <w:szCs w:val="22"/>
        </w:rPr>
        <w:t>。</w:t>
      </w:r>
    </w:p>
    <w:p>
      <w:pPr>
        <w:keepNext/>
        <w:numPr>
          <w:ilvl w:val="1"/>
          <w:numId w:val="7"/>
        </w:numPr>
        <w:spacing w:before="120" w:after="120" w:line="360" w:lineRule="auto"/>
        <w:outlineLvl w:val="1"/>
        <w:rPr>
          <w:rFonts w:ascii="Times New Roman" w:hAnsi="Times New Roman" w:eastAsia="仿宋" w:cs="Times New Roman"/>
          <w:b/>
          <w:color w:val="auto"/>
          <w:kern w:val="0"/>
          <w:sz w:val="30"/>
          <w:szCs w:val="30"/>
          <w:lang w:val="en-GB" w:eastAsia="zh-CN" w:bidi="ar-SA"/>
        </w:rPr>
      </w:pPr>
      <w:bookmarkStart w:id="739" w:name="_Toc18375"/>
      <w:r>
        <w:rPr>
          <w:rFonts w:ascii="Times New Roman" w:hAnsi="Times New Roman" w:eastAsia="仿宋" w:cs="Times New Roman"/>
          <w:b/>
          <w:color w:val="auto"/>
          <w:kern w:val="0"/>
          <w:sz w:val="30"/>
          <w:szCs w:val="30"/>
          <w:lang w:val="en-GB" w:eastAsia="zh-CN" w:bidi="ar-SA"/>
        </w:rPr>
        <w:t>名词</w:t>
      </w:r>
      <w:r>
        <w:rPr>
          <w:rFonts w:hint="eastAsia" w:ascii="Times New Roman" w:hAnsi="Times New Roman" w:eastAsia="仿宋" w:cs="Times New Roman"/>
          <w:b/>
          <w:color w:val="auto"/>
          <w:kern w:val="0"/>
          <w:sz w:val="30"/>
          <w:szCs w:val="30"/>
          <w:lang w:val="en-GB" w:eastAsia="zh-CN" w:bidi="ar-SA"/>
        </w:rPr>
        <w:t>解释</w:t>
      </w:r>
      <w:bookmarkEnd w:id="733"/>
      <w:bookmarkEnd w:id="734"/>
      <w:bookmarkEnd w:id="735"/>
      <w:bookmarkEnd w:id="736"/>
      <w:bookmarkEnd w:id="737"/>
      <w:bookmarkEnd w:id="738"/>
      <w:bookmarkEnd w:id="739"/>
    </w:p>
    <w:p>
      <w:pPr>
        <w:spacing w:before="0" w:after="0" w:afterAutospacing="0" w:line="360" w:lineRule="auto"/>
        <w:ind w:left="0" w:right="0" w:firstLine="420" w:firstLineChars="200"/>
        <w:jc w:val="left"/>
        <w:rPr>
          <w:rFonts w:ascii="Times New Roman" w:hAnsi="Times New Roman" w:eastAsia="仿宋" w:cs="Times New Roman"/>
          <w:color w:val="auto"/>
          <w:kern w:val="2"/>
          <w:szCs w:val="22"/>
        </w:rPr>
      </w:pPr>
      <w:r>
        <w:rPr>
          <w:rFonts w:hint="eastAsia" w:ascii="Times New Roman" w:hAnsi="Times New Roman" w:eastAsia="仿宋" w:cs="Times New Roman"/>
          <w:color w:val="auto"/>
          <w:kern w:val="2"/>
          <w:szCs w:val="22"/>
        </w:rPr>
        <w:t>（1）</w:t>
      </w:r>
      <w:r>
        <w:rPr>
          <w:rFonts w:hint="eastAsia" w:ascii="Times New Roman" w:hAnsi="Times New Roman" w:eastAsia="仿宋" w:cs="Times New Roman"/>
          <w:color w:val="auto"/>
          <w:kern w:val="2"/>
          <w:szCs w:val="22"/>
          <w:lang w:val="en-US" w:eastAsia="zh-CN"/>
        </w:rPr>
        <w:t>比选</w:t>
      </w:r>
      <w:r>
        <w:rPr>
          <w:rFonts w:ascii="Times New Roman" w:hAnsi="Times New Roman" w:eastAsia="仿宋" w:cs="Times New Roman"/>
          <w:color w:val="auto"/>
          <w:kern w:val="2"/>
          <w:szCs w:val="22"/>
        </w:rPr>
        <w:t>人：系指提出招标采购服务或货物的国家机关、企业、事业单位或其它组织。本</w:t>
      </w:r>
      <w:r>
        <w:rPr>
          <w:rFonts w:hint="eastAsia" w:ascii="Times New Roman" w:hAnsi="Times New Roman" w:eastAsia="仿宋" w:cs="Times New Roman"/>
          <w:color w:val="auto"/>
          <w:kern w:val="2"/>
          <w:szCs w:val="22"/>
          <w:lang w:val="en-US" w:eastAsia="zh-CN"/>
        </w:rPr>
        <w:t>用户需求书</w:t>
      </w:r>
      <w:r>
        <w:rPr>
          <w:rFonts w:ascii="Times New Roman" w:hAnsi="Times New Roman" w:eastAsia="仿宋" w:cs="Times New Roman"/>
          <w:color w:val="auto"/>
          <w:kern w:val="2"/>
          <w:szCs w:val="22"/>
        </w:rPr>
        <w:t>中</w:t>
      </w:r>
      <w:r>
        <w:rPr>
          <w:rFonts w:hint="eastAsia" w:ascii="Times New Roman" w:hAnsi="Times New Roman" w:eastAsia="仿宋" w:cs="Times New Roman"/>
          <w:color w:val="auto"/>
          <w:kern w:val="2"/>
          <w:szCs w:val="22"/>
          <w:lang w:val="en-US" w:eastAsia="zh-CN"/>
        </w:rPr>
        <w:t>比选</w:t>
      </w:r>
      <w:r>
        <w:rPr>
          <w:rFonts w:ascii="Times New Roman" w:hAnsi="Times New Roman" w:eastAsia="仿宋" w:cs="Times New Roman"/>
          <w:color w:val="auto"/>
          <w:kern w:val="2"/>
          <w:szCs w:val="22"/>
        </w:rPr>
        <w:t>人是指</w:t>
      </w:r>
      <w:r>
        <w:rPr>
          <w:rFonts w:hint="eastAsia" w:ascii="Times New Roman" w:hAnsi="Times New Roman" w:eastAsia="仿宋" w:cs="Times New Roman"/>
          <w:color w:val="auto"/>
          <w:kern w:val="2"/>
          <w:szCs w:val="22"/>
          <w:highlight w:val="none"/>
          <w:lang w:eastAsia="zh-CN"/>
        </w:rPr>
        <w:t>南宁轨道交通运营有限公司</w:t>
      </w:r>
      <w:r>
        <w:rPr>
          <w:rFonts w:ascii="Times New Roman" w:hAnsi="Times New Roman" w:eastAsia="仿宋" w:cs="Times New Roman"/>
          <w:color w:val="auto"/>
          <w:kern w:val="2"/>
          <w:szCs w:val="22"/>
        </w:rPr>
        <w:t>。</w:t>
      </w:r>
    </w:p>
    <w:p>
      <w:pPr>
        <w:spacing w:before="0" w:after="0" w:afterAutospacing="0" w:line="360" w:lineRule="auto"/>
        <w:ind w:left="0" w:right="0" w:firstLine="420" w:firstLineChars="200"/>
        <w:jc w:val="left"/>
        <w:rPr>
          <w:rFonts w:ascii="Times New Roman" w:hAnsi="Times New Roman" w:eastAsia="仿宋" w:cs="Times New Roman"/>
          <w:color w:val="auto"/>
          <w:kern w:val="2"/>
          <w:szCs w:val="22"/>
        </w:rPr>
      </w:pPr>
      <w:r>
        <w:rPr>
          <w:rFonts w:hint="eastAsia" w:ascii="Times New Roman" w:hAnsi="Times New Roman" w:eastAsia="仿宋" w:cs="Times New Roman"/>
          <w:color w:val="auto"/>
          <w:kern w:val="2"/>
          <w:szCs w:val="22"/>
        </w:rPr>
        <w:t>（2）</w:t>
      </w:r>
      <w:r>
        <w:rPr>
          <w:rFonts w:hint="eastAsia" w:ascii="Times New Roman" w:hAnsi="Times New Roman" w:eastAsia="仿宋" w:cs="Times New Roman"/>
          <w:color w:val="auto"/>
          <w:kern w:val="2"/>
          <w:szCs w:val="22"/>
          <w:lang w:val="en-US" w:eastAsia="zh-CN"/>
        </w:rPr>
        <w:t>比选申请人</w:t>
      </w:r>
      <w:r>
        <w:rPr>
          <w:rFonts w:ascii="Times New Roman" w:hAnsi="Times New Roman" w:eastAsia="仿宋" w:cs="Times New Roman"/>
          <w:color w:val="auto"/>
          <w:kern w:val="2"/>
          <w:szCs w:val="22"/>
        </w:rPr>
        <w:t>：</w:t>
      </w:r>
      <w:r>
        <w:rPr>
          <w:rFonts w:hint="eastAsia" w:ascii="Times New Roman" w:hAnsi="Times New Roman" w:eastAsia="仿宋" w:cs="Times New Roman"/>
          <w:color w:val="auto"/>
          <w:kern w:val="2"/>
          <w:szCs w:val="22"/>
        </w:rPr>
        <w:t>响应比选、参加比选申请竞争的法人或其他组织。</w:t>
      </w:r>
    </w:p>
    <w:p>
      <w:pPr>
        <w:spacing w:before="0" w:after="0" w:afterAutospacing="0" w:line="360" w:lineRule="auto"/>
        <w:ind w:left="0" w:right="0" w:firstLine="420" w:firstLineChars="200"/>
        <w:jc w:val="left"/>
        <w:rPr>
          <w:rFonts w:ascii="Times New Roman" w:hAnsi="Times New Roman" w:eastAsia="仿宋" w:cs="Times New Roman"/>
          <w:color w:val="auto"/>
          <w:kern w:val="2"/>
          <w:szCs w:val="22"/>
        </w:rPr>
      </w:pPr>
      <w:r>
        <w:rPr>
          <w:rFonts w:hint="eastAsia" w:ascii="Times New Roman" w:hAnsi="Times New Roman" w:eastAsia="仿宋" w:cs="Times New Roman"/>
          <w:color w:val="auto"/>
          <w:kern w:val="2"/>
          <w:szCs w:val="22"/>
        </w:rPr>
        <w:t>（</w:t>
      </w:r>
      <w:r>
        <w:rPr>
          <w:rFonts w:hint="eastAsia" w:ascii="Times New Roman" w:hAnsi="Times New Roman" w:eastAsia="仿宋" w:cs="Times New Roman"/>
          <w:color w:val="auto"/>
          <w:kern w:val="2"/>
          <w:szCs w:val="22"/>
          <w:lang w:val="en-US" w:eastAsia="zh-CN"/>
        </w:rPr>
        <w:t>3</w:t>
      </w:r>
      <w:r>
        <w:rPr>
          <w:rFonts w:hint="eastAsia" w:ascii="Times New Roman" w:hAnsi="Times New Roman" w:eastAsia="仿宋" w:cs="Times New Roman"/>
          <w:color w:val="auto"/>
          <w:kern w:val="2"/>
          <w:szCs w:val="22"/>
        </w:rPr>
        <w:t>）</w:t>
      </w:r>
      <w:r>
        <w:rPr>
          <w:rFonts w:ascii="Times New Roman" w:hAnsi="Times New Roman" w:eastAsia="仿宋" w:cs="Times New Roman"/>
          <w:color w:val="auto"/>
          <w:kern w:val="2"/>
          <w:szCs w:val="22"/>
        </w:rPr>
        <w:t>合同期限：是指专用条款中规定的时间期限，在此期间，合同条款对</w:t>
      </w:r>
      <w:r>
        <w:rPr>
          <w:rFonts w:hint="eastAsia" w:ascii="Times New Roman" w:hAnsi="Times New Roman" w:eastAsia="仿宋" w:cs="Times New Roman"/>
          <w:color w:val="auto"/>
          <w:kern w:val="2"/>
          <w:szCs w:val="22"/>
          <w:lang w:val="en-US" w:eastAsia="zh-CN"/>
        </w:rPr>
        <w:t>比选</w:t>
      </w:r>
      <w:r>
        <w:rPr>
          <w:rFonts w:hint="eastAsia" w:ascii="Times New Roman" w:hAnsi="Times New Roman" w:eastAsia="仿宋" w:cs="Times New Roman"/>
          <w:color w:val="auto"/>
          <w:kern w:val="2"/>
          <w:szCs w:val="22"/>
        </w:rPr>
        <w:t>人</w:t>
      </w:r>
      <w:r>
        <w:rPr>
          <w:rFonts w:ascii="Times New Roman" w:hAnsi="Times New Roman" w:eastAsia="仿宋" w:cs="Times New Roman"/>
          <w:color w:val="auto"/>
          <w:kern w:val="2"/>
          <w:szCs w:val="22"/>
        </w:rPr>
        <w:t>和</w:t>
      </w:r>
      <w:r>
        <w:rPr>
          <w:rFonts w:hint="eastAsia" w:ascii="Times New Roman" w:hAnsi="Times New Roman" w:eastAsia="仿宋" w:cs="Times New Roman"/>
          <w:color w:val="auto"/>
          <w:kern w:val="2"/>
          <w:szCs w:val="22"/>
          <w:lang w:val="en-US" w:eastAsia="zh-CN"/>
        </w:rPr>
        <w:t>比选申请</w:t>
      </w:r>
      <w:r>
        <w:rPr>
          <w:rFonts w:hint="eastAsia" w:ascii="Times New Roman" w:hAnsi="Times New Roman" w:eastAsia="仿宋" w:cs="Times New Roman"/>
          <w:color w:val="auto"/>
          <w:kern w:val="2"/>
          <w:szCs w:val="22"/>
        </w:rPr>
        <w:t>人</w:t>
      </w:r>
      <w:r>
        <w:rPr>
          <w:rFonts w:ascii="Times New Roman" w:hAnsi="Times New Roman" w:eastAsia="仿宋" w:cs="Times New Roman"/>
          <w:color w:val="auto"/>
          <w:kern w:val="2"/>
          <w:szCs w:val="22"/>
        </w:rPr>
        <w:t>与本项目相关的关系和义务具有约束力。</w:t>
      </w:r>
    </w:p>
    <w:p>
      <w:pPr>
        <w:spacing w:before="0" w:after="0" w:afterAutospacing="0" w:line="360" w:lineRule="auto"/>
        <w:ind w:left="0" w:right="0" w:firstLine="420" w:firstLineChars="200"/>
        <w:jc w:val="left"/>
        <w:rPr>
          <w:rFonts w:ascii="Times New Roman" w:hAnsi="Times New Roman" w:eastAsia="仿宋" w:cs="Times New Roman"/>
          <w:color w:val="auto"/>
          <w:kern w:val="2"/>
          <w:szCs w:val="22"/>
        </w:rPr>
      </w:pPr>
      <w:r>
        <w:rPr>
          <w:rFonts w:hint="eastAsia" w:ascii="Times New Roman" w:hAnsi="Times New Roman" w:eastAsia="仿宋" w:cs="Times New Roman"/>
          <w:color w:val="auto"/>
          <w:kern w:val="2"/>
          <w:szCs w:val="22"/>
        </w:rPr>
        <w:t>（</w:t>
      </w:r>
      <w:r>
        <w:rPr>
          <w:rFonts w:hint="eastAsia" w:ascii="Times New Roman" w:hAnsi="Times New Roman" w:eastAsia="仿宋" w:cs="Times New Roman"/>
          <w:color w:val="auto"/>
          <w:kern w:val="2"/>
          <w:szCs w:val="22"/>
          <w:lang w:val="en-US" w:eastAsia="zh-CN"/>
        </w:rPr>
        <w:t>4</w:t>
      </w:r>
      <w:r>
        <w:rPr>
          <w:rFonts w:hint="eastAsia" w:ascii="Times New Roman" w:hAnsi="Times New Roman" w:eastAsia="仿宋" w:cs="Times New Roman"/>
          <w:color w:val="auto"/>
          <w:kern w:val="2"/>
          <w:szCs w:val="22"/>
        </w:rPr>
        <w:t>）</w:t>
      </w:r>
      <w:r>
        <w:rPr>
          <w:rFonts w:ascii="Times New Roman" w:hAnsi="Times New Roman" w:eastAsia="仿宋" w:cs="Times New Roman"/>
          <w:color w:val="auto"/>
          <w:kern w:val="2"/>
          <w:szCs w:val="22"/>
        </w:rPr>
        <w:t>质保期（也称作“缺陷责任期”）：是指自项目初步验收通过后的规定时间内，</w:t>
      </w:r>
      <w:r>
        <w:rPr>
          <w:rFonts w:hint="eastAsia" w:ascii="Times New Roman" w:hAnsi="Times New Roman" w:eastAsia="仿宋" w:cs="Times New Roman"/>
          <w:color w:val="auto"/>
          <w:kern w:val="2"/>
          <w:szCs w:val="22"/>
          <w:lang w:val="en-US" w:eastAsia="zh-CN"/>
        </w:rPr>
        <w:t>比选申请</w:t>
      </w:r>
      <w:r>
        <w:rPr>
          <w:rFonts w:hint="eastAsia" w:ascii="Times New Roman" w:hAnsi="Times New Roman" w:eastAsia="仿宋" w:cs="Times New Roman"/>
          <w:color w:val="auto"/>
          <w:kern w:val="2"/>
          <w:szCs w:val="22"/>
        </w:rPr>
        <w:t>人</w:t>
      </w:r>
      <w:r>
        <w:rPr>
          <w:rFonts w:ascii="Times New Roman" w:hAnsi="Times New Roman" w:eastAsia="仿宋" w:cs="Times New Roman"/>
          <w:color w:val="auto"/>
          <w:kern w:val="2"/>
          <w:szCs w:val="22"/>
        </w:rPr>
        <w:t>提供本项目实施的所有软件系统质量保证的有效期限，在此期间，</w:t>
      </w:r>
      <w:r>
        <w:rPr>
          <w:rFonts w:hint="eastAsia" w:ascii="Times New Roman" w:hAnsi="Times New Roman" w:eastAsia="仿宋" w:cs="Times New Roman"/>
          <w:color w:val="auto"/>
          <w:kern w:val="2"/>
          <w:szCs w:val="22"/>
          <w:lang w:val="en-US" w:eastAsia="zh-CN"/>
        </w:rPr>
        <w:t>比选</w:t>
      </w:r>
      <w:r>
        <w:rPr>
          <w:rFonts w:hint="eastAsia" w:ascii="Times New Roman" w:hAnsi="Times New Roman" w:eastAsia="仿宋" w:cs="Times New Roman"/>
          <w:color w:val="auto"/>
          <w:kern w:val="2"/>
          <w:szCs w:val="22"/>
        </w:rPr>
        <w:t>人</w:t>
      </w:r>
      <w:r>
        <w:rPr>
          <w:rFonts w:ascii="Times New Roman" w:hAnsi="Times New Roman" w:eastAsia="仿宋" w:cs="Times New Roman"/>
          <w:color w:val="auto"/>
          <w:kern w:val="2"/>
          <w:szCs w:val="22"/>
        </w:rPr>
        <w:t>对软件系统（或相关的子系统）的缺陷负责。</w:t>
      </w:r>
    </w:p>
    <w:p>
      <w:pPr>
        <w:keepNext/>
        <w:keepLines/>
        <w:pageBreakBefore/>
        <w:numPr>
          <w:ilvl w:val="0"/>
          <w:numId w:val="7"/>
        </w:numPr>
        <w:spacing w:before="240" w:after="240" w:line="360" w:lineRule="auto"/>
        <w:outlineLvl w:val="0"/>
        <w:rPr>
          <w:rFonts w:ascii="Times New Roman" w:hAnsi="Times New Roman" w:eastAsia="仿宋" w:cs="Times New Roman"/>
          <w:b/>
          <w:color w:val="auto"/>
          <w:kern w:val="28"/>
          <w:sz w:val="32"/>
          <w:szCs w:val="30"/>
          <w:lang w:val="en-GB" w:eastAsia="zh-CN" w:bidi="ar-SA"/>
        </w:rPr>
      </w:pPr>
      <w:bookmarkStart w:id="740" w:name="_Toc676"/>
      <w:bookmarkStart w:id="741" w:name="_Toc49008434"/>
      <w:bookmarkStart w:id="742" w:name="_Toc5314"/>
      <w:bookmarkStart w:id="743" w:name="_Toc23223"/>
      <w:bookmarkStart w:id="744" w:name="_Toc49106835"/>
      <w:r>
        <w:rPr>
          <w:rFonts w:ascii="Times New Roman" w:hAnsi="Times New Roman" w:eastAsia="仿宋" w:cs="Times New Roman"/>
          <w:b/>
          <w:color w:val="auto"/>
          <w:kern w:val="28"/>
          <w:sz w:val="32"/>
          <w:szCs w:val="30"/>
          <w:lang w:val="en-GB" w:eastAsia="zh-CN" w:bidi="ar-SA"/>
        </w:rPr>
        <w:t>项目概况</w:t>
      </w:r>
      <w:bookmarkEnd w:id="740"/>
      <w:bookmarkEnd w:id="741"/>
      <w:bookmarkEnd w:id="742"/>
      <w:bookmarkEnd w:id="743"/>
      <w:bookmarkEnd w:id="744"/>
    </w:p>
    <w:p>
      <w:pPr>
        <w:keepNext/>
        <w:numPr>
          <w:ilvl w:val="1"/>
          <w:numId w:val="7"/>
        </w:numPr>
        <w:spacing w:before="120" w:after="120" w:line="360" w:lineRule="auto"/>
        <w:outlineLvl w:val="1"/>
        <w:rPr>
          <w:rFonts w:ascii="Times New Roman" w:hAnsi="Times New Roman" w:eastAsia="仿宋" w:cs="Times New Roman"/>
          <w:b/>
          <w:color w:val="auto"/>
          <w:kern w:val="0"/>
          <w:sz w:val="30"/>
          <w:szCs w:val="30"/>
          <w:lang w:val="en-GB" w:eastAsia="zh-CN" w:bidi="ar-SA"/>
        </w:rPr>
      </w:pPr>
      <w:bookmarkStart w:id="745" w:name="_Toc18313"/>
      <w:bookmarkStart w:id="746" w:name="_Toc8287"/>
      <w:bookmarkStart w:id="747" w:name="_Toc49008435"/>
      <w:bookmarkStart w:id="748" w:name="_Toc26836"/>
      <w:bookmarkStart w:id="749" w:name="_Toc49106836"/>
      <w:r>
        <w:rPr>
          <w:rFonts w:ascii="Times New Roman" w:hAnsi="Times New Roman" w:eastAsia="仿宋" w:cs="Times New Roman"/>
          <w:b/>
          <w:color w:val="auto"/>
          <w:kern w:val="0"/>
          <w:sz w:val="30"/>
          <w:szCs w:val="30"/>
          <w:lang w:val="en-GB" w:eastAsia="zh-CN" w:bidi="ar-SA"/>
        </w:rPr>
        <w:t>项目背景</w:t>
      </w:r>
      <w:bookmarkEnd w:id="745"/>
      <w:bookmarkEnd w:id="746"/>
      <w:bookmarkEnd w:id="747"/>
      <w:bookmarkEnd w:id="748"/>
      <w:bookmarkEnd w:id="749"/>
    </w:p>
    <w:p>
      <w:pPr>
        <w:spacing w:before="0" w:after="0" w:afterAutospacing="0" w:line="360" w:lineRule="auto"/>
        <w:ind w:left="0" w:right="0" w:firstLine="420" w:firstLineChars="200"/>
        <w:jc w:val="left"/>
        <w:rPr>
          <w:rFonts w:hint="eastAsia" w:ascii="Times New Roman" w:hAnsi="Times New Roman" w:eastAsia="仿宋" w:cs="Times New Roman"/>
          <w:color w:val="auto"/>
          <w:kern w:val="2"/>
          <w:szCs w:val="22"/>
          <w:lang w:val="en-US" w:eastAsia="zh-CN"/>
        </w:rPr>
      </w:pPr>
      <w:r>
        <w:rPr>
          <w:rFonts w:hint="eastAsia" w:ascii="Times New Roman" w:hAnsi="Times New Roman" w:eastAsia="仿宋" w:cs="Times New Roman"/>
          <w:color w:val="auto"/>
          <w:kern w:val="2"/>
          <w:szCs w:val="22"/>
          <w:lang w:val="en-US" w:eastAsia="zh-CN"/>
        </w:rPr>
        <w:t>随着南宁地铁线路的快速扩张，线路在不断延长，车站也在增多，区间设备设施也更复杂，目前调度指挥中心的员工因为专业学习和业务提升需要，会定期组织员工分批前往车站、区间隧道、车站设备房等场所了解结构设施和设备分布，但南宁地铁已形成线网，隧道线路过长，并且员工培训人数多，培训时间和效果受限，因此提出该项目研究并制作南宁轨道交通VR实景系统，便于展示地铁线路设备设施，提升员工培训效率。</w:t>
      </w:r>
    </w:p>
    <w:p>
      <w:pPr>
        <w:spacing w:before="0" w:after="0" w:afterAutospacing="0" w:line="360" w:lineRule="auto"/>
        <w:ind w:left="0" w:right="0" w:firstLine="420" w:firstLineChars="200"/>
        <w:jc w:val="left"/>
        <w:rPr>
          <w:rFonts w:hint="eastAsia" w:ascii="Times New Roman" w:hAnsi="Times New Roman" w:eastAsia="仿宋" w:cs="Times New Roman"/>
          <w:color w:val="auto"/>
          <w:kern w:val="2"/>
          <w:szCs w:val="22"/>
          <w:lang w:val="en-US" w:eastAsia="zh-CN"/>
        </w:rPr>
      </w:pPr>
      <w:r>
        <w:rPr>
          <w:rFonts w:hint="eastAsia" w:ascii="Times New Roman" w:hAnsi="Times New Roman" w:eastAsia="仿宋" w:cs="Times New Roman"/>
          <w:color w:val="auto"/>
          <w:kern w:val="2"/>
          <w:szCs w:val="22"/>
          <w:lang w:val="en-US" w:eastAsia="zh-CN"/>
        </w:rPr>
        <w:t>结合南宁轨道交通调度员及新员工现阶段存在的问题：</w:t>
      </w:r>
    </w:p>
    <w:p>
      <w:pPr>
        <w:spacing w:before="0" w:after="0" w:afterAutospacing="0" w:line="360" w:lineRule="auto"/>
        <w:ind w:left="0" w:right="0" w:firstLine="420" w:firstLineChars="200"/>
        <w:jc w:val="left"/>
        <w:rPr>
          <w:rFonts w:hint="eastAsia" w:ascii="Times New Roman" w:hAnsi="Times New Roman" w:eastAsia="仿宋" w:cs="Times New Roman"/>
          <w:color w:val="auto"/>
          <w:kern w:val="2"/>
          <w:szCs w:val="22"/>
          <w:lang w:val="en-US" w:eastAsia="zh-CN"/>
        </w:rPr>
      </w:pPr>
      <w:r>
        <w:rPr>
          <w:rFonts w:hint="eastAsia" w:ascii="Times New Roman" w:hAnsi="Times New Roman" w:eastAsia="仿宋" w:cs="Times New Roman"/>
          <w:color w:val="auto"/>
          <w:kern w:val="2"/>
          <w:szCs w:val="22"/>
          <w:lang w:val="en-US" w:eastAsia="zh-CN"/>
        </w:rPr>
        <w:t>（1）隧道内设备设施不熟悉</w:t>
      </w:r>
    </w:p>
    <w:p>
      <w:pPr>
        <w:spacing w:before="0" w:after="0" w:afterAutospacing="0" w:line="360" w:lineRule="auto"/>
        <w:ind w:left="0" w:right="0" w:firstLine="420" w:firstLineChars="200"/>
        <w:jc w:val="left"/>
        <w:rPr>
          <w:rFonts w:hint="eastAsia" w:ascii="Times New Roman" w:hAnsi="Times New Roman" w:eastAsia="仿宋" w:cs="Times New Roman"/>
          <w:color w:val="auto"/>
          <w:kern w:val="2"/>
          <w:szCs w:val="22"/>
          <w:lang w:val="en-US" w:eastAsia="zh-CN"/>
        </w:rPr>
      </w:pPr>
      <w:r>
        <w:rPr>
          <w:rFonts w:hint="eastAsia" w:ascii="Times New Roman" w:hAnsi="Times New Roman" w:eastAsia="仿宋" w:cs="Times New Roman"/>
          <w:color w:val="auto"/>
          <w:kern w:val="2"/>
          <w:szCs w:val="22"/>
          <w:lang w:val="en-US" w:eastAsia="zh-CN"/>
        </w:rPr>
        <w:t>调度员接报车站或区间隧道设备设施故障等异常相关事件信息时，无法及时确认该设备归属部门，调度员需要通知各生产调度前往查看，确认时间过程长。</w:t>
      </w:r>
    </w:p>
    <w:p>
      <w:pPr>
        <w:spacing w:before="0" w:after="0" w:afterAutospacing="0" w:line="360" w:lineRule="auto"/>
        <w:ind w:left="0" w:right="0" w:firstLine="420" w:firstLineChars="200"/>
        <w:jc w:val="left"/>
        <w:rPr>
          <w:rFonts w:hint="eastAsia" w:ascii="Times New Roman" w:hAnsi="Times New Roman" w:eastAsia="仿宋" w:cs="Times New Roman"/>
          <w:color w:val="auto"/>
          <w:kern w:val="2"/>
          <w:szCs w:val="22"/>
          <w:lang w:val="en-US" w:eastAsia="zh-CN"/>
        </w:rPr>
      </w:pPr>
      <w:r>
        <w:rPr>
          <w:rFonts w:hint="eastAsia" w:ascii="Times New Roman" w:hAnsi="Times New Roman" w:eastAsia="仿宋" w:cs="Times New Roman"/>
          <w:color w:val="auto"/>
          <w:kern w:val="2"/>
          <w:szCs w:val="22"/>
          <w:lang w:val="en-US" w:eastAsia="zh-CN"/>
        </w:rPr>
        <w:t>（2）设备设施培训学习单一</w:t>
      </w:r>
    </w:p>
    <w:p>
      <w:pPr>
        <w:spacing w:before="0" w:after="0" w:afterAutospacing="0" w:line="360" w:lineRule="auto"/>
        <w:ind w:left="0" w:right="0" w:firstLine="420" w:firstLineChars="200"/>
        <w:jc w:val="left"/>
        <w:rPr>
          <w:rFonts w:hint="eastAsia" w:ascii="Times New Roman" w:hAnsi="Times New Roman" w:eastAsia="仿宋" w:cs="Times New Roman"/>
          <w:color w:val="auto"/>
          <w:kern w:val="2"/>
          <w:szCs w:val="22"/>
          <w:lang w:val="en-US" w:eastAsia="zh-CN"/>
        </w:rPr>
      </w:pPr>
      <w:r>
        <w:rPr>
          <w:rFonts w:hint="eastAsia" w:ascii="Times New Roman" w:hAnsi="Times New Roman" w:eastAsia="仿宋" w:cs="Times New Roman"/>
          <w:color w:val="auto"/>
          <w:kern w:val="2"/>
          <w:szCs w:val="22"/>
          <w:lang w:val="en-US" w:eastAsia="zh-CN"/>
        </w:rPr>
        <w:t>调度员对隧道现场设备设施的学习均在地铁筹备时开展，地铁运营后下现场学习地点多数在车站或设备房，现场学习地点局限；隧道现场设备设施多，培训素材|种类多，培训时间少，有些知识点在培训环节过程中难以口述或一些非直观的演示，直观学习机会少；调度员下现场学习，多利用下班或者休息时间开展，会产生排斥心理，培训过程中会出现精神不集中，积极性不高。</w:t>
      </w:r>
    </w:p>
    <w:p>
      <w:pPr>
        <w:spacing w:before="0" w:after="0" w:afterAutospacing="0" w:line="360" w:lineRule="auto"/>
        <w:ind w:left="0" w:right="0" w:firstLine="420" w:firstLineChars="200"/>
        <w:jc w:val="left"/>
        <w:rPr>
          <w:rFonts w:hint="eastAsia" w:ascii="Times New Roman" w:hAnsi="Times New Roman" w:eastAsia="仿宋" w:cs="Times New Roman"/>
          <w:color w:val="auto"/>
          <w:kern w:val="2"/>
          <w:szCs w:val="22"/>
          <w:lang w:val="en-US" w:eastAsia="zh-CN"/>
        </w:rPr>
      </w:pPr>
      <w:r>
        <w:rPr>
          <w:rFonts w:hint="eastAsia" w:ascii="Times New Roman" w:hAnsi="Times New Roman" w:eastAsia="仿宋" w:cs="Times New Roman"/>
          <w:color w:val="auto"/>
          <w:kern w:val="2"/>
          <w:szCs w:val="22"/>
          <w:lang w:val="en-US" w:eastAsia="zh-CN"/>
        </w:rPr>
        <w:t>从技术上来讲，VR技术已经比较成熟，在全国很多行业都有应用，VR技术作为前沿的科学技术，现阶段被广泛应用于城市规划室内设计、工业仿真、古迹复原、桥梁道路设计、房地产销售、旅游教学、水利电力、地质灾害、教育培训等众多领域。随着《中国城市轨道交通智慧城轨发展纲要》的发布，高新技术不断在智慧城轨方面深入探索并得到实际应用。在信息化、数字化时代背景下，VR技术与实景教学与培训的结合成为了必然趋势。</w:t>
      </w:r>
    </w:p>
    <w:p>
      <w:pPr>
        <w:spacing w:before="0" w:after="0" w:afterAutospacing="0" w:line="360" w:lineRule="auto"/>
        <w:ind w:left="0" w:right="0" w:firstLine="420" w:firstLineChars="200"/>
        <w:jc w:val="left"/>
        <w:rPr>
          <w:rFonts w:hint="eastAsia" w:ascii="Times New Roman" w:hAnsi="Times New Roman" w:eastAsia="仿宋" w:cs="Times New Roman"/>
          <w:color w:val="auto"/>
          <w:kern w:val="2"/>
          <w:szCs w:val="22"/>
          <w:lang w:val="en-US" w:eastAsia="zh-CN"/>
        </w:rPr>
      </w:pPr>
      <w:r>
        <w:rPr>
          <w:rFonts w:hint="eastAsia" w:ascii="Times New Roman" w:hAnsi="Times New Roman" w:eastAsia="仿宋" w:cs="Times New Roman"/>
          <w:color w:val="auto"/>
          <w:kern w:val="2"/>
          <w:szCs w:val="22"/>
          <w:lang w:val="en-US" w:eastAsia="zh-CN"/>
        </w:rPr>
        <w:t>调度指挥中心的调度VR-QC小组在2021年已完成一个车站及隧道局部的VR展示样品，获得了较高的认可，同时该样品被选为我司参加第三届广西职工技术创新成果展示的作品之一。该项目在此基础上进行拓展与创新，未来将更好地向乘客展示南宁轨道交通的品牌形象。</w:t>
      </w:r>
    </w:p>
    <w:p>
      <w:pPr>
        <w:keepNext/>
        <w:numPr>
          <w:ilvl w:val="1"/>
          <w:numId w:val="7"/>
        </w:numPr>
        <w:spacing w:before="120" w:after="120" w:line="360" w:lineRule="auto"/>
        <w:outlineLvl w:val="1"/>
        <w:rPr>
          <w:rFonts w:ascii="Times New Roman" w:hAnsi="Times New Roman" w:eastAsia="仿宋" w:cs="Times New Roman"/>
          <w:b/>
          <w:color w:val="auto"/>
          <w:kern w:val="0"/>
          <w:sz w:val="30"/>
          <w:szCs w:val="30"/>
          <w:lang w:val="en-GB" w:eastAsia="zh-CN" w:bidi="ar-SA"/>
        </w:rPr>
      </w:pPr>
      <w:bookmarkStart w:id="750" w:name="_Toc49106837"/>
      <w:bookmarkStart w:id="751" w:name="_Toc27678"/>
      <w:bookmarkStart w:id="752" w:name="_Toc23965"/>
      <w:bookmarkStart w:id="753" w:name="_Toc22718"/>
      <w:bookmarkStart w:id="754" w:name="_Toc49008436"/>
      <w:r>
        <w:rPr>
          <w:rFonts w:ascii="Times New Roman" w:hAnsi="Times New Roman" w:eastAsia="仿宋" w:cs="Times New Roman"/>
          <w:b/>
          <w:color w:val="auto"/>
          <w:kern w:val="0"/>
          <w:sz w:val="30"/>
          <w:szCs w:val="30"/>
          <w:lang w:val="en-GB" w:eastAsia="zh-CN" w:bidi="ar-SA"/>
        </w:rPr>
        <w:t>项目目标</w:t>
      </w:r>
      <w:bookmarkEnd w:id="750"/>
      <w:bookmarkEnd w:id="751"/>
      <w:bookmarkEnd w:id="752"/>
      <w:bookmarkEnd w:id="753"/>
      <w:bookmarkEnd w:id="754"/>
    </w:p>
    <w:p>
      <w:pPr>
        <w:spacing w:before="0" w:after="0" w:afterAutospacing="0" w:line="360" w:lineRule="auto"/>
        <w:ind w:left="0" w:right="0" w:firstLine="420" w:firstLineChars="200"/>
        <w:jc w:val="left"/>
        <w:rPr>
          <w:rFonts w:hint="eastAsia" w:ascii="Times New Roman" w:hAnsi="Times New Roman" w:eastAsia="仿宋" w:cs="Times New Roman"/>
          <w:color w:val="auto"/>
          <w:kern w:val="2"/>
          <w:szCs w:val="22"/>
          <w:lang w:val="en-US" w:eastAsia="zh-CN"/>
        </w:rPr>
      </w:pPr>
      <w:r>
        <w:rPr>
          <w:rFonts w:hint="eastAsia" w:ascii="Times New Roman" w:hAnsi="Times New Roman" w:eastAsia="仿宋" w:cs="Times New Roman"/>
          <w:color w:val="auto"/>
          <w:kern w:val="2"/>
          <w:szCs w:val="22"/>
          <w:lang w:val="en-US" w:eastAsia="zh-CN"/>
        </w:rPr>
        <w:t>（1）通过采集车站、区间隧道、车站设备房的实景，制作出标注有隧道结构、设备名称和相关注释的车站和隧道的VR全景，清晰直观的展示各区域的设备设施以及相关功能介绍，极大地提高调度员对车站和区间隧道设备的熟悉程度和学习兴趣，让调度员可以随时随地的学习，而又不局限于去下现场的学习。</w:t>
      </w:r>
    </w:p>
    <w:p>
      <w:pPr>
        <w:spacing w:before="0" w:after="0" w:afterAutospacing="0" w:line="360" w:lineRule="auto"/>
        <w:ind w:left="0" w:right="0" w:firstLine="420" w:firstLineChars="200"/>
        <w:jc w:val="left"/>
        <w:rPr>
          <w:rFonts w:hint="eastAsia" w:ascii="Times New Roman" w:hAnsi="Times New Roman" w:eastAsia="仿宋" w:cs="Times New Roman"/>
          <w:color w:val="auto"/>
          <w:kern w:val="2"/>
          <w:szCs w:val="22"/>
          <w:lang w:val="en-US" w:eastAsia="zh-CN"/>
        </w:rPr>
      </w:pPr>
      <w:r>
        <w:rPr>
          <w:rFonts w:hint="eastAsia" w:ascii="Times New Roman" w:hAnsi="Times New Roman" w:eastAsia="仿宋" w:cs="Times New Roman"/>
          <w:color w:val="auto"/>
          <w:kern w:val="2"/>
          <w:szCs w:val="22"/>
          <w:lang w:val="en-US" w:eastAsia="zh-CN"/>
        </w:rPr>
        <w:t>（2）通过该套VR全景系统，可以提供给全公司员工学习、培训的使用。</w:t>
      </w:r>
    </w:p>
    <w:p>
      <w:pPr>
        <w:spacing w:before="0" w:after="0" w:afterAutospacing="0" w:line="360" w:lineRule="auto"/>
        <w:ind w:left="0" w:right="0" w:firstLine="420" w:firstLineChars="200"/>
        <w:jc w:val="left"/>
        <w:rPr>
          <w:rFonts w:hint="eastAsia" w:ascii="Times New Roman" w:hAnsi="Times New Roman" w:eastAsia="仿宋" w:cs="Times New Roman"/>
          <w:color w:val="auto"/>
          <w:kern w:val="2"/>
          <w:szCs w:val="22"/>
          <w:lang w:val="en-US" w:eastAsia="zh-CN"/>
        </w:rPr>
      </w:pPr>
      <w:r>
        <w:rPr>
          <w:rFonts w:hint="eastAsia" w:ascii="Times New Roman" w:hAnsi="Times New Roman" w:eastAsia="仿宋" w:cs="Times New Roman"/>
          <w:color w:val="auto"/>
          <w:kern w:val="2"/>
          <w:szCs w:val="22"/>
          <w:lang w:val="en-US" w:eastAsia="zh-CN"/>
        </w:rPr>
        <w:t>（3）通过南宁轨道交通VR展示系统，向乘客展现南宁轨道交通的运营特色，进一步塑造运营品牌的行业知名度。</w:t>
      </w:r>
    </w:p>
    <w:p>
      <w:pPr>
        <w:keepNext/>
        <w:numPr>
          <w:ilvl w:val="1"/>
          <w:numId w:val="7"/>
        </w:numPr>
        <w:spacing w:before="120" w:after="120" w:line="360" w:lineRule="auto"/>
        <w:outlineLvl w:val="1"/>
        <w:rPr>
          <w:rFonts w:ascii="Times New Roman" w:hAnsi="Times New Roman" w:eastAsia="仿宋" w:cs="Times New Roman"/>
          <w:b/>
          <w:color w:val="auto"/>
          <w:kern w:val="0"/>
          <w:sz w:val="30"/>
          <w:szCs w:val="30"/>
          <w:lang w:val="en-GB" w:eastAsia="zh-CN" w:bidi="ar-SA"/>
        </w:rPr>
      </w:pPr>
      <w:bookmarkStart w:id="755" w:name="_Toc49106838"/>
      <w:bookmarkStart w:id="756" w:name="_Toc23890"/>
      <w:bookmarkStart w:id="757" w:name="_Toc49008437"/>
      <w:bookmarkStart w:id="758" w:name="_Toc1572"/>
      <w:bookmarkStart w:id="759" w:name="_Toc19533"/>
      <w:r>
        <w:rPr>
          <w:rFonts w:ascii="Times New Roman" w:hAnsi="Times New Roman" w:eastAsia="仿宋" w:cs="Times New Roman"/>
          <w:b/>
          <w:color w:val="auto"/>
          <w:kern w:val="0"/>
          <w:sz w:val="30"/>
          <w:szCs w:val="30"/>
          <w:lang w:val="en-GB" w:eastAsia="zh-CN" w:bidi="ar-SA"/>
        </w:rPr>
        <w:t>项目范围</w:t>
      </w:r>
      <w:bookmarkEnd w:id="755"/>
      <w:bookmarkEnd w:id="756"/>
      <w:bookmarkEnd w:id="757"/>
      <w:bookmarkEnd w:id="758"/>
      <w:bookmarkEnd w:id="759"/>
    </w:p>
    <w:p>
      <w:pPr>
        <w:spacing w:before="0" w:after="0" w:afterAutospacing="0" w:line="360" w:lineRule="auto"/>
        <w:ind w:left="0" w:right="0" w:firstLine="420" w:firstLineChars="200"/>
        <w:jc w:val="left"/>
        <w:rPr>
          <w:rFonts w:hint="eastAsia" w:ascii="Times New Roman" w:hAnsi="Times New Roman" w:eastAsia="仿宋" w:cs="Times New Roman"/>
          <w:color w:val="auto"/>
          <w:kern w:val="2"/>
          <w:szCs w:val="22"/>
          <w:lang w:val="en-US" w:eastAsia="zh-CN"/>
        </w:rPr>
      </w:pPr>
      <w:r>
        <w:rPr>
          <w:rFonts w:hint="eastAsia" w:ascii="Times New Roman" w:hAnsi="Times New Roman" w:eastAsia="仿宋" w:cs="Times New Roman"/>
          <w:color w:val="auto"/>
          <w:kern w:val="2"/>
          <w:szCs w:val="22"/>
          <w:lang w:val="en-US" w:eastAsia="zh-CN"/>
        </w:rPr>
        <w:t>1号线南湖站站厅站台及设备房、南湖至麻村站上下行区间、1、2号线朝阳广场站联络线区间、南宁轨道交通控制中心。</w:t>
      </w:r>
    </w:p>
    <w:p>
      <w:pPr>
        <w:keepNext/>
        <w:numPr>
          <w:ilvl w:val="1"/>
          <w:numId w:val="7"/>
        </w:numPr>
        <w:spacing w:before="120" w:after="120" w:line="360" w:lineRule="auto"/>
        <w:outlineLvl w:val="1"/>
        <w:rPr>
          <w:rFonts w:ascii="Times New Roman" w:hAnsi="Times New Roman" w:eastAsia="仿宋" w:cs="Times New Roman"/>
          <w:b/>
          <w:color w:val="auto"/>
          <w:kern w:val="0"/>
          <w:sz w:val="30"/>
          <w:szCs w:val="30"/>
          <w:lang w:val="en-GB" w:eastAsia="zh-CN" w:bidi="ar-SA"/>
        </w:rPr>
      </w:pPr>
      <w:bookmarkStart w:id="760" w:name="_Toc49106840"/>
      <w:bookmarkStart w:id="761" w:name="_Toc16668"/>
      <w:bookmarkStart w:id="762" w:name="_Toc49008439"/>
      <w:bookmarkStart w:id="763" w:name="_Toc23883"/>
      <w:bookmarkStart w:id="764" w:name="_Toc16451"/>
      <w:r>
        <w:rPr>
          <w:rFonts w:ascii="Times New Roman" w:hAnsi="Times New Roman" w:eastAsia="仿宋" w:cs="Times New Roman"/>
          <w:b/>
          <w:color w:val="auto"/>
          <w:kern w:val="0"/>
          <w:sz w:val="30"/>
          <w:szCs w:val="30"/>
          <w:lang w:val="en-GB" w:eastAsia="zh-CN" w:bidi="ar-SA"/>
        </w:rPr>
        <w:t>项目进度要求</w:t>
      </w:r>
      <w:bookmarkEnd w:id="760"/>
      <w:bookmarkEnd w:id="761"/>
      <w:bookmarkEnd w:id="762"/>
      <w:bookmarkEnd w:id="763"/>
      <w:bookmarkEnd w:id="764"/>
    </w:p>
    <w:p>
      <w:pPr>
        <w:spacing w:before="0" w:after="0" w:afterAutospacing="0" w:line="360" w:lineRule="auto"/>
        <w:ind w:left="0" w:right="0" w:firstLine="420" w:firstLineChars="200"/>
        <w:jc w:val="left"/>
        <w:rPr>
          <w:rFonts w:hint="eastAsia" w:ascii="Times New Roman" w:hAnsi="Times New Roman" w:eastAsia="仿宋" w:cs="Times New Roman"/>
          <w:color w:val="auto"/>
          <w:kern w:val="2"/>
          <w:szCs w:val="22"/>
          <w:lang w:val="en-US" w:eastAsia="zh-CN"/>
        </w:rPr>
      </w:pPr>
      <w:r>
        <w:rPr>
          <w:rFonts w:hint="eastAsia" w:ascii="Times New Roman" w:hAnsi="Times New Roman" w:eastAsia="仿宋" w:cs="Times New Roman"/>
          <w:color w:val="auto"/>
          <w:kern w:val="2"/>
          <w:szCs w:val="22"/>
          <w:lang w:val="en-US" w:eastAsia="zh-CN"/>
        </w:rPr>
        <w:t>为能有效地控制项目的质量，确保工作进度，各阶段任务进度分解如表2-1所示（更详细的进度计划将与最终中标单位进行协商制定）：</w:t>
      </w:r>
    </w:p>
    <w:p>
      <w:pPr>
        <w:spacing w:before="0" w:after="0" w:afterAutospacing="0" w:line="360" w:lineRule="exact"/>
        <w:ind w:left="0" w:right="0" w:firstLine="0"/>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表2-1项目各阶段任务进度表</w:t>
      </w:r>
    </w:p>
    <w:tbl>
      <w:tblPr>
        <w:tblStyle w:val="29"/>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3545"/>
        <w:gridCol w:w="2205"/>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1" w:type="dxa"/>
            <w:noWrap w:val="0"/>
            <w:vAlign w:val="center"/>
          </w:tcPr>
          <w:p>
            <w:pPr>
              <w:spacing w:before="0" w:after="0" w:afterAutospacing="0" w:line="360" w:lineRule="auto"/>
              <w:ind w:left="0" w:right="0" w:firstLine="0"/>
              <w:jc w:val="center"/>
              <w:rPr>
                <w:rFonts w:hint="eastAsia" w:ascii="仿宋" w:hAnsi="仿宋" w:eastAsia="仿宋" w:cs="仿宋"/>
                <w:b/>
                <w:color w:val="auto"/>
                <w:kern w:val="2"/>
                <w:sz w:val="21"/>
                <w:szCs w:val="21"/>
              </w:rPr>
            </w:pPr>
            <w:r>
              <w:rPr>
                <w:rFonts w:hint="eastAsia" w:ascii="仿宋" w:hAnsi="仿宋" w:eastAsia="仿宋" w:cs="仿宋"/>
                <w:b/>
                <w:color w:val="auto"/>
                <w:kern w:val="2"/>
                <w:sz w:val="21"/>
                <w:szCs w:val="21"/>
              </w:rPr>
              <w:t>序号</w:t>
            </w:r>
          </w:p>
        </w:tc>
        <w:tc>
          <w:tcPr>
            <w:tcW w:w="3545" w:type="dxa"/>
            <w:noWrap w:val="0"/>
            <w:vAlign w:val="center"/>
          </w:tcPr>
          <w:p>
            <w:pPr>
              <w:spacing w:before="0" w:after="0" w:afterAutospacing="0" w:line="360" w:lineRule="auto"/>
              <w:ind w:left="0" w:right="0" w:firstLine="0"/>
              <w:jc w:val="center"/>
              <w:rPr>
                <w:rFonts w:hint="eastAsia" w:ascii="仿宋" w:hAnsi="仿宋" w:eastAsia="仿宋" w:cs="仿宋"/>
                <w:b/>
                <w:color w:val="auto"/>
                <w:kern w:val="2"/>
                <w:sz w:val="21"/>
                <w:szCs w:val="21"/>
              </w:rPr>
            </w:pPr>
            <w:r>
              <w:rPr>
                <w:rFonts w:hint="eastAsia" w:ascii="仿宋" w:hAnsi="仿宋" w:eastAsia="仿宋" w:cs="仿宋"/>
                <w:b/>
                <w:color w:val="auto"/>
                <w:kern w:val="2"/>
                <w:sz w:val="21"/>
                <w:szCs w:val="21"/>
              </w:rPr>
              <w:t>工作阶段</w:t>
            </w:r>
          </w:p>
        </w:tc>
        <w:tc>
          <w:tcPr>
            <w:tcW w:w="2205" w:type="dxa"/>
            <w:noWrap w:val="0"/>
            <w:vAlign w:val="center"/>
          </w:tcPr>
          <w:p>
            <w:pPr>
              <w:spacing w:before="0" w:after="0" w:afterAutospacing="0" w:line="360" w:lineRule="auto"/>
              <w:ind w:left="0" w:right="0" w:firstLine="0"/>
              <w:jc w:val="center"/>
              <w:rPr>
                <w:rFonts w:hint="eastAsia" w:ascii="仿宋" w:hAnsi="仿宋" w:eastAsia="仿宋" w:cs="仿宋"/>
                <w:b/>
                <w:color w:val="auto"/>
                <w:kern w:val="2"/>
                <w:sz w:val="21"/>
                <w:szCs w:val="21"/>
              </w:rPr>
            </w:pPr>
            <w:r>
              <w:rPr>
                <w:rFonts w:hint="eastAsia" w:ascii="仿宋" w:hAnsi="仿宋" w:eastAsia="仿宋" w:cs="仿宋"/>
                <w:b/>
                <w:color w:val="auto"/>
                <w:kern w:val="2"/>
                <w:sz w:val="21"/>
                <w:szCs w:val="21"/>
              </w:rPr>
              <w:t>开始时间</w:t>
            </w:r>
          </w:p>
        </w:tc>
        <w:tc>
          <w:tcPr>
            <w:tcW w:w="1939" w:type="dxa"/>
            <w:noWrap w:val="0"/>
            <w:vAlign w:val="center"/>
          </w:tcPr>
          <w:p>
            <w:pPr>
              <w:spacing w:before="0" w:after="0" w:afterAutospacing="0" w:line="360" w:lineRule="auto"/>
              <w:ind w:left="0" w:right="0" w:firstLine="0"/>
              <w:jc w:val="center"/>
              <w:rPr>
                <w:rFonts w:hint="eastAsia" w:ascii="仿宋" w:hAnsi="仿宋" w:eastAsia="仿宋" w:cs="仿宋"/>
                <w:b/>
                <w:color w:val="auto"/>
                <w:kern w:val="2"/>
                <w:sz w:val="21"/>
                <w:szCs w:val="21"/>
              </w:rPr>
            </w:pPr>
            <w:r>
              <w:rPr>
                <w:rFonts w:hint="eastAsia" w:ascii="仿宋" w:hAnsi="仿宋" w:eastAsia="仿宋" w:cs="仿宋"/>
                <w:b/>
                <w:color w:val="auto"/>
                <w:kern w:val="2"/>
                <w:sz w:val="21"/>
                <w:szCs w:val="21"/>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1" w:type="dxa"/>
            <w:noWrap w:val="0"/>
            <w:vAlign w:val="center"/>
          </w:tcPr>
          <w:p>
            <w:pPr>
              <w:spacing w:before="0" w:after="0" w:afterAutospacing="0" w:line="360" w:lineRule="auto"/>
              <w:ind w:left="0" w:right="0" w:firstLine="0"/>
              <w:jc w:val="center"/>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1</w:t>
            </w:r>
          </w:p>
        </w:tc>
        <w:tc>
          <w:tcPr>
            <w:tcW w:w="3545" w:type="dxa"/>
            <w:noWrap w:val="0"/>
            <w:vAlign w:val="center"/>
          </w:tcPr>
          <w:p>
            <w:pPr>
              <w:spacing w:before="0" w:after="0" w:afterAutospacing="0" w:line="360" w:lineRule="auto"/>
              <w:ind w:left="0" w:right="0" w:firstLine="0"/>
              <w:jc w:val="center"/>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项目启动</w:t>
            </w:r>
          </w:p>
        </w:tc>
        <w:tc>
          <w:tcPr>
            <w:tcW w:w="2205" w:type="dxa"/>
            <w:noWrap w:val="0"/>
            <w:vAlign w:val="center"/>
          </w:tcPr>
          <w:p>
            <w:pPr>
              <w:spacing w:before="0" w:after="0" w:afterAutospacing="0" w:line="360" w:lineRule="auto"/>
              <w:ind w:left="0" w:right="0" w:firstLine="0"/>
              <w:jc w:val="center"/>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合同签订之日</w:t>
            </w:r>
          </w:p>
        </w:tc>
        <w:tc>
          <w:tcPr>
            <w:tcW w:w="1939" w:type="dxa"/>
            <w:noWrap w:val="0"/>
            <w:vAlign w:val="center"/>
          </w:tcPr>
          <w:p>
            <w:pPr>
              <w:spacing w:before="0" w:after="0" w:afterAutospacing="0" w:line="360" w:lineRule="auto"/>
              <w:ind w:left="0" w:right="0" w:firstLine="0"/>
              <w:jc w:val="center"/>
              <w:rPr>
                <w:rFonts w:hint="eastAsia"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T+0.5个月内完成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1" w:type="dxa"/>
            <w:noWrap w:val="0"/>
            <w:vAlign w:val="center"/>
          </w:tcPr>
          <w:p>
            <w:pPr>
              <w:spacing w:before="0" w:after="0" w:afterAutospacing="0" w:line="360" w:lineRule="auto"/>
              <w:ind w:left="0" w:right="0" w:firstLine="0"/>
              <w:jc w:val="center"/>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2</w:t>
            </w:r>
          </w:p>
        </w:tc>
        <w:tc>
          <w:tcPr>
            <w:tcW w:w="3545" w:type="dxa"/>
            <w:noWrap w:val="0"/>
            <w:vAlign w:val="center"/>
          </w:tcPr>
          <w:p>
            <w:pPr>
              <w:spacing w:before="0" w:after="0" w:afterAutospacing="0" w:line="360" w:lineRule="auto"/>
              <w:ind w:left="0" w:right="0" w:firstLine="0"/>
              <w:jc w:val="center"/>
              <w:rPr>
                <w:rFonts w:hint="eastAsia" w:ascii="仿宋" w:hAnsi="仿宋" w:eastAsia="仿宋" w:cs="仿宋"/>
                <w:color w:val="auto"/>
                <w:kern w:val="2"/>
                <w:sz w:val="21"/>
                <w:szCs w:val="21"/>
                <w:lang w:val="en-US" w:eastAsia="zh-CN"/>
              </w:rPr>
            </w:pPr>
            <w:r>
              <w:rPr>
                <w:rFonts w:hint="eastAsia" w:ascii="仿宋" w:hAnsi="仿宋" w:eastAsia="仿宋" w:cs="仿宋"/>
                <w:color w:val="auto"/>
                <w:kern w:val="2"/>
                <w:sz w:val="21"/>
                <w:szCs w:val="21"/>
                <w:lang w:val="en-US" w:eastAsia="zh-CN"/>
              </w:rPr>
              <w:t>1号线南湖站站厅、站台拍摄</w:t>
            </w:r>
          </w:p>
        </w:tc>
        <w:tc>
          <w:tcPr>
            <w:tcW w:w="2205" w:type="dxa"/>
            <w:noWrap w:val="0"/>
            <w:vAlign w:val="center"/>
          </w:tcPr>
          <w:p>
            <w:pPr>
              <w:spacing w:before="0" w:after="0" w:afterAutospacing="0" w:line="360" w:lineRule="auto"/>
              <w:ind w:left="0" w:right="0" w:firstLine="0"/>
              <w:jc w:val="center"/>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项目启动完成后</w:t>
            </w:r>
          </w:p>
        </w:tc>
        <w:tc>
          <w:tcPr>
            <w:tcW w:w="1939" w:type="dxa"/>
            <w:noWrap w:val="0"/>
            <w:vAlign w:val="center"/>
          </w:tcPr>
          <w:p>
            <w:pPr>
              <w:spacing w:before="0" w:after="0" w:afterAutospacing="0" w:line="360" w:lineRule="auto"/>
              <w:ind w:left="0" w:right="0" w:firstLine="0"/>
              <w:jc w:val="center"/>
              <w:rPr>
                <w:rFonts w:hint="eastAsia"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T+</w:t>
            </w:r>
            <w:r>
              <w:rPr>
                <w:rFonts w:hint="eastAsia" w:ascii="仿宋" w:hAnsi="仿宋" w:eastAsia="仿宋" w:cs="仿宋"/>
                <w:color w:val="auto"/>
                <w:kern w:val="2"/>
                <w:sz w:val="21"/>
                <w:szCs w:val="21"/>
                <w:highlight w:val="none"/>
                <w:lang w:val="en-US" w:eastAsia="zh-CN"/>
              </w:rPr>
              <w:t>1</w:t>
            </w:r>
            <w:r>
              <w:rPr>
                <w:rFonts w:hint="eastAsia" w:ascii="仿宋" w:hAnsi="仿宋" w:eastAsia="仿宋" w:cs="仿宋"/>
                <w:color w:val="auto"/>
                <w:kern w:val="2"/>
                <w:sz w:val="21"/>
                <w:szCs w:val="21"/>
                <w:highlight w:val="none"/>
              </w:rPr>
              <w:t>个月内完成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1" w:type="dxa"/>
            <w:noWrap w:val="0"/>
            <w:vAlign w:val="center"/>
          </w:tcPr>
          <w:p>
            <w:pPr>
              <w:spacing w:before="0" w:after="0" w:afterAutospacing="0" w:line="360" w:lineRule="auto"/>
              <w:ind w:left="0" w:right="0" w:firstLine="0"/>
              <w:jc w:val="center"/>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3</w:t>
            </w:r>
          </w:p>
        </w:tc>
        <w:tc>
          <w:tcPr>
            <w:tcW w:w="3545" w:type="dxa"/>
            <w:noWrap w:val="0"/>
            <w:vAlign w:val="center"/>
          </w:tcPr>
          <w:p>
            <w:pPr>
              <w:spacing w:before="0" w:after="0" w:afterAutospacing="0" w:line="360" w:lineRule="auto"/>
              <w:ind w:left="0" w:right="0" w:firstLine="0"/>
              <w:jc w:val="center"/>
              <w:rPr>
                <w:rFonts w:hint="eastAsia" w:ascii="仿宋" w:hAnsi="仿宋" w:eastAsia="仿宋" w:cs="仿宋"/>
                <w:color w:val="auto"/>
                <w:kern w:val="2"/>
                <w:sz w:val="21"/>
                <w:szCs w:val="21"/>
                <w:lang w:val="en-US"/>
              </w:rPr>
            </w:pPr>
            <w:r>
              <w:rPr>
                <w:rFonts w:hint="eastAsia" w:ascii="仿宋" w:hAnsi="仿宋" w:eastAsia="仿宋" w:cs="仿宋"/>
                <w:color w:val="auto"/>
                <w:kern w:val="2"/>
                <w:sz w:val="21"/>
                <w:szCs w:val="21"/>
                <w:lang w:val="en-US" w:eastAsia="zh-CN"/>
              </w:rPr>
              <w:t>1号线南湖站信号设备房拍摄</w:t>
            </w:r>
          </w:p>
        </w:tc>
        <w:tc>
          <w:tcPr>
            <w:tcW w:w="2205" w:type="dxa"/>
            <w:noWrap w:val="0"/>
            <w:vAlign w:val="center"/>
          </w:tcPr>
          <w:p>
            <w:pPr>
              <w:spacing w:before="0" w:after="0" w:afterAutospacing="0" w:line="360" w:lineRule="auto"/>
              <w:ind w:left="0" w:right="0" w:firstLine="0"/>
              <w:jc w:val="center"/>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合同签订后</w:t>
            </w:r>
          </w:p>
        </w:tc>
        <w:tc>
          <w:tcPr>
            <w:tcW w:w="1939" w:type="dxa"/>
            <w:noWrap w:val="0"/>
            <w:vAlign w:val="center"/>
          </w:tcPr>
          <w:p>
            <w:pPr>
              <w:spacing w:before="0" w:after="0" w:afterAutospacing="0" w:line="360" w:lineRule="auto"/>
              <w:ind w:left="0" w:right="0" w:firstLine="0"/>
              <w:jc w:val="center"/>
              <w:rPr>
                <w:rFonts w:hint="eastAsia"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T+</w:t>
            </w:r>
            <w:r>
              <w:rPr>
                <w:rFonts w:hint="eastAsia" w:ascii="仿宋" w:hAnsi="仿宋" w:eastAsia="仿宋" w:cs="仿宋"/>
                <w:color w:val="auto"/>
                <w:kern w:val="2"/>
                <w:sz w:val="21"/>
                <w:szCs w:val="21"/>
                <w:highlight w:val="none"/>
                <w:lang w:val="en-US" w:eastAsia="zh-CN"/>
              </w:rPr>
              <w:t>1</w:t>
            </w:r>
            <w:r>
              <w:rPr>
                <w:rFonts w:hint="eastAsia" w:ascii="仿宋" w:hAnsi="仿宋" w:eastAsia="仿宋" w:cs="仿宋"/>
                <w:color w:val="auto"/>
                <w:kern w:val="2"/>
                <w:sz w:val="21"/>
                <w:szCs w:val="21"/>
                <w:highlight w:val="none"/>
              </w:rPr>
              <w:t>个月内完成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1" w:type="dxa"/>
            <w:noWrap w:val="0"/>
            <w:vAlign w:val="center"/>
          </w:tcPr>
          <w:p>
            <w:pPr>
              <w:spacing w:before="0" w:after="0" w:afterAutospacing="0" w:line="360" w:lineRule="auto"/>
              <w:ind w:left="0" w:right="0" w:firstLine="0"/>
              <w:jc w:val="center"/>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4</w:t>
            </w:r>
          </w:p>
        </w:tc>
        <w:tc>
          <w:tcPr>
            <w:tcW w:w="3545" w:type="dxa"/>
            <w:noWrap w:val="0"/>
            <w:vAlign w:val="center"/>
          </w:tcPr>
          <w:p>
            <w:pPr>
              <w:spacing w:before="0" w:after="0" w:afterAutospacing="0" w:line="360" w:lineRule="auto"/>
              <w:ind w:left="0" w:right="0" w:firstLine="0"/>
              <w:jc w:val="center"/>
              <w:rPr>
                <w:rFonts w:hint="eastAsia" w:ascii="仿宋" w:hAnsi="仿宋" w:eastAsia="仿宋" w:cs="仿宋"/>
                <w:color w:val="auto"/>
                <w:kern w:val="2"/>
                <w:sz w:val="21"/>
                <w:szCs w:val="21"/>
              </w:rPr>
            </w:pPr>
            <w:r>
              <w:rPr>
                <w:rFonts w:hint="eastAsia" w:ascii="仿宋" w:hAnsi="仿宋" w:eastAsia="仿宋" w:cs="仿宋"/>
                <w:color w:val="auto"/>
                <w:kern w:val="2"/>
                <w:sz w:val="21"/>
                <w:szCs w:val="21"/>
                <w:lang w:val="en-US" w:eastAsia="zh-CN"/>
              </w:rPr>
              <w:t>1号线南湖站变电设备房拍摄</w:t>
            </w:r>
          </w:p>
        </w:tc>
        <w:tc>
          <w:tcPr>
            <w:tcW w:w="2205" w:type="dxa"/>
            <w:noWrap w:val="0"/>
            <w:vAlign w:val="center"/>
          </w:tcPr>
          <w:p>
            <w:pPr>
              <w:spacing w:before="0" w:after="0" w:afterAutospacing="0" w:line="360" w:lineRule="auto"/>
              <w:ind w:left="0" w:right="0" w:firstLine="0"/>
              <w:jc w:val="center"/>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合同签订后</w:t>
            </w:r>
          </w:p>
        </w:tc>
        <w:tc>
          <w:tcPr>
            <w:tcW w:w="1939" w:type="dxa"/>
            <w:noWrap w:val="0"/>
            <w:vAlign w:val="center"/>
          </w:tcPr>
          <w:p>
            <w:pPr>
              <w:spacing w:before="0" w:after="0" w:afterAutospacing="0" w:line="360" w:lineRule="auto"/>
              <w:ind w:left="0" w:right="0" w:firstLine="0"/>
              <w:jc w:val="center"/>
              <w:rPr>
                <w:rFonts w:hint="eastAsia"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T+</w:t>
            </w:r>
            <w:r>
              <w:rPr>
                <w:rFonts w:hint="eastAsia" w:ascii="仿宋" w:hAnsi="仿宋" w:eastAsia="仿宋" w:cs="仿宋"/>
                <w:color w:val="auto"/>
                <w:kern w:val="2"/>
                <w:sz w:val="21"/>
                <w:szCs w:val="21"/>
                <w:highlight w:val="none"/>
                <w:lang w:val="en-US" w:eastAsia="zh-CN"/>
              </w:rPr>
              <w:t>1</w:t>
            </w:r>
            <w:r>
              <w:rPr>
                <w:rFonts w:hint="eastAsia" w:ascii="仿宋" w:hAnsi="仿宋" w:eastAsia="仿宋" w:cs="仿宋"/>
                <w:color w:val="auto"/>
                <w:kern w:val="2"/>
                <w:sz w:val="21"/>
                <w:szCs w:val="21"/>
                <w:highlight w:val="none"/>
              </w:rPr>
              <w:t>个月内完成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41" w:type="dxa"/>
            <w:noWrap w:val="0"/>
            <w:vAlign w:val="center"/>
          </w:tcPr>
          <w:p>
            <w:pPr>
              <w:spacing w:before="0" w:after="0" w:afterAutospacing="0" w:line="360" w:lineRule="auto"/>
              <w:ind w:left="0" w:right="0" w:firstLine="0"/>
              <w:jc w:val="center"/>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5</w:t>
            </w:r>
          </w:p>
        </w:tc>
        <w:tc>
          <w:tcPr>
            <w:tcW w:w="3545" w:type="dxa"/>
            <w:noWrap w:val="0"/>
            <w:vAlign w:val="center"/>
          </w:tcPr>
          <w:p>
            <w:pPr>
              <w:spacing w:before="0" w:after="0" w:afterAutospacing="0" w:line="360" w:lineRule="auto"/>
              <w:ind w:left="0" w:right="0" w:firstLine="0"/>
              <w:jc w:val="center"/>
              <w:rPr>
                <w:rFonts w:hint="eastAsia" w:ascii="仿宋" w:hAnsi="仿宋" w:eastAsia="仿宋" w:cs="仿宋"/>
                <w:color w:val="auto"/>
                <w:kern w:val="2"/>
                <w:sz w:val="21"/>
                <w:szCs w:val="21"/>
              </w:rPr>
            </w:pPr>
            <w:r>
              <w:rPr>
                <w:rFonts w:hint="eastAsia" w:ascii="仿宋" w:hAnsi="仿宋" w:eastAsia="仿宋" w:cs="仿宋"/>
                <w:color w:val="auto"/>
                <w:kern w:val="2"/>
                <w:sz w:val="21"/>
                <w:szCs w:val="21"/>
                <w:lang w:val="en-US" w:eastAsia="zh-CN"/>
              </w:rPr>
              <w:t>1号线南湖站环控设备房拍摄</w:t>
            </w:r>
          </w:p>
        </w:tc>
        <w:tc>
          <w:tcPr>
            <w:tcW w:w="2205" w:type="dxa"/>
            <w:noWrap w:val="0"/>
            <w:vAlign w:val="center"/>
          </w:tcPr>
          <w:p>
            <w:pPr>
              <w:spacing w:before="0" w:after="0" w:afterAutospacing="0" w:line="360" w:lineRule="auto"/>
              <w:ind w:left="0" w:right="0" w:firstLine="0"/>
              <w:jc w:val="center"/>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合同签订后</w:t>
            </w:r>
          </w:p>
        </w:tc>
        <w:tc>
          <w:tcPr>
            <w:tcW w:w="1939" w:type="dxa"/>
            <w:noWrap w:val="0"/>
            <w:vAlign w:val="center"/>
          </w:tcPr>
          <w:p>
            <w:pPr>
              <w:spacing w:before="0" w:after="0" w:afterAutospacing="0" w:line="360" w:lineRule="auto"/>
              <w:ind w:left="0" w:right="0" w:firstLine="0"/>
              <w:jc w:val="center"/>
              <w:rPr>
                <w:rFonts w:hint="eastAsia"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T+1个月内完成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41" w:type="dxa"/>
            <w:noWrap w:val="0"/>
            <w:vAlign w:val="center"/>
          </w:tcPr>
          <w:p>
            <w:pPr>
              <w:spacing w:before="0" w:after="0" w:afterAutospacing="0" w:line="360" w:lineRule="auto"/>
              <w:ind w:left="0" w:right="0" w:firstLine="0"/>
              <w:jc w:val="center"/>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6</w:t>
            </w:r>
          </w:p>
        </w:tc>
        <w:tc>
          <w:tcPr>
            <w:tcW w:w="3545" w:type="dxa"/>
            <w:noWrap w:val="0"/>
            <w:vAlign w:val="center"/>
          </w:tcPr>
          <w:p>
            <w:pPr>
              <w:spacing w:before="0" w:after="0" w:afterAutospacing="0" w:line="360" w:lineRule="auto"/>
              <w:ind w:left="0" w:right="0" w:firstLine="0"/>
              <w:jc w:val="center"/>
              <w:rPr>
                <w:rFonts w:hint="eastAsia" w:ascii="仿宋" w:hAnsi="仿宋" w:eastAsia="仿宋" w:cs="仿宋"/>
                <w:color w:val="auto"/>
                <w:kern w:val="2"/>
                <w:sz w:val="21"/>
                <w:szCs w:val="21"/>
                <w:lang w:val="en-US" w:eastAsia="zh-CN"/>
              </w:rPr>
            </w:pPr>
            <w:r>
              <w:rPr>
                <w:rFonts w:hint="eastAsia" w:ascii="仿宋" w:hAnsi="仿宋" w:eastAsia="仿宋" w:cs="仿宋"/>
                <w:color w:val="auto"/>
                <w:kern w:val="0"/>
                <w:sz w:val="21"/>
                <w:szCs w:val="21"/>
              </w:rPr>
              <w:t>1、2号线朝阳广场站联络线区间</w:t>
            </w:r>
            <w:r>
              <w:rPr>
                <w:rFonts w:hint="eastAsia" w:ascii="仿宋" w:hAnsi="仿宋" w:eastAsia="仿宋" w:cs="仿宋"/>
                <w:color w:val="auto"/>
                <w:kern w:val="0"/>
                <w:sz w:val="21"/>
                <w:szCs w:val="21"/>
                <w:lang w:val="en-US" w:eastAsia="zh-CN"/>
              </w:rPr>
              <w:t>拍摄</w:t>
            </w:r>
          </w:p>
        </w:tc>
        <w:tc>
          <w:tcPr>
            <w:tcW w:w="2205" w:type="dxa"/>
            <w:noWrap w:val="0"/>
            <w:vAlign w:val="center"/>
          </w:tcPr>
          <w:p>
            <w:pPr>
              <w:spacing w:before="0" w:after="0" w:afterAutospacing="0" w:line="360" w:lineRule="auto"/>
              <w:ind w:left="0" w:right="0" w:firstLine="0"/>
              <w:jc w:val="center"/>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合同签订后</w:t>
            </w:r>
          </w:p>
        </w:tc>
        <w:tc>
          <w:tcPr>
            <w:tcW w:w="1939" w:type="dxa"/>
            <w:noWrap w:val="0"/>
            <w:vAlign w:val="center"/>
          </w:tcPr>
          <w:p>
            <w:pPr>
              <w:spacing w:before="0" w:after="0" w:afterAutospacing="0" w:line="360" w:lineRule="auto"/>
              <w:ind w:left="0" w:right="0" w:firstLine="0"/>
              <w:jc w:val="center"/>
              <w:rPr>
                <w:rFonts w:hint="eastAsia"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T+</w:t>
            </w:r>
            <w:r>
              <w:rPr>
                <w:rFonts w:hint="eastAsia" w:ascii="仿宋" w:hAnsi="仿宋" w:eastAsia="仿宋" w:cs="仿宋"/>
                <w:color w:val="auto"/>
                <w:kern w:val="2"/>
                <w:sz w:val="21"/>
                <w:szCs w:val="21"/>
                <w:highlight w:val="none"/>
                <w:lang w:val="en-US" w:eastAsia="zh-CN"/>
              </w:rPr>
              <w:t>1.5</w:t>
            </w:r>
            <w:r>
              <w:rPr>
                <w:rFonts w:hint="eastAsia" w:ascii="仿宋" w:hAnsi="仿宋" w:eastAsia="仿宋" w:cs="仿宋"/>
                <w:color w:val="auto"/>
                <w:kern w:val="2"/>
                <w:sz w:val="21"/>
                <w:szCs w:val="21"/>
                <w:highlight w:val="none"/>
              </w:rPr>
              <w:t>个月内完成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1" w:type="dxa"/>
            <w:noWrap w:val="0"/>
            <w:vAlign w:val="center"/>
          </w:tcPr>
          <w:p>
            <w:pPr>
              <w:spacing w:before="0" w:after="0" w:afterAutospacing="0" w:line="360" w:lineRule="auto"/>
              <w:ind w:left="0" w:right="0" w:firstLine="0"/>
              <w:jc w:val="center"/>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7</w:t>
            </w:r>
          </w:p>
        </w:tc>
        <w:tc>
          <w:tcPr>
            <w:tcW w:w="3545" w:type="dxa"/>
            <w:noWrap w:val="0"/>
            <w:vAlign w:val="center"/>
          </w:tcPr>
          <w:p>
            <w:pPr>
              <w:spacing w:before="0" w:after="0" w:afterAutospacing="0" w:line="360" w:lineRule="auto"/>
              <w:ind w:left="0" w:right="0" w:firstLine="0"/>
              <w:jc w:val="center"/>
              <w:rPr>
                <w:rFonts w:hint="eastAsia" w:ascii="仿宋" w:hAnsi="仿宋" w:eastAsia="仿宋" w:cs="仿宋"/>
                <w:color w:val="auto"/>
                <w:kern w:val="2"/>
                <w:sz w:val="21"/>
                <w:szCs w:val="21"/>
                <w:lang w:val="en-US" w:eastAsia="zh-CN"/>
              </w:rPr>
            </w:pPr>
            <w:r>
              <w:rPr>
                <w:rFonts w:hint="eastAsia" w:ascii="仿宋" w:hAnsi="仿宋" w:eastAsia="仿宋" w:cs="仿宋"/>
                <w:color w:val="auto"/>
                <w:kern w:val="2"/>
                <w:sz w:val="21"/>
                <w:szCs w:val="21"/>
                <w:lang w:val="en-US" w:eastAsia="zh-CN"/>
              </w:rPr>
              <w:t>1号线</w:t>
            </w:r>
            <w:r>
              <w:rPr>
                <w:rFonts w:hint="eastAsia" w:ascii="仿宋" w:hAnsi="仿宋" w:eastAsia="仿宋" w:cs="仿宋"/>
                <w:color w:val="auto"/>
                <w:kern w:val="2"/>
                <w:sz w:val="21"/>
                <w:szCs w:val="21"/>
              </w:rPr>
              <w:t>南湖至麻村站上下行区间</w:t>
            </w:r>
            <w:r>
              <w:rPr>
                <w:rFonts w:hint="eastAsia" w:ascii="仿宋" w:hAnsi="仿宋" w:eastAsia="仿宋" w:cs="仿宋"/>
                <w:color w:val="auto"/>
                <w:kern w:val="2"/>
                <w:sz w:val="21"/>
                <w:szCs w:val="21"/>
                <w:lang w:val="en-US" w:eastAsia="zh-CN"/>
              </w:rPr>
              <w:t>拍摄</w:t>
            </w:r>
          </w:p>
        </w:tc>
        <w:tc>
          <w:tcPr>
            <w:tcW w:w="2205" w:type="dxa"/>
            <w:noWrap w:val="0"/>
            <w:vAlign w:val="center"/>
          </w:tcPr>
          <w:p>
            <w:pPr>
              <w:spacing w:before="0" w:after="0" w:afterAutospacing="0" w:line="360" w:lineRule="auto"/>
              <w:ind w:left="0" w:right="0" w:firstLine="0"/>
              <w:jc w:val="center"/>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合同签订后</w:t>
            </w:r>
          </w:p>
        </w:tc>
        <w:tc>
          <w:tcPr>
            <w:tcW w:w="1939" w:type="dxa"/>
            <w:noWrap w:val="0"/>
            <w:vAlign w:val="center"/>
          </w:tcPr>
          <w:p>
            <w:pPr>
              <w:spacing w:before="0" w:after="0" w:afterAutospacing="0" w:line="360" w:lineRule="auto"/>
              <w:ind w:left="0" w:right="0" w:firstLine="0"/>
              <w:jc w:val="center"/>
              <w:rPr>
                <w:rFonts w:hint="eastAsia"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T+1</w:t>
            </w:r>
            <w:r>
              <w:rPr>
                <w:rFonts w:hint="eastAsia" w:ascii="仿宋" w:hAnsi="仿宋" w:eastAsia="仿宋" w:cs="仿宋"/>
                <w:color w:val="auto"/>
                <w:kern w:val="2"/>
                <w:sz w:val="21"/>
                <w:szCs w:val="21"/>
                <w:highlight w:val="none"/>
                <w:lang w:val="en-US" w:eastAsia="zh-CN"/>
              </w:rPr>
              <w:t>.5</w:t>
            </w:r>
            <w:r>
              <w:rPr>
                <w:rFonts w:hint="eastAsia" w:ascii="仿宋" w:hAnsi="仿宋" w:eastAsia="仿宋" w:cs="仿宋"/>
                <w:color w:val="auto"/>
                <w:kern w:val="2"/>
                <w:sz w:val="21"/>
                <w:szCs w:val="21"/>
                <w:highlight w:val="none"/>
              </w:rPr>
              <w:t>个月内完成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1" w:type="dxa"/>
            <w:noWrap w:val="0"/>
            <w:vAlign w:val="center"/>
          </w:tcPr>
          <w:p>
            <w:pPr>
              <w:spacing w:before="0" w:after="0" w:afterAutospacing="0" w:line="360" w:lineRule="auto"/>
              <w:ind w:left="0" w:right="0" w:firstLine="0"/>
              <w:jc w:val="center"/>
              <w:rPr>
                <w:rFonts w:hint="eastAsia" w:ascii="仿宋" w:hAnsi="仿宋" w:eastAsia="仿宋" w:cs="仿宋"/>
                <w:color w:val="auto"/>
                <w:kern w:val="2"/>
                <w:sz w:val="21"/>
                <w:szCs w:val="21"/>
                <w:lang w:val="en-US" w:eastAsia="zh-CN"/>
              </w:rPr>
            </w:pPr>
            <w:r>
              <w:rPr>
                <w:rFonts w:hint="eastAsia" w:ascii="仿宋" w:hAnsi="仿宋" w:eastAsia="仿宋" w:cs="仿宋"/>
                <w:color w:val="auto"/>
                <w:kern w:val="2"/>
                <w:sz w:val="21"/>
                <w:szCs w:val="21"/>
                <w:lang w:val="en-US" w:eastAsia="zh-CN"/>
              </w:rPr>
              <w:t>8</w:t>
            </w:r>
          </w:p>
        </w:tc>
        <w:tc>
          <w:tcPr>
            <w:tcW w:w="3545" w:type="dxa"/>
            <w:noWrap w:val="0"/>
            <w:vAlign w:val="center"/>
          </w:tcPr>
          <w:p>
            <w:pPr>
              <w:spacing w:before="0" w:after="0" w:afterAutospacing="0" w:line="360" w:lineRule="auto"/>
              <w:ind w:left="0" w:right="0" w:firstLine="0"/>
              <w:jc w:val="center"/>
              <w:rPr>
                <w:rFonts w:hint="eastAsia" w:ascii="仿宋" w:hAnsi="仿宋" w:eastAsia="仿宋" w:cs="仿宋"/>
                <w:color w:val="auto"/>
                <w:kern w:val="2"/>
                <w:sz w:val="21"/>
                <w:szCs w:val="21"/>
                <w:lang w:val="en-US" w:eastAsia="zh-CN"/>
              </w:rPr>
            </w:pPr>
            <w:r>
              <w:rPr>
                <w:rFonts w:hint="eastAsia" w:ascii="仿宋" w:hAnsi="仿宋" w:eastAsia="仿宋" w:cs="仿宋"/>
                <w:color w:val="auto"/>
                <w:kern w:val="2"/>
                <w:sz w:val="21"/>
                <w:szCs w:val="21"/>
                <w:lang w:val="en-US" w:eastAsia="zh-CN"/>
              </w:rPr>
              <w:t>VR系统后期制作</w:t>
            </w:r>
          </w:p>
        </w:tc>
        <w:tc>
          <w:tcPr>
            <w:tcW w:w="2205" w:type="dxa"/>
            <w:noWrap w:val="0"/>
            <w:vAlign w:val="center"/>
          </w:tcPr>
          <w:p>
            <w:pPr>
              <w:spacing w:before="0" w:after="0" w:afterAutospacing="0" w:line="360" w:lineRule="auto"/>
              <w:ind w:left="0" w:right="0" w:firstLine="0"/>
              <w:jc w:val="center"/>
              <w:rPr>
                <w:rFonts w:hint="eastAsia" w:ascii="仿宋" w:hAnsi="仿宋" w:eastAsia="仿宋" w:cs="仿宋"/>
                <w:color w:val="auto"/>
                <w:kern w:val="2"/>
                <w:sz w:val="21"/>
                <w:szCs w:val="21"/>
                <w:lang w:val="en-US" w:eastAsia="zh-CN"/>
              </w:rPr>
            </w:pPr>
            <w:r>
              <w:rPr>
                <w:rFonts w:hint="eastAsia" w:ascii="仿宋" w:hAnsi="仿宋" w:eastAsia="仿宋" w:cs="仿宋"/>
                <w:color w:val="auto"/>
                <w:kern w:val="2"/>
                <w:sz w:val="21"/>
                <w:szCs w:val="21"/>
                <w:lang w:val="en-US" w:eastAsia="zh-CN"/>
              </w:rPr>
              <w:t>场景拍摄完成后</w:t>
            </w:r>
          </w:p>
        </w:tc>
        <w:tc>
          <w:tcPr>
            <w:tcW w:w="1939" w:type="dxa"/>
            <w:noWrap w:val="0"/>
            <w:vAlign w:val="center"/>
          </w:tcPr>
          <w:p>
            <w:pPr>
              <w:spacing w:before="0" w:after="0" w:afterAutospacing="0" w:line="360" w:lineRule="auto"/>
              <w:ind w:left="0" w:right="0" w:firstLine="0"/>
              <w:jc w:val="center"/>
              <w:rPr>
                <w:rFonts w:hint="default"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1个月</w:t>
            </w:r>
            <w:r>
              <w:rPr>
                <w:rFonts w:hint="eastAsia" w:ascii="仿宋" w:hAnsi="仿宋" w:eastAsia="仿宋" w:cs="仿宋"/>
                <w:color w:val="auto"/>
                <w:kern w:val="2"/>
                <w:sz w:val="21"/>
                <w:szCs w:val="21"/>
                <w:highlight w:val="none"/>
              </w:rPr>
              <w:t>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1" w:type="dxa"/>
            <w:noWrap w:val="0"/>
            <w:vAlign w:val="center"/>
          </w:tcPr>
          <w:p>
            <w:pPr>
              <w:spacing w:before="0" w:after="0" w:afterAutospacing="0" w:line="360" w:lineRule="auto"/>
              <w:ind w:left="0" w:right="0" w:firstLine="0"/>
              <w:jc w:val="center"/>
              <w:rPr>
                <w:rFonts w:hint="eastAsia" w:ascii="仿宋" w:hAnsi="仿宋" w:eastAsia="仿宋" w:cs="仿宋"/>
                <w:color w:val="auto"/>
                <w:kern w:val="2"/>
                <w:sz w:val="21"/>
                <w:szCs w:val="21"/>
                <w:lang w:val="en-US" w:eastAsia="zh-CN"/>
              </w:rPr>
            </w:pPr>
            <w:r>
              <w:rPr>
                <w:rFonts w:hint="eastAsia" w:ascii="仿宋" w:hAnsi="仿宋" w:eastAsia="仿宋" w:cs="仿宋"/>
                <w:color w:val="auto"/>
                <w:kern w:val="2"/>
                <w:sz w:val="21"/>
                <w:szCs w:val="21"/>
                <w:lang w:val="en-US" w:eastAsia="zh-CN"/>
              </w:rPr>
              <w:t>9</w:t>
            </w:r>
          </w:p>
        </w:tc>
        <w:tc>
          <w:tcPr>
            <w:tcW w:w="3545" w:type="dxa"/>
            <w:noWrap w:val="0"/>
            <w:vAlign w:val="center"/>
          </w:tcPr>
          <w:p>
            <w:pPr>
              <w:spacing w:before="0" w:after="0" w:afterAutospacing="0" w:line="360" w:lineRule="auto"/>
              <w:ind w:left="0" w:right="0" w:firstLine="0"/>
              <w:jc w:val="center"/>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项目</w:t>
            </w:r>
            <w:r>
              <w:rPr>
                <w:rFonts w:hint="eastAsia" w:ascii="仿宋" w:hAnsi="仿宋" w:eastAsia="仿宋" w:cs="仿宋"/>
                <w:color w:val="auto"/>
                <w:kern w:val="2"/>
                <w:sz w:val="21"/>
                <w:szCs w:val="21"/>
                <w:lang w:val="en-US" w:eastAsia="zh-CN"/>
              </w:rPr>
              <w:t>初步</w:t>
            </w:r>
            <w:r>
              <w:rPr>
                <w:rFonts w:hint="eastAsia" w:ascii="仿宋" w:hAnsi="仿宋" w:eastAsia="仿宋" w:cs="仿宋"/>
                <w:color w:val="auto"/>
                <w:kern w:val="2"/>
                <w:sz w:val="21"/>
                <w:szCs w:val="21"/>
              </w:rPr>
              <w:t>验收</w:t>
            </w:r>
          </w:p>
        </w:tc>
        <w:tc>
          <w:tcPr>
            <w:tcW w:w="2205" w:type="dxa"/>
            <w:noWrap w:val="0"/>
            <w:vAlign w:val="center"/>
          </w:tcPr>
          <w:p>
            <w:pPr>
              <w:spacing w:before="0" w:after="0" w:afterAutospacing="0" w:line="360" w:lineRule="auto"/>
              <w:ind w:left="0" w:right="0" w:firstLine="0"/>
              <w:jc w:val="center"/>
              <w:rPr>
                <w:rFonts w:hint="eastAsia" w:ascii="仿宋" w:hAnsi="仿宋" w:eastAsia="仿宋" w:cs="仿宋"/>
                <w:color w:val="auto"/>
                <w:kern w:val="2"/>
                <w:sz w:val="21"/>
                <w:szCs w:val="21"/>
              </w:rPr>
            </w:pPr>
            <w:r>
              <w:rPr>
                <w:rFonts w:hint="eastAsia" w:ascii="仿宋" w:hAnsi="仿宋" w:eastAsia="仿宋" w:cs="仿宋"/>
                <w:color w:val="auto"/>
                <w:kern w:val="2"/>
                <w:sz w:val="21"/>
                <w:szCs w:val="21"/>
                <w:lang w:val="en-US" w:eastAsia="zh-CN"/>
              </w:rPr>
              <w:t>VR系统完成</w:t>
            </w:r>
            <w:r>
              <w:rPr>
                <w:rFonts w:hint="eastAsia" w:ascii="仿宋" w:hAnsi="仿宋" w:eastAsia="仿宋" w:cs="仿宋"/>
                <w:color w:val="auto"/>
                <w:kern w:val="2"/>
                <w:sz w:val="21"/>
                <w:szCs w:val="21"/>
              </w:rPr>
              <w:t>后</w:t>
            </w:r>
          </w:p>
        </w:tc>
        <w:tc>
          <w:tcPr>
            <w:tcW w:w="1939" w:type="dxa"/>
            <w:noWrap w:val="0"/>
            <w:vAlign w:val="center"/>
          </w:tcPr>
          <w:p>
            <w:pPr>
              <w:spacing w:before="0" w:after="0" w:afterAutospacing="0" w:line="360" w:lineRule="auto"/>
              <w:ind w:left="0" w:right="0" w:firstLine="0"/>
              <w:jc w:val="center"/>
              <w:rPr>
                <w:rFonts w:hint="eastAsia"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1个月内完成</w:t>
            </w:r>
          </w:p>
        </w:tc>
      </w:tr>
    </w:tbl>
    <w:p>
      <w:pPr>
        <w:widowControl/>
        <w:spacing w:before="0" w:after="0" w:afterAutospacing="0" w:line="600" w:lineRule="exact"/>
        <w:ind w:left="0" w:right="0" w:firstLine="420" w:firstLineChars="200"/>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注：T为合同签订之日。</w:t>
      </w:r>
    </w:p>
    <w:p>
      <w:pPr>
        <w:keepNext/>
        <w:numPr>
          <w:ilvl w:val="1"/>
          <w:numId w:val="7"/>
        </w:numPr>
        <w:spacing w:before="120" w:after="120" w:line="360" w:lineRule="auto"/>
        <w:outlineLvl w:val="1"/>
        <w:rPr>
          <w:rFonts w:hint="eastAsia" w:ascii="Times New Roman" w:hAnsi="Times New Roman" w:eastAsia="仿宋" w:cs="Times New Roman"/>
          <w:b/>
          <w:color w:val="auto"/>
          <w:kern w:val="0"/>
          <w:sz w:val="30"/>
          <w:szCs w:val="30"/>
          <w:lang w:val="en-GB" w:eastAsia="zh-CN" w:bidi="ar-SA"/>
        </w:rPr>
      </w:pPr>
      <w:bookmarkStart w:id="765" w:name="_Toc22267"/>
      <w:bookmarkStart w:id="766" w:name="_Toc26755"/>
      <w:bookmarkStart w:id="767" w:name="_Toc2252"/>
      <w:bookmarkStart w:id="768" w:name="_Toc12152"/>
      <w:bookmarkStart w:id="769" w:name="_Toc21488"/>
      <w:bookmarkStart w:id="770" w:name="_Toc1619"/>
      <w:bookmarkStart w:id="771" w:name="_Toc26831"/>
      <w:bookmarkStart w:id="772" w:name="_Toc22197"/>
      <w:bookmarkStart w:id="773" w:name="_Toc24308"/>
      <w:bookmarkStart w:id="774" w:name="_Toc17292"/>
      <w:bookmarkStart w:id="775" w:name="_Toc3809"/>
      <w:bookmarkStart w:id="776" w:name="_Toc4326"/>
      <w:bookmarkStart w:id="777" w:name="_Toc22739"/>
      <w:bookmarkStart w:id="778" w:name="_Toc28194"/>
      <w:bookmarkStart w:id="779" w:name="_Toc6"/>
      <w:r>
        <w:rPr>
          <w:rFonts w:hint="eastAsia" w:ascii="Times New Roman" w:hAnsi="Times New Roman" w:eastAsia="仿宋" w:cs="Times New Roman"/>
          <w:b/>
          <w:color w:val="auto"/>
          <w:kern w:val="0"/>
          <w:sz w:val="30"/>
          <w:szCs w:val="30"/>
          <w:lang w:val="en-GB" w:eastAsia="zh-CN" w:bidi="ar-SA"/>
        </w:rPr>
        <w:t>承包方式</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spacing w:before="0" w:after="0" w:afterAutospacing="0" w:line="360" w:lineRule="auto"/>
        <w:ind w:left="0" w:right="0" w:firstLine="420" w:firstLineChars="200"/>
        <w:jc w:val="left"/>
        <w:rPr>
          <w:rFonts w:hint="eastAsia" w:ascii="Times New Roman" w:hAnsi="Times New Roman" w:eastAsia="仿宋" w:cs="Times New Roman"/>
          <w:color w:val="auto"/>
          <w:kern w:val="2"/>
          <w:szCs w:val="22"/>
          <w:lang w:val="en-US" w:eastAsia="zh-CN"/>
        </w:rPr>
      </w:pPr>
      <w:r>
        <w:rPr>
          <w:rFonts w:hint="eastAsia" w:ascii="Times New Roman" w:hAnsi="Times New Roman" w:eastAsia="仿宋" w:cs="Times New Roman"/>
          <w:color w:val="auto"/>
          <w:kern w:val="2"/>
          <w:szCs w:val="22"/>
          <w:lang w:val="en-US" w:eastAsia="zh-CN"/>
        </w:rPr>
        <w:t>实行总价包干的形式。投标报价内容包括人工费、材料费、机械费、管理费、措施费、利润、风险、安全文明施工费等为完成本项目所发生的所有费用。</w:t>
      </w:r>
    </w:p>
    <w:p>
      <w:pPr>
        <w:keepNext/>
        <w:numPr>
          <w:ilvl w:val="1"/>
          <w:numId w:val="7"/>
        </w:numPr>
        <w:spacing w:before="120" w:after="120" w:line="360" w:lineRule="auto"/>
        <w:outlineLvl w:val="1"/>
        <w:rPr>
          <w:rFonts w:hint="eastAsia" w:ascii="Times New Roman" w:hAnsi="Times New Roman" w:eastAsia="仿宋" w:cs="Times New Roman"/>
          <w:b/>
          <w:color w:val="auto"/>
          <w:kern w:val="0"/>
          <w:sz w:val="30"/>
          <w:szCs w:val="30"/>
          <w:lang w:val="en-GB" w:eastAsia="zh-CN" w:bidi="ar-SA"/>
        </w:rPr>
      </w:pPr>
      <w:bookmarkStart w:id="780" w:name="_Toc31121"/>
      <w:bookmarkStart w:id="781" w:name="_Toc24048"/>
      <w:bookmarkStart w:id="782" w:name="_Toc11245"/>
      <w:bookmarkStart w:id="783" w:name="_Toc7596"/>
      <w:bookmarkStart w:id="784" w:name="_Toc30673"/>
      <w:bookmarkStart w:id="785" w:name="_Toc12228"/>
      <w:bookmarkStart w:id="786" w:name="_Toc10817"/>
      <w:bookmarkStart w:id="787" w:name="_Toc18733"/>
      <w:bookmarkStart w:id="788" w:name="_Toc29966"/>
      <w:bookmarkStart w:id="789" w:name="_Toc11022"/>
      <w:bookmarkStart w:id="790" w:name="_Toc2666"/>
      <w:bookmarkStart w:id="791" w:name="_Toc3974"/>
      <w:bookmarkStart w:id="792" w:name="_Toc20936"/>
      <w:r>
        <w:rPr>
          <w:rFonts w:hint="eastAsia" w:ascii="Times New Roman" w:hAnsi="Times New Roman" w:eastAsia="仿宋" w:cs="Times New Roman"/>
          <w:b/>
          <w:color w:val="auto"/>
          <w:kern w:val="0"/>
          <w:sz w:val="30"/>
          <w:szCs w:val="30"/>
          <w:lang w:val="en-GB" w:eastAsia="zh-CN" w:bidi="ar-SA"/>
        </w:rPr>
        <w:t>项目分包</w:t>
      </w:r>
      <w:bookmarkEnd w:id="780"/>
      <w:bookmarkEnd w:id="781"/>
      <w:bookmarkEnd w:id="782"/>
      <w:bookmarkEnd w:id="783"/>
      <w:bookmarkEnd w:id="784"/>
      <w:bookmarkEnd w:id="785"/>
      <w:bookmarkEnd w:id="786"/>
      <w:bookmarkEnd w:id="787"/>
      <w:bookmarkEnd w:id="788"/>
      <w:bookmarkEnd w:id="789"/>
      <w:bookmarkEnd w:id="790"/>
      <w:bookmarkEnd w:id="791"/>
      <w:bookmarkEnd w:id="792"/>
    </w:p>
    <w:p>
      <w:pPr>
        <w:spacing w:before="0" w:after="0" w:afterAutospacing="0" w:line="360" w:lineRule="auto"/>
        <w:ind w:left="0" w:right="0" w:firstLine="420" w:firstLineChars="200"/>
        <w:jc w:val="left"/>
        <w:rPr>
          <w:rFonts w:hint="eastAsia" w:ascii="Times New Roman" w:hAnsi="Times New Roman" w:eastAsia="仿宋" w:cs="Times New Roman"/>
          <w:color w:val="auto"/>
          <w:kern w:val="2"/>
          <w:szCs w:val="22"/>
          <w:lang w:val="en-US" w:eastAsia="zh-CN"/>
        </w:rPr>
      </w:pPr>
      <w:r>
        <w:rPr>
          <w:rFonts w:hint="eastAsia" w:ascii="Times New Roman" w:hAnsi="Times New Roman" w:eastAsia="仿宋" w:cs="Times New Roman"/>
          <w:color w:val="auto"/>
          <w:kern w:val="2"/>
          <w:szCs w:val="22"/>
          <w:lang w:val="en-US" w:eastAsia="zh-CN"/>
        </w:rPr>
        <w:t>本项目不允许联合体投标，不允许任何形式的转包或分包。</w:t>
      </w:r>
    </w:p>
    <w:p>
      <w:pPr>
        <w:spacing w:after="0" w:line="360" w:lineRule="auto"/>
        <w:ind w:left="0" w:leftChars="0" w:firstLine="0" w:firstLineChars="0"/>
        <w:rPr>
          <w:rFonts w:hint="eastAsia" w:ascii="仿宋" w:hAnsi="仿宋" w:eastAsia="仿宋" w:cs="仿宋"/>
          <w:color w:val="auto"/>
          <w:kern w:val="2"/>
          <w:sz w:val="21"/>
          <w:szCs w:val="21"/>
          <w:lang w:val="en-US" w:eastAsia="zh-CN" w:bidi="ar-SA"/>
        </w:rPr>
      </w:pPr>
    </w:p>
    <w:p>
      <w:pPr>
        <w:spacing w:before="0" w:after="0" w:afterAutospacing="0" w:line="360" w:lineRule="auto"/>
        <w:ind w:left="0" w:right="0" w:firstLine="420" w:firstLineChars="200"/>
        <w:jc w:val="both"/>
        <w:rPr>
          <w:rFonts w:hint="eastAsia" w:ascii="Times New Roman" w:hAnsi="Times New Roman" w:eastAsia="仿宋" w:cs="Times New Roman"/>
          <w:color w:val="auto"/>
          <w:kern w:val="2"/>
          <w:szCs w:val="21"/>
          <w:lang w:val="en-US" w:eastAsia="zh-CN"/>
        </w:rPr>
      </w:pPr>
    </w:p>
    <w:p>
      <w:pPr>
        <w:spacing w:line="360" w:lineRule="auto"/>
        <w:ind w:firstLine="420" w:firstLineChars="200"/>
        <w:jc w:val="both"/>
        <w:rPr>
          <w:rFonts w:eastAsia="仿宋"/>
          <w:color w:val="auto"/>
          <w:szCs w:val="21"/>
        </w:rPr>
        <w:sectPr>
          <w:footerReference r:id="rId6" w:type="default"/>
          <w:type w:val="continuous"/>
          <w:pgSz w:w="11906" w:h="16838"/>
          <w:pgMar w:top="1440" w:right="1800" w:bottom="1440" w:left="1800" w:header="851" w:footer="992" w:gutter="0"/>
          <w:cols w:space="720" w:num="1"/>
          <w:docGrid w:type="lines" w:linePitch="312" w:charSpace="0"/>
        </w:sectPr>
      </w:pPr>
    </w:p>
    <w:p>
      <w:pPr>
        <w:keepNext/>
        <w:keepLines/>
        <w:pageBreakBefore/>
        <w:numPr>
          <w:ilvl w:val="0"/>
          <w:numId w:val="7"/>
        </w:numPr>
        <w:spacing w:before="240" w:after="240" w:line="360" w:lineRule="auto"/>
        <w:outlineLvl w:val="0"/>
        <w:rPr>
          <w:rFonts w:ascii="Times New Roman" w:hAnsi="Times New Roman" w:eastAsia="仿宋" w:cs="Times New Roman"/>
          <w:b/>
          <w:color w:val="auto"/>
          <w:kern w:val="28"/>
          <w:sz w:val="32"/>
          <w:szCs w:val="30"/>
          <w:lang w:val="en-GB" w:eastAsia="zh-CN" w:bidi="ar-SA"/>
        </w:rPr>
      </w:pPr>
      <w:bookmarkStart w:id="793" w:name="_Toc26757"/>
      <w:bookmarkStart w:id="794" w:name="OLE_LINK113"/>
      <w:bookmarkStart w:id="795" w:name="OLE_LINK112"/>
      <w:r>
        <w:rPr>
          <w:rFonts w:hint="eastAsia" w:ascii="Times New Roman" w:hAnsi="Times New Roman" w:eastAsia="仿宋" w:cs="Times New Roman"/>
          <w:b/>
          <w:color w:val="auto"/>
          <w:kern w:val="28"/>
          <w:sz w:val="32"/>
          <w:szCs w:val="30"/>
          <w:lang w:val="en-US" w:eastAsia="zh-CN" w:bidi="ar-SA"/>
        </w:rPr>
        <w:t>技术需求及数量</w:t>
      </w:r>
      <w:bookmarkEnd w:id="793"/>
    </w:p>
    <w:bookmarkEnd w:id="794"/>
    <w:bookmarkEnd w:id="795"/>
    <w:p>
      <w:pPr>
        <w:keepNext/>
        <w:numPr>
          <w:ilvl w:val="1"/>
          <w:numId w:val="7"/>
        </w:numPr>
        <w:spacing w:before="120" w:after="120" w:line="360" w:lineRule="auto"/>
        <w:outlineLvl w:val="1"/>
        <w:rPr>
          <w:rFonts w:hint="eastAsia" w:ascii="Times New Roman" w:hAnsi="Times New Roman" w:eastAsia="仿宋" w:cs="Times New Roman"/>
          <w:b/>
          <w:color w:val="auto"/>
          <w:kern w:val="0"/>
          <w:sz w:val="30"/>
          <w:szCs w:val="30"/>
          <w:lang w:val="en-GB" w:eastAsia="zh-CN" w:bidi="ar-SA"/>
        </w:rPr>
      </w:pPr>
      <w:bookmarkStart w:id="796" w:name="_Toc12231"/>
      <w:r>
        <w:rPr>
          <w:rFonts w:hint="eastAsia" w:ascii="Times New Roman" w:hAnsi="Times New Roman" w:eastAsia="仿宋" w:cs="Times New Roman"/>
          <w:b/>
          <w:color w:val="auto"/>
          <w:kern w:val="0"/>
          <w:sz w:val="30"/>
          <w:szCs w:val="30"/>
          <w:lang w:val="en-US" w:eastAsia="zh-CN" w:bidi="ar-SA"/>
        </w:rPr>
        <w:t>系统采购目标</w:t>
      </w:r>
      <w:bookmarkEnd w:id="796"/>
    </w:p>
    <w:p>
      <w:pPr>
        <w:spacing w:before="0" w:after="0" w:afterAutospacing="0" w:line="360" w:lineRule="auto"/>
        <w:ind w:left="0" w:right="0" w:firstLine="420" w:firstLineChars="200"/>
        <w:jc w:val="left"/>
        <w:rPr>
          <w:rFonts w:hint="eastAsia" w:ascii="Times New Roman" w:hAnsi="Times New Roman" w:eastAsia="仿宋" w:cs="Times New Roman"/>
          <w:color w:val="auto"/>
          <w:kern w:val="2"/>
          <w:szCs w:val="22"/>
          <w:lang w:val="en-US" w:eastAsia="zh-CN"/>
        </w:rPr>
      </w:pPr>
      <w:r>
        <w:rPr>
          <w:rFonts w:hint="eastAsia" w:ascii="Times New Roman" w:hAnsi="Times New Roman" w:eastAsia="仿宋" w:cs="Times New Roman"/>
          <w:color w:val="auto"/>
          <w:kern w:val="2"/>
          <w:szCs w:val="22"/>
          <w:lang w:val="en-US" w:eastAsia="zh-CN"/>
        </w:rPr>
        <w:t>本项目采购的VR全景培训与展示系统是1套基于全景图像的真实场景虚拟现实的软件及1套附属头戴显示设备，通过把全景相机环360°拍摄的一组或多组照片拼接成一个全景图像，最后通过计算机技术实现全方位互动式观看的真实场景还原展示方式。</w:t>
      </w:r>
    </w:p>
    <w:p>
      <w:pPr>
        <w:spacing w:before="0" w:after="0" w:afterAutospacing="0" w:line="360" w:lineRule="auto"/>
        <w:ind w:left="0" w:right="0" w:firstLine="420" w:firstLineChars="200"/>
        <w:jc w:val="left"/>
        <w:rPr>
          <w:rFonts w:hint="default" w:ascii="Times New Roman" w:hAnsi="Times New Roman" w:eastAsia="仿宋" w:cs="Times New Roman"/>
          <w:color w:val="auto"/>
          <w:kern w:val="2"/>
          <w:szCs w:val="22"/>
          <w:lang w:val="en-US" w:eastAsia="zh-CN"/>
        </w:rPr>
      </w:pPr>
      <w:r>
        <w:rPr>
          <w:rFonts w:hint="eastAsia" w:ascii="Times New Roman" w:hAnsi="Times New Roman" w:eastAsia="仿宋" w:cs="Times New Roman"/>
          <w:color w:val="auto"/>
          <w:kern w:val="2"/>
          <w:szCs w:val="22"/>
          <w:lang w:val="en-US" w:eastAsia="zh-CN"/>
        </w:rPr>
        <w:t>软件开发完成后，系统将安装于调度指挥中心9楼仿真培训室培训电脑及各调度员和日勤办公人员的公务电脑。</w:t>
      </w:r>
    </w:p>
    <w:p>
      <w:pPr>
        <w:keepNext/>
        <w:numPr>
          <w:ilvl w:val="1"/>
          <w:numId w:val="7"/>
        </w:numPr>
        <w:spacing w:before="120" w:after="120" w:line="360" w:lineRule="auto"/>
        <w:outlineLvl w:val="1"/>
        <w:rPr>
          <w:rFonts w:hint="eastAsia" w:ascii="Times New Roman" w:hAnsi="Times New Roman" w:eastAsia="仿宋" w:cs="Times New Roman"/>
          <w:b/>
          <w:color w:val="auto"/>
          <w:kern w:val="0"/>
          <w:sz w:val="30"/>
          <w:szCs w:val="30"/>
          <w:lang w:val="en-GB" w:eastAsia="zh-CN" w:bidi="ar-SA"/>
        </w:rPr>
      </w:pPr>
      <w:bookmarkStart w:id="797" w:name="_Toc15747"/>
      <w:r>
        <w:rPr>
          <w:rFonts w:hint="eastAsia" w:ascii="Times New Roman" w:hAnsi="Times New Roman" w:eastAsia="仿宋" w:cs="Times New Roman"/>
          <w:b/>
          <w:color w:val="auto"/>
          <w:kern w:val="0"/>
          <w:sz w:val="30"/>
          <w:szCs w:val="30"/>
          <w:lang w:val="en-GB" w:eastAsia="zh-CN" w:bidi="ar-SA"/>
        </w:rPr>
        <w:t>技术需求及数量表</w:t>
      </w:r>
      <w:bookmarkEnd w:id="797"/>
    </w:p>
    <w:p>
      <w:pPr>
        <w:spacing w:before="156" w:beforeLines="50" w:after="0" w:line="360" w:lineRule="auto"/>
        <w:ind w:firstLine="0" w:firstLineChars="0"/>
        <w:jc w:val="center"/>
        <w:rPr>
          <w:rFonts w:hint="eastAsia" w:ascii="Times New Roman" w:hAnsi="Times New Roman" w:eastAsia="仿宋" w:cs="Times New Roman"/>
          <w:color w:val="auto"/>
          <w:kern w:val="2"/>
          <w:sz w:val="21"/>
          <w:szCs w:val="22"/>
          <w:lang w:val="en-US" w:eastAsia="zh-CN" w:bidi="ar-SA"/>
        </w:rPr>
      </w:pPr>
      <w:r>
        <w:rPr>
          <w:rFonts w:hint="eastAsia" w:ascii="Times New Roman" w:hAnsi="Times New Roman" w:eastAsia="仿宋" w:cs="Times New Roman"/>
          <w:color w:val="auto"/>
          <w:kern w:val="2"/>
          <w:sz w:val="21"/>
          <w:szCs w:val="22"/>
          <w:lang w:val="en-US" w:eastAsia="zh-CN" w:bidi="ar-SA"/>
        </w:rPr>
        <w:t>表3-1 技术需求及数量表</w:t>
      </w:r>
    </w:p>
    <w:tbl>
      <w:tblPr>
        <w:tblStyle w:val="29"/>
        <w:tblW w:w="4998" w:type="pct"/>
        <w:jc w:val="center"/>
        <w:tblLayout w:type="fixed"/>
        <w:tblCellMar>
          <w:top w:w="0" w:type="dxa"/>
          <w:left w:w="108" w:type="dxa"/>
          <w:bottom w:w="0" w:type="dxa"/>
          <w:right w:w="108" w:type="dxa"/>
        </w:tblCellMar>
      </w:tblPr>
      <w:tblGrid>
        <w:gridCol w:w="705"/>
        <w:gridCol w:w="1175"/>
        <w:gridCol w:w="1633"/>
        <w:gridCol w:w="2490"/>
        <w:gridCol w:w="780"/>
        <w:gridCol w:w="1095"/>
        <w:gridCol w:w="641"/>
      </w:tblGrid>
      <w:tr>
        <w:tblPrEx>
          <w:tblCellMar>
            <w:top w:w="0" w:type="dxa"/>
            <w:left w:w="108" w:type="dxa"/>
            <w:bottom w:w="0" w:type="dxa"/>
            <w:right w:w="108" w:type="dxa"/>
          </w:tblCellMar>
        </w:tblPrEx>
        <w:trPr>
          <w:trHeight w:val="702" w:hRule="atLeast"/>
          <w:jc w:val="center"/>
        </w:trPr>
        <w:tc>
          <w:tcPr>
            <w:tcW w:w="413" w:type="pct"/>
            <w:tcBorders>
              <w:top w:val="single" w:color="auto" w:sz="4" w:space="0"/>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序号</w:t>
            </w:r>
          </w:p>
        </w:tc>
        <w:tc>
          <w:tcPr>
            <w:tcW w:w="689" w:type="pct"/>
            <w:tcBorders>
              <w:top w:val="single" w:color="auto" w:sz="4" w:space="0"/>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类型</w:t>
            </w:r>
          </w:p>
        </w:tc>
        <w:tc>
          <w:tcPr>
            <w:tcW w:w="958" w:type="pct"/>
            <w:tcBorders>
              <w:top w:val="single" w:color="auto" w:sz="4" w:space="0"/>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项目名称</w:t>
            </w:r>
          </w:p>
        </w:tc>
        <w:tc>
          <w:tcPr>
            <w:tcW w:w="1461" w:type="pct"/>
            <w:tcBorders>
              <w:top w:val="single" w:color="auto" w:sz="4" w:space="0"/>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项目内容描述</w:t>
            </w:r>
          </w:p>
        </w:tc>
        <w:tc>
          <w:tcPr>
            <w:tcW w:w="457" w:type="pct"/>
            <w:tcBorders>
              <w:top w:val="single" w:color="auto" w:sz="4" w:space="0"/>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单位</w:t>
            </w:r>
          </w:p>
        </w:tc>
        <w:tc>
          <w:tcPr>
            <w:tcW w:w="642" w:type="pct"/>
            <w:tcBorders>
              <w:top w:val="single" w:color="auto" w:sz="4" w:space="0"/>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暂定数量</w:t>
            </w:r>
          </w:p>
        </w:tc>
        <w:tc>
          <w:tcPr>
            <w:tcW w:w="376" w:type="pct"/>
            <w:tcBorders>
              <w:top w:val="single" w:color="auto" w:sz="4" w:space="0"/>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备注</w:t>
            </w:r>
          </w:p>
        </w:tc>
      </w:tr>
      <w:tr>
        <w:tblPrEx>
          <w:tblCellMar>
            <w:top w:w="0" w:type="dxa"/>
            <w:left w:w="108" w:type="dxa"/>
            <w:bottom w:w="0" w:type="dxa"/>
            <w:right w:w="108" w:type="dxa"/>
          </w:tblCellMar>
        </w:tblPrEx>
        <w:trPr>
          <w:trHeight w:val="702" w:hRule="atLeast"/>
          <w:jc w:val="center"/>
        </w:trPr>
        <w:tc>
          <w:tcPr>
            <w:tcW w:w="413" w:type="pct"/>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1</w:t>
            </w:r>
          </w:p>
        </w:tc>
        <w:tc>
          <w:tcPr>
            <w:tcW w:w="689" w:type="pct"/>
            <w:vMerge w:val="restart"/>
            <w:tcBorders>
              <w:top w:val="single" w:color="auto" w:sz="4" w:space="0"/>
              <w:left w:val="single" w:color="auto" w:sz="4" w:space="0"/>
              <w:bottom w:val="single" w:color="auto" w:sz="4" w:space="0"/>
              <w:right w:val="single" w:color="auto" w:sz="4" w:space="0"/>
            </w:tcBorders>
            <w:noWrap w:val="0"/>
            <w:vAlign w:val="center"/>
          </w:tcPr>
          <w:p>
            <w:pPr>
              <w:spacing w:before="0" w:after="0" w:afterAutospacing="0" w:line="240" w:lineRule="auto"/>
              <w:ind w:left="0" w:leftChars="0" w:right="0" w:firstLine="0" w:firstLineChars="0"/>
              <w:jc w:val="center"/>
              <w:rPr>
                <w:rFonts w:hint="default"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软件需求</w:t>
            </w:r>
          </w:p>
        </w:tc>
        <w:tc>
          <w:tcPr>
            <w:tcW w:w="958" w:type="pct"/>
            <w:tcBorders>
              <w:top w:val="nil"/>
              <w:left w:val="nil"/>
              <w:bottom w:val="single" w:color="auto" w:sz="4" w:space="0"/>
              <w:right w:val="single" w:color="auto" w:sz="4" w:space="0"/>
            </w:tcBorders>
            <w:noWrap/>
            <w:vAlign w:val="center"/>
          </w:tcPr>
          <w:p>
            <w:pPr>
              <w:spacing w:before="0" w:after="0" w:afterAutospacing="0" w:line="240" w:lineRule="auto"/>
              <w:ind w:left="0" w:leftChars="0" w:right="0" w:firstLine="0" w:firstLineChars="0"/>
              <w:jc w:val="center"/>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VR场景选择UI设计</w:t>
            </w:r>
          </w:p>
        </w:tc>
        <w:tc>
          <w:tcPr>
            <w:tcW w:w="1461" w:type="pct"/>
            <w:tcBorders>
              <w:top w:val="nil"/>
              <w:left w:val="nil"/>
              <w:bottom w:val="single" w:color="auto" w:sz="4" w:space="0"/>
              <w:right w:val="single" w:color="auto" w:sz="4" w:space="0"/>
            </w:tcBorders>
            <w:noWrap w:val="0"/>
            <w:vAlign w:val="center"/>
          </w:tcPr>
          <w:p>
            <w:pPr>
              <w:spacing w:before="0" w:after="0" w:afterAutospacing="0" w:line="240" w:lineRule="auto"/>
              <w:ind w:left="0" w:leftChars="0" w:right="0" w:firstLine="0" w:firstLineChars="0"/>
              <w:jc w:val="left"/>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模式选择/站点选择/事件选择</w:t>
            </w:r>
          </w:p>
        </w:tc>
        <w:tc>
          <w:tcPr>
            <w:tcW w:w="457" w:type="pct"/>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项</w:t>
            </w:r>
          </w:p>
        </w:tc>
        <w:tc>
          <w:tcPr>
            <w:tcW w:w="642" w:type="pct"/>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1</w:t>
            </w:r>
          </w:p>
        </w:tc>
        <w:tc>
          <w:tcPr>
            <w:tcW w:w="376" w:type="pct"/>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hint="eastAsia" w:ascii="仿宋" w:hAnsi="仿宋" w:eastAsia="仿宋" w:cs="仿宋"/>
                <w:color w:val="auto"/>
                <w:kern w:val="2"/>
                <w:sz w:val="21"/>
                <w:szCs w:val="21"/>
                <w:highlight w:val="none"/>
                <w:lang w:val="en-US" w:eastAsia="zh-CN"/>
              </w:rPr>
            </w:pPr>
          </w:p>
        </w:tc>
      </w:tr>
      <w:tr>
        <w:tblPrEx>
          <w:tblCellMar>
            <w:top w:w="0" w:type="dxa"/>
            <w:left w:w="108" w:type="dxa"/>
            <w:bottom w:w="0" w:type="dxa"/>
            <w:right w:w="108" w:type="dxa"/>
          </w:tblCellMar>
        </w:tblPrEx>
        <w:trPr>
          <w:trHeight w:val="702" w:hRule="atLeast"/>
          <w:jc w:val="center"/>
        </w:trPr>
        <w:tc>
          <w:tcPr>
            <w:tcW w:w="413" w:type="pct"/>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2</w:t>
            </w:r>
          </w:p>
        </w:tc>
        <w:tc>
          <w:tcPr>
            <w:tcW w:w="689" w:type="pct"/>
            <w:vMerge w:val="continue"/>
            <w:tcBorders>
              <w:top w:val="single" w:color="auto" w:sz="4" w:space="0"/>
              <w:left w:val="single" w:color="auto" w:sz="4" w:space="0"/>
              <w:bottom w:val="single" w:color="auto" w:sz="4" w:space="0"/>
              <w:right w:val="single" w:color="auto" w:sz="4" w:space="0"/>
            </w:tcBorders>
            <w:noWrap w:val="0"/>
            <w:vAlign w:val="center"/>
          </w:tcPr>
          <w:p>
            <w:pPr>
              <w:spacing w:before="0" w:after="0" w:afterAutospacing="0" w:line="240" w:lineRule="auto"/>
              <w:ind w:left="0" w:right="0" w:firstLine="200"/>
              <w:jc w:val="center"/>
              <w:rPr>
                <w:rFonts w:hint="eastAsia" w:ascii="仿宋" w:hAnsi="仿宋" w:eastAsia="仿宋" w:cs="仿宋"/>
                <w:color w:val="auto"/>
                <w:kern w:val="2"/>
                <w:sz w:val="21"/>
                <w:szCs w:val="21"/>
                <w:highlight w:val="none"/>
                <w:lang w:val="en-US" w:eastAsia="zh-CN"/>
              </w:rPr>
            </w:pPr>
          </w:p>
        </w:tc>
        <w:tc>
          <w:tcPr>
            <w:tcW w:w="958" w:type="pct"/>
            <w:tcBorders>
              <w:top w:val="nil"/>
              <w:left w:val="nil"/>
              <w:bottom w:val="single" w:color="auto" w:sz="4" w:space="0"/>
              <w:right w:val="single" w:color="auto" w:sz="4" w:space="0"/>
            </w:tcBorders>
            <w:noWrap/>
            <w:vAlign w:val="center"/>
          </w:tcPr>
          <w:p>
            <w:pPr>
              <w:spacing w:before="0" w:after="0" w:afterAutospacing="0" w:line="240" w:lineRule="auto"/>
              <w:ind w:left="0" w:leftChars="0" w:right="0" w:firstLine="0" w:firstLineChars="0"/>
              <w:jc w:val="center"/>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资源导入</w:t>
            </w:r>
          </w:p>
        </w:tc>
        <w:tc>
          <w:tcPr>
            <w:tcW w:w="1461" w:type="pct"/>
            <w:tcBorders>
              <w:top w:val="nil"/>
              <w:left w:val="nil"/>
              <w:bottom w:val="single" w:color="auto" w:sz="4" w:space="0"/>
              <w:right w:val="single" w:color="auto" w:sz="4" w:space="0"/>
            </w:tcBorders>
            <w:noWrap w:val="0"/>
            <w:vAlign w:val="center"/>
          </w:tcPr>
          <w:p>
            <w:pPr>
              <w:spacing w:before="0" w:after="0" w:afterAutospacing="0" w:line="240" w:lineRule="auto"/>
              <w:ind w:left="0" w:leftChars="0" w:right="0" w:firstLine="0" w:firstLineChars="0"/>
              <w:jc w:val="left"/>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场景管理，使用数据等</w:t>
            </w:r>
          </w:p>
        </w:tc>
        <w:tc>
          <w:tcPr>
            <w:tcW w:w="457" w:type="pct"/>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项</w:t>
            </w:r>
          </w:p>
        </w:tc>
        <w:tc>
          <w:tcPr>
            <w:tcW w:w="642" w:type="pct"/>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1</w:t>
            </w:r>
          </w:p>
        </w:tc>
        <w:tc>
          <w:tcPr>
            <w:tcW w:w="376" w:type="pct"/>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hint="eastAsia" w:ascii="仿宋" w:hAnsi="仿宋" w:eastAsia="仿宋" w:cs="仿宋"/>
                <w:color w:val="auto"/>
                <w:kern w:val="2"/>
                <w:sz w:val="21"/>
                <w:szCs w:val="21"/>
                <w:highlight w:val="none"/>
                <w:lang w:val="en-US" w:eastAsia="zh-CN"/>
              </w:rPr>
            </w:pPr>
          </w:p>
        </w:tc>
      </w:tr>
      <w:tr>
        <w:tblPrEx>
          <w:tblCellMar>
            <w:top w:w="0" w:type="dxa"/>
            <w:left w:w="108" w:type="dxa"/>
            <w:bottom w:w="0" w:type="dxa"/>
            <w:right w:w="108" w:type="dxa"/>
          </w:tblCellMar>
        </w:tblPrEx>
        <w:trPr>
          <w:trHeight w:val="702" w:hRule="atLeast"/>
          <w:jc w:val="center"/>
        </w:trPr>
        <w:tc>
          <w:tcPr>
            <w:tcW w:w="413" w:type="pct"/>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3</w:t>
            </w:r>
          </w:p>
        </w:tc>
        <w:tc>
          <w:tcPr>
            <w:tcW w:w="689" w:type="pct"/>
            <w:vMerge w:val="continue"/>
            <w:tcBorders>
              <w:top w:val="single" w:color="auto" w:sz="4" w:space="0"/>
              <w:left w:val="single" w:color="auto" w:sz="4" w:space="0"/>
              <w:bottom w:val="single" w:color="auto" w:sz="4" w:space="0"/>
              <w:right w:val="single" w:color="auto" w:sz="4" w:space="0"/>
            </w:tcBorders>
            <w:noWrap w:val="0"/>
            <w:vAlign w:val="center"/>
          </w:tcPr>
          <w:p>
            <w:pPr>
              <w:spacing w:before="0" w:after="0" w:afterAutospacing="0" w:line="240" w:lineRule="auto"/>
              <w:ind w:left="0" w:right="0" w:firstLine="200"/>
              <w:jc w:val="center"/>
              <w:rPr>
                <w:rFonts w:hint="eastAsia" w:ascii="仿宋" w:hAnsi="仿宋" w:eastAsia="仿宋" w:cs="仿宋"/>
                <w:color w:val="auto"/>
                <w:kern w:val="2"/>
                <w:sz w:val="21"/>
                <w:szCs w:val="21"/>
                <w:highlight w:val="none"/>
                <w:lang w:val="en-US" w:eastAsia="zh-CN"/>
              </w:rPr>
            </w:pPr>
          </w:p>
        </w:tc>
        <w:tc>
          <w:tcPr>
            <w:tcW w:w="958" w:type="pct"/>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场景制作</w:t>
            </w:r>
          </w:p>
        </w:tc>
        <w:tc>
          <w:tcPr>
            <w:tcW w:w="1461" w:type="pct"/>
            <w:tcBorders>
              <w:top w:val="nil"/>
              <w:left w:val="nil"/>
              <w:bottom w:val="single" w:color="auto" w:sz="4" w:space="0"/>
              <w:right w:val="single" w:color="auto" w:sz="4" w:space="0"/>
            </w:tcBorders>
            <w:noWrap w:val="0"/>
            <w:vAlign w:val="bottom"/>
          </w:tcPr>
          <w:p>
            <w:pPr>
              <w:spacing w:before="0" w:after="0" w:afterAutospacing="0" w:line="240" w:lineRule="auto"/>
              <w:ind w:left="0" w:leftChars="0" w:right="0" w:firstLine="0" w:firstLineChars="0"/>
              <w:jc w:val="left"/>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站点采集工作量评估</w:t>
            </w:r>
          </w:p>
          <w:p>
            <w:pPr>
              <w:spacing w:before="0" w:after="0" w:afterAutospacing="0" w:line="240" w:lineRule="auto"/>
              <w:ind w:left="0" w:leftChars="0" w:right="0" w:firstLine="0" w:firstLineChars="0"/>
              <w:jc w:val="left"/>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虚拟场景制作，简模</w:t>
            </w:r>
          </w:p>
        </w:tc>
        <w:tc>
          <w:tcPr>
            <w:tcW w:w="457" w:type="pct"/>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点</w:t>
            </w:r>
          </w:p>
        </w:tc>
        <w:tc>
          <w:tcPr>
            <w:tcW w:w="642" w:type="pct"/>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100</w:t>
            </w:r>
          </w:p>
        </w:tc>
        <w:tc>
          <w:tcPr>
            <w:tcW w:w="376" w:type="pct"/>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hint="eastAsia" w:ascii="仿宋" w:hAnsi="仿宋" w:eastAsia="仿宋" w:cs="仿宋"/>
                <w:color w:val="auto"/>
                <w:kern w:val="2"/>
                <w:sz w:val="21"/>
                <w:szCs w:val="21"/>
                <w:highlight w:val="none"/>
                <w:lang w:val="en-US" w:eastAsia="zh-CN"/>
              </w:rPr>
            </w:pPr>
          </w:p>
        </w:tc>
      </w:tr>
      <w:tr>
        <w:tblPrEx>
          <w:tblCellMar>
            <w:top w:w="0" w:type="dxa"/>
            <w:left w:w="108" w:type="dxa"/>
            <w:bottom w:w="0" w:type="dxa"/>
            <w:right w:w="108" w:type="dxa"/>
          </w:tblCellMar>
        </w:tblPrEx>
        <w:trPr>
          <w:trHeight w:val="702" w:hRule="atLeast"/>
          <w:jc w:val="center"/>
        </w:trPr>
        <w:tc>
          <w:tcPr>
            <w:tcW w:w="413" w:type="pct"/>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4</w:t>
            </w:r>
          </w:p>
        </w:tc>
        <w:tc>
          <w:tcPr>
            <w:tcW w:w="689" w:type="pct"/>
            <w:vMerge w:val="continue"/>
            <w:tcBorders>
              <w:top w:val="single" w:color="auto" w:sz="4" w:space="0"/>
              <w:left w:val="single" w:color="auto" w:sz="4" w:space="0"/>
              <w:bottom w:val="single" w:color="auto" w:sz="4" w:space="0"/>
              <w:right w:val="single" w:color="auto" w:sz="4" w:space="0"/>
            </w:tcBorders>
            <w:noWrap w:val="0"/>
            <w:vAlign w:val="center"/>
          </w:tcPr>
          <w:p>
            <w:pPr>
              <w:spacing w:before="0" w:after="0" w:afterAutospacing="0" w:line="240" w:lineRule="auto"/>
              <w:ind w:left="0" w:right="0" w:firstLine="200"/>
              <w:jc w:val="center"/>
              <w:rPr>
                <w:rFonts w:hint="eastAsia" w:ascii="仿宋" w:hAnsi="仿宋" w:eastAsia="仿宋" w:cs="仿宋"/>
                <w:color w:val="auto"/>
                <w:kern w:val="2"/>
                <w:sz w:val="21"/>
                <w:szCs w:val="21"/>
                <w:highlight w:val="none"/>
                <w:lang w:val="en-US" w:eastAsia="zh-CN"/>
              </w:rPr>
            </w:pPr>
          </w:p>
        </w:tc>
        <w:tc>
          <w:tcPr>
            <w:tcW w:w="958" w:type="pct"/>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热点设置</w:t>
            </w:r>
          </w:p>
        </w:tc>
        <w:tc>
          <w:tcPr>
            <w:tcW w:w="1461" w:type="pct"/>
            <w:tcBorders>
              <w:top w:val="nil"/>
              <w:left w:val="nil"/>
              <w:bottom w:val="single" w:color="auto" w:sz="4" w:space="0"/>
              <w:right w:val="single" w:color="auto" w:sz="4" w:space="0"/>
            </w:tcBorders>
            <w:noWrap w:val="0"/>
            <w:vAlign w:val="center"/>
          </w:tcPr>
          <w:p>
            <w:pPr>
              <w:spacing w:before="0" w:after="0" w:afterAutospacing="0" w:line="240" w:lineRule="auto"/>
              <w:ind w:left="0" w:leftChars="0" w:right="0" w:firstLine="0" w:firstLineChars="0"/>
              <w:jc w:val="left"/>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交互点/热点</w:t>
            </w:r>
          </w:p>
        </w:tc>
        <w:tc>
          <w:tcPr>
            <w:tcW w:w="457" w:type="pct"/>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个</w:t>
            </w:r>
          </w:p>
        </w:tc>
        <w:tc>
          <w:tcPr>
            <w:tcW w:w="642" w:type="pct"/>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300</w:t>
            </w:r>
          </w:p>
        </w:tc>
        <w:tc>
          <w:tcPr>
            <w:tcW w:w="376" w:type="pct"/>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hint="eastAsia" w:ascii="仿宋" w:hAnsi="仿宋" w:eastAsia="仿宋" w:cs="仿宋"/>
                <w:color w:val="auto"/>
                <w:kern w:val="2"/>
                <w:sz w:val="21"/>
                <w:szCs w:val="21"/>
                <w:highlight w:val="none"/>
                <w:lang w:val="en-US" w:eastAsia="zh-CN"/>
              </w:rPr>
            </w:pPr>
          </w:p>
        </w:tc>
      </w:tr>
      <w:tr>
        <w:tblPrEx>
          <w:tblCellMar>
            <w:top w:w="0" w:type="dxa"/>
            <w:left w:w="108" w:type="dxa"/>
            <w:bottom w:w="0" w:type="dxa"/>
            <w:right w:w="108" w:type="dxa"/>
          </w:tblCellMar>
        </w:tblPrEx>
        <w:trPr>
          <w:trHeight w:val="702" w:hRule="atLeast"/>
          <w:jc w:val="center"/>
        </w:trPr>
        <w:tc>
          <w:tcPr>
            <w:tcW w:w="413" w:type="pct"/>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5</w:t>
            </w:r>
          </w:p>
        </w:tc>
        <w:tc>
          <w:tcPr>
            <w:tcW w:w="689" w:type="pct"/>
            <w:vMerge w:val="continue"/>
            <w:tcBorders>
              <w:top w:val="single" w:color="auto" w:sz="4" w:space="0"/>
              <w:left w:val="single" w:color="auto" w:sz="4" w:space="0"/>
              <w:bottom w:val="single" w:color="auto" w:sz="4" w:space="0"/>
              <w:right w:val="single" w:color="auto" w:sz="4" w:space="0"/>
            </w:tcBorders>
            <w:noWrap w:val="0"/>
            <w:vAlign w:val="center"/>
          </w:tcPr>
          <w:p>
            <w:pPr>
              <w:spacing w:before="0" w:after="0" w:afterAutospacing="0" w:line="240" w:lineRule="auto"/>
              <w:ind w:left="0" w:right="0" w:firstLine="200"/>
              <w:jc w:val="center"/>
              <w:rPr>
                <w:rFonts w:hint="eastAsia" w:ascii="仿宋" w:hAnsi="仿宋" w:eastAsia="仿宋" w:cs="仿宋"/>
                <w:color w:val="auto"/>
                <w:kern w:val="2"/>
                <w:sz w:val="21"/>
                <w:szCs w:val="21"/>
                <w:highlight w:val="none"/>
                <w:lang w:val="en-US" w:eastAsia="zh-CN"/>
              </w:rPr>
            </w:pPr>
          </w:p>
        </w:tc>
        <w:tc>
          <w:tcPr>
            <w:tcW w:w="958" w:type="pct"/>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场景解说</w:t>
            </w:r>
          </w:p>
        </w:tc>
        <w:tc>
          <w:tcPr>
            <w:tcW w:w="1461" w:type="pct"/>
            <w:tcBorders>
              <w:top w:val="nil"/>
              <w:left w:val="nil"/>
              <w:bottom w:val="single" w:color="auto" w:sz="4" w:space="0"/>
              <w:right w:val="single" w:color="auto" w:sz="4" w:space="0"/>
            </w:tcBorders>
            <w:noWrap w:val="0"/>
            <w:vAlign w:val="center"/>
          </w:tcPr>
          <w:p>
            <w:pPr>
              <w:spacing w:before="0" w:after="0" w:afterAutospacing="0" w:line="240" w:lineRule="auto"/>
              <w:ind w:left="0" w:leftChars="0" w:right="0" w:firstLine="0" w:firstLineChars="0"/>
              <w:jc w:val="left"/>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培训内容显示/操作提示</w:t>
            </w:r>
          </w:p>
        </w:tc>
        <w:tc>
          <w:tcPr>
            <w:tcW w:w="457" w:type="pct"/>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项</w:t>
            </w:r>
          </w:p>
        </w:tc>
        <w:tc>
          <w:tcPr>
            <w:tcW w:w="642" w:type="pct"/>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1</w:t>
            </w:r>
          </w:p>
        </w:tc>
        <w:tc>
          <w:tcPr>
            <w:tcW w:w="376" w:type="pct"/>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hint="eastAsia" w:ascii="仿宋" w:hAnsi="仿宋" w:eastAsia="仿宋" w:cs="仿宋"/>
                <w:color w:val="auto"/>
                <w:kern w:val="2"/>
                <w:sz w:val="21"/>
                <w:szCs w:val="21"/>
                <w:highlight w:val="none"/>
                <w:lang w:val="en-US" w:eastAsia="zh-CN"/>
              </w:rPr>
            </w:pPr>
          </w:p>
        </w:tc>
      </w:tr>
      <w:tr>
        <w:tblPrEx>
          <w:tblCellMar>
            <w:top w:w="0" w:type="dxa"/>
            <w:left w:w="108" w:type="dxa"/>
            <w:bottom w:w="0" w:type="dxa"/>
            <w:right w:w="108" w:type="dxa"/>
          </w:tblCellMar>
        </w:tblPrEx>
        <w:trPr>
          <w:trHeight w:val="702" w:hRule="atLeast"/>
          <w:jc w:val="center"/>
        </w:trPr>
        <w:tc>
          <w:tcPr>
            <w:tcW w:w="413" w:type="pct"/>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6</w:t>
            </w:r>
          </w:p>
        </w:tc>
        <w:tc>
          <w:tcPr>
            <w:tcW w:w="689" w:type="pct"/>
            <w:vMerge w:val="continue"/>
            <w:tcBorders>
              <w:top w:val="single" w:color="auto" w:sz="4" w:space="0"/>
              <w:left w:val="single" w:color="auto" w:sz="4" w:space="0"/>
              <w:bottom w:val="single" w:color="auto" w:sz="4" w:space="0"/>
              <w:right w:val="single" w:color="auto" w:sz="4" w:space="0"/>
            </w:tcBorders>
            <w:noWrap w:val="0"/>
            <w:vAlign w:val="center"/>
          </w:tcPr>
          <w:p>
            <w:pPr>
              <w:spacing w:before="0" w:after="0" w:afterAutospacing="0" w:line="240" w:lineRule="auto"/>
              <w:ind w:left="0" w:right="0" w:firstLine="200"/>
              <w:jc w:val="center"/>
              <w:rPr>
                <w:rFonts w:hint="eastAsia" w:ascii="仿宋" w:hAnsi="仿宋" w:eastAsia="仿宋" w:cs="仿宋"/>
                <w:color w:val="auto"/>
                <w:kern w:val="2"/>
                <w:sz w:val="21"/>
                <w:szCs w:val="21"/>
                <w:highlight w:val="none"/>
                <w:lang w:val="en-US" w:eastAsia="zh-CN"/>
              </w:rPr>
            </w:pPr>
          </w:p>
        </w:tc>
        <w:tc>
          <w:tcPr>
            <w:tcW w:w="958" w:type="pct"/>
            <w:tcBorders>
              <w:top w:val="nil"/>
              <w:left w:val="nil"/>
              <w:bottom w:val="single" w:color="auto" w:sz="4" w:space="0"/>
              <w:right w:val="single" w:color="auto" w:sz="4" w:space="0"/>
            </w:tcBorders>
            <w:noWrap/>
            <w:vAlign w:val="center"/>
          </w:tcPr>
          <w:p>
            <w:pPr>
              <w:spacing w:before="0" w:after="0" w:afterAutospacing="0" w:line="240" w:lineRule="auto"/>
              <w:ind w:left="0" w:leftChars="0" w:right="0" w:firstLine="0" w:firstLineChars="0"/>
              <w:jc w:val="center"/>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主要功能实现</w:t>
            </w:r>
          </w:p>
        </w:tc>
        <w:tc>
          <w:tcPr>
            <w:tcW w:w="1461" w:type="pct"/>
            <w:tcBorders>
              <w:top w:val="nil"/>
              <w:left w:val="nil"/>
              <w:bottom w:val="single" w:color="auto" w:sz="4" w:space="0"/>
              <w:right w:val="single" w:color="auto" w:sz="4" w:space="0"/>
            </w:tcBorders>
            <w:noWrap w:val="0"/>
            <w:vAlign w:val="center"/>
          </w:tcPr>
          <w:p>
            <w:pPr>
              <w:spacing w:before="0" w:after="0" w:afterAutospacing="0" w:line="240" w:lineRule="auto"/>
              <w:ind w:left="0" w:leftChars="0" w:right="0" w:firstLine="0" w:firstLineChars="0"/>
              <w:jc w:val="left"/>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演示、旋转、切换</w:t>
            </w:r>
          </w:p>
        </w:tc>
        <w:tc>
          <w:tcPr>
            <w:tcW w:w="457" w:type="pct"/>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项</w:t>
            </w:r>
          </w:p>
        </w:tc>
        <w:tc>
          <w:tcPr>
            <w:tcW w:w="642" w:type="pct"/>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1</w:t>
            </w:r>
          </w:p>
        </w:tc>
        <w:tc>
          <w:tcPr>
            <w:tcW w:w="376" w:type="pct"/>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hint="eastAsia" w:ascii="仿宋" w:hAnsi="仿宋" w:eastAsia="仿宋" w:cs="仿宋"/>
                <w:color w:val="auto"/>
                <w:kern w:val="2"/>
                <w:sz w:val="21"/>
                <w:szCs w:val="21"/>
                <w:highlight w:val="none"/>
                <w:lang w:val="en-US" w:eastAsia="zh-CN"/>
              </w:rPr>
            </w:pPr>
          </w:p>
        </w:tc>
      </w:tr>
      <w:tr>
        <w:tblPrEx>
          <w:tblCellMar>
            <w:top w:w="0" w:type="dxa"/>
            <w:left w:w="108" w:type="dxa"/>
            <w:bottom w:w="0" w:type="dxa"/>
            <w:right w:w="108" w:type="dxa"/>
          </w:tblCellMar>
        </w:tblPrEx>
        <w:trPr>
          <w:trHeight w:val="702" w:hRule="atLeast"/>
          <w:jc w:val="center"/>
        </w:trPr>
        <w:tc>
          <w:tcPr>
            <w:tcW w:w="413" w:type="pct"/>
            <w:tcBorders>
              <w:top w:val="single" w:color="auto" w:sz="4" w:space="0"/>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7</w:t>
            </w:r>
          </w:p>
        </w:tc>
        <w:tc>
          <w:tcPr>
            <w:tcW w:w="689" w:type="pct"/>
            <w:vMerge w:val="continue"/>
            <w:tcBorders>
              <w:top w:val="single" w:color="auto" w:sz="4" w:space="0"/>
              <w:left w:val="single" w:color="auto" w:sz="4" w:space="0"/>
              <w:bottom w:val="single" w:color="auto" w:sz="4" w:space="0"/>
              <w:right w:val="single" w:color="auto" w:sz="4" w:space="0"/>
            </w:tcBorders>
            <w:noWrap w:val="0"/>
            <w:vAlign w:val="center"/>
          </w:tcPr>
          <w:p>
            <w:pPr>
              <w:spacing w:before="0" w:after="0" w:afterAutospacing="0" w:line="240" w:lineRule="auto"/>
              <w:ind w:left="0" w:right="0" w:firstLine="200"/>
              <w:jc w:val="center"/>
              <w:rPr>
                <w:rFonts w:hint="eastAsia" w:ascii="仿宋" w:hAnsi="仿宋" w:eastAsia="仿宋" w:cs="仿宋"/>
                <w:color w:val="auto"/>
                <w:kern w:val="2"/>
                <w:sz w:val="21"/>
                <w:szCs w:val="21"/>
                <w:highlight w:val="none"/>
                <w:lang w:val="en-US" w:eastAsia="zh-CN"/>
              </w:rPr>
            </w:pPr>
          </w:p>
        </w:tc>
        <w:tc>
          <w:tcPr>
            <w:tcW w:w="958" w:type="pct"/>
            <w:tcBorders>
              <w:top w:val="single" w:color="auto" w:sz="4" w:space="0"/>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后台功能实现</w:t>
            </w:r>
          </w:p>
        </w:tc>
        <w:tc>
          <w:tcPr>
            <w:tcW w:w="1461" w:type="pct"/>
            <w:tcBorders>
              <w:top w:val="single" w:color="auto" w:sz="4" w:space="0"/>
              <w:left w:val="single" w:color="auto" w:sz="4" w:space="0"/>
              <w:bottom w:val="single" w:color="auto" w:sz="4" w:space="0"/>
              <w:right w:val="single" w:color="auto" w:sz="4" w:space="0"/>
            </w:tcBorders>
            <w:noWrap w:val="0"/>
            <w:vAlign w:val="center"/>
          </w:tcPr>
          <w:p>
            <w:pPr>
              <w:spacing w:before="0" w:after="0" w:afterAutospacing="0" w:line="240" w:lineRule="auto"/>
              <w:ind w:left="0" w:leftChars="0" w:right="0" w:firstLine="0" w:firstLineChars="0"/>
              <w:jc w:val="left"/>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自动巡游展示/培训模式自动播放</w:t>
            </w:r>
          </w:p>
        </w:tc>
        <w:tc>
          <w:tcPr>
            <w:tcW w:w="457" w:type="pct"/>
            <w:tcBorders>
              <w:top w:val="single" w:color="auto" w:sz="4" w:space="0"/>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项</w:t>
            </w:r>
          </w:p>
        </w:tc>
        <w:tc>
          <w:tcPr>
            <w:tcW w:w="642" w:type="pct"/>
            <w:tcBorders>
              <w:top w:val="single" w:color="auto" w:sz="4" w:space="0"/>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1</w:t>
            </w:r>
          </w:p>
        </w:tc>
        <w:tc>
          <w:tcPr>
            <w:tcW w:w="376" w:type="pct"/>
            <w:tcBorders>
              <w:top w:val="single" w:color="auto" w:sz="4" w:space="0"/>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eastAsia" w:ascii="仿宋" w:hAnsi="仿宋" w:eastAsia="仿宋" w:cs="仿宋"/>
                <w:color w:val="auto"/>
                <w:kern w:val="2"/>
                <w:sz w:val="21"/>
                <w:szCs w:val="21"/>
                <w:highlight w:val="none"/>
                <w:lang w:val="en-US" w:eastAsia="zh-CN"/>
              </w:rPr>
            </w:pPr>
          </w:p>
        </w:tc>
      </w:tr>
      <w:tr>
        <w:tblPrEx>
          <w:tblCellMar>
            <w:top w:w="0" w:type="dxa"/>
            <w:left w:w="108" w:type="dxa"/>
            <w:bottom w:w="0" w:type="dxa"/>
            <w:right w:w="108" w:type="dxa"/>
          </w:tblCellMar>
        </w:tblPrEx>
        <w:trPr>
          <w:trHeight w:val="702" w:hRule="atLeast"/>
          <w:jc w:val="center"/>
        </w:trPr>
        <w:tc>
          <w:tcPr>
            <w:tcW w:w="413" w:type="pct"/>
            <w:tcBorders>
              <w:top w:val="single" w:color="auto" w:sz="4" w:space="0"/>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8</w:t>
            </w:r>
          </w:p>
        </w:tc>
        <w:tc>
          <w:tcPr>
            <w:tcW w:w="689" w:type="pct"/>
            <w:tcBorders>
              <w:top w:val="single" w:color="auto" w:sz="4" w:space="0"/>
              <w:left w:val="single" w:color="auto" w:sz="4" w:space="0"/>
              <w:bottom w:val="single" w:color="auto" w:sz="4" w:space="0"/>
              <w:right w:val="single" w:color="auto" w:sz="4" w:space="0"/>
            </w:tcBorders>
            <w:noWrap w:val="0"/>
            <w:vAlign w:val="center"/>
          </w:tcPr>
          <w:p>
            <w:pPr>
              <w:spacing w:before="0" w:after="0" w:afterAutospacing="0" w:line="240" w:lineRule="auto"/>
              <w:ind w:left="0" w:right="0" w:firstLine="0"/>
              <w:jc w:val="center"/>
              <w:rPr>
                <w:rFonts w:hint="default"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硬件需求</w:t>
            </w:r>
          </w:p>
        </w:tc>
        <w:tc>
          <w:tcPr>
            <w:tcW w:w="958" w:type="pct"/>
            <w:tcBorders>
              <w:top w:val="single" w:color="auto" w:sz="4" w:space="0"/>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成果展示</w:t>
            </w:r>
          </w:p>
        </w:tc>
        <w:tc>
          <w:tcPr>
            <w:tcW w:w="1461" w:type="pct"/>
            <w:tcBorders>
              <w:top w:val="single" w:color="auto" w:sz="4" w:space="0"/>
              <w:left w:val="single" w:color="auto" w:sz="4" w:space="0"/>
              <w:bottom w:val="single" w:color="auto" w:sz="4" w:space="0"/>
              <w:right w:val="single" w:color="auto" w:sz="4" w:space="0"/>
            </w:tcBorders>
            <w:noWrap w:val="0"/>
            <w:vAlign w:val="center"/>
          </w:tcPr>
          <w:p>
            <w:pPr>
              <w:spacing w:before="0" w:after="0" w:afterAutospacing="0" w:line="240" w:lineRule="auto"/>
              <w:ind w:left="0" w:leftChars="0" w:right="0" w:firstLine="0" w:firstLineChars="0"/>
              <w:jc w:val="left"/>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头戴显示设备</w:t>
            </w:r>
          </w:p>
        </w:tc>
        <w:tc>
          <w:tcPr>
            <w:tcW w:w="457" w:type="pct"/>
            <w:tcBorders>
              <w:top w:val="single" w:color="auto" w:sz="4" w:space="0"/>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套</w:t>
            </w:r>
          </w:p>
        </w:tc>
        <w:tc>
          <w:tcPr>
            <w:tcW w:w="642" w:type="pct"/>
            <w:tcBorders>
              <w:top w:val="single" w:color="auto" w:sz="4" w:space="0"/>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1</w:t>
            </w:r>
          </w:p>
        </w:tc>
        <w:tc>
          <w:tcPr>
            <w:tcW w:w="376" w:type="pct"/>
            <w:tcBorders>
              <w:top w:val="single" w:color="auto" w:sz="4" w:space="0"/>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eastAsia" w:ascii="仿宋" w:hAnsi="仿宋" w:eastAsia="仿宋" w:cs="仿宋"/>
                <w:color w:val="auto"/>
                <w:kern w:val="2"/>
                <w:sz w:val="21"/>
                <w:szCs w:val="21"/>
                <w:highlight w:val="none"/>
                <w:lang w:val="en-US" w:eastAsia="zh-CN"/>
              </w:rPr>
            </w:pPr>
          </w:p>
        </w:tc>
      </w:tr>
    </w:tbl>
    <w:p>
      <w:pPr>
        <w:spacing w:line="360" w:lineRule="auto"/>
        <w:ind w:left="1140" w:firstLine="0"/>
        <w:rPr>
          <w:rFonts w:ascii="Times New Roman" w:hAnsi="Times New Roman" w:eastAsia="仿宋" w:cs="Times New Roman"/>
          <w:color w:val="auto"/>
          <w:kern w:val="0"/>
          <w:sz w:val="24"/>
          <w:lang w:val="en-US" w:eastAsia="zh-CN" w:bidi="ar-SA"/>
        </w:rPr>
      </w:pPr>
    </w:p>
    <w:p>
      <w:pPr>
        <w:spacing w:line="360" w:lineRule="auto"/>
        <w:ind w:firstLine="0"/>
        <w:rPr>
          <w:rFonts w:eastAsia="仿宋"/>
          <w:color w:val="auto"/>
          <w:sz w:val="24"/>
        </w:rPr>
        <w:sectPr>
          <w:footerReference r:id="rId7" w:type="default"/>
          <w:pgSz w:w="11906" w:h="16838"/>
          <w:pgMar w:top="1440" w:right="1800" w:bottom="1440" w:left="1800" w:header="851" w:footer="992" w:gutter="0"/>
          <w:cols w:space="720" w:num="1"/>
          <w:docGrid w:type="lines" w:linePitch="312" w:charSpace="0"/>
        </w:sectPr>
      </w:pPr>
    </w:p>
    <w:p>
      <w:pPr>
        <w:keepNext/>
        <w:keepLines/>
        <w:pageBreakBefore/>
        <w:numPr>
          <w:ilvl w:val="0"/>
          <w:numId w:val="7"/>
        </w:numPr>
        <w:spacing w:before="240" w:after="240" w:line="360" w:lineRule="auto"/>
        <w:outlineLvl w:val="0"/>
        <w:rPr>
          <w:rFonts w:ascii="Times New Roman" w:hAnsi="Times New Roman" w:eastAsia="仿宋" w:cs="Times New Roman"/>
          <w:b/>
          <w:color w:val="auto"/>
          <w:kern w:val="28"/>
          <w:sz w:val="32"/>
          <w:szCs w:val="30"/>
          <w:lang w:val="en-GB" w:eastAsia="zh-CN" w:bidi="ar-SA"/>
        </w:rPr>
      </w:pPr>
      <w:bookmarkStart w:id="798" w:name="_Toc8554"/>
      <w:bookmarkStart w:id="799" w:name="_Toc49008444"/>
      <w:bookmarkStart w:id="800" w:name="_Toc11210"/>
      <w:bookmarkStart w:id="801" w:name="_Toc293757029"/>
      <w:bookmarkStart w:id="802" w:name="_Toc49106843"/>
      <w:bookmarkStart w:id="803" w:name="_Toc27828"/>
      <w:r>
        <w:rPr>
          <w:rFonts w:hint="eastAsia" w:ascii="Times New Roman" w:hAnsi="Times New Roman" w:eastAsia="仿宋" w:cs="Times New Roman"/>
          <w:b/>
          <w:color w:val="auto"/>
          <w:kern w:val="28"/>
          <w:sz w:val="32"/>
          <w:szCs w:val="30"/>
          <w:lang w:val="en-GB" w:eastAsia="zh-CN" w:bidi="ar-SA"/>
        </w:rPr>
        <w:t>系统技术</w:t>
      </w:r>
      <w:r>
        <w:rPr>
          <w:rFonts w:ascii="Times New Roman" w:hAnsi="Times New Roman" w:eastAsia="仿宋" w:cs="Times New Roman"/>
          <w:b/>
          <w:color w:val="auto"/>
          <w:kern w:val="28"/>
          <w:sz w:val="32"/>
          <w:szCs w:val="30"/>
          <w:lang w:val="en-GB" w:eastAsia="zh-CN" w:bidi="ar-SA"/>
        </w:rPr>
        <w:t>要求</w:t>
      </w:r>
      <w:bookmarkEnd w:id="798"/>
      <w:bookmarkEnd w:id="799"/>
      <w:bookmarkEnd w:id="800"/>
      <w:bookmarkEnd w:id="801"/>
      <w:bookmarkEnd w:id="802"/>
      <w:bookmarkEnd w:id="803"/>
    </w:p>
    <w:p>
      <w:pPr>
        <w:keepNext/>
        <w:numPr>
          <w:ilvl w:val="1"/>
          <w:numId w:val="7"/>
        </w:numPr>
        <w:spacing w:before="120" w:after="120" w:line="360" w:lineRule="auto"/>
        <w:outlineLvl w:val="1"/>
        <w:rPr>
          <w:rFonts w:ascii="Times New Roman" w:hAnsi="Times New Roman" w:eastAsia="仿宋" w:cs="Times New Roman"/>
          <w:b/>
          <w:color w:val="auto"/>
          <w:kern w:val="0"/>
          <w:sz w:val="30"/>
          <w:szCs w:val="30"/>
          <w:lang w:val="en-GB" w:eastAsia="zh-CN" w:bidi="ar-SA"/>
        </w:rPr>
      </w:pPr>
      <w:bookmarkStart w:id="804" w:name="_Toc49106844"/>
      <w:bookmarkStart w:id="805" w:name="_Toc8386"/>
      <w:bookmarkStart w:id="806" w:name="_Toc3366"/>
      <w:bookmarkStart w:id="807" w:name="_Toc14810"/>
      <w:bookmarkStart w:id="808" w:name="_Toc49008445"/>
      <w:r>
        <w:rPr>
          <w:rFonts w:hint="eastAsia" w:ascii="Times New Roman" w:hAnsi="Times New Roman" w:eastAsia="仿宋" w:cs="Times New Roman"/>
          <w:b/>
          <w:color w:val="auto"/>
          <w:kern w:val="0"/>
          <w:sz w:val="30"/>
          <w:szCs w:val="30"/>
          <w:lang w:val="en-GB" w:eastAsia="zh-CN" w:bidi="ar-SA"/>
        </w:rPr>
        <w:t>系统</w:t>
      </w:r>
      <w:r>
        <w:rPr>
          <w:rFonts w:ascii="Times New Roman" w:hAnsi="Times New Roman" w:eastAsia="仿宋" w:cs="Times New Roman"/>
          <w:b/>
          <w:color w:val="auto"/>
          <w:kern w:val="0"/>
          <w:sz w:val="30"/>
          <w:szCs w:val="30"/>
          <w:lang w:val="en-GB" w:eastAsia="zh-CN" w:bidi="ar-SA"/>
        </w:rPr>
        <w:t>概述</w:t>
      </w:r>
      <w:bookmarkEnd w:id="804"/>
      <w:bookmarkEnd w:id="805"/>
      <w:bookmarkEnd w:id="806"/>
      <w:bookmarkEnd w:id="807"/>
      <w:bookmarkEnd w:id="808"/>
    </w:p>
    <w:p>
      <w:pPr>
        <w:spacing w:before="0" w:after="0" w:afterAutospacing="0" w:line="360" w:lineRule="auto"/>
        <w:ind w:left="0" w:right="0" w:firstLine="420" w:firstLineChars="200"/>
        <w:jc w:val="left"/>
        <w:rPr>
          <w:rFonts w:hint="eastAsia" w:ascii="Times New Roman" w:hAnsi="Times New Roman" w:eastAsia="仿宋" w:cs="Times New Roman"/>
          <w:color w:val="auto"/>
          <w:kern w:val="2"/>
          <w:szCs w:val="22"/>
          <w:lang w:val="en-US" w:eastAsia="zh-CN"/>
        </w:rPr>
      </w:pPr>
      <w:r>
        <w:rPr>
          <w:rFonts w:hint="eastAsia" w:ascii="Times New Roman" w:hAnsi="Times New Roman" w:eastAsia="仿宋" w:cs="Times New Roman"/>
          <w:color w:val="auto"/>
          <w:kern w:val="2"/>
          <w:szCs w:val="22"/>
          <w:lang w:val="en-US" w:eastAsia="zh-CN"/>
        </w:rPr>
        <w:t>本系统是一套为调度员提供现场设备结构布局及功能学习的系统。系统通过拍摄采集车站、区间隧道、车站设备房的实景图片，制作出标注有隧道结构、设备名称和相关注释的车站和隧道的VR全景系统。</w:t>
      </w:r>
    </w:p>
    <w:p>
      <w:pPr>
        <w:keepNext/>
        <w:numPr>
          <w:ilvl w:val="1"/>
          <w:numId w:val="7"/>
        </w:numPr>
        <w:spacing w:before="120" w:after="120" w:line="360" w:lineRule="auto"/>
        <w:outlineLvl w:val="1"/>
        <w:rPr>
          <w:rFonts w:ascii="Times New Roman" w:hAnsi="Times New Roman" w:eastAsia="仿宋" w:cs="Times New Roman"/>
          <w:b/>
          <w:color w:val="auto"/>
          <w:kern w:val="0"/>
          <w:sz w:val="30"/>
          <w:szCs w:val="30"/>
          <w:lang w:val="en-GB" w:eastAsia="zh-CN" w:bidi="ar-SA"/>
        </w:rPr>
      </w:pPr>
      <w:bookmarkStart w:id="809" w:name="_Toc10438"/>
      <w:bookmarkStart w:id="810" w:name="_Toc15790"/>
      <w:bookmarkStart w:id="811" w:name="_Toc49106847"/>
      <w:bookmarkStart w:id="812" w:name="_Toc15412"/>
      <w:bookmarkStart w:id="813" w:name="_Toc49008448"/>
      <w:r>
        <w:rPr>
          <w:rFonts w:ascii="Times New Roman" w:hAnsi="Times New Roman" w:eastAsia="仿宋" w:cs="Times New Roman"/>
          <w:b/>
          <w:color w:val="auto"/>
          <w:kern w:val="0"/>
          <w:sz w:val="30"/>
          <w:szCs w:val="30"/>
          <w:lang w:val="en-GB" w:eastAsia="zh-CN" w:bidi="ar-SA"/>
        </w:rPr>
        <w:t>项目实施原则</w:t>
      </w:r>
      <w:bookmarkEnd w:id="809"/>
      <w:bookmarkEnd w:id="810"/>
      <w:bookmarkEnd w:id="811"/>
      <w:bookmarkEnd w:id="812"/>
      <w:bookmarkEnd w:id="813"/>
    </w:p>
    <w:p>
      <w:pPr>
        <w:spacing w:before="0" w:after="0" w:afterAutospacing="0" w:line="360" w:lineRule="auto"/>
        <w:ind w:left="0" w:right="0" w:firstLine="420" w:firstLineChars="200"/>
        <w:jc w:val="left"/>
        <w:rPr>
          <w:rFonts w:hint="eastAsia" w:ascii="Times New Roman" w:hAnsi="Times New Roman" w:eastAsia="仿宋" w:cs="Times New Roman"/>
          <w:color w:val="auto"/>
          <w:kern w:val="2"/>
          <w:szCs w:val="22"/>
          <w:lang w:val="en-US" w:eastAsia="zh-CN"/>
        </w:rPr>
      </w:pPr>
      <w:r>
        <w:rPr>
          <w:rFonts w:hint="eastAsia" w:ascii="Times New Roman" w:hAnsi="Times New Roman" w:eastAsia="仿宋" w:cs="Times New Roman"/>
          <w:color w:val="auto"/>
          <w:kern w:val="2"/>
          <w:szCs w:val="22"/>
          <w:lang w:val="en-US" w:eastAsia="zh-CN"/>
        </w:rPr>
        <w:t>项目要求以成熟产品为基础，结合具体需求进行定制和二次开发的方式进行实施，能缩短项目实施周期，降低项目实施的风险。</w:t>
      </w:r>
    </w:p>
    <w:p>
      <w:pPr>
        <w:spacing w:before="0" w:after="0" w:afterAutospacing="0" w:line="360" w:lineRule="auto"/>
        <w:ind w:left="0" w:right="0" w:firstLine="422" w:firstLineChars="200"/>
        <w:jc w:val="both"/>
        <w:rPr>
          <w:rFonts w:hint="eastAsia" w:ascii="Times New Roman" w:hAnsi="Times New Roman" w:eastAsia="仿宋" w:cs="Times New Roman"/>
          <w:b/>
          <w:bCs/>
          <w:color w:val="auto"/>
          <w:kern w:val="2"/>
          <w:szCs w:val="20"/>
        </w:rPr>
      </w:pPr>
      <w:r>
        <w:rPr>
          <w:rFonts w:hint="eastAsia" w:ascii="Times New Roman" w:hAnsi="Times New Roman" w:eastAsia="仿宋" w:cs="Times New Roman"/>
          <w:b/>
          <w:bCs/>
          <w:color w:val="auto"/>
          <w:kern w:val="2"/>
          <w:szCs w:val="20"/>
          <w:lang w:eastAsia="zh-CN"/>
        </w:rPr>
        <w:t>（</w:t>
      </w:r>
      <w:r>
        <w:rPr>
          <w:rFonts w:hint="eastAsia" w:ascii="Times New Roman" w:hAnsi="Times New Roman" w:eastAsia="仿宋" w:cs="Times New Roman"/>
          <w:b/>
          <w:bCs/>
          <w:color w:val="auto"/>
          <w:kern w:val="2"/>
          <w:szCs w:val="20"/>
          <w:lang w:val="en-US" w:eastAsia="zh-CN"/>
        </w:rPr>
        <w:t>1</w:t>
      </w:r>
      <w:r>
        <w:rPr>
          <w:rFonts w:hint="eastAsia" w:ascii="Times New Roman" w:hAnsi="Times New Roman" w:eastAsia="仿宋" w:cs="Times New Roman"/>
          <w:b/>
          <w:bCs/>
          <w:color w:val="auto"/>
          <w:kern w:val="2"/>
          <w:szCs w:val="20"/>
          <w:lang w:eastAsia="zh-CN"/>
        </w:rPr>
        <w:t>）</w:t>
      </w:r>
      <w:r>
        <w:rPr>
          <w:rFonts w:hint="eastAsia" w:ascii="Times New Roman" w:hAnsi="Times New Roman" w:eastAsia="仿宋" w:cs="Times New Roman"/>
          <w:b/>
          <w:bCs/>
          <w:color w:val="auto"/>
          <w:kern w:val="2"/>
          <w:szCs w:val="20"/>
        </w:rPr>
        <w:t>设备性能先进</w:t>
      </w:r>
    </w:p>
    <w:p>
      <w:pPr>
        <w:spacing w:before="0" w:after="0" w:afterAutospacing="0" w:line="360" w:lineRule="auto"/>
        <w:ind w:left="0" w:right="0" w:firstLine="420" w:firstLineChars="200"/>
        <w:jc w:val="left"/>
        <w:rPr>
          <w:rFonts w:hint="eastAsia" w:ascii="Times New Roman" w:hAnsi="Times New Roman" w:eastAsia="仿宋" w:cs="Times New Roman"/>
          <w:color w:val="auto"/>
          <w:kern w:val="2"/>
          <w:szCs w:val="22"/>
          <w:lang w:val="en-US" w:eastAsia="zh-CN"/>
        </w:rPr>
      </w:pPr>
      <w:r>
        <w:rPr>
          <w:rFonts w:hint="eastAsia" w:ascii="Times New Roman" w:hAnsi="Times New Roman" w:eastAsia="仿宋" w:cs="Times New Roman"/>
          <w:color w:val="auto"/>
          <w:kern w:val="2"/>
          <w:szCs w:val="22"/>
          <w:lang w:val="en-US" w:eastAsia="zh-CN"/>
        </w:rPr>
        <w:t>采用基于数据库的信息管理手段，有效配合先进的硬件设备（包括平台服务器和网络设备），采用先进的拍摄、存储、展示等一系列数字化、信息化技术有效保障系统的先进性。</w:t>
      </w:r>
    </w:p>
    <w:p>
      <w:pPr>
        <w:spacing w:before="0" w:after="0" w:afterAutospacing="0" w:line="360" w:lineRule="auto"/>
        <w:ind w:left="0" w:right="0" w:firstLine="422" w:firstLineChars="200"/>
        <w:jc w:val="both"/>
        <w:rPr>
          <w:rFonts w:hint="eastAsia" w:ascii="Times New Roman" w:hAnsi="Times New Roman" w:eastAsia="仿宋" w:cs="Times New Roman"/>
          <w:b/>
          <w:bCs/>
          <w:color w:val="auto"/>
          <w:kern w:val="2"/>
          <w:szCs w:val="20"/>
        </w:rPr>
      </w:pPr>
      <w:r>
        <w:rPr>
          <w:rFonts w:hint="eastAsia" w:ascii="Times New Roman" w:hAnsi="Times New Roman" w:eastAsia="仿宋" w:cs="Times New Roman"/>
          <w:b/>
          <w:bCs/>
          <w:color w:val="auto"/>
          <w:kern w:val="2"/>
          <w:szCs w:val="20"/>
          <w:lang w:eastAsia="zh-CN"/>
        </w:rPr>
        <w:t>（</w:t>
      </w:r>
      <w:r>
        <w:rPr>
          <w:rFonts w:hint="eastAsia" w:ascii="Times New Roman" w:hAnsi="Times New Roman" w:eastAsia="仿宋" w:cs="Times New Roman"/>
          <w:b/>
          <w:bCs/>
          <w:color w:val="auto"/>
          <w:kern w:val="2"/>
          <w:szCs w:val="20"/>
          <w:lang w:val="en-US" w:eastAsia="zh-CN"/>
        </w:rPr>
        <w:t>2</w:t>
      </w:r>
      <w:r>
        <w:rPr>
          <w:rFonts w:hint="eastAsia" w:ascii="Times New Roman" w:hAnsi="Times New Roman" w:eastAsia="仿宋" w:cs="Times New Roman"/>
          <w:b/>
          <w:bCs/>
          <w:color w:val="auto"/>
          <w:kern w:val="2"/>
          <w:szCs w:val="20"/>
          <w:lang w:eastAsia="zh-CN"/>
        </w:rPr>
        <w:t>）</w:t>
      </w:r>
      <w:r>
        <w:rPr>
          <w:rFonts w:hint="eastAsia" w:ascii="Times New Roman" w:hAnsi="Times New Roman" w:eastAsia="仿宋" w:cs="Times New Roman"/>
          <w:b/>
          <w:bCs/>
          <w:color w:val="auto"/>
          <w:kern w:val="2"/>
          <w:szCs w:val="20"/>
        </w:rPr>
        <w:t>性能可靠稳定</w:t>
      </w:r>
    </w:p>
    <w:p>
      <w:pPr>
        <w:spacing w:before="0" w:after="0" w:afterAutospacing="0" w:line="360" w:lineRule="auto"/>
        <w:ind w:left="0" w:right="0" w:firstLine="420" w:firstLineChars="200"/>
        <w:jc w:val="both"/>
        <w:rPr>
          <w:rFonts w:hint="eastAsia" w:ascii="Times New Roman" w:hAnsi="Times New Roman" w:eastAsia="仿宋" w:cs="Times New Roman"/>
          <w:color w:val="auto"/>
          <w:kern w:val="2"/>
          <w:szCs w:val="20"/>
        </w:rPr>
      </w:pPr>
      <w:r>
        <w:rPr>
          <w:rFonts w:hint="eastAsia" w:ascii="Times New Roman" w:hAnsi="Times New Roman" w:eastAsia="仿宋" w:cs="Times New Roman"/>
          <w:color w:val="auto"/>
          <w:kern w:val="2"/>
          <w:szCs w:val="20"/>
        </w:rPr>
        <w:t>平台具备长期稳定工作的能力，所有选用设备均符合质量及可靠性标准；充分考虑系统及数据资源的容灾、备份、恢复的要求，所有信息均基于数字化存储，安全可靠。</w:t>
      </w:r>
    </w:p>
    <w:p>
      <w:pPr>
        <w:spacing w:before="0" w:after="0" w:afterAutospacing="0" w:line="360" w:lineRule="auto"/>
        <w:ind w:left="0" w:right="0" w:firstLine="422" w:firstLineChars="200"/>
        <w:jc w:val="both"/>
        <w:rPr>
          <w:rFonts w:hint="eastAsia" w:ascii="Times New Roman" w:hAnsi="Times New Roman" w:eastAsia="仿宋" w:cs="Times New Roman"/>
          <w:b/>
          <w:bCs/>
          <w:color w:val="auto"/>
          <w:kern w:val="2"/>
          <w:szCs w:val="20"/>
        </w:rPr>
      </w:pPr>
      <w:r>
        <w:rPr>
          <w:rFonts w:hint="eastAsia" w:ascii="Times New Roman" w:hAnsi="Times New Roman" w:eastAsia="仿宋" w:cs="Times New Roman"/>
          <w:b/>
          <w:bCs/>
          <w:color w:val="auto"/>
          <w:kern w:val="2"/>
          <w:szCs w:val="20"/>
          <w:lang w:eastAsia="zh-CN"/>
        </w:rPr>
        <w:t>（</w:t>
      </w:r>
      <w:r>
        <w:rPr>
          <w:rFonts w:hint="eastAsia" w:ascii="Times New Roman" w:hAnsi="Times New Roman" w:eastAsia="仿宋" w:cs="Times New Roman"/>
          <w:b/>
          <w:bCs/>
          <w:color w:val="auto"/>
          <w:kern w:val="2"/>
          <w:szCs w:val="20"/>
          <w:lang w:val="en-US" w:eastAsia="zh-CN"/>
        </w:rPr>
        <w:t>3</w:t>
      </w:r>
      <w:r>
        <w:rPr>
          <w:rFonts w:hint="eastAsia" w:ascii="Times New Roman" w:hAnsi="Times New Roman" w:eastAsia="仿宋" w:cs="Times New Roman"/>
          <w:b/>
          <w:bCs/>
          <w:color w:val="auto"/>
          <w:kern w:val="2"/>
          <w:szCs w:val="20"/>
          <w:lang w:eastAsia="zh-CN"/>
        </w:rPr>
        <w:t>）</w:t>
      </w:r>
      <w:r>
        <w:rPr>
          <w:rFonts w:hint="eastAsia" w:ascii="Times New Roman" w:hAnsi="Times New Roman" w:eastAsia="仿宋" w:cs="Times New Roman"/>
          <w:b/>
          <w:bCs/>
          <w:color w:val="auto"/>
          <w:kern w:val="2"/>
          <w:szCs w:val="20"/>
        </w:rPr>
        <w:t>形式趣味</w:t>
      </w:r>
    </w:p>
    <w:p>
      <w:pPr>
        <w:spacing w:before="0" w:after="0" w:afterAutospacing="0" w:line="360" w:lineRule="auto"/>
        <w:ind w:left="0" w:right="0" w:firstLine="420" w:firstLineChars="200"/>
        <w:jc w:val="both"/>
        <w:rPr>
          <w:rFonts w:hint="eastAsia" w:ascii="Times New Roman" w:hAnsi="Times New Roman" w:eastAsia="仿宋" w:cs="Times New Roman"/>
          <w:color w:val="auto"/>
          <w:kern w:val="2"/>
          <w:szCs w:val="20"/>
        </w:rPr>
      </w:pPr>
      <w:r>
        <w:rPr>
          <w:rFonts w:hint="eastAsia" w:ascii="Times New Roman" w:hAnsi="Times New Roman" w:eastAsia="仿宋" w:cs="Times New Roman"/>
          <w:color w:val="auto"/>
          <w:kern w:val="2"/>
          <w:szCs w:val="20"/>
        </w:rPr>
        <w:t>平台内的站点场景浏览方式是基于三维漫游的，站点场景中的内容均以第一人称视角呈现，另外设备和工具可以通过信息热点、放大抓取的方式进行深度浏览，设备和工具信息也采用了声、图、文的综合展示方案，最大化保证信息的丰富性，展现形式多样、新颖。</w:t>
      </w:r>
    </w:p>
    <w:p>
      <w:pPr>
        <w:spacing w:before="0" w:after="0" w:afterAutospacing="0" w:line="360" w:lineRule="auto"/>
        <w:ind w:left="0" w:right="0" w:firstLine="422" w:firstLineChars="200"/>
        <w:jc w:val="both"/>
        <w:rPr>
          <w:rFonts w:hint="eastAsia" w:ascii="Times New Roman" w:hAnsi="Times New Roman" w:eastAsia="仿宋" w:cs="Times New Roman"/>
          <w:b/>
          <w:bCs/>
          <w:color w:val="auto"/>
          <w:kern w:val="2"/>
          <w:szCs w:val="20"/>
        </w:rPr>
      </w:pPr>
      <w:r>
        <w:rPr>
          <w:rFonts w:hint="eastAsia" w:ascii="Times New Roman" w:hAnsi="Times New Roman" w:eastAsia="仿宋" w:cs="Times New Roman"/>
          <w:b/>
          <w:bCs/>
          <w:color w:val="auto"/>
          <w:kern w:val="2"/>
          <w:szCs w:val="20"/>
          <w:lang w:eastAsia="zh-CN"/>
        </w:rPr>
        <w:t>（</w:t>
      </w:r>
      <w:r>
        <w:rPr>
          <w:rFonts w:hint="eastAsia" w:ascii="Times New Roman" w:hAnsi="Times New Roman" w:eastAsia="仿宋" w:cs="Times New Roman"/>
          <w:b/>
          <w:bCs/>
          <w:color w:val="auto"/>
          <w:kern w:val="2"/>
          <w:szCs w:val="20"/>
          <w:lang w:val="en-US" w:eastAsia="zh-CN"/>
        </w:rPr>
        <w:t>4</w:t>
      </w:r>
      <w:r>
        <w:rPr>
          <w:rFonts w:hint="eastAsia" w:ascii="Times New Roman" w:hAnsi="Times New Roman" w:eastAsia="仿宋" w:cs="Times New Roman"/>
          <w:b/>
          <w:bCs/>
          <w:color w:val="auto"/>
          <w:kern w:val="2"/>
          <w:szCs w:val="20"/>
          <w:lang w:eastAsia="zh-CN"/>
        </w:rPr>
        <w:t>）</w:t>
      </w:r>
      <w:r>
        <w:rPr>
          <w:rFonts w:hint="eastAsia" w:ascii="Times New Roman" w:hAnsi="Times New Roman" w:eastAsia="仿宋" w:cs="Times New Roman"/>
          <w:b/>
          <w:bCs/>
          <w:color w:val="auto"/>
          <w:kern w:val="2"/>
          <w:szCs w:val="20"/>
        </w:rPr>
        <w:t>可扩展易维护</w:t>
      </w:r>
    </w:p>
    <w:p>
      <w:pPr>
        <w:spacing w:before="0" w:after="0" w:afterAutospacing="0" w:line="360" w:lineRule="auto"/>
        <w:ind w:left="0" w:right="0" w:firstLine="420" w:firstLineChars="200"/>
        <w:jc w:val="both"/>
        <w:rPr>
          <w:rFonts w:hint="eastAsia" w:ascii="Times New Roman" w:hAnsi="Times New Roman" w:eastAsia="仿宋" w:cs="Times New Roman"/>
          <w:color w:val="auto"/>
          <w:kern w:val="2"/>
          <w:szCs w:val="20"/>
        </w:rPr>
      </w:pPr>
      <w:r>
        <w:rPr>
          <w:rFonts w:hint="eastAsia" w:ascii="Times New Roman" w:hAnsi="Times New Roman" w:eastAsia="仿宋" w:cs="Times New Roman"/>
          <w:color w:val="auto"/>
          <w:kern w:val="2"/>
          <w:szCs w:val="20"/>
          <w:lang w:val="en-US" w:eastAsia="zh-CN"/>
        </w:rPr>
        <w:t>1）</w:t>
      </w:r>
      <w:r>
        <w:rPr>
          <w:rFonts w:hint="eastAsia" w:ascii="Times New Roman" w:hAnsi="Times New Roman" w:eastAsia="仿宋" w:cs="Times New Roman"/>
          <w:color w:val="auto"/>
          <w:kern w:val="2"/>
          <w:szCs w:val="20"/>
        </w:rPr>
        <w:t>系统在设计时考虑到功能的可扩展性与易维护的方便性，使用的操作平台类型，应用服务器、编程语言和数据库，将遵循通用性、开放性，以期达到减少后续功能增加，修改的难度，减少由于维护方、后续服务方的变更，带来系统二次开发、维护的难度。</w:t>
      </w:r>
    </w:p>
    <w:p>
      <w:pPr>
        <w:spacing w:before="0" w:after="0" w:afterAutospacing="0" w:line="360" w:lineRule="auto"/>
        <w:ind w:left="0" w:right="0" w:firstLine="420" w:firstLineChars="200"/>
        <w:jc w:val="both"/>
        <w:rPr>
          <w:rFonts w:hint="eastAsia" w:ascii="Times New Roman" w:hAnsi="Times New Roman" w:eastAsia="仿宋" w:cs="Times New Roman"/>
          <w:color w:val="auto"/>
          <w:kern w:val="2"/>
          <w:szCs w:val="20"/>
        </w:rPr>
      </w:pPr>
      <w:r>
        <w:rPr>
          <w:rFonts w:hint="eastAsia" w:ascii="Times New Roman" w:hAnsi="Times New Roman" w:eastAsia="仿宋" w:cs="Times New Roman"/>
          <w:color w:val="auto"/>
          <w:kern w:val="2"/>
          <w:szCs w:val="20"/>
          <w:lang w:val="en-US" w:eastAsia="zh-CN"/>
        </w:rPr>
        <w:t>2）</w:t>
      </w:r>
      <w:r>
        <w:rPr>
          <w:rFonts w:hint="eastAsia" w:ascii="Times New Roman" w:hAnsi="Times New Roman" w:eastAsia="仿宋" w:cs="Times New Roman"/>
          <w:color w:val="auto"/>
          <w:kern w:val="2"/>
          <w:szCs w:val="20"/>
        </w:rPr>
        <w:t>运营管理员可以根据实际业务需求对站点场景的信息进行增、删、改操作，后期可以扩大展示范围。</w:t>
      </w:r>
    </w:p>
    <w:p>
      <w:pPr>
        <w:spacing w:before="0" w:after="0" w:afterAutospacing="0" w:line="360" w:lineRule="auto"/>
        <w:ind w:left="0" w:right="0" w:firstLine="422" w:firstLineChars="200"/>
        <w:jc w:val="both"/>
        <w:rPr>
          <w:rFonts w:hint="eastAsia" w:ascii="Times New Roman" w:hAnsi="Times New Roman" w:eastAsia="仿宋" w:cs="Times New Roman"/>
          <w:b/>
          <w:bCs/>
          <w:color w:val="auto"/>
          <w:kern w:val="2"/>
          <w:szCs w:val="20"/>
        </w:rPr>
      </w:pPr>
      <w:r>
        <w:rPr>
          <w:rFonts w:hint="eastAsia" w:ascii="Times New Roman" w:hAnsi="Times New Roman" w:eastAsia="仿宋" w:cs="Times New Roman"/>
          <w:b/>
          <w:bCs/>
          <w:color w:val="auto"/>
          <w:kern w:val="2"/>
          <w:szCs w:val="20"/>
          <w:lang w:eastAsia="zh-CN"/>
        </w:rPr>
        <w:t>（</w:t>
      </w:r>
      <w:r>
        <w:rPr>
          <w:rFonts w:hint="eastAsia" w:ascii="Times New Roman" w:hAnsi="Times New Roman" w:eastAsia="仿宋" w:cs="Times New Roman"/>
          <w:b/>
          <w:bCs/>
          <w:color w:val="auto"/>
          <w:kern w:val="2"/>
          <w:szCs w:val="20"/>
          <w:lang w:val="en-US" w:eastAsia="zh-CN"/>
        </w:rPr>
        <w:t>5</w:t>
      </w:r>
      <w:r>
        <w:rPr>
          <w:rFonts w:hint="eastAsia" w:ascii="Times New Roman" w:hAnsi="Times New Roman" w:eastAsia="仿宋" w:cs="Times New Roman"/>
          <w:b/>
          <w:bCs/>
          <w:color w:val="auto"/>
          <w:kern w:val="2"/>
          <w:szCs w:val="20"/>
          <w:lang w:eastAsia="zh-CN"/>
        </w:rPr>
        <w:t>）</w:t>
      </w:r>
      <w:r>
        <w:rPr>
          <w:rFonts w:hint="eastAsia" w:ascii="Times New Roman" w:hAnsi="Times New Roman" w:eastAsia="仿宋" w:cs="Times New Roman"/>
          <w:b/>
          <w:bCs/>
          <w:color w:val="auto"/>
          <w:kern w:val="2"/>
          <w:szCs w:val="20"/>
        </w:rPr>
        <w:t>注重经济效益</w:t>
      </w:r>
    </w:p>
    <w:p>
      <w:pPr>
        <w:spacing w:before="0" w:after="0" w:afterAutospacing="0" w:line="360" w:lineRule="auto"/>
        <w:ind w:left="0" w:right="0" w:firstLine="420" w:firstLineChars="200"/>
        <w:jc w:val="both"/>
        <w:rPr>
          <w:rFonts w:ascii="Times New Roman" w:hAnsi="Times New Roman" w:eastAsia="仿宋" w:cs="Times New Roman"/>
          <w:color w:val="auto"/>
          <w:kern w:val="2"/>
          <w:szCs w:val="20"/>
        </w:rPr>
      </w:pPr>
      <w:r>
        <w:rPr>
          <w:rFonts w:hint="eastAsia" w:ascii="Times New Roman" w:hAnsi="Times New Roman" w:eastAsia="仿宋" w:cs="Times New Roman"/>
          <w:color w:val="auto"/>
          <w:kern w:val="2"/>
          <w:szCs w:val="20"/>
        </w:rPr>
        <w:t>在现有站点场景的基础上进行充分利用、发挥效益，避免重复建设，力争节约资金。</w:t>
      </w:r>
    </w:p>
    <w:p>
      <w:pPr>
        <w:keepNext/>
        <w:numPr>
          <w:ilvl w:val="1"/>
          <w:numId w:val="7"/>
        </w:numPr>
        <w:spacing w:before="120" w:after="120" w:line="360" w:lineRule="auto"/>
        <w:outlineLvl w:val="1"/>
        <w:rPr>
          <w:rFonts w:ascii="Times New Roman" w:hAnsi="Times New Roman" w:eastAsia="仿宋" w:cs="Times New Roman"/>
          <w:b/>
          <w:color w:val="auto"/>
          <w:kern w:val="0"/>
          <w:sz w:val="30"/>
          <w:szCs w:val="30"/>
          <w:lang w:val="en-GB" w:eastAsia="zh-CN" w:bidi="ar-SA"/>
        </w:rPr>
      </w:pPr>
      <w:bookmarkStart w:id="814" w:name="_Toc28300"/>
      <w:bookmarkStart w:id="815" w:name="_Toc23103"/>
      <w:bookmarkStart w:id="816" w:name="_Toc49008449"/>
      <w:bookmarkStart w:id="817" w:name="_Toc49106848"/>
      <w:bookmarkStart w:id="818" w:name="_Toc24528"/>
      <w:r>
        <w:rPr>
          <w:rFonts w:hint="eastAsia" w:ascii="Times New Roman" w:hAnsi="Times New Roman" w:eastAsia="仿宋" w:cs="Times New Roman"/>
          <w:b/>
          <w:color w:val="auto"/>
          <w:kern w:val="0"/>
          <w:sz w:val="30"/>
          <w:szCs w:val="30"/>
          <w:lang w:val="en-GB" w:eastAsia="zh-CN" w:bidi="ar-SA"/>
        </w:rPr>
        <w:t>系统</w:t>
      </w:r>
      <w:r>
        <w:rPr>
          <w:rFonts w:ascii="Times New Roman" w:hAnsi="Times New Roman" w:eastAsia="仿宋" w:cs="Times New Roman"/>
          <w:b/>
          <w:color w:val="auto"/>
          <w:kern w:val="0"/>
          <w:sz w:val="30"/>
          <w:szCs w:val="30"/>
          <w:lang w:val="en-GB" w:eastAsia="zh-CN" w:bidi="ar-SA"/>
        </w:rPr>
        <w:t>技术要求</w:t>
      </w:r>
      <w:bookmarkEnd w:id="814"/>
      <w:bookmarkEnd w:id="815"/>
      <w:bookmarkEnd w:id="816"/>
      <w:bookmarkEnd w:id="817"/>
      <w:bookmarkEnd w:id="818"/>
    </w:p>
    <w:p>
      <w:pPr>
        <w:keepNext/>
        <w:numPr>
          <w:ilvl w:val="2"/>
          <w:numId w:val="7"/>
        </w:numPr>
        <w:spacing w:before="120" w:after="120"/>
        <w:outlineLvl w:val="2"/>
        <w:rPr>
          <w:rFonts w:ascii="Times New Roman" w:hAnsi="Times New Roman" w:eastAsia="仿宋" w:cs="Times New Roman"/>
          <w:b/>
          <w:color w:val="auto"/>
          <w:kern w:val="0"/>
          <w:sz w:val="28"/>
          <w:szCs w:val="28"/>
          <w:lang w:val="en-GB" w:eastAsia="zh-CN" w:bidi="ar-SA"/>
        </w:rPr>
      </w:pPr>
      <w:bookmarkStart w:id="819" w:name="_Toc1771"/>
      <w:r>
        <w:rPr>
          <w:rFonts w:ascii="Times New Roman" w:hAnsi="Times New Roman" w:eastAsia="仿宋" w:cs="Times New Roman"/>
          <w:b/>
          <w:color w:val="auto"/>
          <w:kern w:val="0"/>
          <w:sz w:val="28"/>
          <w:szCs w:val="28"/>
          <w:lang w:val="en-GB" w:eastAsia="zh-CN" w:bidi="ar-SA"/>
        </w:rPr>
        <w:t>总体要求</w:t>
      </w:r>
      <w:bookmarkEnd w:id="819"/>
    </w:p>
    <w:p>
      <w:pPr>
        <w:numPr>
          <w:ilvl w:val="0"/>
          <w:numId w:val="8"/>
        </w:numPr>
        <w:spacing w:line="360" w:lineRule="auto"/>
        <w:ind w:firstLine="420"/>
        <w:jc w:val="both"/>
        <w:rPr>
          <w:rFonts w:hint="default" w:ascii="Times New Roman" w:hAnsi="Times New Roman" w:eastAsia="仿宋" w:cs="Times New Roman"/>
          <w:b/>
          <w:bCs/>
          <w:color w:val="auto"/>
          <w:kern w:val="0"/>
          <w:sz w:val="21"/>
          <w:szCs w:val="21"/>
          <w:lang w:val="en-US" w:eastAsia="zh-CN" w:bidi="ar-SA"/>
        </w:rPr>
      </w:pPr>
      <w:r>
        <w:rPr>
          <w:rFonts w:hint="eastAsia" w:ascii="Times New Roman" w:hAnsi="Times New Roman" w:eastAsia="仿宋" w:cs="Times New Roman"/>
          <w:b/>
          <w:bCs/>
          <w:color w:val="auto"/>
          <w:kern w:val="0"/>
          <w:sz w:val="21"/>
          <w:szCs w:val="21"/>
          <w:lang w:val="en-US" w:eastAsia="zh-CN" w:bidi="ar-SA"/>
        </w:rPr>
        <w:t>软件系统要求</w:t>
      </w:r>
    </w:p>
    <w:p>
      <w:pPr>
        <w:spacing w:before="0" w:after="0" w:afterAutospacing="0" w:line="360" w:lineRule="auto"/>
        <w:ind w:left="0" w:right="0" w:firstLine="420" w:firstLineChars="200"/>
        <w:jc w:val="both"/>
        <w:rPr>
          <w:rFonts w:hint="eastAsia" w:ascii="Times New Roman" w:hAnsi="Times New Roman" w:eastAsia="仿宋" w:cs="Times New Roman"/>
          <w:color w:val="auto"/>
          <w:kern w:val="2"/>
          <w:szCs w:val="20"/>
          <w:lang w:val="en-US" w:eastAsia="zh-CN"/>
        </w:rPr>
      </w:pPr>
      <w:r>
        <w:rPr>
          <w:rFonts w:hint="eastAsia" w:ascii="Times New Roman" w:hAnsi="Times New Roman" w:eastAsia="仿宋" w:cs="Times New Roman"/>
          <w:color w:val="auto"/>
          <w:kern w:val="2"/>
          <w:szCs w:val="20"/>
          <w:lang w:val="en-US" w:eastAsia="zh-CN"/>
        </w:rPr>
        <w:t>（1）内容分辨率–图像/视频的精细程度要达到4K以上；</w:t>
      </w:r>
    </w:p>
    <w:p>
      <w:pPr>
        <w:spacing w:before="0" w:after="0" w:afterAutospacing="0" w:line="360" w:lineRule="auto"/>
        <w:ind w:left="0" w:right="0" w:firstLine="420" w:firstLineChars="200"/>
        <w:jc w:val="both"/>
        <w:rPr>
          <w:rFonts w:hint="eastAsia" w:ascii="Times New Roman" w:hAnsi="Times New Roman" w:eastAsia="仿宋" w:cs="Times New Roman"/>
          <w:color w:val="auto"/>
          <w:kern w:val="2"/>
          <w:szCs w:val="20"/>
          <w:lang w:val="en-US" w:eastAsia="zh-CN"/>
        </w:rPr>
      </w:pPr>
      <w:r>
        <w:rPr>
          <w:rFonts w:hint="eastAsia" w:ascii="Times New Roman" w:hAnsi="Times New Roman" w:eastAsia="仿宋" w:cs="Times New Roman"/>
          <w:color w:val="auto"/>
          <w:kern w:val="2"/>
          <w:szCs w:val="20"/>
          <w:lang w:val="en-US" w:eastAsia="zh-CN"/>
        </w:rPr>
        <w:t>（2）内容帧率–以帧为单位的图像连续呈现的频率，帧率要达到90帧以上；</w:t>
      </w:r>
    </w:p>
    <w:p>
      <w:pPr>
        <w:spacing w:before="0" w:after="0" w:afterAutospacing="0" w:line="360" w:lineRule="auto"/>
        <w:ind w:left="0" w:right="0" w:firstLine="420" w:firstLineChars="200"/>
        <w:jc w:val="both"/>
        <w:rPr>
          <w:rFonts w:hint="eastAsia" w:ascii="Times New Roman" w:hAnsi="Times New Roman" w:eastAsia="仿宋" w:cs="Times New Roman"/>
          <w:color w:val="auto"/>
          <w:kern w:val="2"/>
          <w:szCs w:val="20"/>
          <w:lang w:val="en-US" w:eastAsia="zh-CN"/>
        </w:rPr>
      </w:pPr>
      <w:r>
        <w:rPr>
          <w:rFonts w:hint="eastAsia" w:ascii="Times New Roman" w:hAnsi="Times New Roman" w:eastAsia="仿宋" w:cs="Times New Roman"/>
          <w:color w:val="auto"/>
          <w:kern w:val="2"/>
          <w:szCs w:val="20"/>
          <w:lang w:val="en-US" w:eastAsia="zh-CN"/>
        </w:rPr>
        <w:t>（3）码率–视频文件在单位时间内使用的数据流量，在视频编码算法一定的条件下，码率要达到画质清晰，要求码率大于等于40Mbps。</w:t>
      </w:r>
    </w:p>
    <w:p>
      <w:pPr>
        <w:spacing w:before="0" w:after="0" w:afterAutospacing="0" w:line="360" w:lineRule="auto"/>
        <w:ind w:left="0" w:right="0" w:firstLine="420" w:firstLineChars="200"/>
        <w:jc w:val="both"/>
        <w:rPr>
          <w:rFonts w:hint="eastAsia" w:ascii="Times New Roman" w:hAnsi="Times New Roman" w:eastAsia="仿宋" w:cs="Times New Roman"/>
          <w:color w:val="auto"/>
          <w:kern w:val="2"/>
          <w:szCs w:val="20"/>
          <w:lang w:val="en-US" w:eastAsia="zh-CN"/>
        </w:rPr>
      </w:pPr>
      <w:r>
        <w:rPr>
          <w:rFonts w:hint="eastAsia" w:ascii="Times New Roman" w:hAnsi="Times New Roman" w:eastAsia="仿宋" w:cs="Times New Roman"/>
          <w:color w:val="auto"/>
          <w:kern w:val="2"/>
          <w:szCs w:val="20"/>
          <w:lang w:val="en-US" w:eastAsia="zh-CN"/>
        </w:rPr>
        <w:t>（4）平台的渲染处理能力能承受VR交互，保证画面的流畅度体验。</w:t>
      </w:r>
    </w:p>
    <w:p>
      <w:pPr>
        <w:spacing w:before="0" w:after="0" w:afterAutospacing="0" w:line="360" w:lineRule="auto"/>
        <w:ind w:left="0" w:right="0" w:firstLine="420" w:firstLineChars="200"/>
        <w:jc w:val="both"/>
        <w:rPr>
          <w:rFonts w:hint="eastAsia" w:ascii="Times New Roman" w:hAnsi="Times New Roman" w:eastAsia="仿宋" w:cs="Times New Roman"/>
          <w:color w:val="auto"/>
          <w:kern w:val="2"/>
          <w:szCs w:val="20"/>
          <w:lang w:val="en-US" w:eastAsia="zh-CN"/>
        </w:rPr>
      </w:pPr>
      <w:r>
        <w:rPr>
          <w:rFonts w:hint="eastAsia" w:ascii="Times New Roman" w:hAnsi="Times New Roman" w:eastAsia="仿宋" w:cs="Times New Roman"/>
          <w:color w:val="auto"/>
          <w:kern w:val="2"/>
          <w:szCs w:val="20"/>
          <w:lang w:val="en-US" w:eastAsia="zh-CN"/>
        </w:rPr>
        <w:t>（5）在现有的传输网络带宽下，不允许出现丢包、时延及抖动的情况。</w:t>
      </w:r>
    </w:p>
    <w:p>
      <w:pPr>
        <w:spacing w:line="360" w:lineRule="auto"/>
        <w:ind w:firstLine="420"/>
        <w:jc w:val="both"/>
        <w:rPr>
          <w:rFonts w:hint="default" w:ascii="Times New Roman" w:hAnsi="Times New Roman" w:eastAsia="仿宋" w:cs="Times New Roman"/>
          <w:b/>
          <w:bCs/>
          <w:color w:val="auto"/>
          <w:kern w:val="0"/>
          <w:sz w:val="21"/>
          <w:szCs w:val="21"/>
          <w:lang w:val="en-US" w:eastAsia="zh-CN" w:bidi="ar-SA"/>
        </w:rPr>
      </w:pPr>
      <w:r>
        <w:rPr>
          <w:rFonts w:hint="eastAsia" w:ascii="Times New Roman" w:hAnsi="Times New Roman" w:eastAsia="仿宋" w:cs="Times New Roman"/>
          <w:b/>
          <w:bCs/>
          <w:color w:val="auto"/>
          <w:kern w:val="0"/>
          <w:sz w:val="21"/>
          <w:szCs w:val="21"/>
          <w:lang w:val="en-US" w:eastAsia="zh-CN" w:bidi="ar-SA"/>
        </w:rPr>
        <w:t>2. VR头戴显示设备技术要求</w:t>
      </w:r>
    </w:p>
    <w:p>
      <w:pPr>
        <w:spacing w:before="0" w:after="0" w:afterAutospacing="0" w:line="360" w:lineRule="auto"/>
        <w:ind w:left="0" w:right="0" w:firstLine="420" w:firstLineChars="200"/>
        <w:jc w:val="both"/>
        <w:rPr>
          <w:rFonts w:hint="eastAsia" w:ascii="Times New Roman" w:hAnsi="Times New Roman" w:eastAsia="仿宋" w:cs="Times New Roman"/>
          <w:color w:val="auto"/>
          <w:kern w:val="2"/>
          <w:szCs w:val="20"/>
          <w:lang w:val="en-US" w:eastAsia="zh-CN"/>
        </w:rPr>
      </w:pPr>
      <w:r>
        <w:rPr>
          <w:rFonts w:hint="eastAsia" w:ascii="Times New Roman" w:hAnsi="Times New Roman" w:eastAsia="仿宋" w:cs="Times New Roman"/>
          <w:color w:val="auto"/>
          <w:kern w:val="2"/>
          <w:szCs w:val="20"/>
          <w:lang w:val="en-US" w:eastAsia="zh-CN"/>
        </w:rPr>
        <w:t>（1）低于20ms（毫秒；千分之一秒）延时。</w:t>
      </w:r>
    </w:p>
    <w:p>
      <w:pPr>
        <w:spacing w:before="0" w:after="0" w:afterAutospacing="0" w:line="360" w:lineRule="auto"/>
        <w:ind w:left="0" w:right="0" w:firstLine="420" w:firstLineChars="200"/>
        <w:jc w:val="both"/>
        <w:rPr>
          <w:rFonts w:hint="eastAsia" w:ascii="Times New Roman" w:hAnsi="Times New Roman" w:eastAsia="仿宋" w:cs="Times New Roman"/>
          <w:color w:val="auto"/>
          <w:kern w:val="2"/>
          <w:szCs w:val="20"/>
          <w:lang w:val="en-US" w:eastAsia="zh-CN"/>
        </w:rPr>
      </w:pPr>
      <w:r>
        <w:rPr>
          <w:rFonts w:hint="eastAsia" w:ascii="Times New Roman" w:hAnsi="Times New Roman" w:eastAsia="仿宋" w:cs="Times New Roman"/>
          <w:color w:val="auto"/>
          <w:kern w:val="2"/>
          <w:szCs w:val="20"/>
          <w:lang w:val="en-US" w:eastAsia="zh-CN"/>
        </w:rPr>
        <w:t>用户从头部运动开始，到相应画面显示在屏幕所花的时间，须低于20毫秒。延时越短，VR使用者的体验就会越好，反之越差。</w:t>
      </w:r>
    </w:p>
    <w:p>
      <w:pPr>
        <w:spacing w:before="0" w:after="0" w:afterAutospacing="0" w:line="360" w:lineRule="auto"/>
        <w:ind w:left="0" w:right="0" w:firstLine="420" w:firstLineChars="200"/>
        <w:jc w:val="both"/>
        <w:rPr>
          <w:rFonts w:hint="eastAsia" w:ascii="Times New Roman" w:hAnsi="Times New Roman" w:eastAsia="仿宋" w:cs="Times New Roman"/>
          <w:color w:val="auto"/>
          <w:kern w:val="2"/>
          <w:szCs w:val="20"/>
          <w:lang w:val="en-US" w:eastAsia="zh-CN"/>
        </w:rPr>
      </w:pPr>
      <w:r>
        <w:rPr>
          <w:rFonts w:hint="eastAsia" w:ascii="Times New Roman" w:hAnsi="Times New Roman" w:eastAsia="仿宋" w:cs="Times New Roman"/>
          <w:color w:val="auto"/>
          <w:kern w:val="2"/>
          <w:szCs w:val="20"/>
          <w:lang w:val="en-US" w:eastAsia="zh-CN"/>
        </w:rPr>
        <w:t>（2）75Hz以上的刷新率。</w:t>
      </w:r>
    </w:p>
    <w:p>
      <w:pPr>
        <w:spacing w:before="0" w:after="0" w:afterAutospacing="0" w:line="360" w:lineRule="auto"/>
        <w:ind w:left="0" w:right="0" w:firstLine="420" w:firstLineChars="200"/>
        <w:jc w:val="both"/>
        <w:rPr>
          <w:rFonts w:hint="default" w:ascii="Times New Roman" w:hAnsi="Times New Roman" w:eastAsia="仿宋" w:cs="Times New Roman"/>
          <w:color w:val="auto"/>
          <w:kern w:val="2"/>
          <w:szCs w:val="20"/>
          <w:lang w:val="en-US" w:eastAsia="zh-CN"/>
        </w:rPr>
      </w:pPr>
      <w:r>
        <w:rPr>
          <w:rFonts w:hint="eastAsia" w:ascii="Times New Roman" w:hAnsi="Times New Roman" w:eastAsia="仿宋" w:cs="Times New Roman"/>
          <w:color w:val="auto"/>
          <w:kern w:val="2"/>
          <w:szCs w:val="20"/>
          <w:lang w:val="en-US" w:eastAsia="zh-CN"/>
        </w:rPr>
        <w:t>刷新率越高，VR的延时越小，用户对VR的体验也会更好。如果HMD低于60Hz的刷新率，则屏幕不仅在延时的部分无法提升，用户体验也会极为糟糕且晕眩感强烈，因此刷新率需要在75Hz以上。</w:t>
      </w:r>
    </w:p>
    <w:p>
      <w:pPr>
        <w:spacing w:before="0" w:after="0" w:afterAutospacing="0" w:line="360" w:lineRule="auto"/>
        <w:ind w:left="0" w:right="0" w:firstLine="420" w:firstLineChars="200"/>
        <w:jc w:val="both"/>
        <w:rPr>
          <w:rFonts w:hint="eastAsia" w:ascii="Times New Roman" w:hAnsi="Times New Roman" w:eastAsia="仿宋" w:cs="Times New Roman"/>
          <w:color w:val="auto"/>
          <w:kern w:val="2"/>
          <w:szCs w:val="20"/>
          <w:lang w:val="en-US" w:eastAsia="zh-CN"/>
        </w:rPr>
      </w:pPr>
      <w:r>
        <w:rPr>
          <w:rFonts w:hint="eastAsia" w:ascii="Times New Roman" w:hAnsi="Times New Roman" w:eastAsia="仿宋" w:cs="Times New Roman"/>
          <w:color w:val="auto"/>
          <w:kern w:val="2"/>
          <w:szCs w:val="20"/>
          <w:lang w:val="en-US" w:eastAsia="zh-CN"/>
        </w:rPr>
        <w:t>（3）1kHz以上的陀螺仪刷新率。</w:t>
      </w:r>
    </w:p>
    <w:p>
      <w:pPr>
        <w:spacing w:before="0" w:after="0" w:afterAutospacing="0" w:line="360" w:lineRule="auto"/>
        <w:ind w:left="0" w:right="0" w:firstLine="420" w:firstLineChars="200"/>
        <w:jc w:val="both"/>
        <w:rPr>
          <w:rFonts w:hint="eastAsia" w:ascii="Times New Roman" w:hAnsi="Times New Roman" w:eastAsia="仿宋" w:cs="Times New Roman"/>
          <w:color w:val="auto"/>
          <w:kern w:val="2"/>
          <w:szCs w:val="20"/>
          <w:lang w:val="en-US" w:eastAsia="zh-CN"/>
        </w:rPr>
      </w:pPr>
      <w:r>
        <w:rPr>
          <w:rFonts w:hint="eastAsia" w:ascii="Times New Roman" w:hAnsi="Times New Roman" w:eastAsia="仿宋" w:cs="Times New Roman"/>
          <w:color w:val="auto"/>
          <w:kern w:val="2"/>
          <w:szCs w:val="20"/>
          <w:lang w:val="en-US" w:eastAsia="zh-CN"/>
        </w:rPr>
        <w:t>VR里的陀螺仪是用来定位的，可测得使用者头部转动的瞬间状态，让用户随意的在VR里，上下左右的四处张望。刷新率越高，延时越低，代表着用户在VR环境里的定位就越准确，各种动作的模拟也更加到位。因此，陀螺仪刷新率需要在1kHz以上。</w:t>
      </w:r>
    </w:p>
    <w:p>
      <w:pPr>
        <w:spacing w:before="0" w:after="0" w:afterAutospacing="0" w:line="360" w:lineRule="auto"/>
        <w:ind w:left="0" w:right="0" w:firstLine="420" w:firstLineChars="200"/>
        <w:jc w:val="both"/>
        <w:rPr>
          <w:rFonts w:hint="eastAsia" w:ascii="Times New Roman" w:hAnsi="Times New Roman" w:eastAsia="仿宋" w:cs="Times New Roman"/>
          <w:color w:val="auto"/>
          <w:kern w:val="2"/>
          <w:szCs w:val="20"/>
          <w:lang w:val="en-US" w:eastAsia="zh-CN"/>
        </w:rPr>
      </w:pPr>
      <w:r>
        <w:rPr>
          <w:rFonts w:hint="eastAsia" w:ascii="Times New Roman" w:hAnsi="Times New Roman" w:eastAsia="仿宋" w:cs="Times New Roman"/>
          <w:color w:val="auto"/>
          <w:kern w:val="2"/>
          <w:szCs w:val="20"/>
          <w:lang w:val="en-US" w:eastAsia="zh-CN"/>
        </w:rPr>
        <w:t>（4）保证VR HMD的3个参数数值在比较高的水平：</w:t>
      </w:r>
    </w:p>
    <w:p>
      <w:pPr>
        <w:spacing w:before="0" w:after="0" w:afterAutospacing="0" w:line="360" w:lineRule="auto"/>
        <w:ind w:left="0" w:right="0" w:firstLine="420" w:firstLineChars="200"/>
        <w:jc w:val="both"/>
        <w:rPr>
          <w:rFonts w:hint="eastAsia" w:ascii="Times New Roman" w:hAnsi="Times New Roman" w:eastAsia="仿宋" w:cs="Times New Roman"/>
          <w:color w:val="auto"/>
          <w:kern w:val="2"/>
          <w:szCs w:val="20"/>
          <w:lang w:val="en-US" w:eastAsia="zh-CN"/>
        </w:rPr>
      </w:pPr>
      <w:r>
        <w:rPr>
          <w:rFonts w:hint="eastAsia" w:ascii="Times New Roman" w:hAnsi="Times New Roman" w:eastAsia="仿宋" w:cs="Times New Roman"/>
          <w:color w:val="auto"/>
          <w:kern w:val="2"/>
          <w:szCs w:val="20"/>
          <w:lang w:val="en-US" w:eastAsia="zh-CN"/>
        </w:rPr>
        <w:t>a. PPD–衡量VR HMD屏幕显示清晰度；</w:t>
      </w:r>
    </w:p>
    <w:p>
      <w:pPr>
        <w:spacing w:before="0" w:after="0" w:afterAutospacing="0" w:line="360" w:lineRule="auto"/>
        <w:ind w:left="0" w:right="0" w:firstLine="420" w:firstLineChars="200"/>
        <w:jc w:val="both"/>
        <w:rPr>
          <w:rFonts w:hint="eastAsia" w:ascii="Times New Roman" w:hAnsi="Times New Roman" w:eastAsia="仿宋" w:cs="Times New Roman"/>
          <w:color w:val="auto"/>
          <w:kern w:val="2"/>
          <w:szCs w:val="20"/>
          <w:lang w:val="en-US" w:eastAsia="zh-CN"/>
        </w:rPr>
      </w:pPr>
      <w:r>
        <w:rPr>
          <w:rFonts w:hint="eastAsia" w:ascii="Times New Roman" w:hAnsi="Times New Roman" w:eastAsia="仿宋" w:cs="Times New Roman"/>
          <w:color w:val="auto"/>
          <w:kern w:val="2"/>
          <w:szCs w:val="20"/>
          <w:lang w:val="en-US" w:eastAsia="zh-CN"/>
        </w:rPr>
        <w:t>b. 刷新率–VR HMD屏幕每秒从GPU获取新图像的次数；</w:t>
      </w:r>
    </w:p>
    <w:p>
      <w:pPr>
        <w:spacing w:before="0" w:after="0" w:afterAutospacing="0" w:line="360" w:lineRule="auto"/>
        <w:ind w:left="0" w:right="0" w:firstLine="420" w:firstLineChars="200"/>
        <w:jc w:val="both"/>
        <w:rPr>
          <w:rFonts w:hint="eastAsia" w:ascii="Times New Roman" w:hAnsi="Times New Roman" w:eastAsia="仿宋" w:cs="Times New Roman"/>
          <w:color w:val="auto"/>
          <w:kern w:val="2"/>
          <w:szCs w:val="20"/>
          <w:lang w:val="en-US" w:eastAsia="zh-CN"/>
        </w:rPr>
      </w:pPr>
      <w:r>
        <w:rPr>
          <w:rFonts w:hint="eastAsia" w:ascii="Times New Roman" w:hAnsi="Times New Roman" w:eastAsia="仿宋" w:cs="Times New Roman"/>
          <w:color w:val="auto"/>
          <w:kern w:val="2"/>
          <w:szCs w:val="20"/>
          <w:lang w:val="en-US" w:eastAsia="zh-CN"/>
        </w:rPr>
        <w:t>c. 视场角。</w:t>
      </w:r>
    </w:p>
    <w:p>
      <w:pPr>
        <w:keepNext/>
        <w:numPr>
          <w:ilvl w:val="2"/>
          <w:numId w:val="7"/>
        </w:numPr>
        <w:spacing w:before="120" w:after="0" w:line="360" w:lineRule="auto"/>
        <w:outlineLvl w:val="2"/>
        <w:rPr>
          <w:rFonts w:ascii="Times New Roman" w:hAnsi="Times New Roman" w:eastAsia="仿宋" w:cs="Times New Roman"/>
          <w:b/>
          <w:color w:val="auto"/>
          <w:kern w:val="0"/>
          <w:sz w:val="28"/>
          <w:szCs w:val="28"/>
          <w:lang w:val="en-GB" w:eastAsia="zh-CN" w:bidi="ar-SA"/>
        </w:rPr>
      </w:pPr>
      <w:bookmarkStart w:id="820" w:name="_Toc49008451"/>
      <w:bookmarkStart w:id="821" w:name="_Toc49106850"/>
      <w:bookmarkStart w:id="822" w:name="_Toc102808261"/>
      <w:bookmarkStart w:id="823" w:name="_Toc26845"/>
      <w:bookmarkStart w:id="824" w:name="_Toc357443637"/>
      <w:bookmarkStart w:id="825" w:name="_Toc9671"/>
      <w:r>
        <w:rPr>
          <w:rFonts w:ascii="Times New Roman" w:hAnsi="Times New Roman" w:eastAsia="仿宋" w:cs="Times New Roman"/>
          <w:b/>
          <w:color w:val="auto"/>
          <w:kern w:val="0"/>
          <w:sz w:val="28"/>
          <w:szCs w:val="28"/>
          <w:lang w:val="en-GB" w:eastAsia="zh-CN" w:bidi="ar-SA"/>
        </w:rPr>
        <w:t>软件技术架构</w:t>
      </w:r>
      <w:bookmarkEnd w:id="820"/>
      <w:bookmarkEnd w:id="821"/>
      <w:bookmarkEnd w:id="822"/>
      <w:bookmarkEnd w:id="823"/>
      <w:bookmarkEnd w:id="824"/>
      <w:bookmarkEnd w:id="825"/>
    </w:p>
    <w:p>
      <w:pPr>
        <w:spacing w:before="0" w:after="0" w:afterAutospacing="0" w:line="360" w:lineRule="auto"/>
        <w:ind w:left="0" w:right="0" w:firstLine="420" w:firstLineChars="200"/>
        <w:jc w:val="both"/>
        <w:rPr>
          <w:rFonts w:hint="eastAsia" w:ascii="Times New Roman" w:hAnsi="Times New Roman" w:eastAsia="仿宋" w:cs="Times New Roman"/>
          <w:color w:val="auto"/>
          <w:kern w:val="2"/>
          <w:szCs w:val="20"/>
          <w:lang w:val="en-US" w:eastAsia="zh-CN"/>
        </w:rPr>
      </w:pPr>
      <w:r>
        <w:rPr>
          <w:rFonts w:hint="eastAsia" w:ascii="Times New Roman" w:hAnsi="Times New Roman" w:eastAsia="仿宋" w:cs="Times New Roman"/>
          <w:color w:val="auto"/>
          <w:kern w:val="2"/>
          <w:szCs w:val="20"/>
          <w:lang w:val="en-US" w:eastAsia="zh-CN"/>
        </w:rPr>
        <w:t>系统由VR实景展示和设备设施功能展示2个功能模块组成。</w:t>
      </w:r>
    </w:p>
    <w:p>
      <w:pPr>
        <w:spacing w:after="0" w:line="360" w:lineRule="auto"/>
        <w:ind w:firstLine="420" w:firstLineChars="200"/>
        <w:rPr>
          <w:rFonts w:hint="eastAsia"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drawing>
          <wp:inline distT="0" distB="0" distL="114300" distR="114300">
            <wp:extent cx="4516120" cy="1756410"/>
            <wp:effectExtent l="0" t="0" r="0" b="0"/>
            <wp:docPr id="5" name="图片 4"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wps"/>
                    <pic:cNvPicPr>
                      <a:picLocks noChangeAspect="1"/>
                    </pic:cNvPicPr>
                  </pic:nvPicPr>
                  <pic:blipFill>
                    <a:blip r:embed="rId12"/>
                    <a:stretch>
                      <a:fillRect/>
                    </a:stretch>
                  </pic:blipFill>
                  <pic:spPr>
                    <a:xfrm>
                      <a:off x="0" y="0"/>
                      <a:ext cx="4516120" cy="1756410"/>
                    </a:xfrm>
                    <a:prstGeom prst="rect">
                      <a:avLst/>
                    </a:prstGeom>
                    <a:noFill/>
                    <a:ln>
                      <a:noFill/>
                    </a:ln>
                  </pic:spPr>
                </pic:pic>
              </a:graphicData>
            </a:graphic>
          </wp:inline>
        </w:drawing>
      </w:r>
    </w:p>
    <w:p>
      <w:pPr>
        <w:spacing w:after="156" w:afterLines="50" w:line="360" w:lineRule="auto"/>
        <w:ind w:firstLine="0" w:firstLineChars="0"/>
        <w:jc w:val="center"/>
        <w:rPr>
          <w:rFonts w:ascii="Times New Roman" w:hAnsi="Times New Roman" w:eastAsia="仿宋" w:cs="Times New Roman"/>
          <w:color w:val="auto"/>
          <w:kern w:val="2"/>
          <w:sz w:val="21"/>
          <w:szCs w:val="21"/>
          <w:lang w:val="en-US" w:eastAsia="zh-CN" w:bidi="ar-SA"/>
        </w:rPr>
      </w:pPr>
      <w:r>
        <w:rPr>
          <w:rFonts w:ascii="Times New Roman" w:hAnsi="Times New Roman" w:eastAsia="仿宋" w:cs="Times New Roman"/>
          <w:color w:val="auto"/>
          <w:kern w:val="2"/>
          <w:sz w:val="21"/>
          <w:szCs w:val="21"/>
          <w:lang w:val="en-US" w:eastAsia="zh-CN" w:bidi="ar-SA"/>
        </w:rPr>
        <w:t>图</w:t>
      </w:r>
      <w:r>
        <w:rPr>
          <w:rFonts w:hint="eastAsia" w:ascii="Times New Roman" w:hAnsi="Times New Roman" w:eastAsia="仿宋" w:cs="Times New Roman"/>
          <w:color w:val="auto"/>
          <w:kern w:val="2"/>
          <w:sz w:val="21"/>
          <w:szCs w:val="21"/>
          <w:lang w:val="en-US" w:eastAsia="zh-CN" w:bidi="ar-SA"/>
        </w:rPr>
        <w:t>4</w:t>
      </w:r>
      <w:r>
        <w:rPr>
          <w:rFonts w:ascii="Times New Roman" w:hAnsi="Times New Roman" w:eastAsia="仿宋" w:cs="Times New Roman"/>
          <w:color w:val="auto"/>
          <w:kern w:val="2"/>
          <w:sz w:val="21"/>
          <w:szCs w:val="21"/>
          <w:lang w:val="en-US" w:eastAsia="zh-CN" w:bidi="ar-SA"/>
        </w:rPr>
        <w:t>-</w:t>
      </w:r>
      <w:r>
        <w:rPr>
          <w:rFonts w:hint="eastAsia" w:ascii="Times New Roman" w:hAnsi="Times New Roman" w:eastAsia="仿宋" w:cs="Times New Roman"/>
          <w:color w:val="auto"/>
          <w:kern w:val="2"/>
          <w:sz w:val="21"/>
          <w:szCs w:val="21"/>
          <w:lang w:val="en-US" w:eastAsia="zh-CN" w:bidi="ar-SA"/>
        </w:rPr>
        <w:t>1</w:t>
      </w:r>
      <w:r>
        <w:rPr>
          <w:rFonts w:ascii="Times New Roman" w:hAnsi="Times New Roman" w:eastAsia="仿宋" w:cs="Times New Roman"/>
          <w:color w:val="auto"/>
          <w:kern w:val="2"/>
          <w:sz w:val="21"/>
          <w:szCs w:val="21"/>
          <w:lang w:val="en-US" w:eastAsia="zh-CN" w:bidi="ar-SA"/>
        </w:rPr>
        <w:t xml:space="preserve"> 软件系统系统组成示意图</w:t>
      </w:r>
    </w:p>
    <w:p>
      <w:pPr>
        <w:spacing w:before="156" w:beforeLines="50" w:after="0" w:line="360" w:lineRule="auto"/>
        <w:ind w:firstLine="0" w:firstLineChars="0"/>
        <w:jc w:val="center"/>
        <w:rPr>
          <w:rFonts w:ascii="Times New Roman" w:hAnsi="Times New Roman" w:eastAsia="仿宋" w:cs="Times New Roman"/>
          <w:color w:val="auto"/>
          <w:kern w:val="2"/>
          <w:sz w:val="21"/>
          <w:szCs w:val="22"/>
          <w:lang w:val="en-US" w:eastAsia="zh-CN" w:bidi="ar-SA"/>
        </w:rPr>
      </w:pPr>
      <w:r>
        <w:rPr>
          <w:rFonts w:ascii="Times New Roman" w:hAnsi="Times New Roman" w:eastAsia="仿宋" w:cs="Times New Roman"/>
          <w:color w:val="auto"/>
          <w:kern w:val="2"/>
          <w:sz w:val="21"/>
          <w:szCs w:val="22"/>
          <w:lang w:val="en-US" w:eastAsia="zh-CN" w:bidi="ar-SA"/>
        </w:rPr>
        <w:t>表</w:t>
      </w:r>
      <w:r>
        <w:rPr>
          <w:rFonts w:hint="eastAsia" w:ascii="Times New Roman" w:hAnsi="Times New Roman" w:eastAsia="仿宋" w:cs="Times New Roman"/>
          <w:color w:val="auto"/>
          <w:kern w:val="2"/>
          <w:sz w:val="21"/>
          <w:szCs w:val="22"/>
          <w:lang w:val="en-US" w:eastAsia="zh-CN" w:bidi="ar-SA"/>
        </w:rPr>
        <w:t>4</w:t>
      </w:r>
      <w:r>
        <w:rPr>
          <w:rFonts w:ascii="Times New Roman" w:hAnsi="Times New Roman" w:eastAsia="仿宋" w:cs="Times New Roman"/>
          <w:color w:val="auto"/>
          <w:kern w:val="2"/>
          <w:sz w:val="21"/>
          <w:szCs w:val="22"/>
          <w:lang w:val="en-US" w:eastAsia="zh-CN" w:bidi="ar-SA"/>
        </w:rPr>
        <w:t>-</w:t>
      </w:r>
      <w:r>
        <w:rPr>
          <w:rFonts w:hint="eastAsia" w:ascii="Times New Roman" w:hAnsi="Times New Roman" w:eastAsia="仿宋" w:cs="Times New Roman"/>
          <w:color w:val="auto"/>
          <w:kern w:val="2"/>
          <w:sz w:val="21"/>
          <w:szCs w:val="22"/>
          <w:lang w:val="en-US" w:eastAsia="zh-CN" w:bidi="ar-SA"/>
        </w:rPr>
        <w:t>1</w:t>
      </w:r>
      <w:r>
        <w:rPr>
          <w:rFonts w:ascii="Times New Roman" w:hAnsi="Times New Roman" w:eastAsia="仿宋" w:cs="Times New Roman"/>
          <w:color w:val="auto"/>
          <w:kern w:val="2"/>
          <w:sz w:val="21"/>
          <w:szCs w:val="22"/>
          <w:lang w:val="en-US" w:eastAsia="zh-CN" w:bidi="ar-SA"/>
        </w:rPr>
        <w:t xml:space="preserve"> 软件功能</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6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8" w:type="dxa"/>
            <w:noWrap w:val="0"/>
            <w:vAlign w:val="center"/>
          </w:tcPr>
          <w:p>
            <w:pPr>
              <w:spacing w:after="0" w:line="360" w:lineRule="auto"/>
              <w:ind w:firstLine="0" w:firstLineChars="0"/>
              <w:jc w:val="center"/>
              <w:rPr>
                <w:rFonts w:ascii="Times New Roman" w:hAnsi="Times New Roman" w:eastAsia="仿宋" w:cs="Times New Roman"/>
                <w:b/>
                <w:color w:val="auto"/>
                <w:kern w:val="2"/>
                <w:sz w:val="21"/>
                <w:szCs w:val="21"/>
                <w:lang w:val="en-US" w:eastAsia="zh-CN" w:bidi="ar-SA"/>
              </w:rPr>
            </w:pPr>
            <w:r>
              <w:rPr>
                <w:rFonts w:ascii="Times New Roman" w:hAnsi="Times New Roman" w:eastAsia="仿宋" w:cs="Times New Roman"/>
                <w:b/>
                <w:color w:val="auto"/>
                <w:kern w:val="2"/>
                <w:sz w:val="21"/>
                <w:szCs w:val="21"/>
                <w:lang w:val="en-US" w:eastAsia="zh-CN" w:bidi="ar-SA"/>
              </w:rPr>
              <w:t>功能模块</w:t>
            </w:r>
          </w:p>
        </w:tc>
        <w:tc>
          <w:tcPr>
            <w:tcW w:w="6208" w:type="dxa"/>
            <w:noWrap w:val="0"/>
            <w:vAlign w:val="center"/>
          </w:tcPr>
          <w:p>
            <w:pPr>
              <w:spacing w:after="0" w:line="360" w:lineRule="auto"/>
              <w:ind w:firstLine="0" w:firstLineChars="0"/>
              <w:jc w:val="center"/>
              <w:rPr>
                <w:rFonts w:ascii="Times New Roman" w:hAnsi="Times New Roman" w:eastAsia="仿宋" w:cs="Times New Roman"/>
                <w:b/>
                <w:color w:val="auto"/>
                <w:kern w:val="2"/>
                <w:sz w:val="21"/>
                <w:szCs w:val="21"/>
                <w:lang w:val="en-US" w:eastAsia="zh-CN" w:bidi="ar-SA"/>
              </w:rPr>
            </w:pPr>
            <w:r>
              <w:rPr>
                <w:rFonts w:ascii="Times New Roman" w:hAnsi="Times New Roman" w:eastAsia="仿宋" w:cs="Times New Roman"/>
                <w:b/>
                <w:color w:val="auto"/>
                <w:kern w:val="2"/>
                <w:sz w:val="21"/>
                <w:szCs w:val="21"/>
                <w:lang w:val="en-US" w:eastAsia="zh-CN" w:bidi="ar-SA"/>
              </w:rPr>
              <w:t>详细功能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8" w:type="dxa"/>
            <w:vMerge w:val="restart"/>
            <w:noWrap w:val="0"/>
            <w:vAlign w:val="center"/>
          </w:tcPr>
          <w:p>
            <w:pPr>
              <w:spacing w:after="0" w:line="360" w:lineRule="auto"/>
              <w:ind w:firstLine="0" w:firstLineChars="0"/>
              <w:jc w:val="center"/>
              <w:rPr>
                <w:rFonts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VR实景展示</w:t>
            </w:r>
          </w:p>
        </w:tc>
        <w:tc>
          <w:tcPr>
            <w:tcW w:w="6208" w:type="dxa"/>
            <w:noWrap w:val="0"/>
            <w:vAlign w:val="center"/>
          </w:tcPr>
          <w:p>
            <w:pPr>
              <w:spacing w:before="0" w:after="0" w:afterAutospacing="0" w:line="360" w:lineRule="auto"/>
              <w:ind w:left="0" w:right="0" w:firstLine="0"/>
              <w:jc w:val="left"/>
              <w:rPr>
                <w:rFonts w:ascii="Times New Roman" w:hAnsi="Times New Roman" w:eastAsia="仿宋" w:cs="Times New Roman"/>
                <w:color w:val="auto"/>
                <w:kern w:val="2"/>
                <w:szCs w:val="21"/>
                <w:lang w:val="en-US" w:eastAsia="zh-CN"/>
              </w:rPr>
            </w:pPr>
            <w:r>
              <w:rPr>
                <w:rFonts w:hint="eastAsia" w:ascii="仿宋" w:hAnsi="仿宋" w:eastAsia="仿宋" w:cs="仿宋"/>
                <w:color w:val="auto"/>
                <w:kern w:val="2"/>
                <w:sz w:val="21"/>
                <w:szCs w:val="21"/>
                <w:lang w:val="en-US" w:eastAsia="zh-CN"/>
              </w:rPr>
              <w:t>1号线南湖站站厅、站台</w:t>
            </w:r>
            <w:r>
              <w:rPr>
                <w:rFonts w:hint="eastAsia" w:ascii="Times New Roman" w:hAnsi="Times New Roman" w:eastAsia="仿宋" w:cs="Times New Roman"/>
                <w:color w:val="auto"/>
                <w:kern w:val="2"/>
                <w:szCs w:val="21"/>
                <w:lang w:val="en-US" w:eastAsia="zh-CN"/>
              </w:rPr>
              <w:t>3D全景画面查看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8" w:type="dxa"/>
            <w:vMerge w:val="continue"/>
            <w:noWrap w:val="0"/>
            <w:vAlign w:val="center"/>
          </w:tcPr>
          <w:p>
            <w:pPr>
              <w:spacing w:after="0" w:line="360" w:lineRule="auto"/>
              <w:ind w:firstLine="0" w:firstLineChars="0"/>
              <w:jc w:val="center"/>
              <w:rPr>
                <w:rFonts w:ascii="Times New Roman" w:hAnsi="Times New Roman" w:eastAsia="仿宋" w:cs="Times New Roman"/>
                <w:color w:val="auto"/>
                <w:kern w:val="2"/>
                <w:sz w:val="21"/>
                <w:szCs w:val="21"/>
                <w:lang w:val="en-US" w:eastAsia="zh-CN" w:bidi="ar-SA"/>
              </w:rPr>
            </w:pPr>
          </w:p>
        </w:tc>
        <w:tc>
          <w:tcPr>
            <w:tcW w:w="6208" w:type="dxa"/>
            <w:noWrap w:val="0"/>
            <w:vAlign w:val="center"/>
          </w:tcPr>
          <w:p>
            <w:pPr>
              <w:spacing w:before="0" w:after="0" w:afterAutospacing="0" w:line="360" w:lineRule="auto"/>
              <w:ind w:left="0" w:right="0" w:firstLine="0"/>
              <w:jc w:val="left"/>
              <w:rPr>
                <w:rFonts w:ascii="Times New Roman" w:hAnsi="Times New Roman" w:eastAsia="仿宋" w:cs="Times New Roman"/>
                <w:color w:val="auto"/>
                <w:kern w:val="2"/>
                <w:szCs w:val="21"/>
                <w:highlight w:val="none"/>
                <w:lang w:val="en-US" w:eastAsia="zh-CN"/>
              </w:rPr>
            </w:pPr>
            <w:r>
              <w:rPr>
                <w:rFonts w:hint="eastAsia" w:ascii="仿宋" w:hAnsi="仿宋" w:eastAsia="仿宋" w:cs="仿宋"/>
                <w:color w:val="auto"/>
                <w:kern w:val="2"/>
                <w:sz w:val="21"/>
                <w:szCs w:val="21"/>
                <w:highlight w:val="none"/>
                <w:lang w:val="en-US" w:eastAsia="zh-CN"/>
              </w:rPr>
              <w:t>1号线南湖站信号设备房</w:t>
            </w:r>
            <w:r>
              <w:rPr>
                <w:rFonts w:hint="eastAsia" w:ascii="Times New Roman" w:hAnsi="Times New Roman" w:eastAsia="仿宋" w:cs="Times New Roman"/>
                <w:color w:val="auto"/>
                <w:kern w:val="2"/>
                <w:szCs w:val="21"/>
                <w:highlight w:val="none"/>
                <w:lang w:val="en-US" w:eastAsia="zh-CN"/>
              </w:rPr>
              <w:t>3D全景画面查看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8" w:type="dxa"/>
            <w:vMerge w:val="continue"/>
            <w:noWrap w:val="0"/>
            <w:vAlign w:val="center"/>
          </w:tcPr>
          <w:p>
            <w:pPr>
              <w:spacing w:after="0" w:line="360" w:lineRule="auto"/>
              <w:ind w:firstLine="0" w:firstLineChars="0"/>
              <w:jc w:val="center"/>
              <w:rPr>
                <w:rFonts w:ascii="Times New Roman" w:hAnsi="Times New Roman" w:eastAsia="仿宋" w:cs="Times New Roman"/>
                <w:color w:val="auto"/>
                <w:kern w:val="2"/>
                <w:sz w:val="21"/>
                <w:szCs w:val="21"/>
                <w:lang w:val="en-US" w:eastAsia="zh-CN" w:bidi="ar-SA"/>
              </w:rPr>
            </w:pPr>
          </w:p>
        </w:tc>
        <w:tc>
          <w:tcPr>
            <w:tcW w:w="6208" w:type="dxa"/>
            <w:noWrap w:val="0"/>
            <w:vAlign w:val="center"/>
          </w:tcPr>
          <w:p>
            <w:pPr>
              <w:spacing w:before="0" w:after="0" w:afterAutospacing="0" w:line="360" w:lineRule="auto"/>
              <w:ind w:left="0" w:right="0" w:firstLine="0"/>
              <w:jc w:val="left"/>
              <w:rPr>
                <w:rFonts w:ascii="Times New Roman" w:hAnsi="Times New Roman" w:eastAsia="仿宋" w:cs="Times New Roman"/>
                <w:color w:val="auto"/>
                <w:kern w:val="2"/>
                <w:szCs w:val="21"/>
                <w:highlight w:val="none"/>
                <w:lang w:val="en-US" w:eastAsia="zh-CN"/>
              </w:rPr>
            </w:pPr>
            <w:r>
              <w:rPr>
                <w:rFonts w:hint="eastAsia" w:ascii="仿宋" w:hAnsi="仿宋" w:eastAsia="仿宋" w:cs="仿宋"/>
                <w:color w:val="auto"/>
                <w:kern w:val="2"/>
                <w:sz w:val="21"/>
                <w:szCs w:val="21"/>
                <w:highlight w:val="none"/>
                <w:lang w:val="en-US" w:eastAsia="zh-CN"/>
              </w:rPr>
              <w:t>1号线南湖站变电设备房</w:t>
            </w:r>
            <w:r>
              <w:rPr>
                <w:rFonts w:hint="eastAsia" w:ascii="Times New Roman" w:hAnsi="Times New Roman" w:eastAsia="仿宋" w:cs="Times New Roman"/>
                <w:color w:val="auto"/>
                <w:kern w:val="2"/>
                <w:szCs w:val="21"/>
                <w:highlight w:val="none"/>
                <w:lang w:val="en-US" w:eastAsia="zh-CN"/>
              </w:rPr>
              <w:t>3D全景画面查看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8" w:type="dxa"/>
            <w:vMerge w:val="continue"/>
            <w:noWrap w:val="0"/>
            <w:vAlign w:val="center"/>
          </w:tcPr>
          <w:p>
            <w:pPr>
              <w:spacing w:after="0" w:line="360" w:lineRule="auto"/>
              <w:ind w:firstLine="0" w:firstLineChars="0"/>
              <w:jc w:val="center"/>
              <w:rPr>
                <w:rFonts w:ascii="Times New Roman" w:hAnsi="Times New Roman" w:eastAsia="仿宋" w:cs="Times New Roman"/>
                <w:color w:val="auto"/>
                <w:kern w:val="2"/>
                <w:sz w:val="21"/>
                <w:szCs w:val="21"/>
                <w:lang w:val="en-US" w:eastAsia="zh-CN" w:bidi="ar-SA"/>
              </w:rPr>
            </w:pPr>
          </w:p>
        </w:tc>
        <w:tc>
          <w:tcPr>
            <w:tcW w:w="6208" w:type="dxa"/>
            <w:noWrap w:val="0"/>
            <w:vAlign w:val="center"/>
          </w:tcPr>
          <w:p>
            <w:pPr>
              <w:spacing w:before="0" w:after="0" w:afterAutospacing="0" w:line="360" w:lineRule="auto"/>
              <w:ind w:left="0" w:right="0" w:firstLine="0"/>
              <w:jc w:val="left"/>
              <w:rPr>
                <w:rFonts w:hint="eastAsia" w:ascii="Times New Roman" w:hAnsi="Times New Roman" w:eastAsia="仿宋" w:cs="Times New Roman"/>
                <w:color w:val="auto"/>
                <w:kern w:val="2"/>
                <w:szCs w:val="21"/>
                <w:lang w:val="en-US" w:eastAsia="zh-CN"/>
              </w:rPr>
            </w:pPr>
            <w:r>
              <w:rPr>
                <w:rFonts w:hint="eastAsia" w:ascii="仿宋" w:hAnsi="仿宋" w:eastAsia="仿宋" w:cs="仿宋"/>
                <w:color w:val="auto"/>
                <w:kern w:val="2"/>
                <w:sz w:val="21"/>
                <w:szCs w:val="21"/>
                <w:lang w:val="en-US" w:eastAsia="zh-CN"/>
              </w:rPr>
              <w:t>1号线南湖站环控设备房</w:t>
            </w:r>
            <w:r>
              <w:rPr>
                <w:rFonts w:hint="eastAsia" w:ascii="Times New Roman" w:hAnsi="Times New Roman" w:eastAsia="仿宋" w:cs="Times New Roman"/>
                <w:color w:val="auto"/>
                <w:kern w:val="2"/>
                <w:szCs w:val="21"/>
                <w:lang w:val="en-US" w:eastAsia="zh-CN"/>
              </w:rPr>
              <w:t>3D全景画面查看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8" w:type="dxa"/>
            <w:vMerge w:val="continue"/>
            <w:noWrap w:val="0"/>
            <w:vAlign w:val="center"/>
          </w:tcPr>
          <w:p>
            <w:pPr>
              <w:spacing w:after="0" w:line="360" w:lineRule="auto"/>
              <w:ind w:firstLine="0" w:firstLineChars="0"/>
              <w:jc w:val="center"/>
              <w:rPr>
                <w:rFonts w:ascii="Times New Roman" w:hAnsi="Times New Roman" w:eastAsia="仿宋" w:cs="Times New Roman"/>
                <w:color w:val="auto"/>
                <w:kern w:val="2"/>
                <w:sz w:val="21"/>
                <w:szCs w:val="21"/>
                <w:lang w:val="en-US" w:eastAsia="zh-CN" w:bidi="ar-SA"/>
              </w:rPr>
            </w:pPr>
          </w:p>
        </w:tc>
        <w:tc>
          <w:tcPr>
            <w:tcW w:w="6208" w:type="dxa"/>
            <w:noWrap w:val="0"/>
            <w:vAlign w:val="center"/>
          </w:tcPr>
          <w:p>
            <w:pPr>
              <w:spacing w:before="0" w:after="0" w:afterAutospacing="0" w:line="360" w:lineRule="auto"/>
              <w:ind w:left="0" w:right="0" w:firstLine="0"/>
              <w:jc w:val="left"/>
              <w:rPr>
                <w:rFonts w:hint="eastAsia" w:ascii="仿宋" w:hAnsi="仿宋" w:eastAsia="仿宋" w:cs="仿宋"/>
                <w:color w:val="auto"/>
                <w:kern w:val="2"/>
                <w:sz w:val="21"/>
                <w:szCs w:val="21"/>
                <w:lang w:val="en-US" w:eastAsia="zh-CN"/>
              </w:rPr>
            </w:pPr>
            <w:r>
              <w:rPr>
                <w:rFonts w:hint="eastAsia" w:ascii="仿宋" w:hAnsi="仿宋" w:eastAsia="仿宋" w:cs="仿宋"/>
                <w:color w:val="auto"/>
                <w:kern w:val="2"/>
                <w:sz w:val="21"/>
                <w:szCs w:val="21"/>
                <w:lang w:val="en-US" w:eastAsia="zh-CN"/>
              </w:rPr>
              <w:t>1号线</w:t>
            </w:r>
            <w:r>
              <w:rPr>
                <w:rFonts w:hint="eastAsia" w:ascii="仿宋" w:hAnsi="仿宋" w:eastAsia="仿宋" w:cs="仿宋"/>
                <w:color w:val="auto"/>
                <w:kern w:val="2"/>
                <w:sz w:val="21"/>
                <w:szCs w:val="21"/>
              </w:rPr>
              <w:t>南湖至麻村站上下行区间</w:t>
            </w:r>
            <w:r>
              <w:rPr>
                <w:rFonts w:hint="eastAsia" w:ascii="Times New Roman" w:hAnsi="Times New Roman" w:eastAsia="仿宋" w:cs="Times New Roman"/>
                <w:color w:val="auto"/>
                <w:kern w:val="2"/>
                <w:szCs w:val="21"/>
                <w:lang w:val="en-US" w:eastAsia="zh-CN"/>
              </w:rPr>
              <w:t>3D全景画面查看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8" w:type="dxa"/>
            <w:vMerge w:val="continue"/>
            <w:noWrap w:val="0"/>
            <w:vAlign w:val="center"/>
          </w:tcPr>
          <w:p>
            <w:pPr>
              <w:spacing w:after="0" w:line="360" w:lineRule="auto"/>
              <w:ind w:firstLine="0" w:firstLineChars="0"/>
              <w:jc w:val="center"/>
              <w:rPr>
                <w:rFonts w:ascii="Times New Roman" w:hAnsi="Times New Roman" w:eastAsia="仿宋" w:cs="Times New Roman"/>
                <w:color w:val="auto"/>
                <w:kern w:val="2"/>
                <w:sz w:val="21"/>
                <w:szCs w:val="21"/>
                <w:lang w:val="en-US" w:eastAsia="zh-CN" w:bidi="ar-SA"/>
              </w:rPr>
            </w:pPr>
          </w:p>
        </w:tc>
        <w:tc>
          <w:tcPr>
            <w:tcW w:w="6208" w:type="dxa"/>
            <w:noWrap w:val="0"/>
            <w:vAlign w:val="center"/>
          </w:tcPr>
          <w:p>
            <w:pPr>
              <w:spacing w:before="0" w:after="0" w:afterAutospacing="0" w:line="360" w:lineRule="auto"/>
              <w:ind w:left="0" w:right="0" w:firstLine="0"/>
              <w:jc w:val="left"/>
              <w:rPr>
                <w:rFonts w:hint="eastAsia" w:ascii="Times New Roman" w:hAnsi="Times New Roman" w:eastAsia="仿宋" w:cs="Times New Roman"/>
                <w:color w:val="auto"/>
                <w:kern w:val="2"/>
                <w:szCs w:val="21"/>
                <w:lang w:val="en-US" w:eastAsia="zh-CN"/>
              </w:rPr>
            </w:pPr>
            <w:r>
              <w:rPr>
                <w:rFonts w:hint="eastAsia" w:ascii="仿宋" w:hAnsi="仿宋" w:eastAsia="仿宋" w:cs="仿宋"/>
                <w:color w:val="auto"/>
                <w:kern w:val="0"/>
                <w:sz w:val="21"/>
                <w:szCs w:val="21"/>
              </w:rPr>
              <w:t>1、2号线朝阳广场站联络线区间</w:t>
            </w:r>
            <w:r>
              <w:rPr>
                <w:rFonts w:hint="eastAsia" w:ascii="Times New Roman" w:hAnsi="Times New Roman" w:eastAsia="仿宋" w:cs="Times New Roman"/>
                <w:color w:val="auto"/>
                <w:kern w:val="2"/>
                <w:szCs w:val="21"/>
                <w:lang w:val="en-US" w:eastAsia="zh-CN"/>
              </w:rPr>
              <w:t>3D全景画面查看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8" w:type="dxa"/>
            <w:vMerge w:val="restart"/>
            <w:noWrap w:val="0"/>
            <w:vAlign w:val="center"/>
          </w:tcPr>
          <w:p>
            <w:pPr>
              <w:spacing w:after="0" w:line="360" w:lineRule="auto"/>
              <w:ind w:firstLine="0" w:firstLineChars="0"/>
              <w:jc w:val="center"/>
              <w:rPr>
                <w:rFonts w:hint="default"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设备设施功能展示</w:t>
            </w:r>
          </w:p>
        </w:tc>
        <w:tc>
          <w:tcPr>
            <w:tcW w:w="6208" w:type="dxa"/>
            <w:noWrap w:val="0"/>
            <w:vAlign w:val="center"/>
          </w:tcPr>
          <w:p>
            <w:pPr>
              <w:spacing w:after="0" w:line="360" w:lineRule="auto"/>
              <w:ind w:firstLine="0" w:firstLineChars="0"/>
              <w:rPr>
                <w:rFonts w:hint="default"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行车、信号设备功能展示与培训介绍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8" w:type="dxa"/>
            <w:vMerge w:val="continue"/>
            <w:noWrap w:val="0"/>
            <w:vAlign w:val="center"/>
          </w:tcPr>
          <w:p>
            <w:pPr>
              <w:spacing w:after="0" w:line="360" w:lineRule="auto"/>
              <w:ind w:firstLine="0" w:firstLineChars="0"/>
              <w:jc w:val="center"/>
              <w:rPr>
                <w:rFonts w:ascii="Times New Roman" w:hAnsi="Times New Roman" w:eastAsia="仿宋" w:cs="Times New Roman"/>
                <w:color w:val="auto"/>
                <w:kern w:val="2"/>
                <w:sz w:val="21"/>
                <w:szCs w:val="21"/>
                <w:lang w:val="en-US" w:eastAsia="zh-CN" w:bidi="ar-SA"/>
              </w:rPr>
            </w:pPr>
          </w:p>
        </w:tc>
        <w:tc>
          <w:tcPr>
            <w:tcW w:w="6208" w:type="dxa"/>
            <w:noWrap w:val="0"/>
            <w:vAlign w:val="center"/>
          </w:tcPr>
          <w:p>
            <w:pPr>
              <w:spacing w:after="0" w:line="360" w:lineRule="auto"/>
              <w:ind w:firstLine="0" w:firstLineChars="0"/>
              <w:rPr>
                <w:rFonts w:hint="default"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变电所、区间供电设备功能展示与培训介绍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8" w:type="dxa"/>
            <w:vMerge w:val="continue"/>
            <w:noWrap w:val="0"/>
            <w:vAlign w:val="center"/>
          </w:tcPr>
          <w:p>
            <w:pPr>
              <w:spacing w:after="0" w:line="360" w:lineRule="auto"/>
              <w:ind w:firstLine="0" w:firstLineChars="0"/>
              <w:jc w:val="center"/>
              <w:rPr>
                <w:rFonts w:ascii="Times New Roman" w:hAnsi="Times New Roman" w:eastAsia="仿宋" w:cs="Times New Roman"/>
                <w:color w:val="auto"/>
                <w:kern w:val="2"/>
                <w:sz w:val="21"/>
                <w:szCs w:val="21"/>
                <w:lang w:val="en-US" w:eastAsia="zh-CN" w:bidi="ar-SA"/>
              </w:rPr>
            </w:pPr>
          </w:p>
        </w:tc>
        <w:tc>
          <w:tcPr>
            <w:tcW w:w="6208" w:type="dxa"/>
            <w:noWrap w:val="0"/>
            <w:vAlign w:val="center"/>
          </w:tcPr>
          <w:p>
            <w:pPr>
              <w:spacing w:after="0" w:line="360" w:lineRule="auto"/>
              <w:ind w:firstLine="0" w:firstLineChars="0"/>
              <w:rPr>
                <w:rFonts w:hint="default"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环控、消防等设备功能展示与培训介绍</w:t>
            </w:r>
          </w:p>
        </w:tc>
      </w:tr>
    </w:tbl>
    <w:p>
      <w:pPr>
        <w:spacing w:line="360" w:lineRule="auto"/>
        <w:ind w:left="0" w:leftChars="0" w:firstLine="0" w:firstLineChars="0"/>
        <w:jc w:val="both"/>
        <w:rPr>
          <w:rFonts w:hint="eastAsia" w:ascii="Times New Roman" w:hAnsi="Times New Roman" w:eastAsia="仿宋" w:cs="Times New Roman"/>
          <w:color w:val="auto"/>
          <w:kern w:val="0"/>
          <w:sz w:val="21"/>
          <w:szCs w:val="21"/>
          <w:lang w:val="en-US" w:eastAsia="zh-CN" w:bidi="ar-SA"/>
        </w:rPr>
      </w:pPr>
    </w:p>
    <w:p>
      <w:pPr>
        <w:keepNext/>
        <w:numPr>
          <w:ilvl w:val="2"/>
          <w:numId w:val="7"/>
        </w:numPr>
        <w:spacing w:before="120" w:after="120"/>
        <w:outlineLvl w:val="2"/>
        <w:rPr>
          <w:rFonts w:hint="default" w:ascii="Times New Roman" w:hAnsi="Times New Roman" w:eastAsia="仿宋" w:cs="Times New Roman"/>
          <w:b/>
          <w:color w:val="auto"/>
          <w:kern w:val="0"/>
          <w:sz w:val="28"/>
          <w:szCs w:val="28"/>
          <w:lang w:val="en-US" w:eastAsia="zh-CN" w:bidi="ar-SA"/>
        </w:rPr>
      </w:pPr>
      <w:bookmarkStart w:id="826" w:name="_Toc28346"/>
      <w:r>
        <w:rPr>
          <w:rFonts w:hint="eastAsia" w:ascii="Times New Roman" w:hAnsi="Times New Roman" w:eastAsia="仿宋" w:cs="Times New Roman"/>
          <w:b/>
          <w:color w:val="auto"/>
          <w:kern w:val="0"/>
          <w:sz w:val="28"/>
          <w:szCs w:val="28"/>
          <w:lang w:val="en-US" w:eastAsia="zh-CN" w:bidi="ar-SA"/>
        </w:rPr>
        <w:t>软件系统功能需求</w:t>
      </w:r>
      <w:bookmarkEnd w:id="826"/>
    </w:p>
    <w:p>
      <w:pPr>
        <w:spacing w:before="0" w:after="0" w:afterAutospacing="0" w:line="360" w:lineRule="auto"/>
        <w:ind w:left="0" w:right="0" w:firstLine="420" w:firstLineChars="200"/>
        <w:jc w:val="both"/>
        <w:rPr>
          <w:rFonts w:hint="default" w:ascii="Times New Roman" w:hAnsi="Times New Roman" w:eastAsia="仿宋" w:cs="Times New Roman"/>
          <w:color w:val="auto"/>
          <w:kern w:val="2"/>
          <w:szCs w:val="20"/>
          <w:lang w:val="en-US" w:eastAsia="zh-CN"/>
        </w:rPr>
      </w:pPr>
      <w:r>
        <w:rPr>
          <w:rFonts w:hint="eastAsia" w:ascii="Times New Roman" w:hAnsi="Times New Roman" w:eastAsia="仿宋" w:cs="Times New Roman"/>
          <w:color w:val="auto"/>
          <w:kern w:val="2"/>
          <w:szCs w:val="20"/>
          <w:lang w:val="en-US" w:eastAsia="zh-CN"/>
        </w:rPr>
        <w:t>软件系统包括VR实景展示和设备功能展示两个部分：</w:t>
      </w:r>
    </w:p>
    <w:p>
      <w:pPr>
        <w:spacing w:before="0" w:after="0" w:afterAutospacing="0" w:line="360" w:lineRule="auto"/>
        <w:ind w:left="0" w:right="0" w:firstLine="420" w:firstLineChars="200"/>
        <w:jc w:val="both"/>
        <w:rPr>
          <w:rFonts w:hint="eastAsia" w:ascii="Times New Roman" w:hAnsi="Times New Roman" w:eastAsia="仿宋" w:cs="Times New Roman"/>
          <w:color w:val="auto"/>
          <w:kern w:val="2"/>
          <w:szCs w:val="20"/>
          <w:lang w:val="en-US" w:eastAsia="zh-CN"/>
        </w:rPr>
      </w:pPr>
      <w:r>
        <w:rPr>
          <w:rFonts w:hint="eastAsia" w:ascii="Times New Roman" w:hAnsi="Times New Roman" w:eastAsia="仿宋" w:cs="Times New Roman"/>
          <w:color w:val="auto"/>
          <w:kern w:val="2"/>
          <w:szCs w:val="20"/>
          <w:lang w:val="en-US" w:eastAsia="zh-CN"/>
        </w:rPr>
        <w:t>（1）VR实景展示</w:t>
      </w:r>
    </w:p>
    <w:p>
      <w:pPr>
        <w:spacing w:before="0" w:after="0" w:afterAutospacing="0" w:line="360" w:lineRule="auto"/>
        <w:ind w:left="0" w:right="0" w:firstLine="420" w:firstLineChars="200"/>
        <w:jc w:val="both"/>
        <w:rPr>
          <w:rFonts w:hint="eastAsia" w:ascii="Times New Roman" w:hAnsi="Times New Roman" w:eastAsia="仿宋" w:cs="Times New Roman"/>
          <w:color w:val="auto"/>
          <w:kern w:val="2"/>
          <w:szCs w:val="20"/>
          <w:lang w:val="en-US" w:eastAsia="zh-CN"/>
        </w:rPr>
      </w:pPr>
      <w:r>
        <w:rPr>
          <w:rFonts w:hint="eastAsia" w:ascii="Times New Roman" w:hAnsi="Times New Roman" w:eastAsia="仿宋" w:cs="Times New Roman"/>
          <w:color w:val="auto"/>
          <w:kern w:val="2"/>
          <w:szCs w:val="20"/>
          <w:lang w:val="en-US" w:eastAsia="zh-CN"/>
        </w:rPr>
        <w:t>VR实景展示功能主要是通过前期拍摄采集车站、区间隧道、车站设备房的全景图像，通过计算机技术实现全方位互动式观看的真实场景还原展示方式。通过3D环物将展品720度无死角地展现在用户面前，并且能够通过放大缩小等来自由地查看实景局部的细节等。</w:t>
      </w:r>
    </w:p>
    <w:p>
      <w:pPr>
        <w:spacing w:before="0" w:after="0" w:afterAutospacing="0" w:line="360" w:lineRule="auto"/>
        <w:ind w:left="0" w:right="0" w:firstLine="420" w:firstLineChars="200"/>
        <w:jc w:val="both"/>
        <w:rPr>
          <w:rFonts w:hint="eastAsia" w:ascii="Times New Roman" w:hAnsi="Times New Roman" w:eastAsia="仿宋" w:cs="Times New Roman"/>
          <w:color w:val="auto"/>
          <w:kern w:val="2"/>
          <w:szCs w:val="20"/>
          <w:lang w:val="en-US" w:eastAsia="zh-CN"/>
        </w:rPr>
      </w:pPr>
      <w:r>
        <w:rPr>
          <w:rFonts w:hint="eastAsia" w:ascii="Times New Roman" w:hAnsi="Times New Roman" w:eastAsia="仿宋" w:cs="Times New Roman"/>
          <w:color w:val="auto"/>
          <w:kern w:val="2"/>
          <w:szCs w:val="20"/>
          <w:lang w:val="en-US" w:eastAsia="zh-CN"/>
        </w:rPr>
        <w:t>（2）设备设施功能展示</w:t>
      </w:r>
    </w:p>
    <w:p>
      <w:pPr>
        <w:spacing w:before="0" w:after="0" w:afterAutospacing="0" w:line="360" w:lineRule="auto"/>
        <w:ind w:left="0" w:right="0" w:firstLine="420" w:firstLineChars="200"/>
        <w:jc w:val="both"/>
        <w:rPr>
          <w:rFonts w:hint="eastAsia" w:ascii="Times New Roman" w:hAnsi="Times New Roman" w:eastAsia="仿宋" w:cs="Times New Roman"/>
          <w:color w:val="auto"/>
          <w:kern w:val="2"/>
          <w:szCs w:val="20"/>
          <w:lang w:val="en-US" w:eastAsia="zh-CN"/>
        </w:rPr>
      </w:pPr>
      <w:r>
        <w:rPr>
          <w:rFonts w:hint="eastAsia" w:ascii="Times New Roman" w:hAnsi="Times New Roman" w:eastAsia="仿宋" w:cs="Times New Roman"/>
          <w:color w:val="auto"/>
          <w:kern w:val="2"/>
          <w:szCs w:val="20"/>
          <w:lang w:val="en-US" w:eastAsia="zh-CN"/>
        </w:rPr>
        <w:t>设备设施功能展示功能主要是通过嵌入车站、设备房、区间等常见设备的图片、文字和视频，通过点击设备连接查看相关设备的主要图片和功能介绍。通过深度互动能够实现点击进入房间或是打开场景内的设备看到其内部的结构及设备功能等相关资料。</w:t>
      </w:r>
    </w:p>
    <w:p>
      <w:pPr>
        <w:keepNext/>
        <w:numPr>
          <w:ilvl w:val="2"/>
          <w:numId w:val="7"/>
        </w:numPr>
        <w:spacing w:before="120" w:after="120"/>
        <w:outlineLvl w:val="2"/>
        <w:rPr>
          <w:rFonts w:ascii="Times New Roman" w:hAnsi="Times New Roman" w:eastAsia="仿宋" w:cs="Times New Roman"/>
          <w:b/>
          <w:color w:val="auto"/>
          <w:kern w:val="0"/>
          <w:sz w:val="28"/>
          <w:szCs w:val="28"/>
          <w:lang w:val="en-US" w:eastAsia="zh-CN" w:bidi="ar-SA"/>
        </w:rPr>
      </w:pPr>
      <w:bookmarkStart w:id="827" w:name="_Toc19197"/>
      <w:r>
        <w:rPr>
          <w:rFonts w:hint="eastAsia" w:ascii="Times New Roman" w:hAnsi="Times New Roman" w:eastAsia="仿宋" w:cs="Times New Roman"/>
          <w:b/>
          <w:color w:val="auto"/>
          <w:kern w:val="0"/>
          <w:sz w:val="28"/>
          <w:szCs w:val="28"/>
          <w:lang w:val="en-US" w:eastAsia="zh-CN" w:bidi="ar-SA"/>
        </w:rPr>
        <w:t>系统性能</w:t>
      </w:r>
      <w:r>
        <w:rPr>
          <w:rFonts w:ascii="Times New Roman" w:hAnsi="Times New Roman" w:eastAsia="仿宋" w:cs="Times New Roman"/>
          <w:b/>
          <w:color w:val="auto"/>
          <w:kern w:val="0"/>
          <w:sz w:val="28"/>
          <w:szCs w:val="28"/>
          <w:lang w:val="en-US" w:eastAsia="zh-CN" w:bidi="ar-SA"/>
        </w:rPr>
        <w:t>要求</w:t>
      </w:r>
      <w:bookmarkEnd w:id="827"/>
    </w:p>
    <w:p>
      <w:pPr>
        <w:spacing w:before="0" w:after="0" w:afterAutospacing="0" w:line="360" w:lineRule="auto"/>
        <w:ind w:left="0" w:right="0" w:firstLine="422" w:firstLineChars="200"/>
        <w:jc w:val="both"/>
        <w:rPr>
          <w:rFonts w:hint="eastAsia" w:ascii="Times New Roman" w:hAnsi="Times New Roman" w:eastAsia="仿宋" w:cs="Times New Roman"/>
          <w:b/>
          <w:bCs/>
          <w:color w:val="auto"/>
          <w:kern w:val="2"/>
          <w:szCs w:val="20"/>
          <w:lang w:val="en-US" w:eastAsia="zh-CN"/>
        </w:rPr>
      </w:pPr>
      <w:bookmarkStart w:id="828" w:name="_Toc488934041"/>
      <w:bookmarkEnd w:id="828"/>
      <w:bookmarkStart w:id="829" w:name="_Toc468262605"/>
      <w:bookmarkEnd w:id="829"/>
      <w:bookmarkStart w:id="830" w:name="_Toc468261829"/>
      <w:bookmarkEnd w:id="830"/>
      <w:bookmarkStart w:id="831" w:name="_Toc488998306"/>
      <w:bookmarkEnd w:id="831"/>
      <w:bookmarkStart w:id="832" w:name="_Toc465947350"/>
      <w:bookmarkEnd w:id="832"/>
      <w:bookmarkStart w:id="833" w:name="_Toc465947051"/>
      <w:bookmarkEnd w:id="833"/>
      <w:bookmarkStart w:id="834" w:name="_Toc457975914"/>
      <w:bookmarkEnd w:id="834"/>
      <w:bookmarkStart w:id="835" w:name="_Toc467675362"/>
      <w:bookmarkEnd w:id="835"/>
      <w:bookmarkStart w:id="836" w:name="_Toc484770376"/>
      <w:bookmarkEnd w:id="836"/>
      <w:bookmarkStart w:id="837" w:name="_Toc459217913"/>
      <w:bookmarkEnd w:id="837"/>
      <w:bookmarkStart w:id="838" w:name="_Toc458009687"/>
      <w:bookmarkEnd w:id="838"/>
      <w:bookmarkStart w:id="839" w:name="_Toc467686104"/>
      <w:bookmarkEnd w:id="839"/>
      <w:bookmarkStart w:id="840" w:name="_Toc468274432"/>
      <w:bookmarkEnd w:id="840"/>
      <w:bookmarkStart w:id="841" w:name="_Toc49106851"/>
      <w:bookmarkStart w:id="842" w:name="_Toc49008452"/>
      <w:bookmarkStart w:id="843" w:name="_Toc19155"/>
      <w:bookmarkStart w:id="844" w:name="_Toc6836"/>
      <w:bookmarkStart w:id="845" w:name="_Toc357443638"/>
      <w:r>
        <w:rPr>
          <w:rFonts w:hint="eastAsia" w:ascii="Times New Roman" w:hAnsi="Times New Roman" w:eastAsia="仿宋" w:cs="Times New Roman"/>
          <w:b/>
          <w:bCs/>
          <w:color w:val="auto"/>
          <w:kern w:val="2"/>
          <w:szCs w:val="20"/>
          <w:lang w:val="en-US" w:eastAsia="zh-CN"/>
        </w:rPr>
        <w:t>（1）先进性</w:t>
      </w:r>
    </w:p>
    <w:p>
      <w:pPr>
        <w:spacing w:before="0" w:after="0" w:afterAutospacing="0" w:line="360" w:lineRule="auto"/>
        <w:ind w:left="0" w:right="0" w:firstLine="420" w:firstLineChars="200"/>
        <w:jc w:val="both"/>
        <w:rPr>
          <w:rFonts w:hint="eastAsia" w:ascii="Times New Roman" w:hAnsi="Times New Roman" w:eastAsia="仿宋" w:cs="Times New Roman"/>
          <w:color w:val="auto"/>
          <w:kern w:val="2"/>
          <w:szCs w:val="20"/>
          <w:lang w:val="en-US" w:eastAsia="zh-CN"/>
        </w:rPr>
      </w:pPr>
      <w:r>
        <w:rPr>
          <w:rFonts w:hint="eastAsia" w:ascii="Times New Roman" w:hAnsi="Times New Roman" w:eastAsia="仿宋" w:cs="Times New Roman"/>
          <w:color w:val="auto"/>
          <w:kern w:val="2"/>
          <w:szCs w:val="20"/>
          <w:lang w:val="en-US" w:eastAsia="zh-CN"/>
        </w:rPr>
        <w:t>系统必须采用HTML5技术架构，采用的场景漫游模式，设备与站点场景空间的真实模拟，提供最直接的模拟环境。</w:t>
      </w:r>
    </w:p>
    <w:p>
      <w:pPr>
        <w:spacing w:before="0" w:after="0" w:afterAutospacing="0" w:line="360" w:lineRule="auto"/>
        <w:ind w:left="0" w:right="0" w:firstLine="422" w:firstLineChars="200"/>
        <w:jc w:val="both"/>
        <w:rPr>
          <w:rFonts w:hint="eastAsia" w:ascii="Times New Roman" w:hAnsi="Times New Roman" w:eastAsia="仿宋" w:cs="Times New Roman"/>
          <w:b/>
          <w:bCs/>
          <w:color w:val="auto"/>
          <w:kern w:val="2"/>
          <w:szCs w:val="20"/>
          <w:lang w:val="en-US" w:eastAsia="zh-CN"/>
        </w:rPr>
      </w:pPr>
      <w:r>
        <w:rPr>
          <w:rFonts w:hint="eastAsia" w:ascii="Times New Roman" w:hAnsi="Times New Roman" w:eastAsia="仿宋" w:cs="Times New Roman"/>
          <w:b/>
          <w:bCs/>
          <w:color w:val="auto"/>
          <w:kern w:val="2"/>
          <w:szCs w:val="20"/>
          <w:lang w:val="en-US" w:eastAsia="zh-CN"/>
        </w:rPr>
        <w:t>（2）开放性</w:t>
      </w:r>
    </w:p>
    <w:p>
      <w:pPr>
        <w:spacing w:before="0" w:after="0" w:afterAutospacing="0" w:line="360" w:lineRule="auto"/>
        <w:ind w:left="0" w:right="0" w:firstLine="420" w:firstLineChars="200"/>
        <w:jc w:val="both"/>
        <w:rPr>
          <w:rFonts w:hint="eastAsia" w:ascii="Times New Roman" w:hAnsi="Times New Roman" w:eastAsia="仿宋" w:cs="Times New Roman"/>
          <w:color w:val="auto"/>
          <w:kern w:val="2"/>
          <w:szCs w:val="20"/>
          <w:lang w:val="en-US" w:eastAsia="zh-CN"/>
        </w:rPr>
      </w:pPr>
      <w:r>
        <w:rPr>
          <w:rFonts w:hint="eastAsia" w:ascii="Times New Roman" w:hAnsi="Times New Roman" w:eastAsia="仿宋" w:cs="Times New Roman"/>
          <w:color w:val="auto"/>
          <w:kern w:val="2"/>
          <w:szCs w:val="20"/>
          <w:lang w:val="en-US" w:eastAsia="zh-CN"/>
        </w:rPr>
        <w:t>兼容主流的硬件平台和操作系统平台，遵循业界开放式标准；支持各种开放协议；采用成熟的应用系统架构。</w:t>
      </w:r>
    </w:p>
    <w:p>
      <w:pPr>
        <w:spacing w:before="0" w:after="0" w:afterAutospacing="0" w:line="360" w:lineRule="auto"/>
        <w:ind w:left="0" w:right="0" w:firstLine="422" w:firstLineChars="200"/>
        <w:jc w:val="both"/>
        <w:rPr>
          <w:rFonts w:hint="eastAsia" w:ascii="Times New Roman" w:hAnsi="Times New Roman" w:eastAsia="仿宋" w:cs="Times New Roman"/>
          <w:b/>
          <w:bCs/>
          <w:color w:val="auto"/>
          <w:kern w:val="2"/>
          <w:szCs w:val="20"/>
          <w:lang w:val="en-US" w:eastAsia="zh-CN"/>
        </w:rPr>
      </w:pPr>
      <w:r>
        <w:rPr>
          <w:rFonts w:hint="eastAsia" w:ascii="Times New Roman" w:hAnsi="Times New Roman" w:eastAsia="仿宋" w:cs="Times New Roman"/>
          <w:b/>
          <w:bCs/>
          <w:color w:val="auto"/>
          <w:kern w:val="2"/>
          <w:szCs w:val="20"/>
          <w:lang w:val="en-US" w:eastAsia="zh-CN"/>
        </w:rPr>
        <w:t>（3）扩展性</w:t>
      </w:r>
    </w:p>
    <w:p>
      <w:pPr>
        <w:spacing w:before="0" w:after="0" w:afterAutospacing="0" w:line="360" w:lineRule="auto"/>
        <w:ind w:left="0" w:right="0" w:firstLine="420" w:firstLineChars="200"/>
        <w:jc w:val="both"/>
        <w:rPr>
          <w:rFonts w:hint="eastAsia" w:ascii="Times New Roman" w:hAnsi="Times New Roman" w:eastAsia="仿宋" w:cs="Times New Roman"/>
          <w:color w:val="auto"/>
          <w:kern w:val="2"/>
          <w:szCs w:val="20"/>
          <w:lang w:val="en-US" w:eastAsia="zh-CN"/>
        </w:rPr>
      </w:pPr>
      <w:r>
        <w:rPr>
          <w:rFonts w:hint="eastAsia" w:ascii="Times New Roman" w:hAnsi="Times New Roman" w:eastAsia="仿宋" w:cs="Times New Roman"/>
          <w:color w:val="auto"/>
          <w:kern w:val="2"/>
          <w:szCs w:val="20"/>
          <w:lang w:val="en-US" w:eastAsia="zh-CN"/>
        </w:rPr>
        <w:t>选择灵活、可扩展的软件平台，能够根据应用需求，方便扩展设备容量和提升设备性能；支持业务功能升级能力，能够根据应用的需要，选择适当的组件构成不同规模的应用系统；提供新功能、新业务的灵活增加，并能够保证系统与其他在用系统之间的衔接。</w:t>
      </w:r>
    </w:p>
    <w:p>
      <w:pPr>
        <w:spacing w:before="0" w:after="0" w:afterAutospacing="0" w:line="360" w:lineRule="auto"/>
        <w:ind w:left="0" w:right="0" w:firstLine="422" w:firstLineChars="200"/>
        <w:jc w:val="both"/>
        <w:rPr>
          <w:rFonts w:hint="eastAsia" w:ascii="Times New Roman" w:hAnsi="Times New Roman" w:eastAsia="仿宋" w:cs="Times New Roman"/>
          <w:b/>
          <w:bCs/>
          <w:color w:val="auto"/>
          <w:kern w:val="2"/>
          <w:szCs w:val="20"/>
          <w:lang w:val="en-US" w:eastAsia="zh-CN"/>
        </w:rPr>
      </w:pPr>
      <w:r>
        <w:rPr>
          <w:rFonts w:hint="eastAsia" w:ascii="Times New Roman" w:hAnsi="Times New Roman" w:eastAsia="仿宋" w:cs="Times New Roman"/>
          <w:b/>
          <w:bCs/>
          <w:color w:val="auto"/>
          <w:kern w:val="2"/>
          <w:szCs w:val="20"/>
          <w:lang w:val="en-US" w:eastAsia="zh-CN"/>
        </w:rPr>
        <w:t>（4）易操作</w:t>
      </w:r>
    </w:p>
    <w:p>
      <w:pPr>
        <w:spacing w:before="0" w:after="0" w:afterAutospacing="0" w:line="360" w:lineRule="auto"/>
        <w:ind w:left="0" w:right="0" w:firstLine="420" w:firstLineChars="200"/>
        <w:jc w:val="both"/>
        <w:rPr>
          <w:rFonts w:hint="eastAsia" w:ascii="Times New Roman" w:hAnsi="Times New Roman" w:eastAsia="仿宋" w:cs="Times New Roman"/>
          <w:color w:val="auto"/>
          <w:kern w:val="2"/>
          <w:szCs w:val="20"/>
          <w:lang w:val="en-US" w:eastAsia="zh-CN"/>
        </w:rPr>
      </w:pPr>
      <w:r>
        <w:rPr>
          <w:rFonts w:hint="eastAsia" w:ascii="Times New Roman" w:hAnsi="Times New Roman" w:eastAsia="仿宋" w:cs="Times New Roman"/>
          <w:color w:val="auto"/>
          <w:kern w:val="2"/>
          <w:szCs w:val="20"/>
          <w:lang w:val="en-US" w:eastAsia="zh-CN"/>
        </w:rPr>
        <w:t>友好的用户操作界面。素材和场景的维护与管理能够简单易用。</w:t>
      </w:r>
    </w:p>
    <w:p>
      <w:pPr>
        <w:spacing w:before="0" w:after="0" w:afterAutospacing="0" w:line="360" w:lineRule="auto"/>
        <w:ind w:left="0" w:right="0" w:firstLine="422" w:firstLineChars="200"/>
        <w:jc w:val="both"/>
        <w:rPr>
          <w:rFonts w:hint="eastAsia" w:ascii="Times New Roman" w:hAnsi="Times New Roman" w:eastAsia="仿宋" w:cs="Times New Roman"/>
          <w:b/>
          <w:bCs/>
          <w:color w:val="auto"/>
          <w:kern w:val="2"/>
          <w:szCs w:val="20"/>
          <w:lang w:val="en-US" w:eastAsia="zh-CN"/>
        </w:rPr>
      </w:pPr>
      <w:r>
        <w:rPr>
          <w:rFonts w:hint="eastAsia" w:ascii="Times New Roman" w:hAnsi="Times New Roman" w:eastAsia="仿宋" w:cs="Times New Roman"/>
          <w:b/>
          <w:bCs/>
          <w:color w:val="auto"/>
          <w:kern w:val="2"/>
          <w:szCs w:val="20"/>
          <w:lang w:val="en-US" w:eastAsia="zh-CN"/>
        </w:rPr>
        <w:t>（5）真实采集的环境</w:t>
      </w:r>
    </w:p>
    <w:p>
      <w:pPr>
        <w:spacing w:before="0" w:after="0" w:afterAutospacing="0" w:line="360" w:lineRule="auto"/>
        <w:ind w:left="0" w:right="0" w:firstLine="420" w:firstLineChars="200"/>
        <w:jc w:val="both"/>
        <w:rPr>
          <w:rFonts w:hint="eastAsia" w:ascii="Times New Roman" w:hAnsi="Times New Roman" w:eastAsia="仿宋" w:cs="Times New Roman"/>
          <w:color w:val="auto"/>
          <w:kern w:val="2"/>
          <w:szCs w:val="20"/>
          <w:lang w:val="en-US" w:eastAsia="zh-CN"/>
        </w:rPr>
      </w:pPr>
      <w:r>
        <w:rPr>
          <w:rFonts w:hint="eastAsia" w:ascii="Times New Roman" w:hAnsi="Times New Roman" w:eastAsia="仿宋" w:cs="Times New Roman"/>
          <w:color w:val="auto"/>
          <w:kern w:val="2"/>
          <w:szCs w:val="20"/>
          <w:lang w:val="en-US" w:eastAsia="zh-CN"/>
        </w:rPr>
        <w:t>引擎能够模拟真实采集的环境。</w:t>
      </w:r>
    </w:p>
    <w:p>
      <w:pPr>
        <w:spacing w:before="0" w:after="0" w:afterAutospacing="0" w:line="360" w:lineRule="auto"/>
        <w:ind w:left="0" w:right="0" w:firstLine="422" w:firstLineChars="200"/>
        <w:jc w:val="both"/>
        <w:rPr>
          <w:rFonts w:hint="eastAsia" w:ascii="Times New Roman" w:hAnsi="Times New Roman" w:eastAsia="仿宋" w:cs="Times New Roman"/>
          <w:b/>
          <w:bCs/>
          <w:color w:val="auto"/>
          <w:kern w:val="2"/>
          <w:szCs w:val="20"/>
          <w:lang w:val="en-US" w:eastAsia="zh-CN"/>
        </w:rPr>
      </w:pPr>
      <w:r>
        <w:rPr>
          <w:rFonts w:hint="eastAsia" w:ascii="Times New Roman" w:hAnsi="Times New Roman" w:eastAsia="仿宋" w:cs="Times New Roman"/>
          <w:b/>
          <w:bCs/>
          <w:color w:val="auto"/>
          <w:kern w:val="2"/>
          <w:szCs w:val="20"/>
          <w:lang w:val="en-US" w:eastAsia="zh-CN"/>
        </w:rPr>
        <w:t>（6）基于B/S结构的全浏览器免插件支持</w:t>
      </w:r>
    </w:p>
    <w:p>
      <w:pPr>
        <w:spacing w:before="0" w:after="0" w:afterAutospacing="0" w:line="360" w:lineRule="auto"/>
        <w:ind w:left="0" w:right="0" w:firstLine="420" w:firstLineChars="200"/>
        <w:jc w:val="both"/>
        <w:rPr>
          <w:rFonts w:hint="eastAsia" w:ascii="Times New Roman" w:hAnsi="Times New Roman" w:eastAsia="仿宋" w:cs="Times New Roman"/>
          <w:color w:val="auto"/>
          <w:kern w:val="2"/>
          <w:szCs w:val="20"/>
          <w:lang w:val="en-US" w:eastAsia="zh-CN"/>
        </w:rPr>
      </w:pPr>
      <w:r>
        <w:rPr>
          <w:rFonts w:hint="eastAsia" w:ascii="Times New Roman" w:hAnsi="Times New Roman" w:eastAsia="仿宋" w:cs="Times New Roman"/>
          <w:color w:val="auto"/>
          <w:kern w:val="2"/>
          <w:szCs w:val="20"/>
          <w:lang w:val="en-US" w:eastAsia="zh-CN"/>
        </w:rPr>
        <w:t>系统必须采用B/S（浏览器/服务器）模式，无需用户安装客户端程序。</w:t>
      </w:r>
    </w:p>
    <w:p>
      <w:pPr>
        <w:spacing w:before="0" w:after="0" w:afterAutospacing="0" w:line="360" w:lineRule="auto"/>
        <w:ind w:left="0" w:right="0" w:firstLine="422" w:firstLineChars="200"/>
        <w:jc w:val="both"/>
        <w:rPr>
          <w:rFonts w:hint="eastAsia" w:ascii="Times New Roman" w:hAnsi="Times New Roman" w:eastAsia="仿宋" w:cs="Times New Roman"/>
          <w:b/>
          <w:bCs/>
          <w:color w:val="auto"/>
          <w:kern w:val="2"/>
          <w:szCs w:val="20"/>
          <w:lang w:val="en-US" w:eastAsia="zh-CN"/>
        </w:rPr>
      </w:pPr>
      <w:r>
        <w:rPr>
          <w:rFonts w:hint="eastAsia" w:ascii="Times New Roman" w:hAnsi="Times New Roman" w:eastAsia="仿宋" w:cs="Times New Roman"/>
          <w:b/>
          <w:bCs/>
          <w:color w:val="auto"/>
          <w:kern w:val="2"/>
          <w:szCs w:val="20"/>
          <w:lang w:val="en-US" w:eastAsia="zh-CN"/>
        </w:rPr>
        <w:t>（7）多场景切换</w:t>
      </w:r>
    </w:p>
    <w:p>
      <w:pPr>
        <w:spacing w:before="0" w:after="0" w:afterAutospacing="0" w:line="360" w:lineRule="auto"/>
        <w:ind w:left="0" w:right="0" w:firstLine="420" w:firstLineChars="200"/>
        <w:jc w:val="both"/>
        <w:rPr>
          <w:rFonts w:hint="eastAsia" w:ascii="Times New Roman" w:hAnsi="Times New Roman" w:eastAsia="仿宋" w:cs="Times New Roman"/>
          <w:color w:val="auto"/>
          <w:kern w:val="2"/>
          <w:szCs w:val="20"/>
          <w:lang w:val="en-US" w:eastAsia="zh-CN"/>
        </w:rPr>
      </w:pPr>
      <w:r>
        <w:rPr>
          <w:rFonts w:hint="eastAsia" w:ascii="Times New Roman" w:hAnsi="Times New Roman" w:eastAsia="仿宋" w:cs="Times New Roman"/>
          <w:color w:val="auto"/>
          <w:kern w:val="2"/>
          <w:szCs w:val="20"/>
          <w:lang w:val="en-US" w:eastAsia="zh-CN"/>
        </w:rPr>
        <w:t>实现多个站点场景的定义管理。</w:t>
      </w:r>
    </w:p>
    <w:p>
      <w:pPr>
        <w:spacing w:before="0" w:after="0" w:afterAutospacing="0" w:line="360" w:lineRule="auto"/>
        <w:ind w:left="0" w:right="0" w:firstLine="422" w:firstLineChars="200"/>
        <w:jc w:val="both"/>
        <w:rPr>
          <w:rFonts w:hint="eastAsia" w:ascii="Times New Roman" w:hAnsi="Times New Roman" w:eastAsia="仿宋" w:cs="Times New Roman"/>
          <w:b/>
          <w:bCs/>
          <w:color w:val="auto"/>
          <w:kern w:val="2"/>
          <w:szCs w:val="20"/>
          <w:lang w:val="en-US" w:eastAsia="zh-CN"/>
        </w:rPr>
      </w:pPr>
      <w:r>
        <w:rPr>
          <w:rFonts w:hint="eastAsia" w:ascii="Times New Roman" w:hAnsi="Times New Roman" w:eastAsia="仿宋" w:cs="Times New Roman"/>
          <w:b/>
          <w:bCs/>
          <w:color w:val="auto"/>
          <w:kern w:val="2"/>
          <w:szCs w:val="20"/>
          <w:lang w:val="en-US" w:eastAsia="zh-CN"/>
        </w:rPr>
        <w:t>（8）站点场景管理</w:t>
      </w:r>
    </w:p>
    <w:p>
      <w:pPr>
        <w:spacing w:before="0" w:after="0" w:afterAutospacing="0" w:line="360" w:lineRule="auto"/>
        <w:ind w:left="0" w:right="0" w:firstLine="420" w:firstLineChars="200"/>
        <w:jc w:val="both"/>
        <w:rPr>
          <w:rFonts w:hint="eastAsia" w:ascii="Times New Roman" w:hAnsi="Times New Roman" w:eastAsia="仿宋" w:cs="Times New Roman"/>
          <w:color w:val="auto"/>
          <w:kern w:val="2"/>
          <w:szCs w:val="20"/>
          <w:lang w:val="en-US" w:eastAsia="zh-CN"/>
        </w:rPr>
      </w:pPr>
      <w:r>
        <w:rPr>
          <w:rFonts w:hint="eastAsia" w:ascii="Times New Roman" w:hAnsi="Times New Roman" w:eastAsia="仿宋" w:cs="Times New Roman"/>
          <w:color w:val="auto"/>
          <w:kern w:val="2"/>
          <w:szCs w:val="20"/>
          <w:lang w:val="en-US" w:eastAsia="zh-CN"/>
        </w:rPr>
        <w:t>站点场景作为资源对象存储于数据库中集中管理，可以方便快速的替换或以节点式操作进行层级维护。无论是设备模型、还是工具模型，都具有层级形式的容器单位组织管理，便于快速索引、定位资源对象。</w:t>
      </w:r>
    </w:p>
    <w:p>
      <w:pPr>
        <w:spacing w:before="0" w:after="0" w:afterAutospacing="0" w:line="360" w:lineRule="auto"/>
        <w:ind w:left="0" w:right="0" w:firstLine="422" w:firstLineChars="200"/>
        <w:jc w:val="both"/>
        <w:rPr>
          <w:rFonts w:hint="eastAsia" w:ascii="Times New Roman" w:hAnsi="Times New Roman" w:eastAsia="仿宋" w:cs="Times New Roman"/>
          <w:b/>
          <w:bCs/>
          <w:color w:val="auto"/>
          <w:kern w:val="2"/>
          <w:szCs w:val="20"/>
          <w:lang w:val="en-US" w:eastAsia="zh-CN"/>
        </w:rPr>
      </w:pPr>
      <w:r>
        <w:rPr>
          <w:rFonts w:hint="eastAsia" w:ascii="Times New Roman" w:hAnsi="Times New Roman" w:eastAsia="仿宋" w:cs="Times New Roman"/>
          <w:b/>
          <w:bCs/>
          <w:color w:val="auto"/>
          <w:kern w:val="2"/>
          <w:szCs w:val="20"/>
          <w:lang w:val="en-US" w:eastAsia="zh-CN"/>
        </w:rPr>
        <w:t>（9）热点内容定制</w:t>
      </w:r>
    </w:p>
    <w:p>
      <w:pPr>
        <w:spacing w:before="0" w:after="0" w:afterAutospacing="0" w:line="360" w:lineRule="auto"/>
        <w:ind w:left="0" w:right="0" w:firstLine="420" w:firstLineChars="200"/>
        <w:jc w:val="both"/>
        <w:rPr>
          <w:rFonts w:hint="eastAsia" w:ascii="Times New Roman" w:hAnsi="Times New Roman" w:eastAsia="仿宋" w:cs="Times New Roman"/>
          <w:color w:val="auto"/>
          <w:kern w:val="2"/>
          <w:szCs w:val="20"/>
          <w:lang w:val="en-US" w:eastAsia="zh-CN"/>
        </w:rPr>
      </w:pPr>
      <w:r>
        <w:rPr>
          <w:rFonts w:hint="eastAsia" w:ascii="Times New Roman" w:hAnsi="Times New Roman" w:eastAsia="仿宋" w:cs="Times New Roman"/>
          <w:color w:val="auto"/>
          <w:kern w:val="2"/>
          <w:szCs w:val="20"/>
          <w:lang w:val="en-US" w:eastAsia="zh-CN"/>
        </w:rPr>
        <w:t>热点内容定制是针对已被定义为热点的站点场景元素的一项操作。</w:t>
      </w:r>
    </w:p>
    <w:p>
      <w:pPr>
        <w:spacing w:before="0" w:after="0" w:afterAutospacing="0" w:line="360" w:lineRule="auto"/>
        <w:ind w:left="0" w:right="0" w:firstLine="420" w:firstLineChars="200"/>
        <w:jc w:val="both"/>
        <w:rPr>
          <w:rFonts w:hint="eastAsia" w:ascii="Times New Roman" w:hAnsi="Times New Roman" w:eastAsia="仿宋" w:cs="Times New Roman"/>
          <w:color w:val="auto"/>
          <w:kern w:val="2"/>
          <w:szCs w:val="20"/>
          <w:lang w:val="en-US" w:eastAsia="zh-CN"/>
        </w:rPr>
      </w:pPr>
      <w:r>
        <w:rPr>
          <w:rFonts w:hint="eastAsia" w:ascii="Times New Roman" w:hAnsi="Times New Roman" w:eastAsia="仿宋" w:cs="Times New Roman"/>
          <w:color w:val="auto"/>
          <w:kern w:val="2"/>
          <w:szCs w:val="20"/>
          <w:lang w:val="en-US" w:eastAsia="zh-CN"/>
        </w:rPr>
        <w:t>该功能的作用是：设置热点在被浏览者点击后所显示的各种元素和文字描述的出现方式以及对应内容的排版方式。</w:t>
      </w:r>
    </w:p>
    <w:p>
      <w:pPr>
        <w:spacing w:line="360" w:lineRule="auto"/>
        <w:ind w:firstLine="420"/>
        <w:jc w:val="both"/>
        <w:rPr>
          <w:rFonts w:hint="eastAsia" w:ascii="Times New Roman" w:hAnsi="Times New Roman" w:eastAsia="仿宋" w:cs="Times New Roman"/>
          <w:b/>
          <w:bCs/>
          <w:color w:val="auto"/>
          <w:kern w:val="0"/>
          <w:sz w:val="21"/>
          <w:szCs w:val="21"/>
          <w:lang w:val="en-US" w:eastAsia="zh-CN" w:bidi="ar-SA"/>
        </w:rPr>
      </w:pPr>
      <w:r>
        <w:rPr>
          <w:rFonts w:hint="eastAsia" w:ascii="Times New Roman" w:hAnsi="Times New Roman" w:eastAsia="仿宋" w:cs="Times New Roman"/>
          <w:b/>
          <w:bCs/>
          <w:color w:val="auto"/>
          <w:kern w:val="0"/>
          <w:sz w:val="21"/>
          <w:szCs w:val="21"/>
          <w:lang w:val="en-US" w:eastAsia="zh-CN" w:bidi="ar-SA"/>
        </w:rPr>
        <w:t>（10）站点场景恢复</w:t>
      </w:r>
    </w:p>
    <w:p>
      <w:pPr>
        <w:spacing w:before="0" w:after="0" w:afterAutospacing="0" w:line="360" w:lineRule="auto"/>
        <w:ind w:left="0" w:right="0" w:firstLine="420" w:firstLineChars="200"/>
        <w:jc w:val="both"/>
        <w:rPr>
          <w:rFonts w:hint="eastAsia" w:ascii="Times New Roman" w:hAnsi="Times New Roman" w:eastAsia="仿宋" w:cs="Times New Roman"/>
          <w:color w:val="auto"/>
          <w:kern w:val="2"/>
          <w:szCs w:val="20"/>
          <w:lang w:val="en-US" w:eastAsia="zh-CN"/>
        </w:rPr>
      </w:pPr>
      <w:r>
        <w:rPr>
          <w:rFonts w:hint="eastAsia" w:ascii="Times New Roman" w:hAnsi="Times New Roman" w:eastAsia="仿宋" w:cs="Times New Roman"/>
          <w:color w:val="auto"/>
          <w:kern w:val="2"/>
          <w:szCs w:val="20"/>
          <w:lang w:val="en-US" w:eastAsia="zh-CN"/>
        </w:rPr>
        <w:t>站点场景恢复功能只对应恢复场景模型本身。点击能力标识、热点标识、以及热点内容数据必须记录在系统数据库中。</w:t>
      </w:r>
    </w:p>
    <w:p>
      <w:pPr>
        <w:keepNext/>
        <w:numPr>
          <w:ilvl w:val="2"/>
          <w:numId w:val="7"/>
        </w:numPr>
        <w:spacing w:before="120" w:after="120"/>
        <w:outlineLvl w:val="2"/>
        <w:rPr>
          <w:rFonts w:hint="default" w:ascii="Times New Roman" w:hAnsi="Times New Roman" w:eastAsia="仿宋" w:cs="Times New Roman"/>
          <w:b/>
          <w:color w:val="auto"/>
          <w:kern w:val="0"/>
          <w:sz w:val="28"/>
          <w:szCs w:val="28"/>
          <w:highlight w:val="none"/>
          <w:lang w:val="en-US" w:eastAsia="zh-CN" w:bidi="ar-SA"/>
        </w:rPr>
      </w:pPr>
      <w:bookmarkStart w:id="846" w:name="_Toc22990"/>
      <w:r>
        <w:rPr>
          <w:rFonts w:hint="eastAsia" w:ascii="Times New Roman" w:hAnsi="Times New Roman" w:eastAsia="仿宋" w:cs="Times New Roman"/>
          <w:b/>
          <w:color w:val="auto"/>
          <w:kern w:val="0"/>
          <w:sz w:val="28"/>
          <w:szCs w:val="28"/>
          <w:highlight w:val="none"/>
          <w:lang w:val="en-US" w:eastAsia="zh-CN" w:bidi="ar-SA"/>
        </w:rPr>
        <w:t>系统预留接口要求</w:t>
      </w:r>
      <w:bookmarkEnd w:id="846"/>
    </w:p>
    <w:p>
      <w:pPr>
        <w:spacing w:before="0" w:after="0" w:afterAutospacing="0" w:line="360" w:lineRule="auto"/>
        <w:ind w:left="0" w:right="0" w:firstLine="422" w:firstLineChars="200"/>
        <w:jc w:val="both"/>
        <w:rPr>
          <w:rFonts w:hint="default" w:ascii="Times New Roman" w:hAnsi="Times New Roman" w:eastAsia="仿宋" w:cs="Times New Roman"/>
          <w:b/>
          <w:bCs/>
          <w:color w:val="auto"/>
          <w:kern w:val="2"/>
          <w:szCs w:val="20"/>
          <w:lang w:val="en-US" w:eastAsia="zh-CN"/>
        </w:rPr>
      </w:pPr>
      <w:r>
        <w:rPr>
          <w:rFonts w:hint="eastAsia" w:ascii="Times New Roman" w:hAnsi="Times New Roman" w:eastAsia="仿宋" w:cs="Times New Roman"/>
          <w:b/>
          <w:bCs/>
          <w:color w:val="auto"/>
          <w:kern w:val="2"/>
          <w:szCs w:val="20"/>
          <w:lang w:val="en-US" w:eastAsia="zh-CN"/>
        </w:rPr>
        <w:t>（1）碰撞检测设置接口</w:t>
      </w:r>
    </w:p>
    <w:p>
      <w:pPr>
        <w:spacing w:before="0" w:after="0" w:afterAutospacing="0" w:line="360" w:lineRule="auto"/>
        <w:ind w:left="0" w:right="0" w:firstLine="420" w:firstLineChars="200"/>
        <w:jc w:val="both"/>
        <w:rPr>
          <w:rFonts w:hint="eastAsia" w:ascii="Times New Roman" w:hAnsi="Times New Roman" w:eastAsia="仿宋" w:cs="Times New Roman"/>
          <w:color w:val="auto"/>
          <w:kern w:val="2"/>
          <w:szCs w:val="20"/>
          <w:lang w:val="en-US" w:eastAsia="zh-CN"/>
        </w:rPr>
      </w:pPr>
      <w:r>
        <w:rPr>
          <w:rFonts w:hint="eastAsia" w:ascii="Times New Roman" w:hAnsi="Times New Roman" w:eastAsia="仿宋" w:cs="Times New Roman"/>
          <w:color w:val="auto"/>
          <w:kern w:val="2"/>
          <w:szCs w:val="20"/>
          <w:lang w:val="en-US" w:eastAsia="zh-CN"/>
        </w:rPr>
        <w:t>系统通过内置预留一个简单易用的碰撞检测系统开发接口，便于后续增加VR全景的三维漫游功能，可避免摄像机穿过墙等物体随意漫游。</w:t>
      </w:r>
    </w:p>
    <w:p>
      <w:pPr>
        <w:spacing w:before="0" w:after="0" w:afterAutospacing="0" w:line="360" w:lineRule="auto"/>
        <w:ind w:left="0" w:right="0" w:firstLine="422" w:firstLineChars="200"/>
        <w:jc w:val="both"/>
        <w:rPr>
          <w:rFonts w:hint="default" w:ascii="Times New Roman" w:hAnsi="Times New Roman" w:eastAsia="仿宋" w:cs="Times New Roman"/>
          <w:b/>
          <w:bCs/>
          <w:color w:val="auto"/>
          <w:kern w:val="2"/>
          <w:szCs w:val="20"/>
          <w:lang w:val="en-US" w:eastAsia="zh-CN"/>
        </w:rPr>
      </w:pPr>
      <w:r>
        <w:rPr>
          <w:rFonts w:hint="eastAsia" w:ascii="Times New Roman" w:hAnsi="Times New Roman" w:eastAsia="仿宋" w:cs="Times New Roman"/>
          <w:b/>
          <w:bCs/>
          <w:color w:val="auto"/>
          <w:kern w:val="2"/>
          <w:szCs w:val="20"/>
          <w:lang w:val="en-US" w:eastAsia="zh-CN"/>
        </w:rPr>
        <w:t>（2）实时动态视频接口</w:t>
      </w:r>
    </w:p>
    <w:p>
      <w:pPr>
        <w:spacing w:before="0" w:after="0" w:afterAutospacing="0" w:line="360" w:lineRule="auto"/>
        <w:ind w:left="0" w:right="0" w:firstLine="420" w:firstLineChars="200"/>
        <w:jc w:val="both"/>
        <w:rPr>
          <w:rFonts w:hint="eastAsia" w:ascii="Times New Roman" w:hAnsi="Times New Roman" w:eastAsia="仿宋" w:cs="Times New Roman"/>
          <w:color w:val="auto"/>
          <w:kern w:val="2"/>
          <w:szCs w:val="20"/>
          <w:lang w:val="en-US" w:eastAsia="zh-CN"/>
        </w:rPr>
      </w:pPr>
      <w:r>
        <w:rPr>
          <w:rFonts w:hint="eastAsia" w:ascii="Times New Roman" w:hAnsi="Times New Roman" w:eastAsia="仿宋" w:cs="Times New Roman"/>
          <w:color w:val="auto"/>
          <w:kern w:val="2"/>
          <w:szCs w:val="20"/>
          <w:lang w:val="en-US" w:eastAsia="zh-CN"/>
        </w:rPr>
        <w:t>系统通过前期预留一个支持动态视频的开发接口，定义在一个单独的dll（动态连接库）中，便于后续让主程序引用，实现视频能无缝融合到VR全景里面进行播放。</w:t>
      </w:r>
    </w:p>
    <w:p>
      <w:pPr>
        <w:spacing w:before="0" w:after="0" w:afterAutospacing="0" w:line="360" w:lineRule="auto"/>
        <w:ind w:left="0" w:right="0" w:firstLine="422" w:firstLineChars="200"/>
        <w:jc w:val="both"/>
        <w:rPr>
          <w:rFonts w:hint="default" w:ascii="Times New Roman" w:hAnsi="Times New Roman" w:eastAsia="仿宋" w:cs="Times New Roman"/>
          <w:b/>
          <w:bCs/>
          <w:color w:val="auto"/>
          <w:kern w:val="2"/>
          <w:szCs w:val="20"/>
          <w:lang w:val="en-US" w:eastAsia="zh-CN"/>
        </w:rPr>
      </w:pPr>
      <w:r>
        <w:rPr>
          <w:rFonts w:hint="eastAsia" w:ascii="Times New Roman" w:hAnsi="Times New Roman" w:eastAsia="仿宋" w:cs="Times New Roman"/>
          <w:b/>
          <w:bCs/>
          <w:color w:val="auto"/>
          <w:kern w:val="2"/>
          <w:szCs w:val="20"/>
          <w:lang w:val="en-US" w:eastAsia="zh-CN"/>
        </w:rPr>
        <w:t>（3）物体跟随摄像机旋转接口</w:t>
      </w:r>
    </w:p>
    <w:p>
      <w:pPr>
        <w:spacing w:before="0" w:after="0" w:afterAutospacing="0" w:line="360" w:lineRule="auto"/>
        <w:ind w:left="0" w:right="0" w:firstLine="420" w:firstLineChars="200"/>
        <w:jc w:val="both"/>
        <w:rPr>
          <w:rFonts w:hint="eastAsia" w:ascii="Times New Roman" w:hAnsi="Times New Roman" w:eastAsia="仿宋" w:cs="Times New Roman"/>
          <w:color w:val="auto"/>
          <w:kern w:val="2"/>
          <w:szCs w:val="20"/>
          <w:lang w:val="en-US" w:eastAsia="zh-CN"/>
        </w:rPr>
      </w:pPr>
      <w:r>
        <w:rPr>
          <w:rFonts w:hint="eastAsia" w:ascii="Times New Roman" w:hAnsi="Times New Roman" w:eastAsia="仿宋" w:cs="Times New Roman"/>
          <w:color w:val="auto"/>
          <w:kern w:val="2"/>
          <w:szCs w:val="20"/>
          <w:lang w:val="en-US" w:eastAsia="zh-CN"/>
        </w:rPr>
        <w:t>系统通过前期预留一个图片标注形式表示信息的开发接口，包含接口的dll（动态连接库），并且编写一个类实现接口，使图片始终面向摄像机。</w:t>
      </w:r>
    </w:p>
    <w:p>
      <w:pPr>
        <w:spacing w:before="0" w:after="0" w:afterAutospacing="0" w:line="360" w:lineRule="auto"/>
        <w:ind w:left="0" w:right="0" w:firstLine="422" w:firstLineChars="200"/>
        <w:jc w:val="both"/>
        <w:rPr>
          <w:rFonts w:hint="default" w:ascii="Times New Roman" w:hAnsi="Times New Roman" w:eastAsia="仿宋" w:cs="Times New Roman"/>
          <w:b/>
          <w:bCs/>
          <w:color w:val="auto"/>
          <w:kern w:val="2"/>
          <w:szCs w:val="20"/>
          <w:lang w:val="en-US" w:eastAsia="zh-CN"/>
        </w:rPr>
      </w:pPr>
      <w:r>
        <w:rPr>
          <w:rFonts w:hint="eastAsia" w:ascii="Times New Roman" w:hAnsi="Times New Roman" w:eastAsia="仿宋" w:cs="Times New Roman"/>
          <w:b/>
          <w:bCs/>
          <w:color w:val="auto"/>
          <w:kern w:val="2"/>
          <w:szCs w:val="20"/>
          <w:lang w:val="en-US" w:eastAsia="zh-CN"/>
        </w:rPr>
        <w:t>（4）加载动画接口</w:t>
      </w:r>
    </w:p>
    <w:p>
      <w:pPr>
        <w:spacing w:before="0" w:after="0" w:afterAutospacing="0" w:line="360" w:lineRule="auto"/>
        <w:ind w:left="0" w:right="0" w:firstLine="420" w:firstLineChars="200"/>
        <w:jc w:val="both"/>
        <w:rPr>
          <w:rFonts w:hint="default" w:ascii="Times New Roman" w:hAnsi="Times New Roman" w:eastAsia="仿宋" w:cs="Times New Roman"/>
          <w:color w:val="auto"/>
          <w:kern w:val="2"/>
          <w:szCs w:val="20"/>
          <w:lang w:val="en-US" w:eastAsia="zh-CN"/>
        </w:rPr>
      </w:pPr>
      <w:r>
        <w:rPr>
          <w:rFonts w:hint="eastAsia" w:ascii="Times New Roman" w:hAnsi="Times New Roman" w:eastAsia="仿宋" w:cs="Times New Roman"/>
          <w:color w:val="auto"/>
          <w:kern w:val="2"/>
          <w:szCs w:val="20"/>
          <w:lang w:val="en-US" w:eastAsia="zh-CN"/>
        </w:rPr>
        <w:t>系统通过前期预留一个CSS3程序预留animation开发接口，便于后续三维动画效果显示调用，可支持嵌入良好的交互性三维动画，从不同的角度对操作对象进行仔细地观察。</w:t>
      </w:r>
    </w:p>
    <w:p>
      <w:pPr>
        <w:spacing w:before="0" w:after="0" w:afterAutospacing="0" w:line="360" w:lineRule="auto"/>
        <w:ind w:left="0" w:right="0" w:firstLine="422" w:firstLineChars="200"/>
        <w:jc w:val="both"/>
        <w:rPr>
          <w:rFonts w:hint="default" w:ascii="Times New Roman" w:hAnsi="Times New Roman" w:eastAsia="仿宋" w:cs="Times New Roman"/>
          <w:b/>
          <w:bCs/>
          <w:color w:val="auto"/>
          <w:kern w:val="2"/>
          <w:szCs w:val="20"/>
          <w:lang w:val="en-US" w:eastAsia="zh-CN"/>
        </w:rPr>
      </w:pPr>
      <w:r>
        <w:rPr>
          <w:rFonts w:hint="eastAsia" w:ascii="Times New Roman" w:hAnsi="Times New Roman" w:eastAsia="仿宋" w:cs="Times New Roman"/>
          <w:b/>
          <w:bCs/>
          <w:color w:val="auto"/>
          <w:kern w:val="2"/>
          <w:szCs w:val="20"/>
          <w:lang w:val="en-US" w:eastAsia="zh-CN"/>
        </w:rPr>
        <w:t>（5）摄像机重力仿真接口</w:t>
      </w:r>
    </w:p>
    <w:p>
      <w:pPr>
        <w:spacing w:before="0" w:after="0" w:afterAutospacing="0" w:line="360" w:lineRule="auto"/>
        <w:ind w:left="0" w:right="0" w:firstLine="420" w:firstLineChars="200"/>
        <w:jc w:val="both"/>
        <w:rPr>
          <w:rFonts w:hint="eastAsia" w:ascii="Times New Roman" w:hAnsi="Times New Roman" w:eastAsia="仿宋" w:cs="Times New Roman"/>
          <w:color w:val="auto"/>
          <w:kern w:val="2"/>
          <w:szCs w:val="20"/>
          <w:lang w:val="en-US" w:eastAsia="zh-CN"/>
        </w:rPr>
      </w:pPr>
      <w:r>
        <w:rPr>
          <w:rFonts w:hint="eastAsia" w:ascii="Times New Roman" w:hAnsi="Times New Roman" w:eastAsia="仿宋" w:cs="Times New Roman"/>
          <w:color w:val="auto"/>
          <w:kern w:val="2"/>
          <w:szCs w:val="20"/>
          <w:lang w:val="en-US" w:eastAsia="zh-CN"/>
        </w:rPr>
        <w:t>系统通过前期预留一个重力感应开发接口，包含具体调用的程序实现，便于后续来实现虚拟物体高空坠落做自由落体运动，抛出去的物体做平抛运动等，完全的模拟现实环境。</w:t>
      </w:r>
    </w:p>
    <w:p>
      <w:pPr>
        <w:spacing w:before="0" w:after="0" w:afterAutospacing="0" w:line="360" w:lineRule="auto"/>
        <w:ind w:left="0" w:right="0" w:firstLine="422" w:firstLineChars="200"/>
        <w:jc w:val="both"/>
        <w:rPr>
          <w:rFonts w:hint="default" w:ascii="Times New Roman" w:hAnsi="Times New Roman" w:eastAsia="仿宋" w:cs="Times New Roman"/>
          <w:b/>
          <w:bCs/>
          <w:color w:val="auto"/>
          <w:kern w:val="2"/>
          <w:szCs w:val="20"/>
          <w:lang w:val="en-US" w:eastAsia="zh-CN"/>
        </w:rPr>
      </w:pPr>
      <w:r>
        <w:rPr>
          <w:rFonts w:hint="eastAsia" w:ascii="Times New Roman" w:hAnsi="Times New Roman" w:eastAsia="仿宋" w:cs="Times New Roman"/>
          <w:b/>
          <w:bCs/>
          <w:color w:val="auto"/>
          <w:kern w:val="2"/>
          <w:szCs w:val="20"/>
          <w:lang w:val="en-US" w:eastAsia="zh-CN"/>
        </w:rPr>
        <w:t>（6）点击能力开关接口</w:t>
      </w:r>
    </w:p>
    <w:p>
      <w:pPr>
        <w:spacing w:before="0" w:after="0" w:afterAutospacing="0" w:line="360" w:lineRule="auto"/>
        <w:ind w:left="0" w:right="0" w:firstLine="420" w:firstLineChars="200"/>
        <w:jc w:val="both"/>
        <w:rPr>
          <w:rFonts w:hint="eastAsia" w:ascii="Times New Roman" w:hAnsi="Times New Roman" w:eastAsia="仿宋" w:cs="Times New Roman"/>
          <w:color w:val="auto"/>
          <w:kern w:val="2"/>
          <w:szCs w:val="20"/>
          <w:lang w:val="en-US" w:eastAsia="zh-CN"/>
        </w:rPr>
      </w:pPr>
      <w:r>
        <w:rPr>
          <w:rFonts w:hint="eastAsia" w:ascii="Times New Roman" w:hAnsi="Times New Roman" w:eastAsia="仿宋" w:cs="Times New Roman"/>
          <w:color w:val="auto"/>
          <w:kern w:val="2"/>
          <w:szCs w:val="20"/>
          <w:lang w:val="en-US" w:eastAsia="zh-CN"/>
        </w:rPr>
        <w:t>系统通过前期预留接口可以实现除去站点场景中的某些可见元素对模型内其他元素的遮挡的开发。</w:t>
      </w:r>
    </w:p>
    <w:p>
      <w:pPr>
        <w:spacing w:before="0" w:after="0" w:afterAutospacing="0" w:line="360" w:lineRule="auto"/>
        <w:ind w:left="0" w:right="0" w:firstLine="422" w:firstLineChars="200"/>
        <w:jc w:val="both"/>
        <w:rPr>
          <w:rFonts w:hint="default" w:ascii="Times New Roman" w:hAnsi="Times New Roman" w:eastAsia="仿宋" w:cs="Times New Roman"/>
          <w:b/>
          <w:bCs/>
          <w:color w:val="auto"/>
          <w:kern w:val="2"/>
          <w:szCs w:val="20"/>
          <w:lang w:val="en-US" w:eastAsia="zh-CN"/>
        </w:rPr>
      </w:pPr>
      <w:r>
        <w:rPr>
          <w:rFonts w:hint="eastAsia" w:ascii="Times New Roman" w:hAnsi="Times New Roman" w:eastAsia="仿宋" w:cs="Times New Roman"/>
          <w:b/>
          <w:bCs/>
          <w:color w:val="auto"/>
          <w:kern w:val="2"/>
          <w:szCs w:val="20"/>
          <w:lang w:val="en-US" w:eastAsia="zh-CN"/>
        </w:rPr>
        <w:t>（7）热点定义还原接口</w:t>
      </w:r>
    </w:p>
    <w:p>
      <w:pPr>
        <w:spacing w:before="0" w:after="0" w:afterAutospacing="0" w:line="360" w:lineRule="auto"/>
        <w:ind w:left="0" w:right="0" w:firstLine="420" w:firstLineChars="200"/>
        <w:jc w:val="both"/>
        <w:rPr>
          <w:rFonts w:hint="eastAsia" w:ascii="Times New Roman" w:hAnsi="Times New Roman" w:eastAsia="仿宋" w:cs="Times New Roman"/>
          <w:color w:val="auto"/>
          <w:kern w:val="2"/>
          <w:szCs w:val="20"/>
          <w:lang w:val="en-US" w:eastAsia="zh-CN"/>
        </w:rPr>
      </w:pPr>
      <w:r>
        <w:rPr>
          <w:rFonts w:hint="eastAsia" w:ascii="Times New Roman" w:hAnsi="Times New Roman" w:eastAsia="仿宋" w:cs="Times New Roman"/>
          <w:color w:val="auto"/>
          <w:kern w:val="2"/>
          <w:szCs w:val="20"/>
          <w:lang w:val="en-US" w:eastAsia="zh-CN"/>
        </w:rPr>
        <w:t>系统通过前期预留接口可以进行热点定义、还原，可以对于站点场景元素操作进行开发，可以进行热点点击能力的开关编辑。</w:t>
      </w:r>
    </w:p>
    <w:bookmarkEnd w:id="841"/>
    <w:bookmarkEnd w:id="842"/>
    <w:bookmarkEnd w:id="843"/>
    <w:bookmarkEnd w:id="844"/>
    <w:bookmarkEnd w:id="845"/>
    <w:p>
      <w:pPr>
        <w:keepNext/>
        <w:numPr>
          <w:ilvl w:val="2"/>
          <w:numId w:val="7"/>
        </w:numPr>
        <w:spacing w:before="120" w:after="0" w:line="360" w:lineRule="auto"/>
        <w:outlineLvl w:val="2"/>
        <w:rPr>
          <w:rFonts w:ascii="Times New Roman" w:hAnsi="Times New Roman" w:eastAsia="仿宋" w:cs="Times New Roman"/>
          <w:b/>
          <w:color w:val="auto"/>
          <w:kern w:val="0"/>
          <w:sz w:val="28"/>
          <w:szCs w:val="28"/>
          <w:lang w:val="en-GB" w:eastAsia="zh-CN" w:bidi="ar-SA"/>
        </w:rPr>
      </w:pPr>
      <w:bookmarkStart w:id="847" w:name="_Toc10179"/>
      <w:bookmarkStart w:id="848" w:name="_Toc25389"/>
      <w:bookmarkStart w:id="849" w:name="_Toc49008454"/>
      <w:bookmarkStart w:id="850" w:name="_Toc357443640"/>
      <w:bookmarkStart w:id="851" w:name="_Toc49106853"/>
      <w:bookmarkStart w:id="852" w:name="_Toc29293"/>
      <w:r>
        <w:rPr>
          <w:rFonts w:ascii="Times New Roman" w:hAnsi="Times New Roman" w:eastAsia="仿宋" w:cs="Times New Roman"/>
          <w:b/>
          <w:color w:val="auto"/>
          <w:kern w:val="0"/>
          <w:sz w:val="28"/>
          <w:szCs w:val="28"/>
          <w:lang w:val="en-GB" w:eastAsia="zh-CN" w:bidi="ar-SA"/>
        </w:rPr>
        <w:t>系统运行环境要求</w:t>
      </w:r>
      <w:bookmarkEnd w:id="847"/>
      <w:bookmarkEnd w:id="848"/>
      <w:bookmarkEnd w:id="849"/>
      <w:bookmarkEnd w:id="850"/>
      <w:bookmarkEnd w:id="851"/>
      <w:bookmarkEnd w:id="852"/>
    </w:p>
    <w:p>
      <w:pPr>
        <w:spacing w:before="0" w:after="0" w:afterAutospacing="0" w:line="360" w:lineRule="auto"/>
        <w:ind w:left="0" w:right="0" w:firstLine="420" w:firstLineChars="200"/>
        <w:jc w:val="both"/>
        <w:rPr>
          <w:rFonts w:hint="eastAsia" w:ascii="Times New Roman" w:hAnsi="Times New Roman" w:eastAsia="仿宋" w:cs="Times New Roman"/>
          <w:color w:val="auto"/>
          <w:kern w:val="2"/>
          <w:szCs w:val="20"/>
          <w:lang w:val="en-US" w:eastAsia="zh-CN"/>
        </w:rPr>
      </w:pPr>
      <w:r>
        <w:rPr>
          <w:rFonts w:hint="eastAsia" w:ascii="Times New Roman" w:hAnsi="Times New Roman" w:eastAsia="仿宋" w:cs="Times New Roman"/>
          <w:color w:val="auto"/>
          <w:kern w:val="2"/>
          <w:szCs w:val="20"/>
          <w:lang w:val="en-US" w:eastAsia="zh-CN"/>
        </w:rPr>
        <w:t>比选申请人在系统的设计和建设中，要根据业务系统的各项要求，构成可靠的运行环境。系统运行要求的环境如表4-2和表4-3所示。</w:t>
      </w:r>
    </w:p>
    <w:p>
      <w:pPr>
        <w:spacing w:before="0" w:after="0" w:afterAutospacing="0" w:line="360" w:lineRule="auto"/>
        <w:ind w:left="0" w:right="0" w:firstLine="0"/>
        <w:jc w:val="center"/>
        <w:rPr>
          <w:rFonts w:ascii="Times New Roman" w:hAnsi="Times New Roman" w:eastAsia="仿宋" w:cs="Times New Roman"/>
          <w:color w:val="auto"/>
          <w:kern w:val="2"/>
          <w:szCs w:val="20"/>
        </w:rPr>
      </w:pPr>
      <w:bookmarkStart w:id="853" w:name="_Toc5294"/>
      <w:bookmarkStart w:id="854" w:name="_Toc6296"/>
      <w:bookmarkStart w:id="855" w:name="_Toc49106854"/>
      <w:bookmarkStart w:id="856" w:name="_Toc49008455"/>
      <w:bookmarkStart w:id="857" w:name="_Toc339358173"/>
      <w:r>
        <w:rPr>
          <w:rFonts w:ascii="Times New Roman" w:hAnsi="Times New Roman" w:eastAsia="仿宋" w:cs="Times New Roman"/>
          <w:color w:val="auto"/>
          <w:kern w:val="2"/>
          <w:szCs w:val="20"/>
        </w:rPr>
        <w:t>表</w:t>
      </w:r>
      <w:r>
        <w:rPr>
          <w:rFonts w:hint="eastAsia" w:ascii="Times New Roman" w:hAnsi="Times New Roman" w:eastAsia="仿宋" w:cs="Times New Roman"/>
          <w:color w:val="auto"/>
          <w:kern w:val="2"/>
          <w:szCs w:val="20"/>
          <w:lang w:val="en-US" w:eastAsia="zh-CN"/>
        </w:rPr>
        <w:t>4</w:t>
      </w:r>
      <w:r>
        <w:rPr>
          <w:rFonts w:ascii="Times New Roman" w:hAnsi="Times New Roman" w:eastAsia="仿宋" w:cs="Times New Roman"/>
          <w:color w:val="auto"/>
          <w:kern w:val="2"/>
          <w:szCs w:val="20"/>
        </w:rPr>
        <w:t>-</w:t>
      </w:r>
      <w:r>
        <w:rPr>
          <w:rFonts w:hint="eastAsia" w:ascii="Times New Roman" w:hAnsi="Times New Roman" w:eastAsia="仿宋" w:cs="Times New Roman"/>
          <w:color w:val="auto"/>
          <w:kern w:val="2"/>
          <w:szCs w:val="20"/>
          <w:lang w:val="en-US" w:eastAsia="zh-CN"/>
        </w:rPr>
        <w:t>2 PC端</w:t>
      </w:r>
      <w:r>
        <w:rPr>
          <w:rFonts w:ascii="Times New Roman" w:hAnsi="Times New Roman" w:eastAsia="仿宋" w:cs="Times New Roman"/>
          <w:color w:val="auto"/>
          <w:kern w:val="2"/>
          <w:szCs w:val="20"/>
        </w:rPr>
        <w:t>系统运行环境表</w:t>
      </w:r>
    </w:p>
    <w:tbl>
      <w:tblPr>
        <w:tblStyle w:val="29"/>
        <w:tblW w:w="81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6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tcBorders>
              <w:bottom w:val="single" w:color="auto" w:sz="4" w:space="0"/>
            </w:tcBorders>
            <w:noWrap w:val="0"/>
            <w:vAlign w:val="center"/>
          </w:tcPr>
          <w:p>
            <w:pPr>
              <w:spacing w:before="0" w:after="0" w:afterAutospacing="0" w:line="360" w:lineRule="auto"/>
              <w:ind w:left="0" w:right="0" w:firstLine="0"/>
              <w:jc w:val="center"/>
              <w:rPr>
                <w:rFonts w:hint="eastAsia" w:ascii="Times New Roman" w:hAnsi="Times New Roman" w:eastAsia="仿宋" w:cs="Times New Roman"/>
                <w:color w:val="auto"/>
                <w:kern w:val="2"/>
                <w:szCs w:val="21"/>
              </w:rPr>
            </w:pPr>
            <w:r>
              <w:rPr>
                <w:rFonts w:ascii="Times New Roman" w:hAnsi="Times New Roman" w:eastAsia="仿宋" w:cs="Times New Roman"/>
                <w:color w:val="auto"/>
                <w:kern w:val="2"/>
                <w:szCs w:val="21"/>
              </w:rPr>
              <w:t>CPU</w:t>
            </w:r>
          </w:p>
        </w:tc>
        <w:tc>
          <w:tcPr>
            <w:tcW w:w="6413" w:type="dxa"/>
            <w:noWrap w:val="0"/>
            <w:vAlign w:val="center"/>
          </w:tcPr>
          <w:p>
            <w:pPr>
              <w:spacing w:before="0" w:after="0" w:afterAutospacing="0" w:line="360" w:lineRule="auto"/>
              <w:ind w:left="0" w:right="0" w:firstLine="0"/>
              <w:jc w:val="left"/>
              <w:rPr>
                <w:rFonts w:ascii="Times New Roman" w:hAnsi="Times New Roman" w:eastAsia="仿宋" w:cs="Times New Roman"/>
                <w:b/>
                <w:color w:val="auto"/>
                <w:kern w:val="2"/>
                <w:sz w:val="24"/>
                <w:szCs w:val="20"/>
              </w:rPr>
            </w:pPr>
            <w:r>
              <w:rPr>
                <w:rFonts w:hint="eastAsia" w:ascii="Times New Roman" w:hAnsi="Times New Roman" w:eastAsia="仿宋" w:cs="Times New Roman"/>
                <w:color w:val="auto"/>
                <w:kern w:val="2"/>
                <w:szCs w:val="21"/>
              </w:rPr>
              <w:t>Intel酷睿i5-4590或AMD FX8350同档或更高配置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tcBorders>
              <w:bottom w:val="single" w:color="auto" w:sz="4" w:space="0"/>
            </w:tcBorders>
            <w:noWrap w:val="0"/>
            <w:vAlign w:val="center"/>
          </w:tcPr>
          <w:p>
            <w:pPr>
              <w:spacing w:before="0" w:after="0" w:afterAutospacing="0" w:line="360" w:lineRule="auto"/>
              <w:ind w:left="0" w:right="0" w:firstLine="0"/>
              <w:jc w:val="center"/>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显卡</w:t>
            </w:r>
          </w:p>
        </w:tc>
        <w:tc>
          <w:tcPr>
            <w:tcW w:w="6413" w:type="dxa"/>
            <w:noWrap w:val="0"/>
            <w:vAlign w:val="center"/>
          </w:tcPr>
          <w:p>
            <w:pPr>
              <w:spacing w:before="0" w:after="0" w:afterAutospacing="0" w:line="360" w:lineRule="auto"/>
              <w:ind w:left="0" w:right="0" w:firstLine="0"/>
              <w:jc w:val="left"/>
              <w:rPr>
                <w:rFonts w:hint="eastAsia" w:ascii="Times New Roman" w:hAnsi="Times New Roman" w:eastAsia="仿宋" w:cs="Times New Roman"/>
                <w:color w:val="auto"/>
                <w:kern w:val="2"/>
                <w:szCs w:val="21"/>
              </w:rPr>
            </w:pPr>
            <w:r>
              <w:rPr>
                <w:rFonts w:hint="eastAsia" w:ascii="Times New Roman" w:hAnsi="Times New Roman" w:eastAsia="仿宋" w:cs="Times New Roman"/>
                <w:color w:val="auto"/>
                <w:kern w:val="2"/>
                <w:szCs w:val="21"/>
              </w:rPr>
              <w:t>NVIDIA GTX970或AMD R9 290同档或更高配置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tcBorders>
              <w:bottom w:val="single" w:color="auto" w:sz="4" w:space="0"/>
            </w:tcBorders>
            <w:noWrap w:val="0"/>
            <w:vAlign w:val="center"/>
          </w:tcPr>
          <w:p>
            <w:pPr>
              <w:spacing w:before="0" w:after="0" w:afterAutospacing="0" w:line="360" w:lineRule="auto"/>
              <w:ind w:left="0" w:right="0" w:firstLine="0"/>
              <w:jc w:val="center"/>
              <w:rPr>
                <w:rFonts w:hint="eastAsia" w:ascii="Times New Roman" w:hAnsi="Times New Roman" w:eastAsia="仿宋" w:cs="Times New Roman"/>
                <w:color w:val="auto"/>
                <w:kern w:val="2"/>
                <w:szCs w:val="21"/>
              </w:rPr>
            </w:pPr>
            <w:r>
              <w:rPr>
                <w:rFonts w:ascii="Times New Roman" w:hAnsi="Times New Roman" w:eastAsia="仿宋" w:cs="Times New Roman"/>
                <w:color w:val="auto"/>
                <w:kern w:val="2"/>
                <w:szCs w:val="21"/>
              </w:rPr>
              <w:t>内存</w:t>
            </w:r>
          </w:p>
        </w:tc>
        <w:tc>
          <w:tcPr>
            <w:tcW w:w="6413" w:type="dxa"/>
            <w:noWrap w:val="0"/>
            <w:vAlign w:val="center"/>
          </w:tcPr>
          <w:p>
            <w:pPr>
              <w:spacing w:line="360" w:lineRule="auto"/>
              <w:ind w:firstLine="0"/>
              <w:rPr>
                <w:rFonts w:ascii="Times New Roman" w:hAnsi="Times New Roman" w:eastAsia="仿宋" w:cs="Times New Roman"/>
                <w:b/>
                <w:color w:val="auto"/>
                <w:kern w:val="0"/>
                <w:sz w:val="24"/>
                <w:lang w:val="en-US" w:eastAsia="zh-CN" w:bidi="ar-SA"/>
              </w:rPr>
            </w:pPr>
            <w:r>
              <w:rPr>
                <w:rFonts w:ascii="Times New Roman" w:hAnsi="Times New Roman" w:eastAsia="仿宋" w:cs="Times New Roman"/>
                <w:color w:val="auto"/>
                <w:kern w:val="0"/>
                <w:sz w:val="21"/>
                <w:szCs w:val="21"/>
                <w:lang w:val="en-US" w:eastAsia="zh-CN" w:bidi="ar-SA"/>
              </w:rPr>
              <w:t>4G及以上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tcBorders>
              <w:bottom w:val="single" w:color="auto" w:sz="4" w:space="0"/>
            </w:tcBorders>
            <w:noWrap w:val="0"/>
            <w:vAlign w:val="center"/>
          </w:tcPr>
          <w:p>
            <w:pPr>
              <w:spacing w:before="0" w:after="0" w:afterAutospacing="0" w:line="360" w:lineRule="auto"/>
              <w:ind w:left="0" w:right="0" w:firstLine="0"/>
              <w:jc w:val="center"/>
              <w:rPr>
                <w:rFonts w:ascii="Times New Roman" w:hAnsi="Times New Roman" w:eastAsia="仿宋" w:cs="Times New Roman"/>
                <w:color w:val="auto"/>
                <w:kern w:val="2"/>
                <w:szCs w:val="21"/>
              </w:rPr>
            </w:pPr>
            <w:r>
              <w:rPr>
                <w:rFonts w:hint="eastAsia" w:ascii="Times New Roman" w:hAnsi="Times New Roman" w:eastAsia="仿宋" w:cs="Times New Roman"/>
                <w:color w:val="auto"/>
                <w:kern w:val="2"/>
                <w:szCs w:val="21"/>
              </w:rPr>
              <w:t>视频输出</w:t>
            </w:r>
          </w:p>
        </w:tc>
        <w:tc>
          <w:tcPr>
            <w:tcW w:w="6413" w:type="dxa"/>
            <w:noWrap w:val="0"/>
            <w:vAlign w:val="center"/>
          </w:tcPr>
          <w:p>
            <w:pPr>
              <w:spacing w:before="0" w:after="0" w:afterAutospacing="0" w:line="360" w:lineRule="auto"/>
              <w:ind w:left="0" w:right="0" w:firstLine="0"/>
              <w:jc w:val="left"/>
              <w:rPr>
                <w:rFonts w:ascii="Times New Roman" w:hAnsi="Times New Roman" w:eastAsia="仿宋" w:cs="Times New Roman"/>
                <w:b/>
                <w:color w:val="auto"/>
                <w:kern w:val="2"/>
                <w:sz w:val="24"/>
                <w:szCs w:val="20"/>
              </w:rPr>
            </w:pPr>
            <w:r>
              <w:rPr>
                <w:rFonts w:hint="eastAsia" w:ascii="Times New Roman" w:hAnsi="Times New Roman" w:eastAsia="仿宋" w:cs="Times New Roman"/>
                <w:color w:val="auto"/>
                <w:kern w:val="2"/>
                <w:szCs w:val="21"/>
              </w:rPr>
              <w:t>HDMI 1.4，DisplayPort 1.2及以上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tcBorders>
              <w:bottom w:val="single" w:color="auto" w:sz="4" w:space="0"/>
            </w:tcBorders>
            <w:noWrap w:val="0"/>
            <w:vAlign w:val="center"/>
          </w:tcPr>
          <w:p>
            <w:pPr>
              <w:spacing w:before="0" w:after="0" w:afterAutospacing="0" w:line="360" w:lineRule="auto"/>
              <w:ind w:left="0" w:right="0" w:firstLine="0"/>
              <w:jc w:val="center"/>
              <w:rPr>
                <w:rFonts w:ascii="Times New Roman" w:hAnsi="Times New Roman" w:eastAsia="仿宋" w:cs="Times New Roman"/>
                <w:color w:val="auto"/>
                <w:kern w:val="2"/>
                <w:szCs w:val="21"/>
              </w:rPr>
            </w:pPr>
            <w:r>
              <w:rPr>
                <w:rFonts w:ascii="Times New Roman" w:hAnsi="Times New Roman" w:eastAsia="仿宋" w:cs="Times New Roman"/>
                <w:color w:val="auto"/>
                <w:kern w:val="2"/>
                <w:szCs w:val="21"/>
              </w:rPr>
              <w:t>操作系统</w:t>
            </w:r>
          </w:p>
        </w:tc>
        <w:tc>
          <w:tcPr>
            <w:tcW w:w="6413" w:type="dxa"/>
            <w:noWrap w:val="0"/>
            <w:vAlign w:val="center"/>
          </w:tcPr>
          <w:p>
            <w:pPr>
              <w:spacing w:before="0" w:after="0" w:afterAutospacing="0" w:line="360" w:lineRule="auto"/>
              <w:ind w:left="0" w:right="0" w:firstLine="0"/>
              <w:jc w:val="left"/>
              <w:rPr>
                <w:rFonts w:ascii="Times New Roman" w:hAnsi="Times New Roman" w:eastAsia="仿宋" w:cs="Times New Roman"/>
                <w:b/>
                <w:color w:val="auto"/>
                <w:kern w:val="2"/>
                <w:sz w:val="24"/>
                <w:szCs w:val="20"/>
              </w:rPr>
            </w:pPr>
            <w:r>
              <w:rPr>
                <w:rFonts w:hint="eastAsia" w:ascii="Times New Roman" w:hAnsi="Times New Roman" w:eastAsia="仿宋" w:cs="Times New Roman"/>
                <w:color w:val="auto"/>
                <w:kern w:val="2"/>
                <w:szCs w:val="21"/>
              </w:rPr>
              <w:t>Windows 7 SP1及以上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noWrap w:val="0"/>
            <w:vAlign w:val="center"/>
          </w:tcPr>
          <w:p>
            <w:pPr>
              <w:spacing w:before="0" w:after="0" w:afterAutospacing="0" w:line="360" w:lineRule="auto"/>
              <w:ind w:left="0" w:right="0" w:firstLine="0"/>
              <w:jc w:val="center"/>
              <w:rPr>
                <w:rFonts w:ascii="Times New Roman" w:hAnsi="Times New Roman" w:eastAsia="仿宋" w:cs="Times New Roman"/>
                <w:color w:val="auto"/>
                <w:kern w:val="2"/>
                <w:szCs w:val="21"/>
              </w:rPr>
            </w:pPr>
            <w:r>
              <w:rPr>
                <w:rFonts w:hint="eastAsia" w:ascii="Times New Roman" w:hAnsi="Times New Roman" w:eastAsia="仿宋" w:cs="Times New Roman"/>
                <w:color w:val="auto"/>
                <w:kern w:val="2"/>
                <w:szCs w:val="21"/>
              </w:rPr>
              <w:t>USB接口</w:t>
            </w:r>
          </w:p>
        </w:tc>
        <w:tc>
          <w:tcPr>
            <w:tcW w:w="6413" w:type="dxa"/>
            <w:noWrap w:val="0"/>
            <w:vAlign w:val="center"/>
          </w:tcPr>
          <w:p>
            <w:pPr>
              <w:spacing w:before="0" w:after="0" w:afterAutospacing="0" w:line="360" w:lineRule="auto"/>
              <w:ind w:left="0" w:right="0" w:firstLine="0"/>
              <w:jc w:val="left"/>
              <w:rPr>
                <w:rFonts w:ascii="Times New Roman" w:hAnsi="Times New Roman" w:eastAsia="仿宋" w:cs="Times New Roman"/>
                <w:b/>
                <w:color w:val="auto"/>
                <w:kern w:val="2"/>
                <w:sz w:val="24"/>
                <w:szCs w:val="20"/>
              </w:rPr>
            </w:pPr>
            <w:r>
              <w:rPr>
                <w:rFonts w:hint="eastAsia" w:ascii="Times New Roman" w:hAnsi="Times New Roman" w:eastAsia="仿宋" w:cs="Times New Roman"/>
                <w:color w:val="auto"/>
                <w:kern w:val="2"/>
                <w:szCs w:val="21"/>
              </w:rPr>
              <w:t>USB 2.0及以上</w:t>
            </w:r>
          </w:p>
        </w:tc>
      </w:tr>
    </w:tbl>
    <w:p>
      <w:pPr>
        <w:spacing w:before="0" w:after="0" w:afterAutospacing="0" w:line="360" w:lineRule="auto"/>
        <w:ind w:left="0" w:right="0" w:firstLine="0"/>
        <w:jc w:val="center"/>
        <w:rPr>
          <w:rFonts w:ascii="Times New Roman" w:hAnsi="Times New Roman" w:eastAsia="仿宋" w:cs="Times New Roman"/>
          <w:color w:val="auto"/>
          <w:kern w:val="2"/>
          <w:szCs w:val="20"/>
        </w:rPr>
      </w:pPr>
      <w:r>
        <w:rPr>
          <w:rFonts w:hint="eastAsia" w:ascii="Times New Roman" w:hAnsi="Times New Roman" w:eastAsia="仿宋" w:cs="Times New Roman"/>
          <w:color w:val="auto"/>
          <w:kern w:val="2"/>
          <w:szCs w:val="20"/>
        </w:rPr>
        <w:t>表</w:t>
      </w:r>
      <w:r>
        <w:rPr>
          <w:rFonts w:hint="eastAsia" w:ascii="Times New Roman" w:hAnsi="Times New Roman" w:eastAsia="仿宋" w:cs="Times New Roman"/>
          <w:color w:val="auto"/>
          <w:kern w:val="2"/>
          <w:szCs w:val="20"/>
          <w:lang w:val="en-US" w:eastAsia="zh-CN"/>
        </w:rPr>
        <w:t>4</w:t>
      </w:r>
      <w:r>
        <w:rPr>
          <w:rFonts w:hint="eastAsia" w:ascii="Times New Roman" w:hAnsi="Times New Roman" w:eastAsia="仿宋" w:cs="Times New Roman"/>
          <w:color w:val="auto"/>
          <w:kern w:val="2"/>
          <w:szCs w:val="20"/>
        </w:rPr>
        <w:t>-</w:t>
      </w:r>
      <w:r>
        <w:rPr>
          <w:rFonts w:hint="eastAsia" w:ascii="Times New Roman" w:hAnsi="Times New Roman" w:eastAsia="仿宋" w:cs="Times New Roman"/>
          <w:color w:val="auto"/>
          <w:kern w:val="2"/>
          <w:szCs w:val="20"/>
          <w:lang w:val="en-US" w:eastAsia="zh-CN"/>
        </w:rPr>
        <w:t>3 手机端</w:t>
      </w:r>
      <w:r>
        <w:rPr>
          <w:rFonts w:hint="eastAsia" w:ascii="Times New Roman" w:hAnsi="Times New Roman" w:eastAsia="仿宋" w:cs="Times New Roman"/>
          <w:color w:val="auto"/>
          <w:kern w:val="2"/>
          <w:szCs w:val="20"/>
        </w:rPr>
        <w:t>系统运行环境表</w:t>
      </w:r>
    </w:p>
    <w:tbl>
      <w:tblPr>
        <w:tblStyle w:val="29"/>
        <w:tblW w:w="81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6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tcBorders>
              <w:bottom w:val="single" w:color="auto" w:sz="4" w:space="0"/>
            </w:tcBorders>
            <w:noWrap w:val="0"/>
            <w:vAlign w:val="center"/>
          </w:tcPr>
          <w:p>
            <w:pPr>
              <w:spacing w:before="0" w:after="0" w:afterAutospacing="0" w:line="360" w:lineRule="auto"/>
              <w:ind w:left="0" w:right="0" w:firstLine="0"/>
              <w:jc w:val="center"/>
              <w:rPr>
                <w:rFonts w:hint="eastAsia" w:ascii="Times New Roman" w:hAnsi="Times New Roman" w:eastAsia="仿宋" w:cs="Times New Roman"/>
                <w:color w:val="auto"/>
                <w:kern w:val="2"/>
                <w:szCs w:val="21"/>
              </w:rPr>
            </w:pPr>
            <w:r>
              <w:rPr>
                <w:rFonts w:ascii="Times New Roman" w:hAnsi="Times New Roman" w:eastAsia="仿宋" w:cs="Times New Roman"/>
                <w:color w:val="auto"/>
                <w:kern w:val="2"/>
                <w:szCs w:val="21"/>
              </w:rPr>
              <w:t>CPU</w:t>
            </w:r>
          </w:p>
        </w:tc>
        <w:tc>
          <w:tcPr>
            <w:tcW w:w="6413" w:type="dxa"/>
            <w:noWrap w:val="0"/>
            <w:vAlign w:val="center"/>
          </w:tcPr>
          <w:p>
            <w:pPr>
              <w:spacing w:before="0" w:after="0" w:afterAutospacing="0" w:line="360" w:lineRule="auto"/>
              <w:ind w:left="0" w:right="0" w:firstLine="0"/>
              <w:jc w:val="left"/>
              <w:rPr>
                <w:rFonts w:hint="eastAsia" w:ascii="Times New Roman" w:hAnsi="Times New Roman" w:eastAsia="仿宋" w:cs="Times New Roman"/>
                <w:b/>
                <w:color w:val="auto"/>
                <w:kern w:val="2"/>
                <w:sz w:val="24"/>
                <w:szCs w:val="20"/>
                <w:lang w:val="en-US" w:eastAsia="zh-CN"/>
              </w:rPr>
            </w:pPr>
            <w:r>
              <w:rPr>
                <w:rFonts w:hint="eastAsia" w:ascii="Times New Roman" w:hAnsi="Times New Roman" w:eastAsia="仿宋" w:cs="Times New Roman"/>
                <w:color w:val="auto"/>
                <w:kern w:val="2"/>
                <w:szCs w:val="21"/>
              </w:rPr>
              <w:t>高通骁龙660</w:t>
            </w:r>
            <w:r>
              <w:rPr>
                <w:rFonts w:hint="eastAsia" w:ascii="Times New Roman" w:hAnsi="Times New Roman" w:eastAsia="仿宋" w:cs="Times New Roman"/>
                <w:color w:val="auto"/>
                <w:kern w:val="2"/>
                <w:szCs w:val="21"/>
                <w:lang w:val="en-US" w:eastAsia="zh-CN"/>
              </w:rPr>
              <w:t>或同类型处理器以上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tcBorders>
              <w:bottom w:val="single" w:color="auto" w:sz="4" w:space="0"/>
            </w:tcBorders>
            <w:noWrap w:val="0"/>
            <w:vAlign w:val="center"/>
          </w:tcPr>
          <w:p>
            <w:pPr>
              <w:spacing w:before="0" w:after="0" w:afterAutospacing="0" w:line="360" w:lineRule="auto"/>
              <w:ind w:left="0" w:right="0" w:firstLine="0"/>
              <w:jc w:val="center"/>
              <w:rPr>
                <w:rFonts w:hint="eastAsia" w:ascii="Times New Roman" w:hAnsi="Times New Roman" w:eastAsia="仿宋" w:cs="Times New Roman"/>
                <w:color w:val="auto"/>
                <w:kern w:val="2"/>
                <w:szCs w:val="21"/>
                <w:lang w:val="en-US" w:eastAsia="zh-CN"/>
              </w:rPr>
            </w:pPr>
            <w:r>
              <w:rPr>
                <w:rFonts w:ascii="Times New Roman" w:hAnsi="Times New Roman" w:eastAsia="仿宋" w:cs="Times New Roman"/>
                <w:color w:val="auto"/>
                <w:kern w:val="2"/>
                <w:szCs w:val="21"/>
              </w:rPr>
              <w:t>操作系统</w:t>
            </w:r>
          </w:p>
        </w:tc>
        <w:tc>
          <w:tcPr>
            <w:tcW w:w="6413" w:type="dxa"/>
            <w:noWrap w:val="0"/>
            <w:vAlign w:val="center"/>
          </w:tcPr>
          <w:p>
            <w:pPr>
              <w:spacing w:before="0" w:after="0" w:afterAutospacing="0" w:line="360" w:lineRule="auto"/>
              <w:ind w:left="0" w:right="0" w:firstLine="0"/>
              <w:jc w:val="left"/>
              <w:rPr>
                <w:rFonts w:hint="eastAsia" w:ascii="Times New Roman" w:hAnsi="Times New Roman" w:eastAsia="仿宋" w:cs="Times New Roman"/>
                <w:color w:val="auto"/>
                <w:kern w:val="2"/>
                <w:szCs w:val="21"/>
              </w:rPr>
            </w:pPr>
            <w:r>
              <w:rPr>
                <w:rFonts w:hint="eastAsia" w:ascii="Times New Roman" w:hAnsi="Times New Roman" w:eastAsia="仿宋" w:cs="Times New Roman"/>
                <w:color w:val="auto"/>
                <w:kern w:val="2"/>
                <w:szCs w:val="21"/>
              </w:rPr>
              <w:t>Android5.0版本以上、iOS6.1以上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tcBorders>
              <w:bottom w:val="single" w:color="auto" w:sz="4" w:space="0"/>
            </w:tcBorders>
            <w:noWrap w:val="0"/>
            <w:vAlign w:val="center"/>
          </w:tcPr>
          <w:p>
            <w:pPr>
              <w:spacing w:before="0" w:after="0" w:afterAutospacing="0" w:line="360" w:lineRule="auto"/>
              <w:ind w:left="0" w:right="0" w:firstLine="0"/>
              <w:jc w:val="center"/>
              <w:rPr>
                <w:rFonts w:hint="eastAsia" w:ascii="Times New Roman" w:hAnsi="Times New Roman" w:eastAsia="仿宋" w:cs="Times New Roman"/>
                <w:color w:val="auto"/>
                <w:kern w:val="2"/>
                <w:szCs w:val="21"/>
              </w:rPr>
            </w:pPr>
            <w:r>
              <w:rPr>
                <w:rFonts w:ascii="Times New Roman" w:hAnsi="Times New Roman" w:eastAsia="仿宋" w:cs="Times New Roman"/>
                <w:color w:val="auto"/>
                <w:kern w:val="2"/>
                <w:szCs w:val="21"/>
              </w:rPr>
              <w:t>内存</w:t>
            </w:r>
          </w:p>
        </w:tc>
        <w:tc>
          <w:tcPr>
            <w:tcW w:w="6413" w:type="dxa"/>
            <w:noWrap w:val="0"/>
            <w:vAlign w:val="center"/>
          </w:tcPr>
          <w:p>
            <w:pPr>
              <w:spacing w:line="360" w:lineRule="auto"/>
              <w:ind w:firstLine="0"/>
              <w:rPr>
                <w:rFonts w:ascii="Times New Roman" w:hAnsi="Times New Roman" w:eastAsia="仿宋" w:cs="Times New Roman"/>
                <w:b/>
                <w:color w:val="auto"/>
                <w:kern w:val="0"/>
                <w:sz w:val="24"/>
                <w:lang w:val="en-US" w:eastAsia="zh-CN" w:bidi="ar-SA"/>
              </w:rPr>
            </w:pPr>
            <w:r>
              <w:rPr>
                <w:rFonts w:hint="eastAsia" w:ascii="Times New Roman" w:hAnsi="Times New Roman" w:eastAsia="仿宋" w:cs="Times New Roman"/>
                <w:color w:val="auto"/>
                <w:kern w:val="0"/>
                <w:sz w:val="21"/>
                <w:szCs w:val="21"/>
                <w:lang w:val="en-US" w:eastAsia="zh-CN" w:bidi="ar-SA"/>
              </w:rPr>
              <w:t>4G以上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tcBorders>
              <w:bottom w:val="single" w:color="auto" w:sz="4" w:space="0"/>
            </w:tcBorders>
            <w:noWrap w:val="0"/>
            <w:vAlign w:val="center"/>
          </w:tcPr>
          <w:p>
            <w:pPr>
              <w:spacing w:before="0" w:after="0" w:afterAutospacing="0" w:line="360" w:lineRule="auto"/>
              <w:ind w:left="0" w:right="0" w:firstLine="0"/>
              <w:jc w:val="center"/>
              <w:rPr>
                <w:rFonts w:hint="default"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机身容量</w:t>
            </w:r>
          </w:p>
        </w:tc>
        <w:tc>
          <w:tcPr>
            <w:tcW w:w="6413" w:type="dxa"/>
            <w:noWrap w:val="0"/>
            <w:vAlign w:val="center"/>
          </w:tcPr>
          <w:p>
            <w:pPr>
              <w:spacing w:before="0" w:after="0" w:afterAutospacing="0" w:line="360" w:lineRule="auto"/>
              <w:ind w:left="0" w:right="0" w:firstLine="0"/>
              <w:jc w:val="left"/>
              <w:rPr>
                <w:rFonts w:hint="default" w:ascii="Times New Roman" w:hAnsi="Times New Roman" w:eastAsia="仿宋" w:cs="Times New Roman"/>
                <w:b/>
                <w:color w:val="auto"/>
                <w:kern w:val="2"/>
                <w:sz w:val="24"/>
                <w:szCs w:val="20"/>
                <w:lang w:val="en-US" w:eastAsia="zh-CN"/>
              </w:rPr>
            </w:pPr>
            <w:r>
              <w:rPr>
                <w:rFonts w:hint="eastAsia" w:ascii="Times New Roman" w:hAnsi="Times New Roman" w:eastAsia="仿宋" w:cs="Times New Roman"/>
                <w:color w:val="auto"/>
                <w:kern w:val="2"/>
                <w:szCs w:val="21"/>
                <w:lang w:val="en-US" w:eastAsia="zh-CN"/>
              </w:rPr>
              <w:t>32G以上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tcBorders>
              <w:bottom w:val="single" w:color="auto" w:sz="4" w:space="0"/>
            </w:tcBorders>
            <w:noWrap w:val="0"/>
            <w:vAlign w:val="center"/>
          </w:tcPr>
          <w:p>
            <w:pPr>
              <w:spacing w:before="0" w:after="0" w:afterAutospacing="0" w:line="360" w:lineRule="auto"/>
              <w:ind w:left="0" w:right="0" w:firstLine="0"/>
              <w:jc w:val="center"/>
              <w:rPr>
                <w:rFonts w:hint="eastAsia" w:ascii="Times New Roman" w:hAnsi="Times New Roman" w:eastAsia="仿宋" w:cs="Times New Roman"/>
                <w:color w:val="auto"/>
                <w:kern w:val="2"/>
                <w:szCs w:val="21"/>
                <w:lang w:eastAsia="zh-CN"/>
              </w:rPr>
            </w:pPr>
            <w:r>
              <w:rPr>
                <w:rFonts w:hint="eastAsia" w:ascii="Times New Roman" w:hAnsi="Times New Roman" w:eastAsia="仿宋" w:cs="Times New Roman"/>
                <w:color w:val="auto"/>
                <w:kern w:val="2"/>
                <w:szCs w:val="21"/>
                <w:lang w:val="en-US" w:eastAsia="zh-CN"/>
              </w:rPr>
              <w:t>浏览器</w:t>
            </w:r>
          </w:p>
        </w:tc>
        <w:tc>
          <w:tcPr>
            <w:tcW w:w="6413" w:type="dxa"/>
            <w:noWrap w:val="0"/>
            <w:vAlign w:val="center"/>
          </w:tcPr>
          <w:p>
            <w:pPr>
              <w:spacing w:before="0" w:after="0" w:afterAutospacing="0" w:line="360" w:lineRule="auto"/>
              <w:ind w:left="0" w:right="0" w:firstLine="0"/>
              <w:jc w:val="left"/>
              <w:rPr>
                <w:rFonts w:hint="default" w:ascii="Times New Roman" w:hAnsi="Times New Roman" w:eastAsia="仿宋" w:cs="Times New Roman"/>
                <w:b/>
                <w:color w:val="auto"/>
                <w:kern w:val="2"/>
                <w:sz w:val="24"/>
                <w:szCs w:val="20"/>
                <w:lang w:val="en-US" w:eastAsia="zh-CN"/>
              </w:rPr>
            </w:pPr>
            <w:r>
              <w:rPr>
                <w:rFonts w:hint="eastAsia" w:ascii="Times New Roman" w:hAnsi="Times New Roman" w:eastAsia="仿宋" w:cs="Times New Roman"/>
                <w:color w:val="auto"/>
                <w:kern w:val="2"/>
                <w:szCs w:val="21"/>
                <w:lang w:val="en-US" w:eastAsia="zh-CN"/>
              </w:rPr>
              <w:t>所有主流浏览器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noWrap w:val="0"/>
            <w:vAlign w:val="center"/>
          </w:tcPr>
          <w:p>
            <w:pPr>
              <w:spacing w:before="0" w:after="0" w:afterAutospacing="0" w:line="360" w:lineRule="auto"/>
              <w:ind w:left="0" w:right="0" w:firstLine="0"/>
              <w:jc w:val="center"/>
              <w:rPr>
                <w:rFonts w:hint="default"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触控方式</w:t>
            </w:r>
          </w:p>
        </w:tc>
        <w:tc>
          <w:tcPr>
            <w:tcW w:w="6413" w:type="dxa"/>
            <w:noWrap w:val="0"/>
            <w:vAlign w:val="center"/>
          </w:tcPr>
          <w:p>
            <w:pPr>
              <w:spacing w:before="0" w:after="0" w:afterAutospacing="0" w:line="360" w:lineRule="auto"/>
              <w:ind w:left="0" w:right="0" w:firstLine="0"/>
              <w:jc w:val="left"/>
              <w:rPr>
                <w:rFonts w:hint="default"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多点触控</w:t>
            </w:r>
          </w:p>
        </w:tc>
      </w:tr>
    </w:tbl>
    <w:p>
      <w:pPr>
        <w:keepNext/>
        <w:numPr>
          <w:ilvl w:val="2"/>
          <w:numId w:val="7"/>
        </w:numPr>
        <w:spacing w:before="120" w:after="0" w:line="360" w:lineRule="auto"/>
        <w:outlineLvl w:val="2"/>
        <w:rPr>
          <w:rFonts w:ascii="Times New Roman" w:hAnsi="Times New Roman" w:eastAsia="仿宋" w:cs="Times New Roman"/>
          <w:b/>
          <w:color w:val="auto"/>
          <w:kern w:val="0"/>
          <w:sz w:val="28"/>
          <w:szCs w:val="28"/>
          <w:lang w:val="en-GB" w:eastAsia="zh-CN" w:bidi="ar-SA"/>
        </w:rPr>
      </w:pPr>
      <w:bookmarkStart w:id="858" w:name="_Toc24344"/>
      <w:r>
        <w:rPr>
          <w:rFonts w:ascii="Times New Roman" w:hAnsi="Times New Roman" w:eastAsia="仿宋" w:cs="Times New Roman"/>
          <w:b/>
          <w:color w:val="auto"/>
          <w:kern w:val="0"/>
          <w:sz w:val="28"/>
          <w:szCs w:val="28"/>
          <w:lang w:val="en-GB" w:eastAsia="zh-CN" w:bidi="ar-SA"/>
        </w:rPr>
        <w:t>系统安全性要求</w:t>
      </w:r>
      <w:bookmarkEnd w:id="853"/>
      <w:bookmarkEnd w:id="854"/>
      <w:bookmarkEnd w:id="855"/>
      <w:bookmarkEnd w:id="856"/>
      <w:bookmarkEnd w:id="857"/>
      <w:bookmarkEnd w:id="858"/>
    </w:p>
    <w:p>
      <w:pPr>
        <w:spacing w:before="0" w:after="0" w:afterAutospacing="0" w:line="360" w:lineRule="auto"/>
        <w:ind w:left="0" w:right="0" w:firstLine="420" w:firstLineChars="200"/>
        <w:jc w:val="both"/>
        <w:rPr>
          <w:rFonts w:hint="eastAsia" w:ascii="Times New Roman" w:hAnsi="Times New Roman" w:eastAsia="仿宋" w:cs="Times New Roman"/>
          <w:color w:val="auto"/>
          <w:kern w:val="2"/>
          <w:szCs w:val="20"/>
          <w:lang w:val="en-US" w:eastAsia="zh-CN"/>
        </w:rPr>
      </w:pPr>
      <w:r>
        <w:rPr>
          <w:rFonts w:hint="eastAsia" w:ascii="Times New Roman" w:hAnsi="Times New Roman" w:eastAsia="仿宋" w:cs="Times New Roman"/>
          <w:color w:val="auto"/>
          <w:kern w:val="2"/>
          <w:szCs w:val="20"/>
          <w:lang w:val="en-US" w:eastAsia="zh-CN"/>
        </w:rPr>
        <w:t>系统可以进行加解密，密码授权访问，防止明文存储引起的数据泄密、外部攻击、内部窃取数据、非法直接访问数据库等等，从根本上解决数据库敏感数据泄漏问题，满足合法合规要求。</w:t>
      </w:r>
    </w:p>
    <w:p>
      <w:pPr>
        <w:spacing w:after="120" w:line="360" w:lineRule="auto"/>
        <w:ind w:left="-2" w:firstLine="420" w:firstLineChars="200"/>
        <w:jc w:val="both"/>
        <w:rPr>
          <w:rFonts w:hint="eastAsia" w:ascii="Times New Roman" w:hAnsi="Times New Roman" w:eastAsia="仿宋" w:cs="Times New Roman"/>
          <w:color w:val="auto"/>
          <w:kern w:val="2"/>
          <w:sz w:val="21"/>
          <w:szCs w:val="21"/>
          <w:lang w:val="en-US" w:eastAsia="zh-CN" w:bidi="ar-SA"/>
        </w:rPr>
      </w:pPr>
      <w:bookmarkStart w:id="859" w:name="_Toc465947056"/>
      <w:bookmarkEnd w:id="859"/>
      <w:bookmarkStart w:id="860" w:name="_Toc488998311"/>
      <w:bookmarkEnd w:id="860"/>
      <w:bookmarkStart w:id="861" w:name="_Toc488998316"/>
      <w:bookmarkEnd w:id="861"/>
      <w:bookmarkStart w:id="862" w:name="_Toc457975919"/>
      <w:bookmarkEnd w:id="862"/>
      <w:bookmarkStart w:id="863" w:name="_Toc488998318"/>
      <w:bookmarkEnd w:id="863"/>
      <w:bookmarkStart w:id="864" w:name="_Toc488998317"/>
      <w:bookmarkEnd w:id="864"/>
      <w:bookmarkStart w:id="865" w:name="_Toc468262610"/>
      <w:bookmarkEnd w:id="865"/>
      <w:bookmarkStart w:id="866" w:name="_Toc484770381"/>
      <w:bookmarkEnd w:id="866"/>
      <w:bookmarkStart w:id="867" w:name="_Toc488998315"/>
      <w:bookmarkEnd w:id="867"/>
      <w:bookmarkStart w:id="868" w:name="_Toc458009692"/>
      <w:bookmarkEnd w:id="868"/>
      <w:bookmarkStart w:id="869" w:name="_Toc468274437"/>
      <w:bookmarkEnd w:id="869"/>
      <w:bookmarkStart w:id="870" w:name="_Toc465947355"/>
      <w:bookmarkEnd w:id="870"/>
      <w:bookmarkStart w:id="871" w:name="_Toc488934046"/>
      <w:bookmarkEnd w:id="871"/>
      <w:bookmarkStart w:id="872" w:name="_Toc459217918"/>
      <w:bookmarkEnd w:id="872"/>
      <w:bookmarkStart w:id="873" w:name="_Toc488998319"/>
      <w:bookmarkEnd w:id="873"/>
      <w:bookmarkStart w:id="874" w:name="_Toc468261834"/>
      <w:bookmarkEnd w:id="874"/>
      <w:bookmarkStart w:id="875" w:name="_Toc467686109"/>
      <w:bookmarkEnd w:id="875"/>
      <w:bookmarkStart w:id="876" w:name="_Toc467675367"/>
      <w:bookmarkEnd w:id="876"/>
    </w:p>
    <w:p>
      <w:pPr>
        <w:keepNext/>
        <w:keepLines/>
        <w:pageBreakBefore/>
        <w:numPr>
          <w:ilvl w:val="0"/>
          <w:numId w:val="7"/>
        </w:numPr>
        <w:spacing w:before="240" w:after="240" w:line="360" w:lineRule="auto"/>
        <w:ind w:left="-2"/>
        <w:outlineLvl w:val="0"/>
        <w:rPr>
          <w:rFonts w:ascii="Times New Roman" w:hAnsi="Times New Roman" w:eastAsia="仿宋" w:cs="Times New Roman"/>
          <w:b/>
          <w:color w:val="auto"/>
          <w:kern w:val="28"/>
          <w:sz w:val="32"/>
          <w:szCs w:val="30"/>
          <w:lang w:val="en-GB" w:eastAsia="zh-CN" w:bidi="ar-SA"/>
        </w:rPr>
      </w:pPr>
      <w:bookmarkStart w:id="877" w:name="_Toc459217944"/>
      <w:bookmarkEnd w:id="877"/>
      <w:bookmarkStart w:id="878" w:name="_Toc468274465"/>
      <w:bookmarkEnd w:id="878"/>
      <w:bookmarkStart w:id="879" w:name="_Toc488998345"/>
      <w:bookmarkEnd w:id="879"/>
      <w:bookmarkStart w:id="880" w:name="_Toc488998537"/>
      <w:bookmarkEnd w:id="880"/>
      <w:bookmarkStart w:id="881" w:name="_Toc468261863"/>
      <w:bookmarkEnd w:id="881"/>
      <w:bookmarkStart w:id="882" w:name="_Toc468261876"/>
      <w:bookmarkEnd w:id="882"/>
      <w:bookmarkStart w:id="883" w:name="_Toc468261884"/>
      <w:bookmarkEnd w:id="883"/>
      <w:bookmarkStart w:id="884" w:name="_Toc468274487"/>
      <w:bookmarkEnd w:id="884"/>
      <w:bookmarkStart w:id="885" w:name="_Toc468262640"/>
      <w:bookmarkEnd w:id="885"/>
      <w:bookmarkStart w:id="886" w:name="_Toc484770423"/>
      <w:bookmarkEnd w:id="886"/>
      <w:bookmarkStart w:id="887" w:name="_Toc488998535"/>
      <w:bookmarkEnd w:id="887"/>
      <w:bookmarkStart w:id="888" w:name="_Toc488934268"/>
      <w:bookmarkEnd w:id="888"/>
      <w:bookmarkStart w:id="889" w:name="_Toc468274644"/>
      <w:bookmarkEnd w:id="889"/>
      <w:bookmarkStart w:id="890" w:name="_Toc465947384"/>
      <w:bookmarkEnd w:id="890"/>
      <w:bookmarkStart w:id="891" w:name="_Toc465947383"/>
      <w:bookmarkEnd w:id="891"/>
      <w:bookmarkStart w:id="892" w:name="_Toc458009714"/>
      <w:bookmarkEnd w:id="892"/>
      <w:bookmarkStart w:id="893" w:name="_Toc467675575"/>
      <w:bookmarkEnd w:id="893"/>
      <w:bookmarkStart w:id="894" w:name="_Toc488998536"/>
      <w:bookmarkEnd w:id="894"/>
      <w:bookmarkStart w:id="895" w:name="_Toc468262817"/>
      <w:bookmarkEnd w:id="895"/>
      <w:bookmarkStart w:id="896" w:name="_Toc468262042"/>
      <w:bookmarkEnd w:id="896"/>
      <w:bookmarkStart w:id="897" w:name="_Toc468262818"/>
      <w:bookmarkEnd w:id="897"/>
      <w:bookmarkStart w:id="898" w:name="_Toc458009718"/>
      <w:bookmarkEnd w:id="898"/>
      <w:bookmarkStart w:id="899" w:name="_Toc468262638"/>
      <w:bookmarkEnd w:id="899"/>
      <w:bookmarkStart w:id="900" w:name="_Toc465947561"/>
      <w:bookmarkEnd w:id="900"/>
      <w:bookmarkStart w:id="901" w:name="_Toc468274645"/>
      <w:bookmarkEnd w:id="901"/>
      <w:bookmarkStart w:id="902" w:name="_Toc488934075"/>
      <w:bookmarkEnd w:id="902"/>
      <w:bookmarkStart w:id="903" w:name="_Toc467675578"/>
      <w:bookmarkEnd w:id="903"/>
      <w:bookmarkStart w:id="904" w:name="_Toc468262652"/>
      <w:bookmarkEnd w:id="904"/>
      <w:bookmarkStart w:id="905" w:name="_Toc467686319"/>
      <w:bookmarkEnd w:id="905"/>
      <w:bookmarkStart w:id="906" w:name="_Toc467675565"/>
      <w:bookmarkEnd w:id="906"/>
      <w:bookmarkStart w:id="907" w:name="_Toc488934254"/>
      <w:bookmarkEnd w:id="907"/>
      <w:bookmarkStart w:id="908" w:name="_Toc488998522"/>
      <w:bookmarkEnd w:id="908"/>
      <w:bookmarkStart w:id="909" w:name="_Toc467686316"/>
      <w:bookmarkEnd w:id="909"/>
      <w:bookmarkStart w:id="910" w:name="_Toc465947129"/>
      <w:bookmarkEnd w:id="910"/>
      <w:bookmarkStart w:id="911" w:name="_Toc457975950"/>
      <w:bookmarkEnd w:id="911"/>
      <w:bookmarkStart w:id="912" w:name="_Toc488934076"/>
      <w:bookmarkEnd w:id="912"/>
      <w:bookmarkStart w:id="913" w:name="_Toc465947562"/>
      <w:bookmarkEnd w:id="913"/>
      <w:bookmarkStart w:id="914" w:name="_Toc468262040"/>
      <w:bookmarkEnd w:id="914"/>
      <w:bookmarkStart w:id="915" w:name="_Toc458009719"/>
      <w:bookmarkEnd w:id="915"/>
      <w:bookmarkStart w:id="916" w:name="_Toc488934244"/>
      <w:bookmarkEnd w:id="916"/>
      <w:bookmarkStart w:id="917" w:name="_Toc484770589"/>
      <w:bookmarkEnd w:id="917"/>
      <w:bookmarkStart w:id="918" w:name="_Toc467675395"/>
      <w:bookmarkEnd w:id="918"/>
      <w:bookmarkStart w:id="919" w:name="_Toc468261864"/>
      <w:bookmarkEnd w:id="919"/>
      <w:bookmarkStart w:id="920" w:name="_Toc465947084"/>
      <w:bookmarkEnd w:id="920"/>
      <w:bookmarkStart w:id="921" w:name="_Toc468274635"/>
      <w:bookmarkEnd w:id="921"/>
      <w:bookmarkStart w:id="922" w:name="_Toc467686139"/>
      <w:bookmarkEnd w:id="922"/>
      <w:bookmarkStart w:id="923" w:name="_Toc488934256"/>
      <w:bookmarkEnd w:id="923"/>
      <w:bookmarkStart w:id="924" w:name="_Toc468274495"/>
      <w:bookmarkEnd w:id="924"/>
      <w:bookmarkStart w:id="925" w:name="_Toc467675397"/>
      <w:bookmarkEnd w:id="925"/>
      <w:bookmarkStart w:id="926" w:name="_Toc488934253"/>
      <w:bookmarkEnd w:id="926"/>
      <w:bookmarkStart w:id="927" w:name="_Toc465947385"/>
      <w:bookmarkEnd w:id="927"/>
      <w:bookmarkStart w:id="928" w:name="_Toc484770590"/>
      <w:bookmarkEnd w:id="928"/>
      <w:bookmarkStart w:id="929" w:name="_Toc484770591"/>
      <w:bookmarkEnd w:id="929"/>
      <w:bookmarkStart w:id="930" w:name="_Toc488998521"/>
      <w:bookmarkEnd w:id="930"/>
      <w:bookmarkStart w:id="931" w:name="_Toc459217940"/>
      <w:bookmarkEnd w:id="931"/>
      <w:bookmarkStart w:id="932" w:name="_Toc467686320"/>
      <w:bookmarkEnd w:id="932"/>
      <w:bookmarkStart w:id="933" w:name="_Toc459217947"/>
      <w:bookmarkEnd w:id="933"/>
      <w:bookmarkStart w:id="934" w:name="_Toc468274466"/>
      <w:bookmarkEnd w:id="934"/>
      <w:bookmarkStart w:id="935" w:name="_Toc458009721"/>
      <w:bookmarkEnd w:id="935"/>
      <w:bookmarkStart w:id="936" w:name="_Toc465947263"/>
      <w:bookmarkEnd w:id="936"/>
      <w:bookmarkStart w:id="937" w:name="_Toc468262044"/>
      <w:bookmarkEnd w:id="937"/>
      <w:bookmarkStart w:id="938" w:name="_Toc468262819"/>
      <w:bookmarkEnd w:id="938"/>
      <w:bookmarkStart w:id="939" w:name="_Toc468262668"/>
      <w:bookmarkEnd w:id="939"/>
      <w:bookmarkStart w:id="940" w:name="_Toc465947413"/>
      <w:bookmarkEnd w:id="940"/>
      <w:bookmarkStart w:id="941" w:name="_Toc488998530"/>
      <w:bookmarkEnd w:id="941"/>
      <w:bookmarkStart w:id="942" w:name="_Toc457975951"/>
      <w:bookmarkEnd w:id="942"/>
      <w:bookmarkStart w:id="943" w:name="_Toc467686159"/>
      <w:bookmarkEnd w:id="943"/>
      <w:bookmarkStart w:id="944" w:name="_Toc488934255"/>
      <w:bookmarkEnd w:id="944"/>
      <w:bookmarkStart w:id="945" w:name="_Toc467686317"/>
      <w:bookmarkEnd w:id="945"/>
      <w:bookmarkStart w:id="946" w:name="_Toc484770588"/>
      <w:bookmarkEnd w:id="946"/>
      <w:bookmarkStart w:id="947" w:name="_Toc468274467"/>
      <w:bookmarkEnd w:id="947"/>
      <w:bookmarkStart w:id="948" w:name="_Toc468274646"/>
      <w:bookmarkEnd w:id="948"/>
      <w:bookmarkStart w:id="949" w:name="_Toc468262043"/>
      <w:bookmarkEnd w:id="949"/>
      <w:bookmarkStart w:id="950" w:name="_Toc465947564"/>
      <w:bookmarkEnd w:id="950"/>
      <w:bookmarkStart w:id="951" w:name="_Toc488934261"/>
      <w:bookmarkEnd w:id="951"/>
      <w:bookmarkStart w:id="952" w:name="_Toc459217948"/>
      <w:bookmarkEnd w:id="952"/>
      <w:bookmarkStart w:id="953" w:name="_Toc468262041"/>
      <w:bookmarkEnd w:id="953"/>
      <w:bookmarkStart w:id="954" w:name="_Toc458009717"/>
      <w:bookmarkEnd w:id="954"/>
      <w:bookmarkStart w:id="955" w:name="_Toc459217946"/>
      <w:bookmarkEnd w:id="955"/>
      <w:bookmarkStart w:id="956" w:name="_Toc458009720"/>
      <w:bookmarkEnd w:id="956"/>
      <w:bookmarkStart w:id="957" w:name="_Toc488934127"/>
      <w:bookmarkEnd w:id="957"/>
      <w:bookmarkStart w:id="958" w:name="_Toc457975948"/>
      <w:bookmarkEnd w:id="958"/>
      <w:bookmarkStart w:id="959" w:name="_Toc468262727"/>
      <w:bookmarkEnd w:id="959"/>
      <w:bookmarkStart w:id="960" w:name="_Toc468262820"/>
      <w:bookmarkEnd w:id="960"/>
      <w:bookmarkStart w:id="961" w:name="_Toc465947473"/>
      <w:bookmarkEnd w:id="961"/>
      <w:bookmarkStart w:id="962" w:name="_Toc465947266"/>
      <w:bookmarkEnd w:id="962"/>
      <w:bookmarkStart w:id="963" w:name="_Toc467675484"/>
      <w:bookmarkEnd w:id="963"/>
      <w:bookmarkStart w:id="964" w:name="_Toc488998416"/>
      <w:bookmarkEnd w:id="964"/>
      <w:bookmarkStart w:id="965" w:name="_Toc465947174"/>
      <w:bookmarkEnd w:id="965"/>
      <w:bookmarkStart w:id="966" w:name="_Toc488934164"/>
      <w:bookmarkEnd w:id="966"/>
      <w:bookmarkStart w:id="967" w:name="_Toc488998396"/>
      <w:bookmarkEnd w:id="967"/>
      <w:bookmarkStart w:id="968" w:name="_Toc467686225"/>
      <w:bookmarkEnd w:id="968"/>
      <w:bookmarkStart w:id="969" w:name="_Toc468262691"/>
      <w:bookmarkEnd w:id="969"/>
      <w:bookmarkStart w:id="970" w:name="_Toc488998525"/>
      <w:bookmarkEnd w:id="970"/>
      <w:bookmarkStart w:id="971" w:name="_Toc484770499"/>
      <w:bookmarkEnd w:id="971"/>
      <w:bookmarkStart w:id="972" w:name="_Toc488934252"/>
      <w:bookmarkEnd w:id="972"/>
      <w:bookmarkStart w:id="973" w:name="_Toc467675448"/>
      <w:bookmarkEnd w:id="973"/>
      <w:bookmarkStart w:id="974" w:name="_Toc468261951"/>
      <w:bookmarkEnd w:id="974"/>
      <w:bookmarkStart w:id="975" w:name="_Toc467675564"/>
      <w:bookmarkEnd w:id="975"/>
      <w:bookmarkStart w:id="976" w:name="_Toc468262807"/>
      <w:bookmarkEnd w:id="976"/>
      <w:bookmarkStart w:id="977" w:name="_Toc457975947"/>
      <w:bookmarkEnd w:id="977"/>
      <w:bookmarkStart w:id="978" w:name="_Toc488998513"/>
      <w:bookmarkEnd w:id="978"/>
      <w:bookmarkStart w:id="979" w:name="_Toc488998365"/>
      <w:bookmarkEnd w:id="979"/>
      <w:bookmarkStart w:id="980" w:name="_Toc465947405"/>
      <w:bookmarkEnd w:id="980"/>
      <w:bookmarkStart w:id="981" w:name="_Toc459217945"/>
      <w:bookmarkEnd w:id="981"/>
      <w:bookmarkStart w:id="982" w:name="_Toc468261952"/>
      <w:bookmarkEnd w:id="982"/>
      <w:bookmarkStart w:id="983" w:name="_Toc465947265"/>
      <w:bookmarkEnd w:id="983"/>
      <w:bookmarkStart w:id="984" w:name="_Toc468262728"/>
      <w:bookmarkEnd w:id="984"/>
      <w:bookmarkStart w:id="985" w:name="_Toc465947552"/>
      <w:bookmarkEnd w:id="985"/>
      <w:bookmarkStart w:id="986" w:name="_Toc488998534"/>
      <w:bookmarkEnd w:id="986"/>
      <w:bookmarkStart w:id="987" w:name="_Toc488998512"/>
      <w:bookmarkEnd w:id="987"/>
      <w:bookmarkStart w:id="988" w:name="_Toc465947472"/>
      <w:bookmarkEnd w:id="988"/>
      <w:bookmarkStart w:id="989" w:name="_Toc488998357"/>
      <w:bookmarkEnd w:id="989"/>
      <w:bookmarkStart w:id="990" w:name="_Toc465947254"/>
      <w:bookmarkEnd w:id="990"/>
      <w:bookmarkStart w:id="991" w:name="_Toc468274555"/>
      <w:bookmarkEnd w:id="991"/>
      <w:bookmarkStart w:id="992" w:name="_Toc455660756"/>
      <w:bookmarkEnd w:id="992"/>
      <w:bookmarkStart w:id="993" w:name="_Toc488998343"/>
      <w:bookmarkEnd w:id="993"/>
      <w:bookmarkStart w:id="994" w:name="_Toc488934265"/>
      <w:bookmarkEnd w:id="994"/>
      <w:bookmarkStart w:id="995" w:name="_Toc467686307"/>
      <w:bookmarkEnd w:id="995"/>
      <w:bookmarkStart w:id="996" w:name="_Toc468274634"/>
      <w:bookmarkEnd w:id="996"/>
      <w:bookmarkStart w:id="997" w:name="_Toc488998523"/>
      <w:bookmarkEnd w:id="997"/>
      <w:bookmarkStart w:id="998" w:name="_Toc484770411"/>
      <w:bookmarkEnd w:id="998"/>
      <w:bookmarkStart w:id="999" w:name="_Toc468274554"/>
      <w:bookmarkEnd w:id="999"/>
      <w:bookmarkStart w:id="1000" w:name="_Toc467686306"/>
      <w:bookmarkEnd w:id="1000"/>
      <w:bookmarkStart w:id="1001" w:name="_Toc488998432"/>
      <w:bookmarkEnd w:id="1001"/>
      <w:bookmarkStart w:id="1002" w:name="_Toc467686226"/>
      <w:bookmarkEnd w:id="1002"/>
      <w:bookmarkStart w:id="1003" w:name="_Toc488934267"/>
      <w:bookmarkEnd w:id="1003"/>
      <w:bookmarkStart w:id="1004" w:name="_Toc467675396"/>
      <w:bookmarkEnd w:id="1004"/>
      <w:bookmarkStart w:id="1005" w:name="_Toc468262821"/>
      <w:bookmarkEnd w:id="1005"/>
      <w:bookmarkStart w:id="1006" w:name="_Toc468262808"/>
      <w:bookmarkEnd w:id="1006"/>
      <w:bookmarkStart w:id="1007" w:name="_Toc484770443"/>
      <w:bookmarkEnd w:id="1007"/>
      <w:bookmarkStart w:id="1008" w:name="_Toc465947253"/>
      <w:bookmarkEnd w:id="1008"/>
      <w:bookmarkStart w:id="1009" w:name="_Toc488998433"/>
      <w:bookmarkEnd w:id="1009"/>
      <w:bookmarkStart w:id="1010" w:name="_Toc468262031"/>
      <w:bookmarkEnd w:id="1010"/>
      <w:bookmarkStart w:id="1011" w:name="_Toc468274479"/>
      <w:bookmarkEnd w:id="1011"/>
      <w:bookmarkStart w:id="1012" w:name="_Toc467686227"/>
      <w:bookmarkEnd w:id="1012"/>
      <w:bookmarkStart w:id="1013" w:name="_Toc455387193"/>
      <w:bookmarkEnd w:id="1013"/>
      <w:bookmarkStart w:id="1014" w:name="_Toc467675485"/>
      <w:bookmarkEnd w:id="1014"/>
      <w:bookmarkStart w:id="1015" w:name="_Toc468262639"/>
      <w:bookmarkEnd w:id="1015"/>
      <w:bookmarkStart w:id="1016" w:name="_Toc467686137"/>
      <w:bookmarkEnd w:id="1016"/>
      <w:bookmarkStart w:id="1017" w:name="_Toc468262660"/>
      <w:bookmarkEnd w:id="1017"/>
      <w:bookmarkStart w:id="1018" w:name="_Toc488934108"/>
      <w:bookmarkEnd w:id="1018"/>
      <w:bookmarkStart w:id="1019" w:name="_Toc488998533"/>
      <w:bookmarkEnd w:id="1019"/>
      <w:bookmarkStart w:id="1020" w:name="_Toc488934263"/>
      <w:bookmarkEnd w:id="1020"/>
      <w:bookmarkStart w:id="1021" w:name="_Toc465947098"/>
      <w:bookmarkEnd w:id="1021"/>
      <w:bookmarkStart w:id="1022" w:name="_Toc488934266"/>
      <w:bookmarkEnd w:id="1022"/>
      <w:bookmarkStart w:id="1023" w:name="_Toc467686167"/>
      <w:bookmarkEnd w:id="1023"/>
      <w:bookmarkStart w:id="1024" w:name="_Toc484770410"/>
      <w:bookmarkEnd w:id="1024"/>
      <w:bookmarkStart w:id="1025" w:name="_Toc468262045"/>
      <w:bookmarkEnd w:id="1025"/>
      <w:bookmarkStart w:id="1026" w:name="_Toc468274553"/>
      <w:bookmarkEnd w:id="1026"/>
      <w:bookmarkStart w:id="1027" w:name="_Toc488934096"/>
      <w:bookmarkEnd w:id="1027"/>
      <w:bookmarkStart w:id="1028" w:name="_Toc467686182"/>
      <w:bookmarkEnd w:id="1028"/>
      <w:bookmarkStart w:id="1029" w:name="_Toc467686315"/>
      <w:bookmarkEnd w:id="1029"/>
      <w:bookmarkStart w:id="1030" w:name="_Toc484770454"/>
      <w:bookmarkEnd w:id="1030"/>
      <w:bookmarkStart w:id="1031" w:name="_Toc465947553"/>
      <w:bookmarkEnd w:id="1031"/>
      <w:bookmarkStart w:id="1032" w:name="_Toc467675429"/>
      <w:bookmarkEnd w:id="1032"/>
      <w:bookmarkStart w:id="1033" w:name="_Toc468274499"/>
      <w:bookmarkEnd w:id="1033"/>
      <w:bookmarkStart w:id="1034" w:name="_Toc484770579"/>
      <w:bookmarkEnd w:id="1034"/>
      <w:bookmarkStart w:id="1035" w:name="_Toc467675483"/>
      <w:bookmarkEnd w:id="1035"/>
      <w:bookmarkStart w:id="1036" w:name="_Toc468261907"/>
      <w:bookmarkEnd w:id="1036"/>
      <w:bookmarkStart w:id="1037" w:name="_Toc488998524"/>
      <w:bookmarkEnd w:id="1037"/>
      <w:bookmarkStart w:id="1038" w:name="_Toc467686190"/>
      <w:bookmarkEnd w:id="1038"/>
      <w:bookmarkStart w:id="1039" w:name="_Toc488934259"/>
      <w:bookmarkEnd w:id="1039"/>
      <w:bookmarkStart w:id="1040" w:name="_Toc465947086"/>
      <w:bookmarkEnd w:id="1040"/>
      <w:bookmarkStart w:id="1041" w:name="_Toc467675409"/>
      <w:bookmarkEnd w:id="1041"/>
      <w:bookmarkStart w:id="1042" w:name="_Toc465947565"/>
      <w:bookmarkEnd w:id="1042"/>
      <w:bookmarkStart w:id="1043" w:name="_Toc488998529"/>
      <w:bookmarkEnd w:id="1043"/>
      <w:bookmarkStart w:id="1044" w:name="_Toc488934257"/>
      <w:bookmarkEnd w:id="1044"/>
      <w:bookmarkStart w:id="1045" w:name="_Toc465947566"/>
      <w:bookmarkEnd w:id="1045"/>
      <w:bookmarkStart w:id="1046" w:name="_Toc488934264"/>
      <w:bookmarkEnd w:id="1046"/>
      <w:bookmarkStart w:id="1047" w:name="_Toc484770592"/>
      <w:bookmarkEnd w:id="1047"/>
      <w:bookmarkStart w:id="1048" w:name="_Toc484770409"/>
      <w:bookmarkEnd w:id="1048"/>
      <w:bookmarkStart w:id="1049" w:name="_Toc484770482"/>
      <w:bookmarkEnd w:id="1049"/>
      <w:bookmarkStart w:id="1050" w:name="_Toc468261892"/>
      <w:bookmarkEnd w:id="1050"/>
      <w:bookmarkStart w:id="1051" w:name="_Toc488998527"/>
      <w:bookmarkEnd w:id="1051"/>
      <w:bookmarkStart w:id="1052" w:name="_Toc488934260"/>
      <w:bookmarkEnd w:id="1052"/>
      <w:bookmarkStart w:id="1053" w:name="_Toc467675576"/>
      <w:bookmarkEnd w:id="1053"/>
      <w:bookmarkStart w:id="1054" w:name="_Toc488998373"/>
      <w:bookmarkEnd w:id="1054"/>
      <w:bookmarkStart w:id="1055" w:name="_Toc488934258"/>
      <w:bookmarkEnd w:id="1055"/>
      <w:bookmarkStart w:id="1056" w:name="_Toc465947267"/>
      <w:bookmarkEnd w:id="1056"/>
      <w:bookmarkStart w:id="1057" w:name="_Toc468274648"/>
      <w:bookmarkEnd w:id="1057"/>
      <w:bookmarkStart w:id="1058" w:name="_Toc467686151"/>
      <w:bookmarkEnd w:id="1058"/>
      <w:bookmarkStart w:id="1059" w:name="_Toc488934262"/>
      <w:bookmarkEnd w:id="1059"/>
      <w:bookmarkStart w:id="1060" w:name="_Toc467675574"/>
      <w:bookmarkEnd w:id="1060"/>
      <w:bookmarkStart w:id="1061" w:name="_Toc458009722"/>
      <w:bookmarkEnd w:id="1061"/>
      <w:bookmarkStart w:id="1062" w:name="_Toc457975949"/>
      <w:bookmarkEnd w:id="1062"/>
      <w:bookmarkStart w:id="1063" w:name="_Toc457975952"/>
      <w:bookmarkEnd w:id="1063"/>
      <w:bookmarkStart w:id="1064" w:name="_Toc467675577"/>
      <w:bookmarkEnd w:id="1064"/>
      <w:bookmarkStart w:id="1065" w:name="_Toc488998528"/>
      <w:bookmarkEnd w:id="1065"/>
      <w:bookmarkStart w:id="1066" w:name="_Toc468274647"/>
      <w:bookmarkEnd w:id="1066"/>
      <w:bookmarkStart w:id="1067" w:name="_Toc488998532"/>
      <w:bookmarkEnd w:id="1067"/>
      <w:bookmarkStart w:id="1068" w:name="_Toc488998526"/>
      <w:bookmarkEnd w:id="1068"/>
      <w:bookmarkStart w:id="1069" w:name="_Toc488998344"/>
      <w:bookmarkEnd w:id="1069"/>
      <w:bookmarkStart w:id="1070" w:name="_Toc488934119"/>
      <w:bookmarkEnd w:id="1070"/>
      <w:bookmarkStart w:id="1071" w:name="_Toc465947114"/>
      <w:bookmarkEnd w:id="1071"/>
      <w:bookmarkStart w:id="1072" w:name="_Toc465947417"/>
      <w:bookmarkEnd w:id="1072"/>
      <w:bookmarkStart w:id="1073" w:name="_Toc468261935"/>
      <w:bookmarkEnd w:id="1073"/>
      <w:bookmarkStart w:id="1074" w:name="_Toc468274510"/>
      <w:bookmarkEnd w:id="1074"/>
      <w:bookmarkStart w:id="1075" w:name="_Toc459217943"/>
      <w:bookmarkEnd w:id="1075"/>
      <w:bookmarkStart w:id="1076" w:name="_Toc467686318"/>
      <w:bookmarkEnd w:id="1076"/>
      <w:bookmarkStart w:id="1077" w:name="_Toc488998531"/>
      <w:bookmarkEnd w:id="1077"/>
      <w:bookmarkStart w:id="1078" w:name="_Toc484770439"/>
      <w:bookmarkEnd w:id="1078"/>
      <w:bookmarkStart w:id="1079" w:name="_Toc457975953"/>
      <w:bookmarkEnd w:id="1079"/>
      <w:bookmarkStart w:id="1080" w:name="_Toc467675573"/>
      <w:bookmarkEnd w:id="1080"/>
      <w:bookmarkStart w:id="1081" w:name="_Toc465947397"/>
      <w:bookmarkEnd w:id="1081"/>
      <w:bookmarkStart w:id="1082" w:name="_Toc468274538"/>
      <w:bookmarkEnd w:id="1082"/>
      <w:bookmarkStart w:id="1083" w:name="_Toc468261896"/>
      <w:bookmarkEnd w:id="1083"/>
      <w:bookmarkStart w:id="1084" w:name="_Toc465947118"/>
      <w:bookmarkEnd w:id="1084"/>
      <w:bookmarkStart w:id="1085" w:name="_Toc465947137"/>
      <w:bookmarkEnd w:id="1085"/>
      <w:bookmarkStart w:id="1086" w:name="_Toc468262711"/>
      <w:bookmarkEnd w:id="1086"/>
      <w:bookmarkStart w:id="1087" w:name="_Toc488998377"/>
      <w:bookmarkEnd w:id="1087"/>
      <w:bookmarkStart w:id="1088" w:name="_Toc465947471"/>
      <w:bookmarkEnd w:id="1088"/>
      <w:bookmarkStart w:id="1089" w:name="_Toc467675468"/>
      <w:bookmarkEnd w:id="1089"/>
      <w:bookmarkStart w:id="1090" w:name="_Toc488934243"/>
      <w:bookmarkEnd w:id="1090"/>
      <w:bookmarkStart w:id="1091" w:name="_Toc467675425"/>
      <w:bookmarkEnd w:id="1091"/>
      <w:bookmarkStart w:id="1092" w:name="_Toc468274518"/>
      <w:bookmarkEnd w:id="1092"/>
      <w:bookmarkStart w:id="1093" w:name="_Toc468261950"/>
      <w:bookmarkEnd w:id="1093"/>
      <w:bookmarkStart w:id="1094" w:name="_Toc468274643"/>
      <w:bookmarkEnd w:id="1094"/>
      <w:bookmarkStart w:id="1095" w:name="_Toc484770431"/>
      <w:bookmarkEnd w:id="1095"/>
      <w:bookmarkStart w:id="1096" w:name="_Toc468261915"/>
      <w:bookmarkEnd w:id="1096"/>
      <w:bookmarkStart w:id="1097" w:name="_Toc468262683"/>
      <w:bookmarkEnd w:id="1097"/>
      <w:bookmarkStart w:id="1098" w:name="_Toc465947157"/>
      <w:bookmarkEnd w:id="1098"/>
      <w:bookmarkStart w:id="1099" w:name="_Toc488998431"/>
      <w:bookmarkEnd w:id="1099"/>
      <w:bookmarkStart w:id="1100" w:name="_Toc484770462"/>
      <w:bookmarkEnd w:id="1100"/>
      <w:bookmarkStart w:id="1101" w:name="_Toc488998388"/>
      <w:bookmarkEnd w:id="1101"/>
      <w:bookmarkStart w:id="1102" w:name="_Toc484770578"/>
      <w:bookmarkEnd w:id="1102"/>
      <w:bookmarkStart w:id="1103" w:name="_Toc468262032"/>
      <w:bookmarkEnd w:id="1103"/>
      <w:bookmarkStart w:id="1104" w:name="_Toc465947428"/>
      <w:bookmarkEnd w:id="1104"/>
      <w:bookmarkStart w:id="1105" w:name="_Toc484770587"/>
      <w:bookmarkEnd w:id="1105"/>
      <w:bookmarkStart w:id="1106" w:name="_Toc468262672"/>
      <w:bookmarkEnd w:id="1106"/>
      <w:bookmarkStart w:id="1107" w:name="_Toc465947262"/>
      <w:bookmarkEnd w:id="1107"/>
      <w:bookmarkStart w:id="1108" w:name="_Toc467686171"/>
      <w:bookmarkEnd w:id="1108"/>
      <w:bookmarkStart w:id="1109" w:name="_Toc468262816"/>
      <w:bookmarkEnd w:id="1109"/>
      <w:bookmarkStart w:id="1110" w:name="_Toc467675440"/>
      <w:bookmarkEnd w:id="1110"/>
      <w:bookmarkStart w:id="1111" w:name="_Toc488934147"/>
      <w:bookmarkEnd w:id="1111"/>
      <w:bookmarkStart w:id="1112" w:name="_Toc465947436"/>
      <w:bookmarkEnd w:id="1112"/>
      <w:bookmarkStart w:id="1113" w:name="_Toc488934104"/>
      <w:bookmarkEnd w:id="1113"/>
      <w:bookmarkStart w:id="1114" w:name="_Toc465947456"/>
      <w:bookmarkEnd w:id="1114"/>
      <w:bookmarkStart w:id="1115" w:name="_Toc465947264"/>
      <w:bookmarkEnd w:id="1115"/>
      <w:bookmarkStart w:id="1116" w:name="_Toc465947106"/>
      <w:bookmarkEnd w:id="1116"/>
      <w:bookmarkStart w:id="1117" w:name="_Toc467686210"/>
      <w:bookmarkEnd w:id="1117"/>
      <w:bookmarkStart w:id="1118" w:name="_Toc484770497"/>
      <w:bookmarkEnd w:id="1118"/>
      <w:bookmarkStart w:id="1119" w:name="_Toc465947563"/>
      <w:bookmarkEnd w:id="1119"/>
      <w:bookmarkStart w:id="1120" w:name="_Toc465947173"/>
      <w:bookmarkEnd w:id="1120"/>
      <w:bookmarkStart w:id="1121" w:name="_Toc467686138"/>
      <w:bookmarkEnd w:id="1121"/>
      <w:bookmarkStart w:id="1122" w:name="_Toc488934088"/>
      <w:bookmarkEnd w:id="1122"/>
      <w:bookmarkStart w:id="1123" w:name="_Toc488934074"/>
      <w:bookmarkEnd w:id="1123"/>
      <w:bookmarkStart w:id="1124" w:name="_Toc465947085"/>
      <w:bookmarkEnd w:id="1124"/>
      <w:bookmarkStart w:id="1125" w:name="_Toc484770498"/>
      <w:bookmarkEnd w:id="1125"/>
      <w:bookmarkStart w:id="1126" w:name="_Toc467675417"/>
      <w:bookmarkEnd w:id="1126"/>
      <w:bookmarkStart w:id="1127" w:name="_Toc488934163"/>
      <w:bookmarkEnd w:id="1127"/>
      <w:bookmarkStart w:id="1128" w:name="_Toc465947172"/>
      <w:bookmarkEnd w:id="1128"/>
      <w:bookmarkStart w:id="1129" w:name="_Toc468262726"/>
      <w:bookmarkEnd w:id="1129"/>
      <w:bookmarkStart w:id="1130" w:name="_Toc468261862"/>
      <w:bookmarkEnd w:id="1130"/>
      <w:bookmarkStart w:id="1131" w:name="_Toc488934162"/>
      <w:bookmarkEnd w:id="1131"/>
      <w:bookmarkStart w:id="1132" w:name="_Toc21083"/>
      <w:bookmarkStart w:id="1133" w:name="_Toc31532"/>
      <w:bookmarkStart w:id="1134" w:name="_Toc25645"/>
      <w:r>
        <w:rPr>
          <w:rFonts w:ascii="Times New Roman" w:hAnsi="Times New Roman" w:eastAsia="仿宋" w:cs="Times New Roman"/>
          <w:b/>
          <w:color w:val="auto"/>
          <w:kern w:val="28"/>
          <w:sz w:val="32"/>
          <w:szCs w:val="30"/>
          <w:lang w:val="en-GB" w:eastAsia="zh-CN" w:bidi="ar-SA"/>
        </w:rPr>
        <w:t>项目</w:t>
      </w:r>
      <w:bookmarkEnd w:id="1132"/>
      <w:bookmarkEnd w:id="1133"/>
      <w:r>
        <w:rPr>
          <w:rFonts w:hint="eastAsia" w:ascii="Times New Roman" w:hAnsi="Times New Roman" w:eastAsia="仿宋" w:cs="Times New Roman"/>
          <w:b/>
          <w:color w:val="auto"/>
          <w:kern w:val="28"/>
          <w:sz w:val="32"/>
          <w:szCs w:val="30"/>
          <w:lang w:val="en-US" w:eastAsia="zh-CN" w:bidi="ar-SA"/>
        </w:rPr>
        <w:t>管理</w:t>
      </w:r>
      <w:bookmarkEnd w:id="1134"/>
    </w:p>
    <w:p>
      <w:pPr>
        <w:keepNext/>
        <w:numPr>
          <w:ilvl w:val="1"/>
          <w:numId w:val="7"/>
        </w:numPr>
        <w:spacing w:before="120" w:after="120" w:line="360" w:lineRule="auto"/>
        <w:outlineLvl w:val="1"/>
        <w:rPr>
          <w:rFonts w:ascii="Times New Roman" w:hAnsi="Times New Roman" w:eastAsia="仿宋" w:cs="Times New Roman"/>
          <w:b/>
          <w:color w:val="auto"/>
          <w:kern w:val="0"/>
          <w:sz w:val="30"/>
          <w:szCs w:val="30"/>
          <w:lang w:val="en-GB" w:eastAsia="zh-CN" w:bidi="ar-SA"/>
        </w:rPr>
      </w:pPr>
      <w:bookmarkStart w:id="1135" w:name="_Toc32450"/>
      <w:bookmarkStart w:id="1136" w:name="_Toc1272"/>
      <w:bookmarkStart w:id="1137" w:name="_Toc5260"/>
      <w:bookmarkStart w:id="1138" w:name="_Toc31340"/>
      <w:bookmarkStart w:id="1139" w:name="_Toc18492"/>
      <w:bookmarkStart w:id="1140" w:name="_Toc3856"/>
      <w:bookmarkStart w:id="1141" w:name="_Toc18376"/>
      <w:bookmarkStart w:id="1142" w:name="_Toc31333_WPSOffice_Level2"/>
      <w:bookmarkStart w:id="1143" w:name="_Toc7184"/>
      <w:bookmarkStart w:id="1144" w:name="_Toc3090"/>
      <w:bookmarkStart w:id="1145" w:name="_Toc13510"/>
      <w:bookmarkStart w:id="1146" w:name="_Toc21327"/>
      <w:bookmarkStart w:id="1147" w:name="_Toc19844_WPSOffice_Level2"/>
      <w:bookmarkStart w:id="1148" w:name="_Toc29037"/>
      <w:bookmarkStart w:id="1149" w:name="_Toc20306"/>
      <w:bookmarkStart w:id="1150" w:name="_Toc21932_WPSOffice_Level2"/>
      <w:bookmarkStart w:id="1151" w:name="_Toc19586"/>
      <w:bookmarkStart w:id="1152" w:name="_Toc26528"/>
      <w:bookmarkStart w:id="1153" w:name="_Toc9344"/>
      <w:r>
        <w:rPr>
          <w:rFonts w:hint="eastAsia" w:ascii="Times New Roman" w:hAnsi="Times New Roman" w:eastAsia="仿宋" w:cs="Times New Roman"/>
          <w:b/>
          <w:color w:val="auto"/>
          <w:kern w:val="0"/>
          <w:sz w:val="30"/>
          <w:szCs w:val="30"/>
          <w:lang w:val="en-GB" w:eastAsia="zh-CN" w:bidi="ar-SA"/>
        </w:rPr>
        <w:t>比选申请人资质</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r>
        <w:rPr>
          <w:rFonts w:hint="eastAsia" w:ascii="Times New Roman" w:hAnsi="Times New Roman" w:eastAsia="仿宋" w:cs="Times New Roman"/>
          <w:b/>
          <w:color w:val="auto"/>
          <w:kern w:val="0"/>
          <w:sz w:val="30"/>
          <w:szCs w:val="30"/>
          <w:lang w:val="en-GB" w:eastAsia="zh-CN" w:bidi="ar-SA"/>
        </w:rPr>
        <w:t>要求</w:t>
      </w:r>
      <w:bookmarkEnd w:id="1152"/>
      <w:bookmarkEnd w:id="1153"/>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rPr>
      </w:pPr>
      <w:r>
        <w:rPr>
          <w:rFonts w:hint="eastAsia" w:ascii="Times New Roman" w:hAnsi="Times New Roman" w:eastAsia="仿宋" w:cs="Times New Roman"/>
          <w:color w:val="auto"/>
          <w:kern w:val="2"/>
          <w:szCs w:val="21"/>
          <w:lang w:eastAsia="zh-CN"/>
        </w:rPr>
        <w:t>5.1</w:t>
      </w:r>
      <w:r>
        <w:rPr>
          <w:rFonts w:hint="eastAsia" w:ascii="Times New Roman" w:hAnsi="Times New Roman" w:eastAsia="仿宋" w:cs="Times New Roman"/>
          <w:color w:val="auto"/>
          <w:kern w:val="2"/>
          <w:szCs w:val="21"/>
        </w:rPr>
        <w:t>.1</w:t>
      </w:r>
      <w:r>
        <w:rPr>
          <w:rFonts w:hint="eastAsia" w:ascii="Times New Roman" w:hAnsi="Times New Roman" w:eastAsia="仿宋" w:cs="Times New Roman"/>
          <w:color w:val="auto"/>
          <w:kern w:val="2"/>
          <w:szCs w:val="21"/>
          <w:lang w:eastAsia="zh-CN"/>
        </w:rPr>
        <w:t>比选申请人</w:t>
      </w:r>
      <w:r>
        <w:rPr>
          <w:rFonts w:hint="eastAsia" w:ascii="Times New Roman" w:hAnsi="Times New Roman" w:eastAsia="仿宋" w:cs="Times New Roman"/>
          <w:color w:val="auto"/>
          <w:kern w:val="2"/>
          <w:szCs w:val="21"/>
        </w:rPr>
        <w:t>为中华人民共和国境内依法设立的法人或其他组织。</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rPr>
      </w:pPr>
      <w:r>
        <w:rPr>
          <w:rFonts w:hint="eastAsia" w:ascii="Times New Roman" w:hAnsi="Times New Roman" w:eastAsia="仿宋" w:cs="Times New Roman"/>
          <w:color w:val="auto"/>
          <w:kern w:val="2"/>
          <w:szCs w:val="21"/>
          <w:lang w:val="en-US" w:eastAsia="zh-CN"/>
        </w:rPr>
        <w:t>5.1.2</w:t>
      </w:r>
      <w:r>
        <w:rPr>
          <w:rFonts w:hint="eastAsia" w:ascii="Times New Roman" w:hAnsi="Times New Roman" w:eastAsia="仿宋" w:cs="Times New Roman"/>
          <w:color w:val="auto"/>
          <w:kern w:val="2"/>
          <w:szCs w:val="21"/>
          <w:lang w:eastAsia="zh-CN"/>
        </w:rPr>
        <w:t>比选申请人</w:t>
      </w:r>
      <w:r>
        <w:rPr>
          <w:rFonts w:hint="eastAsia" w:ascii="Times New Roman" w:hAnsi="Times New Roman" w:eastAsia="仿宋" w:cs="Times New Roman"/>
          <w:color w:val="auto"/>
          <w:kern w:val="2"/>
          <w:szCs w:val="21"/>
        </w:rPr>
        <w:t>经营范围：①软件开发②软件销售③信息系统集成服务④多媒体设计服务⑤策划创意服务⑥广播电视节目制作等类似经营范围。</w:t>
      </w:r>
    </w:p>
    <w:p>
      <w:pPr>
        <w:snapToGrid w:val="0"/>
        <w:spacing w:before="0" w:after="0" w:afterAutospacing="0" w:line="360" w:lineRule="auto"/>
        <w:ind w:left="0" w:right="0" w:firstLine="420"/>
        <w:jc w:val="both"/>
        <w:rPr>
          <w:rFonts w:ascii="Times New Roman" w:hAnsi="Times New Roman" w:eastAsia="仿宋" w:cs="Times New Roman"/>
          <w:color w:val="auto"/>
          <w:kern w:val="2"/>
          <w:szCs w:val="21"/>
        </w:rPr>
      </w:pPr>
      <w:r>
        <w:rPr>
          <w:rFonts w:hint="eastAsia" w:ascii="Times New Roman" w:hAnsi="Times New Roman" w:eastAsia="仿宋" w:cs="Times New Roman"/>
          <w:color w:val="auto"/>
          <w:kern w:val="2"/>
          <w:szCs w:val="21"/>
          <w:lang w:eastAsia="zh-CN"/>
        </w:rPr>
        <w:t>5.1</w:t>
      </w:r>
      <w:r>
        <w:rPr>
          <w:rFonts w:hint="eastAsia" w:ascii="Times New Roman" w:hAnsi="Times New Roman" w:eastAsia="仿宋" w:cs="Times New Roman"/>
          <w:color w:val="auto"/>
          <w:kern w:val="2"/>
          <w:szCs w:val="21"/>
        </w:rPr>
        <w:t>.</w:t>
      </w:r>
      <w:r>
        <w:rPr>
          <w:rFonts w:hint="eastAsia" w:ascii="Times New Roman" w:hAnsi="Times New Roman" w:eastAsia="仿宋" w:cs="Times New Roman"/>
          <w:color w:val="auto"/>
          <w:kern w:val="2"/>
          <w:szCs w:val="21"/>
          <w:lang w:val="en-US" w:eastAsia="zh-CN"/>
        </w:rPr>
        <w:t>3</w:t>
      </w:r>
      <w:r>
        <w:rPr>
          <w:rFonts w:hint="eastAsia" w:ascii="Times New Roman" w:hAnsi="Times New Roman" w:eastAsia="仿宋" w:cs="Times New Roman"/>
          <w:color w:val="auto"/>
          <w:kern w:val="2"/>
          <w:szCs w:val="21"/>
        </w:rPr>
        <w:t>没有处于被行政主管部门或业主取消投标资格的处罚期内，且没有处于被责令停业，财产被接管、冻结、破产状态；自2017年1月1日至开标时间内没有骗取中标、严重违约或重大质量安全责任事故的情况。</w:t>
      </w:r>
    </w:p>
    <w:p>
      <w:pPr>
        <w:snapToGrid w:val="0"/>
        <w:spacing w:before="0" w:after="0" w:afterAutospacing="0" w:line="360" w:lineRule="auto"/>
        <w:ind w:left="0" w:right="0" w:firstLine="420"/>
        <w:jc w:val="both"/>
        <w:rPr>
          <w:rFonts w:ascii="Times New Roman" w:hAnsi="Times New Roman" w:eastAsia="仿宋" w:cs="Times New Roman"/>
          <w:color w:val="auto"/>
          <w:kern w:val="2"/>
          <w:szCs w:val="21"/>
        </w:rPr>
      </w:pPr>
      <w:r>
        <w:rPr>
          <w:rFonts w:hint="eastAsia" w:ascii="Times New Roman" w:hAnsi="Times New Roman" w:eastAsia="仿宋" w:cs="Times New Roman"/>
          <w:color w:val="auto"/>
          <w:kern w:val="2"/>
          <w:szCs w:val="21"/>
          <w:lang w:eastAsia="zh-CN"/>
        </w:rPr>
        <w:t>5.1</w:t>
      </w:r>
      <w:r>
        <w:rPr>
          <w:rFonts w:hint="eastAsia" w:ascii="Times New Roman" w:hAnsi="Times New Roman" w:eastAsia="仿宋" w:cs="Times New Roman"/>
          <w:color w:val="auto"/>
          <w:kern w:val="2"/>
          <w:szCs w:val="21"/>
        </w:rPr>
        <w:t>.</w:t>
      </w:r>
      <w:r>
        <w:rPr>
          <w:rFonts w:hint="eastAsia" w:ascii="Times New Roman" w:hAnsi="Times New Roman" w:eastAsia="仿宋" w:cs="Times New Roman"/>
          <w:color w:val="auto"/>
          <w:kern w:val="2"/>
          <w:szCs w:val="21"/>
          <w:lang w:val="en-US" w:eastAsia="zh-CN"/>
        </w:rPr>
        <w:t>4</w:t>
      </w:r>
      <w:r>
        <w:rPr>
          <w:rFonts w:hint="eastAsia" w:ascii="Times New Roman" w:hAnsi="Times New Roman" w:eastAsia="仿宋" w:cs="Times New Roman"/>
          <w:color w:val="auto"/>
          <w:kern w:val="2"/>
          <w:szCs w:val="21"/>
        </w:rPr>
        <w:t>单位负责人为同一人或者存在控股、管理关系的不同单位，不得参加同一标段投标或者未划分标段的同一项目投标。</w:t>
      </w:r>
    </w:p>
    <w:p>
      <w:pPr>
        <w:keepNext/>
        <w:numPr>
          <w:ilvl w:val="1"/>
          <w:numId w:val="7"/>
        </w:numPr>
        <w:spacing w:before="120" w:after="120" w:line="360" w:lineRule="auto"/>
        <w:outlineLvl w:val="1"/>
        <w:rPr>
          <w:rFonts w:hint="eastAsia" w:ascii="Times New Roman" w:hAnsi="Times New Roman" w:eastAsia="仿宋" w:cs="Times New Roman"/>
          <w:b/>
          <w:color w:val="auto"/>
          <w:kern w:val="0"/>
          <w:sz w:val="30"/>
          <w:szCs w:val="30"/>
          <w:lang w:val="en-GB" w:eastAsia="zh-CN" w:bidi="ar-SA"/>
        </w:rPr>
      </w:pPr>
      <w:bookmarkStart w:id="1154" w:name="_Toc10591"/>
      <w:bookmarkStart w:id="1155" w:name="_Toc14958"/>
      <w:r>
        <w:rPr>
          <w:rFonts w:hint="eastAsia" w:ascii="Times New Roman" w:hAnsi="Times New Roman" w:eastAsia="仿宋" w:cs="Times New Roman"/>
          <w:b/>
          <w:color w:val="auto"/>
          <w:kern w:val="0"/>
          <w:sz w:val="30"/>
          <w:szCs w:val="30"/>
          <w:lang w:val="en-GB" w:eastAsia="zh-CN" w:bidi="ar-SA"/>
        </w:rPr>
        <w:t>人员及培训要求</w:t>
      </w:r>
      <w:bookmarkEnd w:id="1154"/>
      <w:bookmarkEnd w:id="1155"/>
    </w:p>
    <w:p>
      <w:pPr>
        <w:keepNext/>
        <w:numPr>
          <w:ilvl w:val="2"/>
          <w:numId w:val="7"/>
        </w:numPr>
        <w:spacing w:before="120" w:after="120"/>
        <w:outlineLvl w:val="2"/>
        <w:rPr>
          <w:rFonts w:ascii="Times New Roman" w:hAnsi="Times New Roman" w:eastAsia="仿宋" w:cs="Times New Roman"/>
          <w:b/>
          <w:color w:val="auto"/>
          <w:kern w:val="0"/>
          <w:sz w:val="28"/>
          <w:szCs w:val="28"/>
          <w:lang w:val="en-GB" w:eastAsia="zh-CN" w:bidi="ar-SA"/>
        </w:rPr>
      </w:pPr>
      <w:bookmarkStart w:id="1156" w:name="_Toc13136"/>
      <w:r>
        <w:rPr>
          <w:rFonts w:hint="eastAsia" w:ascii="Times New Roman" w:hAnsi="Times New Roman" w:eastAsia="仿宋" w:cs="Times New Roman"/>
          <w:b/>
          <w:color w:val="auto"/>
          <w:kern w:val="0"/>
          <w:sz w:val="28"/>
          <w:szCs w:val="28"/>
          <w:lang w:val="en-GB" w:eastAsia="zh-CN" w:bidi="ar-SA"/>
        </w:rPr>
        <w:t>人员要求</w:t>
      </w:r>
      <w:bookmarkEnd w:id="1156"/>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rPr>
      </w:pPr>
      <w:r>
        <w:rPr>
          <w:rFonts w:hint="eastAsia" w:ascii="Times New Roman" w:hAnsi="Times New Roman" w:eastAsia="仿宋" w:cs="Times New Roman"/>
          <w:color w:val="auto"/>
          <w:kern w:val="2"/>
          <w:szCs w:val="21"/>
          <w:lang w:eastAsia="zh-CN"/>
        </w:rPr>
        <w:t>5.2</w:t>
      </w:r>
      <w:r>
        <w:rPr>
          <w:rFonts w:hint="eastAsia" w:ascii="Times New Roman" w:hAnsi="Times New Roman" w:eastAsia="仿宋" w:cs="Times New Roman"/>
          <w:color w:val="auto"/>
          <w:kern w:val="2"/>
          <w:szCs w:val="21"/>
        </w:rPr>
        <w:t>.1.</w:t>
      </w:r>
      <w:r>
        <w:rPr>
          <w:rFonts w:hint="eastAsia" w:ascii="Times New Roman" w:hAnsi="Times New Roman" w:eastAsia="仿宋" w:cs="Times New Roman"/>
          <w:color w:val="auto"/>
          <w:kern w:val="2"/>
          <w:szCs w:val="21"/>
          <w:lang w:val="en-US" w:eastAsia="zh-CN"/>
        </w:rPr>
        <w:t>1</w:t>
      </w:r>
      <w:r>
        <w:rPr>
          <w:rFonts w:hint="eastAsia" w:ascii="Times New Roman" w:hAnsi="Times New Roman" w:eastAsia="仿宋" w:cs="Times New Roman"/>
          <w:color w:val="auto"/>
          <w:kern w:val="2"/>
          <w:szCs w:val="21"/>
          <w:lang w:eastAsia="zh-CN"/>
        </w:rPr>
        <w:t>比选申请人</w:t>
      </w:r>
      <w:r>
        <w:rPr>
          <w:rFonts w:hint="eastAsia" w:ascii="Times New Roman" w:hAnsi="Times New Roman" w:eastAsia="仿宋" w:cs="Times New Roman"/>
          <w:color w:val="auto"/>
          <w:kern w:val="2"/>
          <w:szCs w:val="21"/>
        </w:rPr>
        <w:t>须如实地将参与本项目的所有人员的名单、工作资历、相关证件及身份证明等信息报送比选人审查备案。</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eastAsia="zh-CN"/>
        </w:rPr>
      </w:pPr>
      <w:r>
        <w:rPr>
          <w:rFonts w:hint="eastAsia" w:ascii="Times New Roman" w:hAnsi="Times New Roman" w:eastAsia="仿宋" w:cs="Times New Roman"/>
          <w:color w:val="auto"/>
          <w:kern w:val="2"/>
          <w:szCs w:val="21"/>
          <w:lang w:eastAsia="zh-CN"/>
        </w:rPr>
        <w:t>5.2.1.</w:t>
      </w:r>
      <w:r>
        <w:rPr>
          <w:rFonts w:hint="eastAsia" w:ascii="Times New Roman" w:hAnsi="Times New Roman" w:eastAsia="仿宋" w:cs="Times New Roman"/>
          <w:color w:val="auto"/>
          <w:kern w:val="2"/>
          <w:szCs w:val="21"/>
          <w:lang w:val="en-US" w:eastAsia="zh-CN"/>
        </w:rPr>
        <w:t>2</w:t>
      </w:r>
      <w:r>
        <w:rPr>
          <w:rFonts w:hint="eastAsia" w:ascii="Times New Roman" w:hAnsi="Times New Roman" w:eastAsia="仿宋" w:cs="Times New Roman"/>
          <w:color w:val="auto"/>
          <w:kern w:val="2"/>
          <w:szCs w:val="21"/>
          <w:lang w:eastAsia="zh-CN"/>
        </w:rPr>
        <w:t>比选申请人从事本项目的人员，必须提供与比选申请人的劳动关系证明。</w:t>
      </w:r>
    </w:p>
    <w:p>
      <w:pPr>
        <w:snapToGrid w:val="0"/>
        <w:spacing w:before="0" w:after="0" w:afterAutospacing="0" w:line="360" w:lineRule="auto"/>
        <w:ind w:left="0" w:right="0" w:firstLine="420"/>
        <w:jc w:val="both"/>
        <w:rPr>
          <w:rFonts w:ascii="Times New Roman" w:hAnsi="Times New Roman" w:eastAsia="仿宋" w:cs="Times New Roman"/>
          <w:color w:val="auto"/>
          <w:kern w:val="2"/>
          <w:szCs w:val="21"/>
        </w:rPr>
      </w:pPr>
      <w:r>
        <w:rPr>
          <w:rFonts w:hint="eastAsia" w:ascii="Times New Roman" w:hAnsi="Times New Roman" w:eastAsia="仿宋" w:cs="Times New Roman"/>
          <w:color w:val="auto"/>
          <w:kern w:val="2"/>
          <w:szCs w:val="21"/>
          <w:lang w:eastAsia="zh-CN"/>
        </w:rPr>
        <w:t>5.2</w:t>
      </w:r>
      <w:r>
        <w:rPr>
          <w:rFonts w:hint="eastAsia" w:ascii="Times New Roman" w:hAnsi="Times New Roman" w:eastAsia="仿宋" w:cs="Times New Roman"/>
          <w:color w:val="auto"/>
          <w:kern w:val="2"/>
          <w:szCs w:val="21"/>
        </w:rPr>
        <w:t>.1.</w:t>
      </w:r>
      <w:r>
        <w:rPr>
          <w:rFonts w:hint="eastAsia" w:ascii="Times New Roman" w:hAnsi="Times New Roman" w:eastAsia="仿宋" w:cs="Times New Roman"/>
          <w:color w:val="auto"/>
          <w:kern w:val="2"/>
          <w:szCs w:val="21"/>
          <w:lang w:val="en-US" w:eastAsia="zh-CN"/>
        </w:rPr>
        <w:t>3</w:t>
      </w:r>
      <w:r>
        <w:rPr>
          <w:rFonts w:hint="eastAsia" w:ascii="Times New Roman" w:hAnsi="Times New Roman" w:eastAsia="仿宋" w:cs="Times New Roman"/>
          <w:color w:val="auto"/>
          <w:kern w:val="2"/>
          <w:szCs w:val="21"/>
          <w:lang w:eastAsia="zh-CN"/>
        </w:rPr>
        <w:t>比选申请人</w:t>
      </w:r>
      <w:r>
        <w:rPr>
          <w:rFonts w:hint="eastAsia" w:ascii="Times New Roman" w:hAnsi="Times New Roman" w:eastAsia="仿宋" w:cs="Times New Roman"/>
          <w:color w:val="auto"/>
          <w:kern w:val="2"/>
          <w:szCs w:val="21"/>
        </w:rPr>
        <w:t>须按照比选人要求组织项目全员签订保密协议，报比选人备案。</w:t>
      </w:r>
    </w:p>
    <w:p>
      <w:pPr>
        <w:snapToGrid w:val="0"/>
        <w:spacing w:before="0" w:after="0" w:afterAutospacing="0" w:line="360" w:lineRule="auto"/>
        <w:ind w:left="0" w:right="0" w:firstLine="420"/>
        <w:jc w:val="both"/>
        <w:rPr>
          <w:rFonts w:ascii="Times New Roman" w:hAnsi="Times New Roman" w:eastAsia="仿宋" w:cs="Times New Roman"/>
          <w:color w:val="auto"/>
          <w:kern w:val="2"/>
          <w:szCs w:val="21"/>
        </w:rPr>
      </w:pPr>
      <w:r>
        <w:rPr>
          <w:rFonts w:hint="eastAsia" w:ascii="Times New Roman" w:hAnsi="Times New Roman" w:eastAsia="仿宋" w:cs="Times New Roman"/>
          <w:color w:val="auto"/>
          <w:kern w:val="2"/>
          <w:szCs w:val="21"/>
          <w:lang w:eastAsia="zh-CN"/>
        </w:rPr>
        <w:t>5.2</w:t>
      </w:r>
      <w:r>
        <w:rPr>
          <w:rFonts w:hint="eastAsia" w:ascii="Times New Roman" w:hAnsi="Times New Roman" w:eastAsia="仿宋" w:cs="Times New Roman"/>
          <w:color w:val="auto"/>
          <w:kern w:val="2"/>
          <w:szCs w:val="21"/>
        </w:rPr>
        <w:t>.1.</w:t>
      </w:r>
      <w:r>
        <w:rPr>
          <w:rFonts w:hint="eastAsia" w:ascii="Times New Roman" w:hAnsi="Times New Roman" w:eastAsia="仿宋" w:cs="Times New Roman"/>
          <w:color w:val="auto"/>
          <w:kern w:val="2"/>
          <w:szCs w:val="21"/>
          <w:lang w:val="en-US" w:eastAsia="zh-CN"/>
        </w:rPr>
        <w:t>4</w:t>
      </w:r>
      <w:r>
        <w:rPr>
          <w:rFonts w:hint="eastAsia" w:ascii="Times New Roman" w:hAnsi="Times New Roman" w:eastAsia="仿宋" w:cs="Times New Roman"/>
          <w:color w:val="auto"/>
          <w:kern w:val="2"/>
          <w:szCs w:val="21"/>
          <w:lang w:eastAsia="zh-CN"/>
        </w:rPr>
        <w:t>比选申请人</w:t>
      </w:r>
      <w:r>
        <w:rPr>
          <w:rFonts w:hint="eastAsia" w:ascii="Times New Roman" w:hAnsi="Times New Roman" w:eastAsia="仿宋" w:cs="Times New Roman"/>
          <w:color w:val="auto"/>
          <w:kern w:val="2"/>
          <w:szCs w:val="21"/>
        </w:rPr>
        <w:t>须按要求组织所有作业人员参加比选人组织的施工作业相关规章制度的培训及考试，并要求全员考试合格。</w:t>
      </w:r>
    </w:p>
    <w:p>
      <w:pPr>
        <w:snapToGrid w:val="0"/>
        <w:spacing w:before="0" w:after="0" w:afterAutospacing="0" w:line="360" w:lineRule="auto"/>
        <w:ind w:left="0" w:right="0" w:firstLine="420"/>
        <w:jc w:val="both"/>
        <w:rPr>
          <w:rFonts w:ascii="Times New Roman" w:hAnsi="Times New Roman" w:eastAsia="仿宋" w:cs="Times New Roman"/>
          <w:color w:val="auto"/>
          <w:kern w:val="2"/>
          <w:szCs w:val="21"/>
        </w:rPr>
      </w:pPr>
      <w:r>
        <w:rPr>
          <w:rFonts w:hint="eastAsia" w:ascii="Times New Roman" w:hAnsi="Times New Roman" w:eastAsia="仿宋" w:cs="Times New Roman"/>
          <w:color w:val="auto"/>
          <w:kern w:val="2"/>
          <w:szCs w:val="21"/>
          <w:lang w:eastAsia="zh-CN"/>
        </w:rPr>
        <w:t>5.2</w:t>
      </w:r>
      <w:r>
        <w:rPr>
          <w:rFonts w:hint="eastAsia" w:ascii="Times New Roman" w:hAnsi="Times New Roman" w:eastAsia="仿宋" w:cs="Times New Roman"/>
          <w:color w:val="auto"/>
          <w:kern w:val="2"/>
          <w:szCs w:val="21"/>
        </w:rPr>
        <w:t>.1.</w:t>
      </w:r>
      <w:r>
        <w:rPr>
          <w:rFonts w:hint="eastAsia" w:ascii="Times New Roman" w:hAnsi="Times New Roman" w:eastAsia="仿宋" w:cs="Times New Roman"/>
          <w:color w:val="auto"/>
          <w:kern w:val="2"/>
          <w:szCs w:val="21"/>
          <w:lang w:val="en-US" w:eastAsia="zh-CN"/>
        </w:rPr>
        <w:t>5</w:t>
      </w:r>
      <w:r>
        <w:rPr>
          <w:rFonts w:hint="eastAsia" w:ascii="Times New Roman" w:hAnsi="Times New Roman" w:eastAsia="仿宋" w:cs="Times New Roman"/>
          <w:color w:val="auto"/>
          <w:kern w:val="2"/>
          <w:szCs w:val="21"/>
        </w:rPr>
        <w:t>为保证本项目安全、顺利、高效、可靠地实施，</w:t>
      </w:r>
      <w:r>
        <w:rPr>
          <w:rFonts w:hint="eastAsia" w:ascii="Times New Roman" w:hAnsi="Times New Roman" w:eastAsia="仿宋" w:cs="Times New Roman"/>
          <w:color w:val="auto"/>
          <w:kern w:val="2"/>
          <w:szCs w:val="21"/>
          <w:lang w:eastAsia="zh-CN"/>
        </w:rPr>
        <w:t>比选申请人</w:t>
      </w:r>
      <w:r>
        <w:rPr>
          <w:rFonts w:hint="eastAsia" w:ascii="Times New Roman" w:hAnsi="Times New Roman" w:eastAsia="仿宋" w:cs="Times New Roman"/>
          <w:color w:val="auto"/>
          <w:kern w:val="2"/>
          <w:szCs w:val="21"/>
        </w:rPr>
        <w:t>需针对本项目配置专门的施工负责人及施工人员。</w:t>
      </w:r>
    </w:p>
    <w:p>
      <w:pPr>
        <w:keepNext/>
        <w:numPr>
          <w:ilvl w:val="2"/>
          <w:numId w:val="7"/>
        </w:numPr>
        <w:spacing w:before="120" w:after="120"/>
        <w:outlineLvl w:val="2"/>
        <w:rPr>
          <w:rFonts w:hint="eastAsia" w:ascii="Times New Roman" w:hAnsi="Times New Roman" w:eastAsia="仿宋" w:cs="Times New Roman"/>
          <w:b/>
          <w:color w:val="auto"/>
          <w:kern w:val="0"/>
          <w:sz w:val="28"/>
          <w:szCs w:val="28"/>
          <w:lang w:val="en-GB" w:eastAsia="zh-CN" w:bidi="ar-SA"/>
        </w:rPr>
      </w:pPr>
      <w:bookmarkStart w:id="1157" w:name="_Toc19875"/>
      <w:r>
        <w:rPr>
          <w:rFonts w:hint="eastAsia" w:ascii="Times New Roman" w:hAnsi="Times New Roman" w:eastAsia="仿宋" w:cs="Times New Roman"/>
          <w:b/>
          <w:color w:val="auto"/>
          <w:kern w:val="0"/>
          <w:sz w:val="28"/>
          <w:szCs w:val="28"/>
          <w:lang w:val="en-GB" w:eastAsia="zh-CN" w:bidi="ar-SA"/>
        </w:rPr>
        <w:t>人员培训要求</w:t>
      </w:r>
      <w:bookmarkEnd w:id="1157"/>
    </w:p>
    <w:p>
      <w:pPr>
        <w:snapToGrid w:val="0"/>
        <w:spacing w:before="0" w:after="0" w:afterAutospacing="0" w:line="360" w:lineRule="auto"/>
        <w:ind w:left="0" w:right="0" w:firstLine="420"/>
        <w:jc w:val="both"/>
        <w:rPr>
          <w:rFonts w:ascii="Times New Roman" w:hAnsi="Times New Roman" w:eastAsia="仿宋" w:cs="Times New Roman"/>
          <w:color w:val="auto"/>
          <w:kern w:val="2"/>
          <w:szCs w:val="21"/>
        </w:rPr>
      </w:pPr>
      <w:r>
        <w:rPr>
          <w:rFonts w:hint="eastAsia" w:ascii="Times New Roman" w:hAnsi="Times New Roman" w:eastAsia="仿宋" w:cs="Times New Roman"/>
          <w:color w:val="auto"/>
          <w:kern w:val="2"/>
          <w:szCs w:val="21"/>
          <w:lang w:val="en-US" w:eastAsia="zh-CN"/>
        </w:rPr>
        <w:t>5.2</w:t>
      </w:r>
      <w:r>
        <w:rPr>
          <w:rFonts w:hint="eastAsia" w:ascii="Times New Roman" w:hAnsi="Times New Roman" w:eastAsia="仿宋" w:cs="Times New Roman"/>
          <w:color w:val="auto"/>
          <w:kern w:val="2"/>
          <w:szCs w:val="21"/>
        </w:rPr>
        <w:t>.2.1</w:t>
      </w:r>
      <w:r>
        <w:rPr>
          <w:rFonts w:hint="eastAsia" w:ascii="Times New Roman" w:hAnsi="Times New Roman" w:eastAsia="仿宋" w:cs="Times New Roman"/>
          <w:color w:val="auto"/>
          <w:kern w:val="2"/>
          <w:szCs w:val="21"/>
          <w:lang w:eastAsia="zh-CN"/>
        </w:rPr>
        <w:t>比选申请人</w:t>
      </w:r>
      <w:r>
        <w:rPr>
          <w:rFonts w:hint="eastAsia" w:ascii="Times New Roman" w:hAnsi="Times New Roman" w:eastAsia="仿宋" w:cs="Times New Roman"/>
          <w:color w:val="auto"/>
          <w:kern w:val="2"/>
          <w:szCs w:val="21"/>
        </w:rPr>
        <w:t>应该强化人员技能培训以及对比选人规章制度及文本的学习，强化危险源学习。</w:t>
      </w:r>
    </w:p>
    <w:p>
      <w:pPr>
        <w:snapToGrid w:val="0"/>
        <w:spacing w:before="0" w:after="0" w:afterAutospacing="0" w:line="360" w:lineRule="auto"/>
        <w:ind w:left="0" w:right="0" w:firstLine="420"/>
        <w:jc w:val="both"/>
        <w:rPr>
          <w:rFonts w:ascii="Times New Roman" w:hAnsi="Times New Roman" w:eastAsia="仿宋" w:cs="Times New Roman"/>
          <w:color w:val="auto"/>
          <w:kern w:val="2"/>
          <w:szCs w:val="21"/>
        </w:rPr>
      </w:pPr>
      <w:r>
        <w:rPr>
          <w:rFonts w:hint="eastAsia" w:ascii="Times New Roman" w:hAnsi="Times New Roman" w:eastAsia="仿宋" w:cs="Times New Roman"/>
          <w:color w:val="auto"/>
          <w:kern w:val="2"/>
          <w:szCs w:val="21"/>
          <w:lang w:val="en-US" w:eastAsia="zh-CN"/>
        </w:rPr>
        <w:t>5.2</w:t>
      </w:r>
      <w:r>
        <w:rPr>
          <w:rFonts w:hint="eastAsia" w:ascii="Times New Roman" w:hAnsi="Times New Roman" w:eastAsia="仿宋" w:cs="Times New Roman"/>
          <w:color w:val="auto"/>
          <w:kern w:val="2"/>
          <w:szCs w:val="21"/>
        </w:rPr>
        <w:t>.2.2</w:t>
      </w:r>
      <w:r>
        <w:rPr>
          <w:rFonts w:hint="eastAsia" w:ascii="Times New Roman" w:hAnsi="Times New Roman" w:eastAsia="仿宋" w:cs="Times New Roman"/>
          <w:color w:val="auto"/>
          <w:kern w:val="2"/>
          <w:szCs w:val="21"/>
          <w:lang w:eastAsia="zh-CN"/>
        </w:rPr>
        <w:t>比选申请人</w:t>
      </w:r>
      <w:r>
        <w:rPr>
          <w:rFonts w:hint="eastAsia" w:ascii="Times New Roman" w:hAnsi="Times New Roman" w:eastAsia="仿宋" w:cs="Times New Roman"/>
          <w:color w:val="auto"/>
          <w:kern w:val="2"/>
          <w:szCs w:val="21"/>
        </w:rPr>
        <w:t>须根据比选人提供的设施改造方案开展内部专项培训工作，熟悉改造设施所在的管辖区域及设施性能。</w:t>
      </w:r>
    </w:p>
    <w:p>
      <w:pPr>
        <w:snapToGrid w:val="0"/>
        <w:spacing w:before="0" w:after="0" w:afterAutospacing="0" w:line="360" w:lineRule="auto"/>
        <w:ind w:left="0" w:right="0" w:firstLine="420"/>
        <w:jc w:val="both"/>
        <w:rPr>
          <w:rFonts w:ascii="Times New Roman" w:hAnsi="Times New Roman" w:eastAsia="仿宋" w:cs="Times New Roman"/>
          <w:color w:val="auto"/>
          <w:kern w:val="2"/>
          <w:szCs w:val="21"/>
        </w:rPr>
      </w:pPr>
      <w:r>
        <w:rPr>
          <w:rFonts w:hint="eastAsia" w:ascii="Times New Roman" w:hAnsi="Times New Roman" w:eastAsia="仿宋" w:cs="Times New Roman"/>
          <w:color w:val="auto"/>
          <w:kern w:val="2"/>
          <w:szCs w:val="21"/>
          <w:lang w:val="en-US" w:eastAsia="zh-CN"/>
        </w:rPr>
        <w:t>5.2</w:t>
      </w:r>
      <w:r>
        <w:rPr>
          <w:rFonts w:hint="eastAsia" w:ascii="Times New Roman" w:hAnsi="Times New Roman" w:eastAsia="仿宋" w:cs="Times New Roman"/>
          <w:color w:val="auto"/>
          <w:kern w:val="2"/>
          <w:szCs w:val="21"/>
        </w:rPr>
        <w:t>.2.3</w:t>
      </w:r>
      <w:r>
        <w:rPr>
          <w:rFonts w:hint="eastAsia" w:ascii="Times New Roman" w:hAnsi="Times New Roman" w:eastAsia="仿宋" w:cs="Times New Roman"/>
          <w:color w:val="auto"/>
          <w:kern w:val="2"/>
          <w:szCs w:val="21"/>
          <w:lang w:eastAsia="zh-CN"/>
        </w:rPr>
        <w:t>比选申请人</w:t>
      </w:r>
      <w:r>
        <w:rPr>
          <w:rFonts w:hint="eastAsia" w:ascii="Times New Roman" w:hAnsi="Times New Roman" w:eastAsia="仿宋" w:cs="Times New Roman"/>
          <w:color w:val="auto"/>
          <w:kern w:val="2"/>
          <w:szCs w:val="21"/>
        </w:rPr>
        <w:t>施工人员进场后，比选人可提供安全培训，该培训不能代替比选申请人自身对施工人员的安全及技能培训。</w:t>
      </w:r>
    </w:p>
    <w:p>
      <w:pPr>
        <w:keepNext/>
        <w:numPr>
          <w:ilvl w:val="1"/>
          <w:numId w:val="7"/>
        </w:numPr>
        <w:spacing w:before="120" w:after="120" w:line="360" w:lineRule="auto"/>
        <w:outlineLvl w:val="1"/>
        <w:rPr>
          <w:rFonts w:hint="eastAsia" w:ascii="Times New Roman" w:hAnsi="Times New Roman" w:eastAsia="仿宋" w:cs="Times New Roman"/>
          <w:b/>
          <w:color w:val="auto"/>
          <w:kern w:val="0"/>
          <w:sz w:val="30"/>
          <w:szCs w:val="30"/>
          <w:lang w:val="en-GB" w:eastAsia="zh-CN" w:bidi="ar-SA"/>
        </w:rPr>
      </w:pPr>
      <w:bookmarkStart w:id="1158" w:name="_Toc6148"/>
      <w:bookmarkStart w:id="1159" w:name="_Toc9510"/>
      <w:r>
        <w:rPr>
          <w:rFonts w:hint="eastAsia" w:ascii="Times New Roman" w:hAnsi="Times New Roman" w:eastAsia="仿宋" w:cs="Times New Roman"/>
          <w:b/>
          <w:color w:val="auto"/>
          <w:kern w:val="0"/>
          <w:sz w:val="30"/>
          <w:szCs w:val="30"/>
          <w:lang w:val="en-GB" w:eastAsia="zh-CN" w:bidi="ar-SA"/>
        </w:rPr>
        <w:t>劳保用品及工器具配置要求</w:t>
      </w:r>
      <w:bookmarkEnd w:id="1158"/>
      <w:bookmarkEnd w:id="1159"/>
    </w:p>
    <w:p>
      <w:pPr>
        <w:keepNext/>
        <w:numPr>
          <w:ilvl w:val="2"/>
          <w:numId w:val="7"/>
        </w:numPr>
        <w:spacing w:before="120" w:after="120"/>
        <w:outlineLvl w:val="2"/>
        <w:rPr>
          <w:rFonts w:hint="eastAsia" w:ascii="Times New Roman" w:hAnsi="Times New Roman" w:eastAsia="仿宋" w:cs="Times New Roman"/>
          <w:b/>
          <w:color w:val="auto"/>
          <w:kern w:val="0"/>
          <w:sz w:val="28"/>
          <w:szCs w:val="28"/>
          <w:lang w:val="en-GB" w:eastAsia="zh-CN" w:bidi="ar-SA"/>
        </w:rPr>
      </w:pPr>
      <w:bookmarkStart w:id="1160" w:name="_Toc32346"/>
      <w:r>
        <w:rPr>
          <w:rFonts w:hint="eastAsia" w:ascii="Times New Roman" w:hAnsi="Times New Roman" w:eastAsia="仿宋" w:cs="Times New Roman"/>
          <w:b/>
          <w:color w:val="auto"/>
          <w:kern w:val="0"/>
          <w:sz w:val="28"/>
          <w:szCs w:val="28"/>
          <w:lang w:val="en-GB" w:eastAsia="zh-CN" w:bidi="ar-SA"/>
        </w:rPr>
        <w:t>劳保用品配置要求</w:t>
      </w:r>
      <w:bookmarkEnd w:id="1160"/>
    </w:p>
    <w:p>
      <w:pPr>
        <w:snapToGrid w:val="0"/>
        <w:spacing w:before="0" w:after="0" w:afterAutospacing="0" w:line="360" w:lineRule="auto"/>
        <w:ind w:left="0" w:right="0" w:firstLine="420"/>
        <w:jc w:val="both"/>
        <w:rPr>
          <w:rFonts w:ascii="Times New Roman" w:hAnsi="Times New Roman" w:eastAsia="仿宋" w:cs="Times New Roman"/>
          <w:color w:val="auto"/>
          <w:kern w:val="2"/>
          <w:szCs w:val="21"/>
        </w:rPr>
      </w:pPr>
      <w:r>
        <w:rPr>
          <w:rFonts w:hint="eastAsia" w:ascii="Times New Roman" w:hAnsi="Times New Roman" w:eastAsia="仿宋" w:cs="Times New Roman"/>
          <w:color w:val="auto"/>
          <w:kern w:val="2"/>
          <w:szCs w:val="21"/>
          <w:lang w:val="en-US" w:eastAsia="zh-CN"/>
        </w:rPr>
        <w:t>5</w:t>
      </w:r>
      <w:r>
        <w:rPr>
          <w:rFonts w:hint="eastAsia" w:ascii="Times New Roman" w:hAnsi="Times New Roman" w:eastAsia="仿宋" w:cs="Times New Roman"/>
          <w:color w:val="auto"/>
          <w:kern w:val="2"/>
          <w:szCs w:val="21"/>
        </w:rPr>
        <w:t>.3.1.1</w:t>
      </w:r>
      <w:r>
        <w:rPr>
          <w:rFonts w:hint="eastAsia" w:ascii="Times New Roman" w:hAnsi="Times New Roman" w:eastAsia="仿宋" w:cs="Times New Roman"/>
          <w:color w:val="auto"/>
          <w:kern w:val="2"/>
          <w:szCs w:val="21"/>
          <w:lang w:eastAsia="zh-CN"/>
        </w:rPr>
        <w:t>比选申请人</w:t>
      </w:r>
      <w:r>
        <w:rPr>
          <w:rFonts w:hint="eastAsia" w:ascii="Times New Roman" w:hAnsi="Times New Roman" w:eastAsia="仿宋" w:cs="Times New Roman"/>
          <w:color w:val="auto"/>
          <w:kern w:val="2"/>
          <w:szCs w:val="21"/>
        </w:rPr>
        <w:t>应为施工人员配置统一着装及劳保防护用品，劳保防护用品须满足国家、行业标准，劳保防护用品配置数量与使用期限按照比选人相关要求执行。</w:t>
      </w:r>
    </w:p>
    <w:p>
      <w:pPr>
        <w:snapToGrid w:val="0"/>
        <w:spacing w:before="0" w:after="0" w:afterAutospacing="0" w:line="360" w:lineRule="auto"/>
        <w:ind w:left="0" w:right="0" w:firstLine="420"/>
        <w:jc w:val="both"/>
        <w:rPr>
          <w:rFonts w:ascii="Times New Roman" w:hAnsi="Times New Roman" w:eastAsia="仿宋" w:cs="Times New Roman"/>
          <w:color w:val="auto"/>
          <w:kern w:val="2"/>
          <w:szCs w:val="21"/>
        </w:rPr>
      </w:pPr>
      <w:r>
        <w:rPr>
          <w:rFonts w:hint="eastAsia" w:ascii="Times New Roman" w:hAnsi="Times New Roman" w:eastAsia="仿宋" w:cs="Times New Roman"/>
          <w:color w:val="auto"/>
          <w:kern w:val="2"/>
          <w:szCs w:val="21"/>
          <w:lang w:val="en-US" w:eastAsia="zh-CN"/>
        </w:rPr>
        <w:t>5</w:t>
      </w:r>
      <w:r>
        <w:rPr>
          <w:rFonts w:hint="eastAsia" w:ascii="Times New Roman" w:hAnsi="Times New Roman" w:eastAsia="仿宋" w:cs="Times New Roman"/>
          <w:color w:val="auto"/>
          <w:kern w:val="2"/>
          <w:szCs w:val="21"/>
        </w:rPr>
        <w:t>.3.1.2防护、劳保用品须在人员进场作业前到位，报比选人备案。</w:t>
      </w:r>
    </w:p>
    <w:p>
      <w:pPr>
        <w:keepNext/>
        <w:numPr>
          <w:ilvl w:val="1"/>
          <w:numId w:val="7"/>
        </w:numPr>
        <w:spacing w:before="120" w:after="120" w:line="360" w:lineRule="auto"/>
        <w:outlineLvl w:val="1"/>
        <w:rPr>
          <w:rFonts w:hint="eastAsia" w:ascii="Times New Roman" w:hAnsi="Times New Roman" w:eastAsia="仿宋" w:cs="Times New Roman"/>
          <w:b/>
          <w:color w:val="auto"/>
          <w:kern w:val="0"/>
          <w:sz w:val="30"/>
          <w:szCs w:val="30"/>
          <w:lang w:val="en-GB" w:eastAsia="zh-CN" w:bidi="ar-SA"/>
        </w:rPr>
      </w:pPr>
      <w:bookmarkStart w:id="1161" w:name="_Toc6643"/>
      <w:bookmarkStart w:id="1162" w:name="_Toc19213"/>
      <w:bookmarkStart w:id="1163" w:name="_Toc3353"/>
      <w:bookmarkStart w:id="1164" w:name="_Toc30438"/>
      <w:bookmarkStart w:id="1165" w:name="_Toc15467"/>
      <w:bookmarkStart w:id="1166" w:name="_Toc238"/>
      <w:bookmarkStart w:id="1167" w:name="_Toc28555"/>
      <w:bookmarkStart w:id="1168" w:name="_Toc26933"/>
      <w:bookmarkStart w:id="1169" w:name="_Toc22634"/>
      <w:bookmarkStart w:id="1170" w:name="_Toc21290"/>
      <w:bookmarkStart w:id="1171" w:name="_Toc17108"/>
      <w:bookmarkStart w:id="1172" w:name="_Toc27208"/>
      <w:bookmarkStart w:id="1173" w:name="_Toc18412"/>
      <w:r>
        <w:rPr>
          <w:rFonts w:hint="eastAsia" w:ascii="Times New Roman" w:hAnsi="Times New Roman" w:eastAsia="仿宋" w:cs="Times New Roman"/>
          <w:b/>
          <w:color w:val="auto"/>
          <w:kern w:val="0"/>
          <w:sz w:val="30"/>
          <w:szCs w:val="30"/>
          <w:lang w:val="en-GB" w:eastAsia="zh-CN" w:bidi="ar-SA"/>
        </w:rPr>
        <w:t>项目质量管理</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keepNext/>
        <w:numPr>
          <w:ilvl w:val="2"/>
          <w:numId w:val="7"/>
        </w:numPr>
        <w:spacing w:before="120" w:after="120"/>
        <w:outlineLvl w:val="2"/>
        <w:rPr>
          <w:rFonts w:hint="eastAsia" w:ascii="Times New Roman" w:hAnsi="Times New Roman" w:eastAsia="仿宋" w:cs="Times New Roman"/>
          <w:b/>
          <w:color w:val="auto"/>
          <w:kern w:val="0"/>
          <w:sz w:val="28"/>
          <w:szCs w:val="28"/>
          <w:lang w:val="en-GB" w:eastAsia="zh-CN" w:bidi="ar-SA"/>
        </w:rPr>
      </w:pPr>
      <w:bookmarkStart w:id="1174" w:name="_Toc15934"/>
      <w:r>
        <w:rPr>
          <w:rFonts w:hint="eastAsia" w:ascii="Times New Roman" w:hAnsi="Times New Roman" w:eastAsia="仿宋" w:cs="Times New Roman"/>
          <w:b/>
          <w:color w:val="auto"/>
          <w:kern w:val="0"/>
          <w:sz w:val="28"/>
          <w:szCs w:val="28"/>
          <w:lang w:val="en-GB" w:eastAsia="zh-CN" w:bidi="ar-SA"/>
        </w:rPr>
        <w:t>现场成品保护要求</w:t>
      </w:r>
      <w:bookmarkEnd w:id="1174"/>
    </w:p>
    <w:p>
      <w:pPr>
        <w:snapToGrid w:val="0"/>
        <w:spacing w:before="0" w:after="0" w:afterAutospacing="0" w:line="360" w:lineRule="auto"/>
        <w:ind w:left="0" w:right="0" w:firstLine="420"/>
        <w:jc w:val="both"/>
        <w:rPr>
          <w:rFonts w:ascii="Times New Roman" w:hAnsi="Times New Roman" w:eastAsia="仿宋" w:cs="Times New Roman"/>
          <w:color w:val="auto"/>
          <w:kern w:val="2"/>
          <w:szCs w:val="21"/>
        </w:rPr>
      </w:pPr>
      <w:r>
        <w:rPr>
          <w:rFonts w:hint="eastAsia" w:ascii="Times New Roman" w:hAnsi="Times New Roman" w:eastAsia="仿宋" w:cs="Times New Roman"/>
          <w:color w:val="auto"/>
          <w:kern w:val="2"/>
          <w:szCs w:val="21"/>
          <w:lang w:eastAsia="zh-CN"/>
        </w:rPr>
        <w:t>比选申请人</w:t>
      </w:r>
      <w:r>
        <w:rPr>
          <w:rFonts w:hint="eastAsia" w:ascii="Times New Roman" w:hAnsi="Times New Roman" w:eastAsia="仿宋" w:cs="Times New Roman"/>
          <w:color w:val="auto"/>
          <w:kern w:val="2"/>
          <w:szCs w:val="21"/>
        </w:rPr>
        <w:t>应遵守国家或地方政府及有关部门对施工现场管理的规定，妥善保护好施工现场周围建筑物、设备管线不受损坏。做好施工现场保卫和垃圾消纳等工作，处理好由于施工带来的扰民问题。</w:t>
      </w:r>
    </w:p>
    <w:p>
      <w:pPr>
        <w:keepNext/>
        <w:numPr>
          <w:ilvl w:val="2"/>
          <w:numId w:val="7"/>
        </w:numPr>
        <w:spacing w:before="120" w:after="120"/>
        <w:outlineLvl w:val="2"/>
        <w:rPr>
          <w:rFonts w:hint="eastAsia" w:ascii="Times New Roman" w:hAnsi="Times New Roman" w:eastAsia="仿宋" w:cs="Times New Roman"/>
          <w:b/>
          <w:color w:val="auto"/>
          <w:kern w:val="0"/>
          <w:sz w:val="28"/>
          <w:szCs w:val="28"/>
          <w:lang w:val="en-GB" w:eastAsia="zh-CN" w:bidi="ar-SA"/>
        </w:rPr>
      </w:pPr>
      <w:bookmarkStart w:id="1175" w:name="_Toc26124"/>
      <w:r>
        <w:rPr>
          <w:rFonts w:hint="eastAsia" w:ascii="Times New Roman" w:hAnsi="Times New Roman" w:eastAsia="仿宋" w:cs="Times New Roman"/>
          <w:b/>
          <w:color w:val="auto"/>
          <w:kern w:val="0"/>
          <w:sz w:val="28"/>
          <w:szCs w:val="28"/>
          <w:lang w:val="en-GB" w:eastAsia="zh-CN" w:bidi="ar-SA"/>
        </w:rPr>
        <w:t>质量控制措施</w:t>
      </w:r>
      <w:bookmarkEnd w:id="1175"/>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bookmarkStart w:id="1176" w:name="_Toc3357"/>
      <w:bookmarkStart w:id="1177" w:name="_Toc14257646"/>
      <w:bookmarkStart w:id="1178" w:name="_Toc22612"/>
      <w:bookmarkStart w:id="1179" w:name="_Toc16812"/>
      <w:bookmarkStart w:id="1180" w:name="_Toc24438"/>
      <w:bookmarkStart w:id="1181" w:name="_Toc14261369"/>
      <w:bookmarkStart w:id="1182" w:name="_Toc14020722"/>
      <w:bookmarkStart w:id="1183" w:name="_Toc9752"/>
      <w:bookmarkStart w:id="1184" w:name="_Toc14018201"/>
      <w:r>
        <w:rPr>
          <w:rFonts w:hint="eastAsia" w:ascii="Times New Roman" w:hAnsi="Times New Roman" w:eastAsia="仿宋" w:cs="Times New Roman"/>
          <w:color w:val="auto"/>
          <w:kern w:val="2"/>
          <w:szCs w:val="21"/>
          <w:lang w:val="en-US" w:eastAsia="zh-CN"/>
        </w:rPr>
        <w:t>5.4.3.1项目主要工作内容</w:t>
      </w:r>
      <w:bookmarkEnd w:id="1176"/>
      <w:bookmarkEnd w:id="1177"/>
      <w:bookmarkEnd w:id="1178"/>
      <w:bookmarkEnd w:id="1179"/>
      <w:bookmarkEnd w:id="1180"/>
      <w:bookmarkEnd w:id="1181"/>
      <w:bookmarkEnd w:id="1182"/>
      <w:bookmarkEnd w:id="1183"/>
      <w:bookmarkEnd w:id="1184"/>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比选申请人必须根据比选人提供的安全生产管理规章制度、施工管理制度等相关要求进行项目取景的拍摄作业，严禁操作站厅、站台、设备房及区间的各类设备。</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5.4.3.2比选申请人必须认真贯彻执行比选人的质量保证体系。认真对待每一项施工工作，确保施工质量。</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5.4.3.3比选申请人项目管理人员、施工人员必须配备手机、电话、传真机等通讯工具，并确保24小时通讯畅通，不得以任何理由拒绝接听比选人电话。</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5.4.3.4比选申请人必须加强对员工的质量意识教育，充分调动所有人员的积极性，增强作业人员的责任感，抓好作业过程中的质量控制，加大质量管理和质量检验力度，接受比选人的检查及监督。</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5.4.3.5比选申请人必须保证施工管理标准化、规范化，保证所提供的服务与有关的技术要求规定一致，确保施工质量。</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5.4.3.6施工过程中发生的质量问题或质量事故,比选申请人要及时报告比选人并及时制定处理方案，经比选人相关部门审批后组织实施。</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5.4.3.7根据本改造项目的特点，分析和预测影响施工质量的薄弱环节，采取有效的预防措施，以保证施工质量。</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5.4.3.8比选申请人须配合好比选人对其施工质量的检查。</w:t>
      </w:r>
    </w:p>
    <w:p>
      <w:pPr>
        <w:keepNext/>
        <w:numPr>
          <w:ilvl w:val="1"/>
          <w:numId w:val="7"/>
        </w:numPr>
        <w:spacing w:before="120" w:after="120" w:line="360" w:lineRule="auto"/>
        <w:outlineLvl w:val="1"/>
        <w:rPr>
          <w:rFonts w:hint="eastAsia" w:ascii="Times New Roman" w:hAnsi="Times New Roman" w:eastAsia="仿宋" w:cs="Times New Roman"/>
          <w:b/>
          <w:color w:val="auto"/>
          <w:kern w:val="0"/>
          <w:sz w:val="30"/>
          <w:szCs w:val="30"/>
          <w:lang w:val="en-GB" w:eastAsia="zh-CN" w:bidi="ar-SA"/>
        </w:rPr>
      </w:pPr>
      <w:bookmarkStart w:id="1185" w:name="_Toc28746"/>
      <w:bookmarkStart w:id="1186" w:name="_Toc20949"/>
      <w:bookmarkStart w:id="1187" w:name="_Toc9373"/>
      <w:bookmarkStart w:id="1188" w:name="_Toc22507"/>
      <w:bookmarkStart w:id="1189" w:name="_Toc29825"/>
      <w:bookmarkStart w:id="1190" w:name="_Toc709"/>
      <w:bookmarkStart w:id="1191" w:name="_Toc16851"/>
      <w:bookmarkStart w:id="1192" w:name="_Toc4290"/>
      <w:bookmarkStart w:id="1193" w:name="_Toc22500"/>
      <w:bookmarkStart w:id="1194" w:name="_Toc23640"/>
      <w:bookmarkStart w:id="1195" w:name="_Toc14795"/>
      <w:bookmarkStart w:id="1196" w:name="_Toc26964"/>
      <w:bookmarkStart w:id="1197" w:name="_Toc5607"/>
      <w:r>
        <w:rPr>
          <w:rFonts w:hint="eastAsia" w:ascii="Times New Roman" w:hAnsi="Times New Roman" w:eastAsia="仿宋" w:cs="Times New Roman"/>
          <w:b/>
          <w:color w:val="auto"/>
          <w:kern w:val="0"/>
          <w:sz w:val="30"/>
          <w:szCs w:val="30"/>
          <w:lang w:val="en-GB" w:eastAsia="zh-CN" w:bidi="ar-SA"/>
        </w:rPr>
        <w:t>项目安全管理</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5.5.1严格遵守执行国家、地方、行业与信息安全相关的法律、法规、规范、规程、标准及比选人规章制度等各项管理制度和规定。遵守南宁轨道交通信息安全管理相关规章制度，比选申请人按照比选人相关信息安全的要求组建信息安全管理体系。</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5.5.2比选申请人严格按照相关的管理规定进行权限管理，在比选人监管下方可登录系统操作，未经比选人允许不能向第三方泄露项目相关数据信息，做好信息保密相关工作，对项目成员进行保密教育，对因比选申请人导致比选人信息泄露的造成的所有损失均由比选申请人自行负责。</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5.5.3在正常服务作业过程中凡比选申请人人员出现伤亡情况及因此导致的所有损失均由比选申请人自行负责。由于事故造成比选人或第三方人身伤亡或财产损失，由比选申请人承担责任。产生诉讼的，比选申请人应独立应诉，承担一切诉讼后果，且比选人仍对比选申请人进行考核。</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5.5.4比选申请人对合同范围内所有工作失误或渎职而引发的事故负全部责任，承担因此给比选人造成的直接和间接经济损失，且比选人仍需对其进行考核。</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5.5.5比选申请人须遵守比选人对运营安全、服务、消防等管理方法和规章制度等相关规定和服务质量应严格按照运营管理和服务质量要求执行，接受比选人考核，并达到比选人的标准和考核要求。遵守比选人所有规章制度、作业流程以及安全规定。对比选人下发的文件、通知及会议纪要中的要求应无条件执行。</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5.5.6实行责任制，比选申请人应定期进行安全培训，并无条件配合比选人执行项目范围内应急预案的现场处理。</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5.5.7比选人将不定期开展项目安全技术措施的执行情况检查，并做好记录。对违反治安要求者，上报并依据制度进行处罚。</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5.5.8加强安全实施的思想教育，提高技术人员安全第一的责任感。把安全生产作为工程质量和创效益的基础保证。安全要求做到人手一份，以便监督执行。</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5.5.9树立“安全第一、预防为主”的思想，做到：“不违章指挥、不违章操作、不伤害自己、不被别人伤害”，提高职工整体安全防护意识和自我防护能力。施工前比选申请人技术负责人和技术人员必须了解工作地点的设备设施状况，作业安全要点，做好安全防护、专用接电、消防设备的置放等措施。</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5.5.10技术人员进入实施现场，必须按要求穿戴工作服；严禁赤脚或穿拖鞋和着装不整的人员进入施工现场。不听劝告者禁止进入实施现场。对于实施材料必须按规定统一放置在指定的位置统一保管；若需动火作业，按《运营分公司消防安全管理办法》进行办理动火令，并按动火作业安全规定进行作业。</w:t>
      </w:r>
    </w:p>
    <w:p>
      <w:pPr>
        <w:snapToGrid w:val="0"/>
        <w:spacing w:before="0" w:after="0" w:afterAutospacing="0" w:line="360" w:lineRule="auto"/>
        <w:ind w:left="0" w:right="0" w:firstLine="420"/>
        <w:jc w:val="both"/>
        <w:rPr>
          <w:rFonts w:hint="default"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5.5.11严格执行《运营分公司作业通用安全实施守则》，按照进出轨行区、设备房的安全要求及规定进行作业。</w:t>
      </w:r>
    </w:p>
    <w:p>
      <w:pPr>
        <w:snapToGrid w:val="0"/>
        <w:spacing w:before="0" w:after="0" w:afterAutospacing="0" w:line="360" w:lineRule="auto"/>
        <w:ind w:left="0" w:right="0" w:firstLine="420"/>
        <w:jc w:val="both"/>
        <w:rPr>
          <w:rFonts w:hint="default"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5.5.12严格执行《运营分公司施工管理规定》，按照批准的轨行区作业区域内进行施工，严禁进入非施工作业区域或夸区域作业。</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5.5.13比选申请人技术负责人必须做好当日清工清场的检查。若进入地铁实施现场，比选申请人必须严格执行请销点制度，以防事故的发生。</w:t>
      </w:r>
    </w:p>
    <w:p>
      <w:pPr>
        <w:keepNext/>
        <w:numPr>
          <w:ilvl w:val="1"/>
          <w:numId w:val="7"/>
        </w:numPr>
        <w:spacing w:before="120" w:after="120" w:line="360" w:lineRule="auto"/>
        <w:outlineLvl w:val="1"/>
        <w:rPr>
          <w:rFonts w:hint="eastAsia" w:ascii="Times New Roman" w:hAnsi="Times New Roman" w:eastAsia="仿宋" w:cs="Times New Roman"/>
          <w:b/>
          <w:color w:val="auto"/>
          <w:kern w:val="0"/>
          <w:sz w:val="30"/>
          <w:szCs w:val="30"/>
          <w:lang w:val="en-GB" w:eastAsia="zh-CN" w:bidi="ar-SA"/>
        </w:rPr>
      </w:pPr>
      <w:bookmarkStart w:id="1198" w:name="_Toc7332"/>
      <w:bookmarkStart w:id="1199" w:name="_Toc14750"/>
      <w:r>
        <w:rPr>
          <w:rFonts w:hint="eastAsia" w:ascii="Times New Roman" w:hAnsi="Times New Roman" w:eastAsia="仿宋" w:cs="Times New Roman"/>
          <w:b/>
          <w:color w:val="auto"/>
          <w:kern w:val="0"/>
          <w:sz w:val="30"/>
          <w:szCs w:val="30"/>
          <w:lang w:val="en-GB" w:eastAsia="zh-CN" w:bidi="ar-SA"/>
        </w:rPr>
        <w:t>知识产权</w:t>
      </w:r>
      <w:bookmarkEnd w:id="1198"/>
      <w:bookmarkEnd w:id="1199"/>
    </w:p>
    <w:p>
      <w:pPr>
        <w:snapToGrid w:val="0"/>
        <w:spacing w:before="0" w:after="0" w:afterAutospacing="0" w:line="360" w:lineRule="auto"/>
        <w:ind w:left="0" w:right="0" w:firstLine="420"/>
        <w:jc w:val="both"/>
        <w:rPr>
          <w:rFonts w:ascii="Times New Roman" w:hAnsi="Times New Roman" w:eastAsia="仿宋" w:cs="Times New Roman"/>
          <w:color w:val="auto"/>
          <w:kern w:val="2"/>
          <w:szCs w:val="21"/>
        </w:rPr>
      </w:pPr>
      <w:r>
        <w:rPr>
          <w:rFonts w:hint="eastAsia" w:ascii="Times New Roman" w:hAnsi="Times New Roman" w:eastAsia="仿宋" w:cs="Times New Roman"/>
          <w:color w:val="auto"/>
          <w:kern w:val="2"/>
          <w:szCs w:val="21"/>
          <w:lang w:eastAsia="zh-CN"/>
        </w:rPr>
        <w:t>5.6</w:t>
      </w:r>
      <w:r>
        <w:rPr>
          <w:rFonts w:hint="eastAsia" w:ascii="Times New Roman" w:hAnsi="Times New Roman" w:eastAsia="仿宋" w:cs="Times New Roman"/>
          <w:color w:val="auto"/>
          <w:kern w:val="2"/>
          <w:szCs w:val="21"/>
        </w:rPr>
        <w:t>.1因比选申请人为实施本合同而向比选人提供的任何产品、资料、物件及服务引起的知识产权纠纷，由比选申请人承担由此引起的一切法律和经济上的责任。</w:t>
      </w:r>
    </w:p>
    <w:p>
      <w:pPr>
        <w:snapToGrid w:val="0"/>
        <w:spacing w:before="0" w:after="0" w:afterAutospacing="0" w:line="360" w:lineRule="auto"/>
        <w:ind w:left="0" w:right="0" w:firstLine="420"/>
        <w:jc w:val="both"/>
        <w:rPr>
          <w:rFonts w:ascii="Times New Roman" w:hAnsi="Times New Roman" w:eastAsia="仿宋" w:cs="Times New Roman"/>
          <w:color w:val="auto"/>
          <w:kern w:val="2"/>
          <w:szCs w:val="21"/>
        </w:rPr>
      </w:pPr>
      <w:r>
        <w:rPr>
          <w:rFonts w:hint="eastAsia" w:ascii="Times New Roman" w:hAnsi="Times New Roman" w:eastAsia="仿宋" w:cs="Times New Roman"/>
          <w:color w:val="auto"/>
          <w:kern w:val="2"/>
          <w:szCs w:val="21"/>
          <w:lang w:eastAsia="zh-CN"/>
        </w:rPr>
        <w:t>5.6</w:t>
      </w:r>
      <w:r>
        <w:rPr>
          <w:rFonts w:hint="eastAsia" w:ascii="Times New Roman" w:hAnsi="Times New Roman" w:eastAsia="仿宋" w:cs="Times New Roman"/>
          <w:color w:val="auto"/>
          <w:kern w:val="2"/>
          <w:szCs w:val="21"/>
        </w:rPr>
        <w:t>.2比选申请人保证依据本合同所提供的任何产品、资料、物件及服务均不构成对第三方合法权益的侵犯，包括但不限于知识产权。即比选人在中国使用</w:t>
      </w:r>
      <w:r>
        <w:rPr>
          <w:rFonts w:hint="eastAsia" w:ascii="Times New Roman" w:hAnsi="Times New Roman" w:eastAsia="仿宋" w:cs="Times New Roman"/>
          <w:color w:val="auto"/>
          <w:kern w:val="2"/>
          <w:szCs w:val="21"/>
          <w:lang w:eastAsia="zh-CN"/>
        </w:rPr>
        <w:t>比选申请人</w:t>
      </w:r>
      <w:r>
        <w:rPr>
          <w:rFonts w:hint="eastAsia" w:ascii="Times New Roman" w:hAnsi="Times New Roman" w:eastAsia="仿宋" w:cs="Times New Roman"/>
          <w:color w:val="auto"/>
          <w:kern w:val="2"/>
          <w:szCs w:val="21"/>
        </w:rPr>
        <w:t>提供的产品、产品的任何一部分，资料或服务时，免受第三方提出的侵犯其专利权、商标权、工业设计权和其他知识产权的起诉。</w:t>
      </w:r>
    </w:p>
    <w:p>
      <w:pPr>
        <w:snapToGrid w:val="0"/>
        <w:spacing w:before="0" w:after="0" w:afterAutospacing="0" w:line="360" w:lineRule="auto"/>
        <w:ind w:left="0" w:right="0" w:firstLine="420"/>
        <w:jc w:val="both"/>
        <w:rPr>
          <w:rFonts w:ascii="Times New Roman" w:hAnsi="Times New Roman" w:eastAsia="仿宋" w:cs="Times New Roman"/>
          <w:color w:val="auto"/>
          <w:kern w:val="2"/>
          <w:szCs w:val="21"/>
        </w:rPr>
      </w:pPr>
      <w:r>
        <w:rPr>
          <w:rFonts w:hint="eastAsia" w:ascii="Times New Roman" w:hAnsi="Times New Roman" w:eastAsia="仿宋" w:cs="Times New Roman"/>
          <w:color w:val="auto"/>
          <w:kern w:val="2"/>
          <w:szCs w:val="21"/>
          <w:lang w:eastAsia="zh-CN"/>
        </w:rPr>
        <w:t>5.6</w:t>
      </w:r>
      <w:r>
        <w:rPr>
          <w:rFonts w:hint="eastAsia" w:ascii="Times New Roman" w:hAnsi="Times New Roman" w:eastAsia="仿宋" w:cs="Times New Roman"/>
          <w:color w:val="auto"/>
          <w:kern w:val="2"/>
          <w:szCs w:val="21"/>
        </w:rPr>
        <w:t>.3比选申请人为实施本合同及其缺陷修补，需使用第三人专利，专有技术、技术秘密、商业秘密、著作权、商标权等知识产权的，在签订合同时，应向比选人说明知识产权的权利人，名称等权利状况，相应知识产权使用费由</w:t>
      </w:r>
      <w:r>
        <w:rPr>
          <w:rFonts w:hint="eastAsia" w:ascii="Times New Roman" w:hAnsi="Times New Roman" w:eastAsia="仿宋" w:cs="Times New Roman"/>
          <w:color w:val="auto"/>
          <w:kern w:val="2"/>
          <w:szCs w:val="21"/>
          <w:lang w:eastAsia="zh-CN"/>
        </w:rPr>
        <w:t>比选申请人</w:t>
      </w:r>
      <w:r>
        <w:rPr>
          <w:rFonts w:hint="eastAsia" w:ascii="Times New Roman" w:hAnsi="Times New Roman" w:eastAsia="仿宋" w:cs="Times New Roman"/>
          <w:color w:val="auto"/>
          <w:kern w:val="2"/>
          <w:szCs w:val="21"/>
        </w:rPr>
        <w:t>负责支付。</w:t>
      </w:r>
    </w:p>
    <w:p>
      <w:pPr>
        <w:snapToGrid w:val="0"/>
        <w:spacing w:before="0" w:after="0" w:afterAutospacing="0" w:line="360" w:lineRule="auto"/>
        <w:ind w:left="0" w:right="0" w:firstLine="420"/>
        <w:jc w:val="both"/>
        <w:rPr>
          <w:rFonts w:ascii="Times New Roman" w:hAnsi="Times New Roman" w:eastAsia="仿宋" w:cs="Times New Roman"/>
          <w:color w:val="auto"/>
          <w:kern w:val="2"/>
          <w:szCs w:val="21"/>
        </w:rPr>
      </w:pPr>
      <w:r>
        <w:rPr>
          <w:rFonts w:hint="eastAsia" w:ascii="Times New Roman" w:hAnsi="Times New Roman" w:eastAsia="仿宋" w:cs="Times New Roman"/>
          <w:color w:val="auto"/>
          <w:kern w:val="2"/>
          <w:szCs w:val="21"/>
          <w:lang w:eastAsia="zh-CN"/>
        </w:rPr>
        <w:t>5.6</w:t>
      </w:r>
      <w:r>
        <w:rPr>
          <w:rFonts w:hint="eastAsia" w:ascii="Times New Roman" w:hAnsi="Times New Roman" w:eastAsia="仿宋" w:cs="Times New Roman"/>
          <w:color w:val="auto"/>
          <w:kern w:val="2"/>
          <w:szCs w:val="21"/>
        </w:rPr>
        <w:t>.4在比选申请人履行合同过程中，需增加使用第三人专利、专有技术、技术秘密、商业秘密、著作权、商标权等知识产权的，比选申请人应取得比选人同意，所使用的知识产权应支付的费用由</w:t>
      </w:r>
      <w:r>
        <w:rPr>
          <w:rFonts w:hint="eastAsia" w:ascii="Times New Roman" w:hAnsi="Times New Roman" w:eastAsia="仿宋" w:cs="Times New Roman"/>
          <w:color w:val="auto"/>
          <w:kern w:val="2"/>
          <w:szCs w:val="21"/>
          <w:lang w:eastAsia="zh-CN"/>
        </w:rPr>
        <w:t>比选申请人</w:t>
      </w:r>
      <w:r>
        <w:rPr>
          <w:rFonts w:hint="eastAsia" w:ascii="Times New Roman" w:hAnsi="Times New Roman" w:eastAsia="仿宋" w:cs="Times New Roman"/>
          <w:color w:val="auto"/>
          <w:kern w:val="2"/>
          <w:szCs w:val="21"/>
        </w:rPr>
        <w:t>承担。</w:t>
      </w:r>
    </w:p>
    <w:p>
      <w:pPr>
        <w:snapToGrid w:val="0"/>
        <w:spacing w:before="0" w:after="0" w:afterAutospacing="0" w:line="360" w:lineRule="auto"/>
        <w:ind w:left="0" w:right="0" w:firstLine="420"/>
        <w:jc w:val="both"/>
        <w:rPr>
          <w:rFonts w:ascii="Times New Roman" w:hAnsi="Times New Roman" w:eastAsia="仿宋" w:cs="Times New Roman"/>
          <w:color w:val="auto"/>
          <w:kern w:val="2"/>
          <w:szCs w:val="21"/>
        </w:rPr>
      </w:pPr>
      <w:r>
        <w:rPr>
          <w:rFonts w:hint="eastAsia" w:ascii="Times New Roman" w:hAnsi="Times New Roman" w:eastAsia="仿宋" w:cs="Times New Roman"/>
          <w:color w:val="auto"/>
          <w:kern w:val="2"/>
          <w:szCs w:val="21"/>
          <w:lang w:eastAsia="zh-CN"/>
        </w:rPr>
        <w:t>5.6</w:t>
      </w:r>
      <w:r>
        <w:rPr>
          <w:rFonts w:hint="eastAsia" w:ascii="Times New Roman" w:hAnsi="Times New Roman" w:eastAsia="仿宋" w:cs="Times New Roman"/>
          <w:color w:val="auto"/>
          <w:kern w:val="2"/>
          <w:szCs w:val="21"/>
        </w:rPr>
        <w:t>.5因比选申请人提供的任何产品、资料、物件及服务引起的知识产权纠纷，由比选申请人负责与第三人交涉、参加诉讼、进行辩护，并承担由此引起的一切法律和经济上的责任。上述纠纷包括但不限于因</w:t>
      </w:r>
      <w:r>
        <w:rPr>
          <w:rFonts w:hint="eastAsia" w:ascii="Times New Roman" w:hAnsi="Times New Roman" w:eastAsia="仿宋" w:cs="Times New Roman"/>
          <w:color w:val="auto"/>
          <w:kern w:val="2"/>
          <w:szCs w:val="21"/>
          <w:lang w:eastAsia="zh-CN"/>
        </w:rPr>
        <w:t>比选申请人</w:t>
      </w:r>
      <w:r>
        <w:rPr>
          <w:rFonts w:hint="eastAsia" w:ascii="Times New Roman" w:hAnsi="Times New Roman" w:eastAsia="仿宋" w:cs="Times New Roman"/>
          <w:color w:val="auto"/>
          <w:kern w:val="2"/>
          <w:szCs w:val="21"/>
        </w:rPr>
        <w:t>拥有或者有权许可的知识产权存在瑕疵导致产品瑕疵引起的索赔、诉讼或损失，因上述知识产权未在中国申请知识产权保护或海关备案而引起的侵权纠纷。</w:t>
      </w:r>
    </w:p>
    <w:p>
      <w:pPr>
        <w:snapToGrid w:val="0"/>
        <w:spacing w:before="0" w:after="0" w:afterAutospacing="0" w:line="360" w:lineRule="auto"/>
        <w:ind w:left="0" w:right="0" w:firstLine="420"/>
        <w:jc w:val="both"/>
        <w:rPr>
          <w:rFonts w:ascii="Times New Roman" w:hAnsi="Times New Roman" w:eastAsia="仿宋" w:cs="Times New Roman"/>
          <w:color w:val="auto"/>
          <w:kern w:val="2"/>
          <w:szCs w:val="21"/>
        </w:rPr>
      </w:pPr>
      <w:r>
        <w:rPr>
          <w:rFonts w:hint="eastAsia" w:ascii="Times New Roman" w:hAnsi="Times New Roman" w:eastAsia="仿宋" w:cs="Times New Roman"/>
          <w:color w:val="auto"/>
          <w:kern w:val="2"/>
          <w:szCs w:val="21"/>
          <w:lang w:eastAsia="zh-CN"/>
        </w:rPr>
        <w:t>5.6</w:t>
      </w:r>
      <w:r>
        <w:rPr>
          <w:rFonts w:hint="eastAsia" w:ascii="Times New Roman" w:hAnsi="Times New Roman" w:eastAsia="仿宋" w:cs="Times New Roman"/>
          <w:color w:val="auto"/>
          <w:kern w:val="2"/>
          <w:szCs w:val="21"/>
        </w:rPr>
        <w:t>.6如</w:t>
      </w:r>
      <w:r>
        <w:rPr>
          <w:rFonts w:hint="eastAsia" w:ascii="Times New Roman" w:hAnsi="Times New Roman" w:eastAsia="仿宋" w:cs="Times New Roman"/>
          <w:color w:val="auto"/>
          <w:kern w:val="2"/>
          <w:szCs w:val="21"/>
          <w:lang w:eastAsia="zh-CN"/>
        </w:rPr>
        <w:t>比选申请人</w:t>
      </w:r>
      <w:r>
        <w:rPr>
          <w:rFonts w:hint="eastAsia" w:ascii="Times New Roman" w:hAnsi="Times New Roman" w:eastAsia="仿宋" w:cs="Times New Roman"/>
          <w:color w:val="auto"/>
          <w:kern w:val="2"/>
          <w:szCs w:val="21"/>
        </w:rPr>
        <w:t>拒绝或怠于履行上述义务的，比选人有权解除合同。比选人被第三方起诉或以其它方式追究责任，</w:t>
      </w:r>
      <w:r>
        <w:rPr>
          <w:rFonts w:hint="eastAsia" w:ascii="Times New Roman" w:hAnsi="Times New Roman" w:eastAsia="仿宋" w:cs="Times New Roman"/>
          <w:color w:val="auto"/>
          <w:kern w:val="2"/>
          <w:szCs w:val="21"/>
          <w:lang w:eastAsia="zh-CN"/>
        </w:rPr>
        <w:t>比选申请人</w:t>
      </w:r>
      <w:r>
        <w:rPr>
          <w:rFonts w:hint="eastAsia" w:ascii="Times New Roman" w:hAnsi="Times New Roman" w:eastAsia="仿宋" w:cs="Times New Roman"/>
          <w:color w:val="auto"/>
          <w:kern w:val="2"/>
          <w:szCs w:val="21"/>
        </w:rPr>
        <w:t>应赔偿因比选人被第三方索赔所引起的一切损失，包括但不限于比选人所支付的侵权损害赔偿费、律师费、诉讼费、仲裁费、办案差旅费等因应诉、沟通协调所发的一切费用。</w:t>
      </w:r>
    </w:p>
    <w:p>
      <w:pPr>
        <w:snapToGrid w:val="0"/>
        <w:spacing w:before="0" w:after="0" w:afterAutospacing="0" w:line="360" w:lineRule="auto"/>
        <w:ind w:left="0" w:right="0" w:firstLine="420"/>
        <w:jc w:val="both"/>
        <w:rPr>
          <w:rFonts w:ascii="Times New Roman" w:hAnsi="Times New Roman" w:eastAsia="仿宋" w:cs="Times New Roman"/>
          <w:color w:val="auto"/>
          <w:kern w:val="2"/>
          <w:szCs w:val="21"/>
        </w:rPr>
      </w:pPr>
      <w:r>
        <w:rPr>
          <w:rFonts w:hint="eastAsia" w:ascii="Times New Roman" w:hAnsi="Times New Roman" w:eastAsia="仿宋" w:cs="Times New Roman"/>
          <w:color w:val="auto"/>
          <w:kern w:val="2"/>
          <w:szCs w:val="21"/>
          <w:lang w:eastAsia="zh-CN"/>
        </w:rPr>
        <w:t>5.6</w:t>
      </w:r>
      <w:r>
        <w:rPr>
          <w:rFonts w:hint="eastAsia" w:ascii="Times New Roman" w:hAnsi="Times New Roman" w:eastAsia="仿宋" w:cs="Times New Roman"/>
          <w:color w:val="auto"/>
          <w:kern w:val="2"/>
          <w:szCs w:val="21"/>
        </w:rPr>
        <w:t>.7对比选人提供的一切资料，以及项目执行生成的各种记录、会议纪要、现场影像资料等做好保密，未经比选人授权不得外传。</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rPr>
      </w:pPr>
      <w:r>
        <w:rPr>
          <w:rFonts w:hint="eastAsia" w:ascii="Times New Roman" w:hAnsi="Times New Roman" w:eastAsia="仿宋" w:cs="Times New Roman"/>
          <w:color w:val="auto"/>
          <w:kern w:val="2"/>
          <w:szCs w:val="21"/>
          <w:lang w:eastAsia="zh-CN"/>
        </w:rPr>
        <w:t>5.6</w:t>
      </w:r>
      <w:r>
        <w:rPr>
          <w:rFonts w:hint="eastAsia" w:ascii="Times New Roman" w:hAnsi="Times New Roman" w:eastAsia="仿宋" w:cs="Times New Roman"/>
          <w:color w:val="auto"/>
          <w:kern w:val="2"/>
          <w:szCs w:val="21"/>
        </w:rPr>
        <w:t>.8未经比选人允许不得在网络、论坛、博客、微博、微信等媒体传播有关的照片、视频等影像资料，所造成的损失由</w:t>
      </w:r>
      <w:r>
        <w:rPr>
          <w:rFonts w:hint="eastAsia" w:ascii="Times New Roman" w:hAnsi="Times New Roman" w:eastAsia="仿宋" w:cs="Times New Roman"/>
          <w:color w:val="auto"/>
          <w:kern w:val="2"/>
          <w:szCs w:val="21"/>
          <w:lang w:eastAsia="zh-CN"/>
        </w:rPr>
        <w:t>比选申请人</w:t>
      </w:r>
      <w:r>
        <w:rPr>
          <w:rFonts w:hint="eastAsia" w:ascii="Times New Roman" w:hAnsi="Times New Roman" w:eastAsia="仿宋" w:cs="Times New Roman"/>
          <w:color w:val="auto"/>
          <w:kern w:val="2"/>
          <w:szCs w:val="21"/>
        </w:rPr>
        <w:t>承担。</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rPr>
      </w:pPr>
      <w:r>
        <w:rPr>
          <w:rFonts w:hint="eastAsia" w:ascii="Times New Roman" w:hAnsi="Times New Roman" w:eastAsia="仿宋" w:cs="Times New Roman"/>
          <w:color w:val="auto"/>
          <w:kern w:val="2"/>
          <w:szCs w:val="21"/>
          <w:lang w:val="en-US" w:eastAsia="zh-CN"/>
        </w:rPr>
        <w:t>5.6.9比选申请人</w:t>
      </w:r>
      <w:r>
        <w:rPr>
          <w:rFonts w:hint="eastAsia" w:ascii="Times New Roman" w:hAnsi="Times New Roman" w:eastAsia="仿宋" w:cs="Times New Roman"/>
          <w:color w:val="auto"/>
          <w:kern w:val="2"/>
          <w:szCs w:val="21"/>
        </w:rPr>
        <w:t>应保证其拥有货物及服务的知识产权，并保证</w:t>
      </w:r>
      <w:r>
        <w:rPr>
          <w:rFonts w:hint="eastAsia" w:ascii="Times New Roman" w:hAnsi="Times New Roman" w:eastAsia="仿宋" w:cs="Times New Roman"/>
          <w:color w:val="auto"/>
          <w:kern w:val="2"/>
          <w:szCs w:val="21"/>
          <w:lang w:val="en-US" w:eastAsia="zh-CN"/>
        </w:rPr>
        <w:t>比选</w:t>
      </w:r>
      <w:r>
        <w:rPr>
          <w:rFonts w:hint="eastAsia" w:ascii="Times New Roman" w:hAnsi="Times New Roman" w:eastAsia="仿宋" w:cs="Times New Roman"/>
          <w:color w:val="auto"/>
          <w:kern w:val="2"/>
          <w:szCs w:val="21"/>
        </w:rPr>
        <w:t>人在中华人民共和国使用货物及服务或其任何一部分时，免受第三方提出侵犯其任何专利权、著作权、注册商标专有使用权、计算机软件版权或反不正当竞争的起诉及索赔。否则，由此而引起的所有责任及费用由</w:t>
      </w:r>
      <w:r>
        <w:rPr>
          <w:rFonts w:hint="eastAsia" w:ascii="Times New Roman" w:hAnsi="Times New Roman" w:eastAsia="仿宋" w:cs="Times New Roman"/>
          <w:color w:val="auto"/>
          <w:kern w:val="2"/>
          <w:szCs w:val="21"/>
          <w:lang w:val="en-US" w:eastAsia="zh-CN"/>
        </w:rPr>
        <w:t>比选申请</w:t>
      </w:r>
      <w:r>
        <w:rPr>
          <w:rFonts w:hint="eastAsia" w:ascii="Times New Roman" w:hAnsi="Times New Roman" w:eastAsia="仿宋" w:cs="Times New Roman"/>
          <w:color w:val="auto"/>
          <w:kern w:val="2"/>
          <w:szCs w:val="21"/>
        </w:rPr>
        <w:t>人承担。</w:t>
      </w:r>
    </w:p>
    <w:p>
      <w:pPr>
        <w:snapToGrid w:val="0"/>
        <w:spacing w:before="0" w:after="0" w:afterAutospacing="0" w:line="360" w:lineRule="auto"/>
        <w:ind w:left="0" w:right="0" w:firstLine="420"/>
        <w:jc w:val="both"/>
        <w:rPr>
          <w:rFonts w:ascii="Times New Roman" w:hAnsi="Times New Roman" w:eastAsia="仿宋" w:cs="Times New Roman"/>
          <w:color w:val="auto"/>
          <w:kern w:val="2"/>
          <w:szCs w:val="21"/>
        </w:rPr>
      </w:pPr>
      <w:r>
        <w:rPr>
          <w:rFonts w:hint="eastAsia" w:ascii="Times New Roman" w:hAnsi="Times New Roman" w:eastAsia="仿宋" w:cs="Times New Roman"/>
          <w:color w:val="auto"/>
          <w:kern w:val="2"/>
          <w:szCs w:val="21"/>
          <w:lang w:val="en-US" w:eastAsia="zh-CN"/>
        </w:rPr>
        <w:t>5.6.10比选申请</w:t>
      </w:r>
      <w:r>
        <w:rPr>
          <w:rFonts w:hint="eastAsia" w:ascii="Times New Roman" w:hAnsi="Times New Roman" w:eastAsia="仿宋" w:cs="Times New Roman"/>
          <w:color w:val="auto"/>
          <w:kern w:val="2"/>
          <w:szCs w:val="21"/>
        </w:rPr>
        <w:t>人为本项目各系统开发、定义的相关协议、接口标准、应用软件，其知识产权归</w:t>
      </w:r>
      <w:r>
        <w:rPr>
          <w:rFonts w:hint="eastAsia" w:ascii="Times New Roman" w:hAnsi="Times New Roman" w:eastAsia="仿宋" w:cs="Times New Roman"/>
          <w:color w:val="auto"/>
          <w:kern w:val="2"/>
          <w:szCs w:val="21"/>
          <w:lang w:val="en-US" w:eastAsia="zh-CN"/>
        </w:rPr>
        <w:t>比选</w:t>
      </w:r>
      <w:r>
        <w:rPr>
          <w:rFonts w:hint="eastAsia" w:ascii="Times New Roman" w:hAnsi="Times New Roman" w:eastAsia="仿宋" w:cs="Times New Roman"/>
          <w:color w:val="auto"/>
          <w:kern w:val="2"/>
          <w:szCs w:val="21"/>
        </w:rPr>
        <w:t>人所有，</w:t>
      </w:r>
      <w:r>
        <w:rPr>
          <w:rFonts w:hint="eastAsia" w:ascii="Times New Roman" w:hAnsi="Times New Roman" w:eastAsia="仿宋" w:cs="Times New Roman"/>
          <w:color w:val="auto"/>
          <w:kern w:val="2"/>
          <w:szCs w:val="21"/>
          <w:lang w:val="en-US" w:eastAsia="zh-CN"/>
        </w:rPr>
        <w:t>比选申请</w:t>
      </w:r>
      <w:r>
        <w:rPr>
          <w:rFonts w:hint="eastAsia" w:ascii="Times New Roman" w:hAnsi="Times New Roman" w:eastAsia="仿宋" w:cs="Times New Roman"/>
          <w:color w:val="auto"/>
          <w:kern w:val="2"/>
          <w:szCs w:val="21"/>
        </w:rPr>
        <w:t>人应无偿地向</w:t>
      </w:r>
      <w:r>
        <w:rPr>
          <w:rFonts w:hint="eastAsia" w:ascii="Times New Roman" w:hAnsi="Times New Roman" w:eastAsia="仿宋" w:cs="Times New Roman"/>
          <w:color w:val="auto"/>
          <w:kern w:val="2"/>
          <w:szCs w:val="21"/>
          <w:lang w:val="en-US" w:eastAsia="zh-CN"/>
        </w:rPr>
        <w:t>比选</w:t>
      </w:r>
      <w:r>
        <w:rPr>
          <w:rFonts w:hint="eastAsia" w:ascii="Times New Roman" w:hAnsi="Times New Roman" w:eastAsia="仿宋" w:cs="Times New Roman"/>
          <w:color w:val="auto"/>
          <w:kern w:val="2"/>
          <w:szCs w:val="21"/>
        </w:rPr>
        <w:t>人提供应用软件、工程文件，并开放相关协议、接口标准等。</w:t>
      </w:r>
    </w:p>
    <w:p>
      <w:pPr>
        <w:keepNext/>
        <w:keepLines/>
        <w:pageBreakBefore/>
        <w:numPr>
          <w:ilvl w:val="0"/>
          <w:numId w:val="7"/>
        </w:numPr>
        <w:spacing w:before="240" w:after="240" w:line="360" w:lineRule="auto"/>
        <w:ind w:left="-2"/>
        <w:outlineLvl w:val="0"/>
        <w:rPr>
          <w:rFonts w:ascii="Times New Roman" w:hAnsi="Times New Roman" w:eastAsia="仿宋" w:cs="Times New Roman"/>
          <w:b/>
          <w:color w:val="auto"/>
          <w:kern w:val="28"/>
          <w:sz w:val="32"/>
          <w:szCs w:val="30"/>
          <w:lang w:val="en-GB" w:eastAsia="zh-CN" w:bidi="ar-SA"/>
        </w:rPr>
      </w:pPr>
      <w:bookmarkStart w:id="1200" w:name="_Toc20915"/>
      <w:r>
        <w:rPr>
          <w:rFonts w:hint="eastAsia" w:ascii="Times New Roman" w:hAnsi="Times New Roman" w:eastAsia="仿宋" w:cs="Times New Roman"/>
          <w:b/>
          <w:color w:val="auto"/>
          <w:kern w:val="28"/>
          <w:sz w:val="32"/>
          <w:szCs w:val="30"/>
          <w:lang w:val="en-US" w:eastAsia="zh-CN" w:bidi="ar-SA"/>
        </w:rPr>
        <w:t>项目实施作业</w:t>
      </w:r>
      <w:bookmarkEnd w:id="1200"/>
    </w:p>
    <w:p>
      <w:pPr>
        <w:keepNext/>
        <w:numPr>
          <w:ilvl w:val="1"/>
          <w:numId w:val="7"/>
        </w:numPr>
        <w:spacing w:before="120" w:after="120" w:line="360" w:lineRule="auto"/>
        <w:outlineLvl w:val="1"/>
        <w:rPr>
          <w:rFonts w:hint="eastAsia" w:ascii="Times New Roman" w:hAnsi="Times New Roman" w:eastAsia="仿宋" w:cs="Times New Roman"/>
          <w:b/>
          <w:color w:val="auto"/>
          <w:kern w:val="0"/>
          <w:sz w:val="30"/>
          <w:szCs w:val="30"/>
          <w:lang w:val="en-GB" w:eastAsia="zh-CN" w:bidi="ar-SA"/>
        </w:rPr>
      </w:pPr>
      <w:bookmarkStart w:id="1201" w:name="_Toc18072"/>
      <w:bookmarkStart w:id="1202" w:name="_Toc24603"/>
      <w:bookmarkStart w:id="1203" w:name="_Toc12861"/>
      <w:bookmarkStart w:id="1204" w:name="_Toc12782"/>
      <w:bookmarkStart w:id="1205" w:name="_Toc13592"/>
      <w:bookmarkStart w:id="1206" w:name="_Toc29562"/>
      <w:bookmarkStart w:id="1207" w:name="_Toc20754"/>
      <w:bookmarkStart w:id="1208" w:name="_Toc169"/>
      <w:bookmarkStart w:id="1209" w:name="_Toc11416"/>
      <w:bookmarkStart w:id="1210" w:name="_Toc21420"/>
      <w:bookmarkStart w:id="1211" w:name="_Toc16923"/>
      <w:r>
        <w:rPr>
          <w:rFonts w:hint="eastAsia" w:ascii="Times New Roman" w:hAnsi="Times New Roman" w:eastAsia="仿宋" w:cs="Times New Roman"/>
          <w:b/>
          <w:color w:val="auto"/>
          <w:kern w:val="0"/>
          <w:sz w:val="30"/>
          <w:szCs w:val="30"/>
          <w:lang w:val="en-GB" w:eastAsia="zh-CN" w:bidi="ar-SA"/>
        </w:rPr>
        <w:t>比选人提供作业条件</w:t>
      </w:r>
      <w:bookmarkEnd w:id="1201"/>
      <w:bookmarkEnd w:id="1202"/>
      <w:bookmarkEnd w:id="1203"/>
      <w:bookmarkEnd w:id="1204"/>
      <w:bookmarkEnd w:id="1205"/>
      <w:bookmarkEnd w:id="1206"/>
      <w:bookmarkEnd w:id="1207"/>
      <w:bookmarkEnd w:id="1208"/>
      <w:bookmarkEnd w:id="1209"/>
      <w:bookmarkEnd w:id="1210"/>
      <w:bookmarkEnd w:id="1211"/>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rPr>
      </w:pPr>
      <w:r>
        <w:rPr>
          <w:rFonts w:hint="eastAsia" w:ascii="Times New Roman" w:hAnsi="Times New Roman" w:eastAsia="仿宋" w:cs="Times New Roman"/>
          <w:color w:val="auto"/>
          <w:kern w:val="2"/>
          <w:szCs w:val="21"/>
          <w:lang w:val="en-US" w:eastAsia="zh-CN"/>
        </w:rPr>
        <w:t>6.1</w:t>
      </w:r>
      <w:r>
        <w:rPr>
          <w:rFonts w:hint="eastAsia" w:ascii="Times New Roman" w:hAnsi="Times New Roman" w:eastAsia="仿宋" w:cs="Times New Roman"/>
          <w:color w:val="auto"/>
          <w:kern w:val="2"/>
          <w:szCs w:val="21"/>
        </w:rPr>
        <w:t>.1按已有的水电接口免费提供</w:t>
      </w:r>
      <w:r>
        <w:rPr>
          <w:rFonts w:hint="eastAsia" w:ascii="Times New Roman" w:hAnsi="Times New Roman" w:eastAsia="仿宋" w:cs="Times New Roman"/>
          <w:color w:val="auto"/>
          <w:kern w:val="2"/>
          <w:szCs w:val="21"/>
          <w:lang w:val="en-US" w:eastAsia="zh-CN"/>
        </w:rPr>
        <w:t>场景拍摄</w:t>
      </w:r>
      <w:r>
        <w:rPr>
          <w:rFonts w:hint="eastAsia" w:ascii="Times New Roman" w:hAnsi="Times New Roman" w:eastAsia="仿宋" w:cs="Times New Roman"/>
          <w:color w:val="auto"/>
          <w:kern w:val="2"/>
          <w:szCs w:val="21"/>
        </w:rPr>
        <w:t>作业用电、用水。</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rPr>
      </w:pPr>
      <w:r>
        <w:rPr>
          <w:rFonts w:hint="eastAsia" w:ascii="Times New Roman" w:hAnsi="Times New Roman" w:eastAsia="仿宋" w:cs="Times New Roman"/>
          <w:color w:val="auto"/>
          <w:kern w:val="2"/>
          <w:szCs w:val="21"/>
          <w:lang w:val="en-US" w:eastAsia="zh-CN"/>
        </w:rPr>
        <w:t>6.1</w:t>
      </w:r>
      <w:r>
        <w:rPr>
          <w:rFonts w:hint="eastAsia" w:ascii="Times New Roman" w:hAnsi="Times New Roman" w:eastAsia="仿宋" w:cs="Times New Roman"/>
          <w:color w:val="auto"/>
          <w:kern w:val="2"/>
          <w:szCs w:val="21"/>
        </w:rPr>
        <w:t>.2协调比选人内部各部门之间的工作。</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rPr>
      </w:pPr>
      <w:r>
        <w:rPr>
          <w:rFonts w:hint="eastAsia" w:ascii="Times New Roman" w:hAnsi="Times New Roman" w:eastAsia="仿宋" w:cs="Times New Roman"/>
          <w:color w:val="auto"/>
          <w:kern w:val="2"/>
          <w:szCs w:val="21"/>
          <w:lang w:val="en-US" w:eastAsia="zh-CN"/>
        </w:rPr>
        <w:t>6.1</w:t>
      </w:r>
      <w:r>
        <w:rPr>
          <w:rFonts w:hint="eastAsia" w:ascii="Times New Roman" w:hAnsi="Times New Roman" w:eastAsia="仿宋" w:cs="Times New Roman"/>
          <w:color w:val="auto"/>
          <w:kern w:val="2"/>
          <w:szCs w:val="21"/>
        </w:rPr>
        <w:t>.3办理有关施工作业的审批手续。</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rPr>
      </w:pPr>
      <w:r>
        <w:rPr>
          <w:rFonts w:hint="eastAsia" w:ascii="Times New Roman" w:hAnsi="Times New Roman" w:eastAsia="仿宋" w:cs="Times New Roman"/>
          <w:color w:val="auto"/>
          <w:kern w:val="2"/>
          <w:szCs w:val="21"/>
          <w:lang w:val="en-US" w:eastAsia="zh-CN"/>
        </w:rPr>
        <w:t>6.1</w:t>
      </w:r>
      <w:r>
        <w:rPr>
          <w:rFonts w:hint="eastAsia" w:ascii="Times New Roman" w:hAnsi="Times New Roman" w:eastAsia="仿宋" w:cs="Times New Roman"/>
          <w:color w:val="auto"/>
          <w:kern w:val="2"/>
          <w:szCs w:val="21"/>
        </w:rPr>
        <w:t>.4提供项目执行必须的技术资料和规章制度。</w:t>
      </w:r>
    </w:p>
    <w:p>
      <w:pPr>
        <w:keepNext/>
        <w:numPr>
          <w:ilvl w:val="1"/>
          <w:numId w:val="7"/>
        </w:numPr>
        <w:spacing w:before="120" w:after="120" w:line="360" w:lineRule="auto"/>
        <w:outlineLvl w:val="1"/>
        <w:rPr>
          <w:rFonts w:hint="eastAsia" w:ascii="Times New Roman" w:hAnsi="Times New Roman" w:eastAsia="仿宋" w:cs="Times New Roman"/>
          <w:b/>
          <w:color w:val="auto"/>
          <w:kern w:val="0"/>
          <w:sz w:val="30"/>
          <w:szCs w:val="30"/>
          <w:lang w:val="en-GB" w:eastAsia="zh-CN" w:bidi="ar-SA"/>
        </w:rPr>
      </w:pPr>
      <w:bookmarkStart w:id="1212" w:name="_Toc14789"/>
      <w:bookmarkStart w:id="1213" w:name="_Toc15109"/>
      <w:r>
        <w:rPr>
          <w:rFonts w:hint="eastAsia" w:ascii="Times New Roman" w:hAnsi="Times New Roman" w:eastAsia="仿宋" w:cs="Times New Roman"/>
          <w:b/>
          <w:color w:val="auto"/>
          <w:kern w:val="0"/>
          <w:sz w:val="30"/>
          <w:szCs w:val="30"/>
          <w:lang w:val="en-GB" w:eastAsia="zh-CN" w:bidi="ar-SA"/>
        </w:rPr>
        <w:t>进场要求</w:t>
      </w:r>
      <w:bookmarkEnd w:id="1212"/>
      <w:bookmarkEnd w:id="1213"/>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6.2.1严格遵守执行国家、地方、行业的相关法律、法规、规范、规程、标准及比选人规章制度等各项管理制度和规定。</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6.2.2严格遵守合同协议，组织足够力量的施工人员完成日常工作。</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6.2.3对组织架构定岗、定员。队伍人员素质、专业技术满足各项施工要求，并保证参与作业的人员相对稳定。</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6.2.4合同期内作业人员原则上不许替换，更换施工人员必须通知比选人并提交有关人员资料，必须确保替换人员的资历、经验不低于原来被替换的人员，并提供相关内部或送外的培训书面证明，并由比选人组织资料审核，未经比选人书面许可不得更换施工人员。</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6.2.5所有人员不得兼职，且工作时间须在现场服务。</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6.2.6所有施工人员要遵守比选人的企业标准《运营分公司施工管理规定》，并必须按照施工规范、方案和各项安全操作规程进行作业。</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6.2.7比选申请人须做好设施状态普查、技术交底。</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6.2.8作业程序、内容准备符合比选人要求，通过比选人审核确认。</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6.2.9制定材料和设备设施供应计划并做好供应，比选申请人个人劳保用品及工器具通过比选人审核确认。</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6.2.10比选申请人与比选人签订安全协议，办理施工开工令。</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6.2.11准备工作就序（比选申请人必须在合同正式签订时已完成全部开工准备），双方协调认可满足开工条件，将施工准备情况及进场影响通报比选人相关部门，如生产技术部、安全监察部、调度中心、通号中心、维修中心等，比选人签发开工令后方可进行正式项目实施。</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6.2.12严格执行广西壮族自治区及南宁市人员管控要求，依托全国一体化政务服务平台及建筑工地实名制管理系统等信息化手段，核实项目人员身份及健康信息，不私招乱雇，不使用零散工和无健康信息的劳务人员，不得在项目之间无组织调配使用劳务人员，不得使用按照有关规定需要隔离观察的劳务人员。比选申请人应按照疫情防控要求，对参建各方聘用的所有人员进行健康管理，建立“一人一档”制度，准确掌握人员健康和流动情况。</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6.2.13比选申请人应严格执行项目所在地有关疫情防控规定及遵守比选人相应的健康管理制度，对所有进入施工现场人员进行体温检测和“健康码”“行程卡”查验，核对人员身份、人员行程及健康状况。凡是“健康码”为红码、14天内来自国内中高风险地区及境外的人员或有发热、干咳等症状的人员，比选申请人应及时报告和妥善处置，比选人有权禁止其进入。</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6.2.14比选申请人应按照疫情常态化防控需要为员工配发防护用品，并建立物资台账。施工人员在人员密集的封闭场所、与他人小于1米距离接触时需要佩戴口罩。</w:t>
      </w:r>
    </w:p>
    <w:p>
      <w:pPr>
        <w:keepNext/>
        <w:numPr>
          <w:ilvl w:val="1"/>
          <w:numId w:val="7"/>
        </w:numPr>
        <w:spacing w:before="120" w:after="120" w:line="360" w:lineRule="auto"/>
        <w:outlineLvl w:val="1"/>
        <w:rPr>
          <w:rFonts w:hint="eastAsia" w:ascii="Times New Roman" w:hAnsi="Times New Roman" w:eastAsia="仿宋" w:cs="Times New Roman"/>
          <w:b/>
          <w:color w:val="auto"/>
          <w:kern w:val="0"/>
          <w:sz w:val="30"/>
          <w:szCs w:val="30"/>
          <w:lang w:val="en-GB" w:eastAsia="zh-CN" w:bidi="ar-SA"/>
        </w:rPr>
      </w:pPr>
      <w:bookmarkStart w:id="1214" w:name="_Toc16016"/>
      <w:bookmarkStart w:id="1215" w:name="_Toc22459"/>
      <w:bookmarkStart w:id="1216" w:name="_Toc5572"/>
      <w:bookmarkStart w:id="1217" w:name="_Toc32317"/>
      <w:bookmarkStart w:id="1218" w:name="_Toc13845"/>
      <w:bookmarkStart w:id="1219" w:name="_Toc19028"/>
      <w:bookmarkStart w:id="1220" w:name="_Toc23880"/>
      <w:bookmarkStart w:id="1221" w:name="_Toc15741"/>
      <w:bookmarkStart w:id="1222" w:name="_Toc30421"/>
      <w:bookmarkStart w:id="1223" w:name="_Toc18461"/>
      <w:bookmarkStart w:id="1224" w:name="_Toc22946"/>
      <w:bookmarkStart w:id="1225" w:name="_Toc9023"/>
      <w:r>
        <w:rPr>
          <w:rFonts w:hint="eastAsia" w:ascii="Times New Roman" w:hAnsi="Times New Roman" w:eastAsia="仿宋" w:cs="Times New Roman"/>
          <w:b/>
          <w:color w:val="auto"/>
          <w:kern w:val="0"/>
          <w:sz w:val="30"/>
          <w:szCs w:val="30"/>
          <w:lang w:val="en-GB" w:eastAsia="zh-CN" w:bidi="ar-SA"/>
        </w:rPr>
        <w:t>作业计划编制</w:t>
      </w:r>
      <w:bookmarkEnd w:id="1214"/>
      <w:bookmarkEnd w:id="1215"/>
      <w:bookmarkEnd w:id="1216"/>
      <w:bookmarkEnd w:id="1217"/>
      <w:bookmarkEnd w:id="1218"/>
      <w:bookmarkEnd w:id="1219"/>
      <w:bookmarkEnd w:id="1220"/>
      <w:bookmarkEnd w:id="1221"/>
      <w:bookmarkEnd w:id="1222"/>
      <w:bookmarkEnd w:id="1223"/>
      <w:bookmarkEnd w:id="1224"/>
      <w:bookmarkEnd w:id="1225"/>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6.3.1比选申请人根据比选人提供的工程范围及工程量完成施工计划的编制，报比选人主管部门审核，由主管部门按照《运营分公司施工管理规定》相关规定与流程报运营相关部门审批。</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6.3.2比选申请人根据比选人审批后的施工计划，分解为周施工计划，经比选人主管部门审核后，由主管部门按照《运营分公司施工管理规定》相关规定与流程报运营相关部门审批。由主管部门向运营生产管理组申报施工作业计划，以便比选人掌握与监控作业。</w:t>
      </w:r>
    </w:p>
    <w:p>
      <w:pPr>
        <w:keepNext/>
        <w:numPr>
          <w:ilvl w:val="1"/>
          <w:numId w:val="7"/>
        </w:numPr>
        <w:spacing w:before="120" w:after="120" w:line="360" w:lineRule="auto"/>
        <w:outlineLvl w:val="1"/>
        <w:rPr>
          <w:rFonts w:hint="eastAsia" w:ascii="Times New Roman" w:hAnsi="Times New Roman" w:eastAsia="仿宋" w:cs="Times New Roman"/>
          <w:b/>
          <w:color w:val="auto"/>
          <w:kern w:val="0"/>
          <w:sz w:val="30"/>
          <w:szCs w:val="30"/>
          <w:lang w:val="en-GB" w:eastAsia="zh-CN" w:bidi="ar-SA"/>
        </w:rPr>
      </w:pPr>
      <w:bookmarkStart w:id="1226" w:name="_Toc13528"/>
      <w:bookmarkStart w:id="1227" w:name="_Toc27341"/>
      <w:bookmarkStart w:id="1228" w:name="_Toc17835"/>
      <w:bookmarkStart w:id="1229" w:name="_Toc23625"/>
      <w:bookmarkStart w:id="1230" w:name="_Toc1505"/>
      <w:bookmarkStart w:id="1231" w:name="_Toc31857"/>
      <w:bookmarkStart w:id="1232" w:name="_Toc27569"/>
      <w:bookmarkStart w:id="1233" w:name="_Toc21438"/>
      <w:bookmarkStart w:id="1234" w:name="_Toc17456"/>
      <w:bookmarkStart w:id="1235" w:name="_Toc10461"/>
      <w:bookmarkStart w:id="1236" w:name="_Toc115"/>
      <w:bookmarkStart w:id="1237" w:name="_Toc9847"/>
      <w:bookmarkStart w:id="1238" w:name="_Toc15429"/>
      <w:r>
        <w:rPr>
          <w:rFonts w:hint="eastAsia" w:ascii="Times New Roman" w:hAnsi="Times New Roman" w:eastAsia="仿宋" w:cs="Times New Roman"/>
          <w:b/>
          <w:color w:val="auto"/>
          <w:kern w:val="0"/>
          <w:sz w:val="30"/>
          <w:szCs w:val="30"/>
          <w:lang w:val="en-GB" w:eastAsia="zh-CN" w:bidi="ar-SA"/>
        </w:rPr>
        <w:t>作业计划申报</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6.4.1比选申请人根据编制的施工计划，按照《运营分公司施工管理规定》及《施工前安全事项交底及作业工器具清点制度》等相关规定编制作业计划，规定填写配合要求等，并按照《运营分公司施工管理规定》相关规定与流程申报作业计划，审批后取得《施工作业令》，取得施工作业令或进场施工许可单等相关资料，以便比选人掌握与监控作业。</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6.4.2《施工作业令》一经签发，不得无故做任何调整，如因特殊原因必须做出调整时，应由比选申请人向比选人在施工开始前6个小时提出调整或取消的建议，并注明原因。若比选人不同意调整，则必须照令执行。</w:t>
      </w:r>
    </w:p>
    <w:p>
      <w:pPr>
        <w:keepNext/>
        <w:numPr>
          <w:ilvl w:val="1"/>
          <w:numId w:val="7"/>
        </w:numPr>
        <w:spacing w:before="120" w:after="120" w:line="360" w:lineRule="auto"/>
        <w:outlineLvl w:val="1"/>
        <w:rPr>
          <w:rFonts w:hint="eastAsia" w:ascii="Times New Roman" w:hAnsi="Times New Roman" w:eastAsia="仿宋" w:cs="Times New Roman"/>
          <w:b/>
          <w:color w:val="auto"/>
          <w:kern w:val="0"/>
          <w:sz w:val="30"/>
          <w:szCs w:val="30"/>
          <w:lang w:val="en-GB" w:eastAsia="zh-CN" w:bidi="ar-SA"/>
        </w:rPr>
      </w:pPr>
      <w:bookmarkStart w:id="1239" w:name="_Toc24730"/>
      <w:bookmarkStart w:id="1240" w:name="_Toc19752"/>
      <w:bookmarkStart w:id="1241" w:name="_Toc4984"/>
      <w:bookmarkStart w:id="1242" w:name="_Toc15915"/>
      <w:bookmarkStart w:id="1243" w:name="_Toc13831"/>
      <w:bookmarkStart w:id="1244" w:name="_Toc9661"/>
      <w:bookmarkStart w:id="1245" w:name="_Toc26452"/>
      <w:bookmarkStart w:id="1246" w:name="_Toc22857"/>
      <w:bookmarkStart w:id="1247" w:name="_Toc6263"/>
      <w:bookmarkStart w:id="1248" w:name="_Toc30613"/>
      <w:bookmarkStart w:id="1249" w:name="_Toc13995"/>
      <w:bookmarkStart w:id="1250" w:name="_Toc1576"/>
      <w:bookmarkStart w:id="1251" w:name="_Toc25113"/>
      <w:r>
        <w:rPr>
          <w:rFonts w:hint="eastAsia" w:ascii="Times New Roman" w:hAnsi="Times New Roman" w:eastAsia="仿宋" w:cs="Times New Roman"/>
          <w:b/>
          <w:color w:val="auto"/>
          <w:kern w:val="0"/>
          <w:sz w:val="30"/>
          <w:szCs w:val="30"/>
          <w:lang w:val="en-GB" w:eastAsia="zh-CN" w:bidi="ar-SA"/>
        </w:rPr>
        <w:t>作业计划实施</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keepNext/>
        <w:numPr>
          <w:ilvl w:val="2"/>
          <w:numId w:val="7"/>
        </w:numPr>
        <w:spacing w:before="120" w:after="120"/>
        <w:outlineLvl w:val="2"/>
        <w:rPr>
          <w:rFonts w:hint="eastAsia" w:ascii="Times New Roman" w:hAnsi="Times New Roman" w:eastAsia="仿宋" w:cs="Times New Roman"/>
          <w:b/>
          <w:color w:val="auto"/>
          <w:kern w:val="0"/>
          <w:sz w:val="28"/>
          <w:szCs w:val="28"/>
          <w:lang w:val="en-GB" w:eastAsia="zh-CN" w:bidi="ar-SA"/>
        </w:rPr>
      </w:pPr>
      <w:bookmarkStart w:id="1252" w:name="_Toc18607"/>
      <w:r>
        <w:rPr>
          <w:rFonts w:hint="eastAsia" w:ascii="Times New Roman" w:hAnsi="Times New Roman" w:eastAsia="仿宋" w:cs="Times New Roman"/>
          <w:b/>
          <w:color w:val="auto"/>
          <w:kern w:val="0"/>
          <w:sz w:val="28"/>
          <w:szCs w:val="28"/>
          <w:lang w:val="en-GB" w:eastAsia="zh-CN" w:bidi="ar-SA"/>
        </w:rPr>
        <w:t>作业计划的实施</w:t>
      </w:r>
      <w:bookmarkEnd w:id="1252"/>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6.5.1.1比选申请人根据比选人作业计划管理部门签发的施工作业令，组织施工人员在比选人的配合下，按照相关规定实施作业。</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6.5.1.2对已经批准的施工作业，比选申请人应按照作业要求安排相应人员及工器具，准时到场进行作业。</w:t>
      </w:r>
    </w:p>
    <w:p>
      <w:pPr>
        <w:keepNext/>
        <w:numPr>
          <w:ilvl w:val="2"/>
          <w:numId w:val="7"/>
        </w:numPr>
        <w:spacing w:before="120" w:after="120"/>
        <w:outlineLvl w:val="2"/>
        <w:rPr>
          <w:rFonts w:hint="eastAsia" w:ascii="Times New Roman" w:hAnsi="Times New Roman" w:eastAsia="仿宋" w:cs="Times New Roman"/>
          <w:b/>
          <w:color w:val="auto"/>
          <w:kern w:val="0"/>
          <w:sz w:val="28"/>
          <w:szCs w:val="28"/>
          <w:lang w:val="en-GB" w:eastAsia="zh-CN" w:bidi="ar-SA"/>
        </w:rPr>
      </w:pPr>
      <w:bookmarkStart w:id="1253" w:name="_Toc4751"/>
      <w:r>
        <w:rPr>
          <w:rFonts w:hint="eastAsia" w:ascii="Times New Roman" w:hAnsi="Times New Roman" w:eastAsia="仿宋" w:cs="Times New Roman"/>
          <w:b/>
          <w:color w:val="auto"/>
          <w:kern w:val="0"/>
          <w:sz w:val="28"/>
          <w:szCs w:val="28"/>
          <w:lang w:val="en-GB" w:eastAsia="zh-CN" w:bidi="ar-SA"/>
        </w:rPr>
        <w:t>作业过程的控制</w:t>
      </w:r>
      <w:bookmarkEnd w:id="1253"/>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为保证作业安全与质量，比选申请人应采取有效措施及预案确保自身作业安全与质量；比选人将以过程现场监控与事后监控两种形式对比选申请人的作业安全进行控制，但并不因此而免除比选申请人的安全与质量的职责。</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作业监控各流程及监控要点如下：</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6.5.2.1比选申请人收到《施工作业令》后，确认作业内容、作业时间及集结地点。</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6.5.2.2比选申请人根据作业内容及要求，准备好人员、材料、工器具，并向比选人报备。</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6.5.2.3比选申请人组织召开作业班前会，做好相关施工作业任务布置及安全措施。</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6.5.2.4比选申请人作业前严格执行请点登记制度，清点人员、材料、工器具；比选申请人按照相关工艺、材料及作业安全措施，掌握、跟踪作业进度，确保当日作业完成或阶段性作业结果不对乘客、运营等产生不良后果。</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6.5.2.5作业结束后，由比选申请人自检施工质量、填写及标记工程量、拍照、出清现场及销点等。</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6.5.2.6比选申请人组织召开作业班后会，进行作业过程及作业完成情况总结。</w:t>
      </w:r>
    </w:p>
    <w:p>
      <w:pPr>
        <w:keepNext/>
        <w:numPr>
          <w:ilvl w:val="1"/>
          <w:numId w:val="7"/>
        </w:numPr>
        <w:spacing w:before="120" w:after="120" w:line="360" w:lineRule="auto"/>
        <w:outlineLvl w:val="1"/>
        <w:rPr>
          <w:rFonts w:hint="eastAsia" w:ascii="Times New Roman" w:hAnsi="Times New Roman" w:eastAsia="仿宋" w:cs="Times New Roman"/>
          <w:b/>
          <w:color w:val="auto"/>
          <w:kern w:val="0"/>
          <w:sz w:val="30"/>
          <w:szCs w:val="30"/>
          <w:lang w:val="en-GB" w:eastAsia="zh-CN" w:bidi="ar-SA"/>
        </w:rPr>
      </w:pPr>
      <w:bookmarkStart w:id="1254" w:name="_Toc3771"/>
      <w:bookmarkStart w:id="1255" w:name="_Toc16450"/>
      <w:r>
        <w:rPr>
          <w:rFonts w:hint="eastAsia" w:ascii="Times New Roman" w:hAnsi="Times New Roman" w:eastAsia="仿宋" w:cs="Times New Roman"/>
          <w:b/>
          <w:color w:val="auto"/>
          <w:kern w:val="0"/>
          <w:sz w:val="30"/>
          <w:szCs w:val="30"/>
          <w:lang w:val="en-GB" w:eastAsia="zh-CN" w:bidi="ar-SA"/>
        </w:rPr>
        <w:t>劳动纪律</w:t>
      </w:r>
      <w:bookmarkEnd w:id="1254"/>
      <w:bookmarkEnd w:id="1255"/>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6.6.1比选申请人施工人员在工作现场须统一着装，按要求佩戴相关证件。</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6.6.2比选申请人施工人员须服从比选人人员的指挥，严禁在施工场地睡觉、嬉戏。</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6.6.3比选申请人施工人员严禁在作业场所内吸烟，班前6小时禁止饮酒。</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6.6.4未经比选人允许不得私自外传相关资料、信息。</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6.6.5比选申请人须加强驻地管理及人员管理，避免发生赌博、酗酒、斗殴等恶性事件，杜绝发生违纪、纠纷、民事、治安、刑事等事件，若发生上述事件，由比选申请人承担由此带来的全部后果。</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6.6.6比选申请人必须服从比选人的管理，按照南宁轨道交通的相关要求进行施工，确保按质、按量地完成工作。</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6.6.7对于比选人规定必须申报施工作业令的作业项目，比选申请人必须按照比选人相关进场作业的规定申报施工作业令，持施工作业令进行请点作业后，方可进场作业，在作业后必须办理相关销点手续并确认现场出清后方可撤离现场；对于比选人规定需要办理特种作业手续（如站/库内焊接、切割、登高作业、有限空间作业等）方可进行的作业，比选申请人应该按照要求办理特种作业施工许可证，严禁违规操作；对于施工作业令要求其它部门配合方可进行的作业，比选申请人应严格按照施工作业令执行，在没有设施所属部门人员配合（或授权使用）的情况下，严禁动用其它部门所辖设施。</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6.6.8特种作业人员（如金属焊接切割、低压电工、登高等作业），必须持有政府等相关部门颁发的特种作业操作证方可上岗作业，并按照相关要求佩戴配套的防护劳保用品进行作业。严禁无证或不按照要求佩戴证件、防护、劳保用品人员上岗作业。</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6.6.9当比选申请人人员发现比选人要求存在差异时，应及时向相关负责人员反映，寻求解决；比选申请人作业人员不得与任何人进行争执。</w:t>
      </w:r>
    </w:p>
    <w:p>
      <w:pPr>
        <w:keepNext/>
        <w:numPr>
          <w:ilvl w:val="1"/>
          <w:numId w:val="7"/>
        </w:numPr>
        <w:spacing w:before="120" w:after="120" w:line="360" w:lineRule="auto"/>
        <w:outlineLvl w:val="1"/>
        <w:rPr>
          <w:rFonts w:hint="eastAsia" w:ascii="Times New Roman" w:hAnsi="Times New Roman" w:eastAsia="仿宋" w:cs="Times New Roman"/>
          <w:b/>
          <w:color w:val="auto"/>
          <w:kern w:val="0"/>
          <w:sz w:val="30"/>
          <w:szCs w:val="30"/>
          <w:lang w:val="en-GB" w:eastAsia="zh-CN" w:bidi="ar-SA"/>
        </w:rPr>
      </w:pPr>
      <w:bookmarkStart w:id="1256" w:name="_Toc1123"/>
      <w:bookmarkStart w:id="1257" w:name="_Toc6266"/>
      <w:r>
        <w:rPr>
          <w:rFonts w:hint="eastAsia" w:ascii="Times New Roman" w:hAnsi="Times New Roman" w:eastAsia="仿宋" w:cs="Times New Roman"/>
          <w:b/>
          <w:color w:val="auto"/>
          <w:kern w:val="0"/>
          <w:sz w:val="30"/>
          <w:szCs w:val="30"/>
          <w:lang w:val="en-GB" w:eastAsia="zh-CN" w:bidi="ar-SA"/>
        </w:rPr>
        <w:t>文明施工管理</w:t>
      </w:r>
      <w:bookmarkEnd w:id="1256"/>
      <w:bookmarkEnd w:id="1257"/>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6.7.1施工过程中，严格按照“规范化管理、标准化作业”规定要求，实施文明施工管理。</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6.7.2作业过程中，比选申请人应合理地保持作业现场,严禁出现不必要的障碍，处置好作业设备及多余材料，保持现场整洁和道路通畅。</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6.7.3比选申请人应做好作业区域内的设备设施成品保护，严禁随意破坏、操作、占用。如与其他作业发生冲突，应事先通知比选人，在得到比选人同意后方可按要求执行，发现未经请示同意擅自行事，将视其具体情况予以处罚。</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6.7.4比选申请人必须负责施工现场日常卫生清理工作，保证公共环境清洁。</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r>
        <w:rPr>
          <w:rFonts w:hint="eastAsia" w:ascii="Times New Roman" w:hAnsi="Times New Roman" w:eastAsia="仿宋" w:cs="Times New Roman"/>
          <w:color w:val="auto"/>
          <w:kern w:val="2"/>
          <w:szCs w:val="21"/>
          <w:lang w:val="en-US" w:eastAsia="zh-CN"/>
        </w:rPr>
        <w:t>6.7.5施工现场讲文明，讲礼貌，遇事商量解决。</w:t>
      </w: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p>
    <w:p>
      <w:pPr>
        <w:snapToGrid w:val="0"/>
        <w:spacing w:before="0" w:after="0" w:afterAutospacing="0" w:line="360" w:lineRule="auto"/>
        <w:ind w:left="0" w:right="0" w:firstLine="420"/>
        <w:jc w:val="both"/>
        <w:rPr>
          <w:rFonts w:hint="eastAsia" w:ascii="Times New Roman" w:hAnsi="Times New Roman" w:eastAsia="仿宋" w:cs="Times New Roman"/>
          <w:color w:val="auto"/>
          <w:kern w:val="2"/>
          <w:szCs w:val="21"/>
          <w:lang w:val="en-US" w:eastAsia="zh-CN"/>
        </w:rPr>
      </w:pPr>
    </w:p>
    <w:p>
      <w:pPr>
        <w:keepNext/>
        <w:keepLines/>
        <w:pageBreakBefore/>
        <w:numPr>
          <w:ilvl w:val="0"/>
          <w:numId w:val="7"/>
        </w:numPr>
        <w:spacing w:before="240" w:after="240" w:line="360" w:lineRule="auto"/>
        <w:ind w:left="-2"/>
        <w:outlineLvl w:val="0"/>
        <w:rPr>
          <w:rFonts w:ascii="Times New Roman" w:hAnsi="Times New Roman" w:eastAsia="仿宋" w:cs="Times New Roman"/>
          <w:b/>
          <w:color w:val="auto"/>
          <w:kern w:val="28"/>
          <w:sz w:val="32"/>
          <w:szCs w:val="30"/>
          <w:lang w:val="en-GB" w:eastAsia="zh-CN" w:bidi="ar-SA"/>
        </w:rPr>
      </w:pPr>
      <w:bookmarkStart w:id="1258" w:name="_Toc453657321"/>
      <w:bookmarkEnd w:id="1258"/>
      <w:bookmarkStart w:id="1259" w:name="_Toc453660783"/>
      <w:bookmarkEnd w:id="1259"/>
      <w:bookmarkStart w:id="1260" w:name="_Toc453660779"/>
      <w:bookmarkEnd w:id="1260"/>
      <w:bookmarkStart w:id="1261" w:name="_Toc453655246"/>
      <w:bookmarkEnd w:id="1261"/>
      <w:bookmarkStart w:id="1262" w:name="_Toc453660782"/>
      <w:bookmarkEnd w:id="1262"/>
      <w:bookmarkStart w:id="1263" w:name="_Toc453483652"/>
      <w:bookmarkEnd w:id="1263"/>
      <w:bookmarkStart w:id="1264" w:name="_Toc453655244"/>
      <w:bookmarkEnd w:id="1264"/>
      <w:bookmarkStart w:id="1265" w:name="_Toc453657319"/>
      <w:bookmarkEnd w:id="1265"/>
      <w:bookmarkStart w:id="1266" w:name="_Toc453660785"/>
      <w:bookmarkEnd w:id="1266"/>
      <w:bookmarkStart w:id="1267" w:name="_Toc453657324"/>
      <w:bookmarkEnd w:id="1267"/>
      <w:bookmarkStart w:id="1268" w:name="_Toc453657318"/>
      <w:bookmarkEnd w:id="1268"/>
      <w:bookmarkStart w:id="1269" w:name="_Toc453657322"/>
      <w:bookmarkEnd w:id="1269"/>
      <w:bookmarkStart w:id="1270" w:name="_Toc453483653"/>
      <w:bookmarkEnd w:id="1270"/>
      <w:bookmarkStart w:id="1271" w:name="_Toc453655249"/>
      <w:bookmarkEnd w:id="1271"/>
      <w:bookmarkStart w:id="1272" w:name="_Toc453655247"/>
      <w:bookmarkEnd w:id="1272"/>
      <w:bookmarkStart w:id="1273" w:name="_Toc453660786"/>
      <w:bookmarkEnd w:id="1273"/>
      <w:bookmarkStart w:id="1274" w:name="_Toc453660952"/>
      <w:bookmarkEnd w:id="1274"/>
      <w:bookmarkStart w:id="1275" w:name="_Toc453668435"/>
      <w:bookmarkEnd w:id="1275"/>
      <w:bookmarkStart w:id="1276" w:name="_Toc453660949"/>
      <w:bookmarkEnd w:id="1276"/>
      <w:bookmarkStart w:id="1277" w:name="_Toc453655248"/>
      <w:bookmarkEnd w:id="1277"/>
      <w:bookmarkStart w:id="1278" w:name="_Toc453668433"/>
      <w:bookmarkEnd w:id="1278"/>
      <w:bookmarkStart w:id="1279" w:name="_Toc453344488"/>
      <w:bookmarkEnd w:id="1279"/>
      <w:bookmarkStart w:id="1280" w:name="_Toc453668436"/>
      <w:bookmarkEnd w:id="1280"/>
      <w:bookmarkStart w:id="1281" w:name="_Toc453483650"/>
      <w:bookmarkEnd w:id="1281"/>
      <w:bookmarkStart w:id="1282" w:name="_Toc453655250"/>
      <w:bookmarkEnd w:id="1282"/>
      <w:bookmarkStart w:id="1283" w:name="_Toc453657317"/>
      <w:bookmarkEnd w:id="1283"/>
      <w:bookmarkStart w:id="1284" w:name="_Toc453660784"/>
      <w:bookmarkEnd w:id="1284"/>
      <w:bookmarkStart w:id="1285" w:name="_Toc453660953"/>
      <w:bookmarkEnd w:id="1285"/>
      <w:bookmarkStart w:id="1286" w:name="_Toc453660948"/>
      <w:bookmarkEnd w:id="1286"/>
      <w:bookmarkStart w:id="1287" w:name="_Toc453668438"/>
      <w:bookmarkEnd w:id="1287"/>
      <w:bookmarkStart w:id="1288" w:name="_Toc453447526"/>
      <w:bookmarkEnd w:id="1288"/>
      <w:bookmarkStart w:id="1289" w:name="_Toc453447525"/>
      <w:bookmarkEnd w:id="1289"/>
      <w:bookmarkStart w:id="1290" w:name="_Toc453447528"/>
      <w:bookmarkEnd w:id="1290"/>
      <w:bookmarkStart w:id="1291" w:name="_Toc453344490"/>
      <w:bookmarkEnd w:id="1291"/>
      <w:bookmarkStart w:id="1292" w:name="_Toc453483651"/>
      <w:bookmarkEnd w:id="1292"/>
      <w:bookmarkStart w:id="1293" w:name="_Toc453668432"/>
      <w:bookmarkEnd w:id="1293"/>
      <w:bookmarkStart w:id="1294" w:name="_Toc453668434"/>
      <w:bookmarkEnd w:id="1294"/>
      <w:bookmarkStart w:id="1295" w:name="_Toc453660780"/>
      <w:bookmarkEnd w:id="1295"/>
      <w:bookmarkStart w:id="1296" w:name="_Toc453660950"/>
      <w:bookmarkEnd w:id="1296"/>
      <w:bookmarkStart w:id="1297" w:name="_Toc453657320"/>
      <w:bookmarkEnd w:id="1297"/>
      <w:bookmarkStart w:id="1298" w:name="_Toc453660954"/>
      <w:bookmarkEnd w:id="1298"/>
      <w:bookmarkStart w:id="1299" w:name="_Toc453657323"/>
      <w:bookmarkEnd w:id="1299"/>
      <w:bookmarkStart w:id="1300" w:name="_Toc453447527"/>
      <w:bookmarkEnd w:id="1300"/>
      <w:bookmarkStart w:id="1301" w:name="_Toc453344491"/>
      <w:bookmarkEnd w:id="1301"/>
      <w:bookmarkStart w:id="1302" w:name="_Toc453344492"/>
      <w:bookmarkEnd w:id="1302"/>
      <w:bookmarkStart w:id="1303" w:name="_Toc453655251"/>
      <w:bookmarkEnd w:id="1303"/>
      <w:bookmarkStart w:id="1304" w:name="_Toc453668437"/>
      <w:bookmarkEnd w:id="1304"/>
      <w:bookmarkStart w:id="1305" w:name="_Toc453344489"/>
      <w:bookmarkEnd w:id="1305"/>
      <w:bookmarkStart w:id="1306" w:name="_Toc453660947"/>
      <w:bookmarkEnd w:id="1306"/>
      <w:bookmarkStart w:id="1307" w:name="_Toc453447524"/>
      <w:bookmarkEnd w:id="1307"/>
      <w:bookmarkStart w:id="1308" w:name="_Toc453668439"/>
      <w:bookmarkEnd w:id="1308"/>
      <w:bookmarkStart w:id="1309" w:name="_Toc453655245"/>
      <w:bookmarkEnd w:id="1309"/>
      <w:bookmarkStart w:id="1310" w:name="_Toc453660951"/>
      <w:bookmarkEnd w:id="1310"/>
      <w:bookmarkStart w:id="1311" w:name="_Toc453483649"/>
      <w:bookmarkEnd w:id="1311"/>
      <w:bookmarkStart w:id="1312" w:name="_Toc453660781"/>
      <w:bookmarkEnd w:id="1312"/>
      <w:bookmarkStart w:id="1313" w:name="_Toc17090"/>
      <w:r>
        <w:rPr>
          <w:rFonts w:hint="eastAsia" w:ascii="Times New Roman" w:hAnsi="Times New Roman" w:eastAsia="仿宋" w:cs="Times New Roman"/>
          <w:b/>
          <w:color w:val="auto"/>
          <w:kern w:val="28"/>
          <w:sz w:val="32"/>
          <w:szCs w:val="30"/>
          <w:lang w:val="en-US" w:eastAsia="zh-CN" w:bidi="ar-SA"/>
        </w:rPr>
        <w:t>考核条款</w:t>
      </w:r>
      <w:bookmarkEnd w:id="1313"/>
    </w:p>
    <w:p>
      <w:pPr>
        <w:keepNext/>
        <w:numPr>
          <w:ilvl w:val="1"/>
          <w:numId w:val="7"/>
        </w:numPr>
        <w:spacing w:before="120" w:after="120" w:line="360" w:lineRule="auto"/>
        <w:outlineLvl w:val="1"/>
        <w:rPr>
          <w:rFonts w:hint="eastAsia" w:ascii="Times New Roman" w:hAnsi="Times New Roman" w:eastAsia="仿宋" w:cs="Times New Roman"/>
          <w:b/>
          <w:color w:val="auto"/>
          <w:kern w:val="0"/>
          <w:sz w:val="30"/>
          <w:szCs w:val="30"/>
          <w:lang w:val="en-GB" w:eastAsia="zh-CN" w:bidi="ar-SA"/>
        </w:rPr>
      </w:pPr>
      <w:bookmarkStart w:id="1314" w:name="_Toc20494"/>
      <w:r>
        <w:rPr>
          <w:rFonts w:hint="eastAsia" w:ascii="Times New Roman" w:hAnsi="Times New Roman" w:eastAsia="仿宋" w:cs="Times New Roman"/>
          <w:b/>
          <w:color w:val="auto"/>
          <w:kern w:val="0"/>
          <w:sz w:val="30"/>
          <w:szCs w:val="30"/>
          <w:lang w:val="en-GB" w:eastAsia="zh-CN" w:bidi="ar-SA"/>
        </w:rPr>
        <w:t>合同期评价</w:t>
      </w:r>
      <w:bookmarkEnd w:id="1314"/>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rPr>
      </w:pPr>
      <w:r>
        <w:rPr>
          <w:rFonts w:hint="eastAsia" w:ascii="Times New Roman" w:hAnsi="Times New Roman" w:eastAsia="仿宋" w:cs="Times New Roman"/>
          <w:bCs/>
          <w:color w:val="auto"/>
          <w:kern w:val="2"/>
          <w:szCs w:val="21"/>
        </w:rPr>
        <w:t>凡涉及以下任一条款，则比选人有权行使一票否决制，考核评定不合格，比选人有权随时终止合同。</w:t>
      </w:r>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rPr>
      </w:pPr>
      <w:r>
        <w:rPr>
          <w:rFonts w:hint="eastAsia" w:ascii="Times New Roman" w:hAnsi="Times New Roman" w:eastAsia="仿宋" w:cs="Times New Roman"/>
          <w:bCs/>
          <w:color w:val="auto"/>
          <w:kern w:val="2"/>
          <w:szCs w:val="21"/>
          <w:lang w:eastAsia="zh-CN"/>
        </w:rPr>
        <w:t>7.1</w:t>
      </w:r>
      <w:r>
        <w:rPr>
          <w:rFonts w:hint="eastAsia" w:ascii="Times New Roman" w:hAnsi="Times New Roman" w:eastAsia="仿宋" w:cs="Times New Roman"/>
          <w:bCs/>
          <w:color w:val="auto"/>
          <w:kern w:val="2"/>
          <w:szCs w:val="21"/>
        </w:rPr>
        <w:t>.1对外透露保密性的信息，情节严重。</w:t>
      </w:r>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rPr>
      </w:pPr>
      <w:r>
        <w:rPr>
          <w:rFonts w:hint="eastAsia" w:ascii="Times New Roman" w:hAnsi="Times New Roman" w:eastAsia="仿宋" w:cs="Times New Roman"/>
          <w:bCs/>
          <w:color w:val="auto"/>
          <w:kern w:val="2"/>
          <w:szCs w:val="21"/>
          <w:lang w:eastAsia="zh-CN"/>
        </w:rPr>
        <w:t>7.1</w:t>
      </w:r>
      <w:r>
        <w:rPr>
          <w:rFonts w:hint="eastAsia" w:ascii="Times New Roman" w:hAnsi="Times New Roman" w:eastAsia="仿宋" w:cs="Times New Roman"/>
          <w:bCs/>
          <w:color w:val="auto"/>
          <w:kern w:val="2"/>
          <w:szCs w:val="21"/>
        </w:rPr>
        <w:t>.2因比选申请人原因，造成发生</w:t>
      </w:r>
      <w:r>
        <w:rPr>
          <w:rFonts w:hint="eastAsia" w:ascii="Times New Roman" w:hAnsi="Times New Roman" w:eastAsia="仿宋" w:cs="Times New Roman"/>
          <w:bCs/>
          <w:color w:val="auto"/>
          <w:kern w:val="2"/>
          <w:szCs w:val="21"/>
          <w:lang w:eastAsia="zh-CN"/>
        </w:rPr>
        <w:t>《</w:t>
      </w:r>
      <w:r>
        <w:rPr>
          <w:rFonts w:hint="eastAsia" w:ascii="Times New Roman" w:hAnsi="Times New Roman" w:eastAsia="仿宋" w:cs="Times New Roman"/>
          <w:bCs/>
          <w:color w:val="auto"/>
          <w:kern w:val="2"/>
          <w:szCs w:val="21"/>
        </w:rPr>
        <w:t>运营分公司生产安全事故（事件）调查报告和处理规定</w:t>
      </w:r>
      <w:r>
        <w:rPr>
          <w:rFonts w:hint="eastAsia" w:ascii="Times New Roman" w:hAnsi="Times New Roman" w:eastAsia="仿宋" w:cs="Times New Roman"/>
          <w:bCs/>
          <w:color w:val="auto"/>
          <w:kern w:val="2"/>
          <w:szCs w:val="21"/>
          <w:lang w:eastAsia="zh-CN"/>
        </w:rPr>
        <w:t>》</w:t>
      </w:r>
      <w:r>
        <w:rPr>
          <w:rFonts w:hint="eastAsia" w:ascii="Times New Roman" w:hAnsi="Times New Roman" w:eastAsia="仿宋" w:cs="Times New Roman"/>
          <w:bCs/>
          <w:color w:val="auto"/>
          <w:kern w:val="2"/>
          <w:szCs w:val="21"/>
          <w:lang w:val="en-US" w:eastAsia="zh-CN"/>
        </w:rPr>
        <w:t>中</w:t>
      </w:r>
      <w:r>
        <w:rPr>
          <w:rFonts w:hint="eastAsia" w:ascii="Times New Roman" w:hAnsi="Times New Roman" w:eastAsia="仿宋" w:cs="Times New Roman"/>
          <w:bCs/>
          <w:color w:val="auto"/>
          <w:kern w:val="2"/>
          <w:szCs w:val="21"/>
        </w:rPr>
        <w:t>一般事件C类及以上事故、事件。</w:t>
      </w:r>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rPr>
      </w:pPr>
      <w:r>
        <w:rPr>
          <w:rFonts w:hint="eastAsia" w:ascii="Times New Roman" w:hAnsi="Times New Roman" w:eastAsia="仿宋" w:cs="Times New Roman"/>
          <w:bCs/>
          <w:color w:val="auto"/>
          <w:kern w:val="2"/>
          <w:szCs w:val="21"/>
          <w:lang w:eastAsia="zh-CN"/>
        </w:rPr>
        <w:t>7.1</w:t>
      </w:r>
      <w:r>
        <w:rPr>
          <w:rFonts w:hint="eastAsia" w:ascii="Times New Roman" w:hAnsi="Times New Roman" w:eastAsia="仿宋" w:cs="Times New Roman"/>
          <w:bCs/>
          <w:color w:val="auto"/>
          <w:kern w:val="2"/>
          <w:szCs w:val="21"/>
        </w:rPr>
        <w:t>.3发生责任员工轻伤及以上。</w:t>
      </w:r>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rPr>
      </w:pPr>
      <w:r>
        <w:rPr>
          <w:rFonts w:hint="eastAsia" w:ascii="Times New Roman" w:hAnsi="Times New Roman" w:eastAsia="仿宋" w:cs="Times New Roman"/>
          <w:bCs/>
          <w:color w:val="auto"/>
          <w:kern w:val="2"/>
          <w:szCs w:val="21"/>
          <w:lang w:eastAsia="zh-CN"/>
        </w:rPr>
        <w:t>7.1</w:t>
      </w:r>
      <w:r>
        <w:rPr>
          <w:rFonts w:hint="eastAsia" w:ascii="Times New Roman" w:hAnsi="Times New Roman" w:eastAsia="仿宋" w:cs="Times New Roman"/>
          <w:bCs/>
          <w:color w:val="auto"/>
          <w:kern w:val="2"/>
          <w:szCs w:val="21"/>
        </w:rPr>
        <w:t>.4施工作业完成后，未按比选人相关施工管理规定进行出清或跨区域、跨范围作业。</w:t>
      </w:r>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rPr>
      </w:pPr>
      <w:r>
        <w:rPr>
          <w:rFonts w:hint="eastAsia" w:ascii="Times New Roman" w:hAnsi="Times New Roman" w:eastAsia="仿宋" w:cs="Times New Roman"/>
          <w:bCs/>
          <w:color w:val="auto"/>
          <w:kern w:val="2"/>
          <w:szCs w:val="21"/>
          <w:lang w:eastAsia="zh-CN"/>
        </w:rPr>
        <w:t>7.1</w:t>
      </w:r>
      <w:r>
        <w:rPr>
          <w:rFonts w:hint="eastAsia" w:ascii="Times New Roman" w:hAnsi="Times New Roman" w:eastAsia="仿宋" w:cs="Times New Roman"/>
          <w:bCs/>
          <w:color w:val="auto"/>
          <w:kern w:val="2"/>
          <w:szCs w:val="21"/>
        </w:rPr>
        <w:t>.5因比选申请人责任造成解除合同的，由比选申请人承担相应的责任, 并赔偿相应损失。</w:t>
      </w:r>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rPr>
      </w:pPr>
      <w:r>
        <w:rPr>
          <w:rFonts w:hint="eastAsia" w:ascii="Times New Roman" w:hAnsi="Times New Roman" w:eastAsia="仿宋" w:cs="Times New Roman"/>
          <w:bCs/>
          <w:color w:val="auto"/>
          <w:kern w:val="2"/>
          <w:szCs w:val="21"/>
          <w:lang w:eastAsia="zh-CN"/>
        </w:rPr>
        <w:t>7.1</w:t>
      </w:r>
      <w:r>
        <w:rPr>
          <w:rFonts w:hint="eastAsia" w:ascii="Times New Roman" w:hAnsi="Times New Roman" w:eastAsia="仿宋" w:cs="Times New Roman"/>
          <w:bCs/>
          <w:color w:val="auto"/>
          <w:kern w:val="2"/>
          <w:szCs w:val="21"/>
        </w:rPr>
        <w:t>.</w:t>
      </w:r>
      <w:r>
        <w:rPr>
          <w:rFonts w:hint="eastAsia" w:ascii="Times New Roman" w:hAnsi="Times New Roman" w:eastAsia="仿宋" w:cs="Times New Roman"/>
          <w:bCs/>
          <w:color w:val="auto"/>
          <w:kern w:val="2"/>
          <w:szCs w:val="21"/>
          <w:lang w:val="en-US" w:eastAsia="zh-CN"/>
        </w:rPr>
        <w:t>6</w:t>
      </w:r>
      <w:r>
        <w:rPr>
          <w:rFonts w:hint="eastAsia" w:ascii="Times New Roman" w:hAnsi="Times New Roman" w:eastAsia="仿宋" w:cs="Times New Roman"/>
          <w:bCs/>
          <w:color w:val="auto"/>
          <w:kern w:val="2"/>
          <w:szCs w:val="21"/>
        </w:rPr>
        <w:t>比选申请人在收到考核单后，如有意见，在三个工作日可提出申诉，比选人在收到申诉后三个工作日答复，比选申请人在三个工作日内必须签字盖章返回，若因此导致比选人支付款项延时，责任由比选申请人自行承担。</w:t>
      </w:r>
    </w:p>
    <w:p>
      <w:pPr>
        <w:keepNext/>
        <w:numPr>
          <w:ilvl w:val="1"/>
          <w:numId w:val="7"/>
        </w:numPr>
        <w:spacing w:before="120" w:after="120" w:line="360" w:lineRule="auto"/>
        <w:outlineLvl w:val="1"/>
        <w:rPr>
          <w:rFonts w:hint="eastAsia" w:ascii="Times New Roman" w:hAnsi="Times New Roman" w:eastAsia="仿宋" w:cs="Times New Roman"/>
          <w:b/>
          <w:color w:val="auto"/>
          <w:kern w:val="0"/>
          <w:sz w:val="30"/>
          <w:szCs w:val="30"/>
          <w:lang w:val="en-GB" w:eastAsia="zh-CN" w:bidi="ar-SA"/>
        </w:rPr>
      </w:pPr>
      <w:bookmarkStart w:id="1315" w:name="_Toc21730"/>
      <w:r>
        <w:rPr>
          <w:rFonts w:hint="eastAsia" w:ascii="Times New Roman" w:hAnsi="Times New Roman" w:eastAsia="仿宋" w:cs="Times New Roman"/>
          <w:b/>
          <w:color w:val="auto"/>
          <w:kern w:val="0"/>
          <w:sz w:val="30"/>
          <w:szCs w:val="30"/>
          <w:lang w:val="en-GB" w:eastAsia="zh-CN" w:bidi="ar-SA"/>
        </w:rPr>
        <w:t>违约处理</w:t>
      </w:r>
      <w:bookmarkEnd w:id="1315"/>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rPr>
      </w:pPr>
      <w:r>
        <w:rPr>
          <w:rFonts w:hint="eastAsia" w:ascii="Times New Roman" w:hAnsi="Times New Roman" w:eastAsia="仿宋" w:cs="Times New Roman"/>
          <w:bCs/>
          <w:color w:val="auto"/>
          <w:kern w:val="2"/>
          <w:szCs w:val="21"/>
          <w:lang w:eastAsia="zh-CN"/>
        </w:rPr>
        <w:t>7.2</w:t>
      </w:r>
      <w:r>
        <w:rPr>
          <w:rFonts w:hint="eastAsia" w:ascii="Times New Roman" w:hAnsi="Times New Roman" w:eastAsia="仿宋" w:cs="Times New Roman"/>
          <w:bCs/>
          <w:color w:val="auto"/>
          <w:kern w:val="2"/>
          <w:szCs w:val="21"/>
        </w:rPr>
        <w:t>.1因比选申请人原因造成一般事件C类及以上的，课以比选人受考核的金额或者合同总价款的5%作为违约金，以两者考核金额大的进行考核；且比选人有权根据影响程度追加考核，因此造成的其他损失比选人有权向比选申请人索赔。因比选申请人原因造成一般事件C类以上事件的，比选人有权终止合同。</w:t>
      </w:r>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rPr>
      </w:pPr>
      <w:r>
        <w:rPr>
          <w:rFonts w:hint="eastAsia" w:ascii="Times New Roman" w:hAnsi="Times New Roman" w:eastAsia="仿宋" w:cs="Times New Roman"/>
          <w:bCs/>
          <w:color w:val="auto"/>
          <w:kern w:val="2"/>
          <w:szCs w:val="21"/>
          <w:lang w:eastAsia="zh-CN"/>
        </w:rPr>
        <w:t>7.2</w:t>
      </w:r>
      <w:r>
        <w:rPr>
          <w:rFonts w:hint="eastAsia" w:ascii="Times New Roman" w:hAnsi="Times New Roman" w:eastAsia="仿宋" w:cs="Times New Roman"/>
          <w:bCs/>
          <w:color w:val="auto"/>
          <w:kern w:val="2"/>
          <w:szCs w:val="21"/>
        </w:rPr>
        <w:t>.2因比选申请人原因造成比选人、第三方财产或人身损害的，比选申请人除负责赔偿责任外，尚需向比选人赔付由比选人依据安全事故的性质，设备受损的程度以及比选人的名誉、形象受损的范围和程度等确定的费用，并承担比选人因该事件发生的诉讼费、律师费等一切费用。</w:t>
      </w:r>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rPr>
      </w:pPr>
      <w:r>
        <w:rPr>
          <w:rFonts w:hint="eastAsia" w:ascii="Times New Roman" w:hAnsi="Times New Roman" w:eastAsia="仿宋" w:cs="Times New Roman"/>
          <w:bCs/>
          <w:color w:val="auto"/>
          <w:kern w:val="2"/>
          <w:szCs w:val="21"/>
          <w:lang w:eastAsia="zh-CN"/>
        </w:rPr>
        <w:t>7.2</w:t>
      </w:r>
      <w:r>
        <w:rPr>
          <w:rFonts w:hint="eastAsia" w:ascii="Times New Roman" w:hAnsi="Times New Roman" w:eastAsia="仿宋" w:cs="Times New Roman"/>
          <w:bCs/>
          <w:color w:val="auto"/>
          <w:kern w:val="2"/>
          <w:szCs w:val="21"/>
        </w:rPr>
        <w:t>.3合同签订之后，未经比选人书面同意，比选申请人擅自更换项目经理或施工负责人的，视为比选申请人违约，课以违约金5000元/人次。</w:t>
      </w:r>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rPr>
      </w:pPr>
      <w:r>
        <w:rPr>
          <w:rFonts w:hint="eastAsia" w:ascii="Times New Roman" w:hAnsi="Times New Roman" w:eastAsia="仿宋" w:cs="Times New Roman"/>
          <w:bCs/>
          <w:color w:val="auto"/>
          <w:kern w:val="2"/>
          <w:szCs w:val="21"/>
          <w:lang w:eastAsia="zh-CN"/>
        </w:rPr>
        <w:t>7.2</w:t>
      </w:r>
      <w:r>
        <w:rPr>
          <w:rFonts w:hint="eastAsia" w:ascii="Times New Roman" w:hAnsi="Times New Roman" w:eastAsia="仿宋" w:cs="Times New Roman"/>
          <w:bCs/>
          <w:color w:val="auto"/>
          <w:kern w:val="2"/>
          <w:szCs w:val="21"/>
        </w:rPr>
        <w:t>.4比选申请人人员在禁止抽烟区域内抽烟，工作期间喝酒或与其他部门/单位发生争执或打架斗殴等不文明现象的，课以违约金200元/次，造成不良影响的加倍处罚。</w:t>
      </w:r>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rPr>
      </w:pPr>
      <w:r>
        <w:rPr>
          <w:rFonts w:hint="eastAsia" w:ascii="Times New Roman" w:hAnsi="Times New Roman" w:eastAsia="仿宋" w:cs="Times New Roman"/>
          <w:bCs/>
          <w:color w:val="auto"/>
          <w:kern w:val="2"/>
          <w:szCs w:val="21"/>
          <w:lang w:eastAsia="zh-CN"/>
        </w:rPr>
        <w:t>7.2</w:t>
      </w:r>
      <w:r>
        <w:rPr>
          <w:rFonts w:hint="eastAsia" w:ascii="Times New Roman" w:hAnsi="Times New Roman" w:eastAsia="仿宋" w:cs="Times New Roman"/>
          <w:bCs/>
          <w:color w:val="auto"/>
          <w:kern w:val="2"/>
          <w:szCs w:val="21"/>
        </w:rPr>
        <w:t>.5比选申请人不服从比选人现场管理，课以违约金200元/次，此外造成比选人的损失，比选人有权向比选申请人索赔。</w:t>
      </w:r>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rPr>
      </w:pPr>
      <w:r>
        <w:rPr>
          <w:rFonts w:hint="eastAsia" w:ascii="Times New Roman" w:hAnsi="Times New Roman" w:eastAsia="仿宋" w:cs="Times New Roman"/>
          <w:bCs/>
          <w:color w:val="auto"/>
          <w:kern w:val="2"/>
          <w:szCs w:val="21"/>
          <w:lang w:eastAsia="zh-CN"/>
        </w:rPr>
        <w:t>7.2</w:t>
      </w:r>
      <w:r>
        <w:rPr>
          <w:rFonts w:hint="eastAsia" w:ascii="Times New Roman" w:hAnsi="Times New Roman" w:eastAsia="仿宋" w:cs="Times New Roman"/>
          <w:bCs/>
          <w:color w:val="auto"/>
          <w:kern w:val="2"/>
          <w:szCs w:val="21"/>
        </w:rPr>
        <w:t>.6比选申请人在施工作业时未按要求穿戴劳保用品（荧光衣、劳保鞋、安全帽等）或使用过期的劳保用品，课以违约金800元/次。</w:t>
      </w:r>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rPr>
      </w:pPr>
      <w:r>
        <w:rPr>
          <w:rFonts w:hint="eastAsia" w:ascii="Times New Roman" w:hAnsi="Times New Roman" w:eastAsia="仿宋" w:cs="Times New Roman"/>
          <w:bCs/>
          <w:color w:val="auto"/>
          <w:kern w:val="2"/>
          <w:szCs w:val="21"/>
          <w:lang w:eastAsia="zh-CN"/>
        </w:rPr>
        <w:t>7.2</w:t>
      </w:r>
      <w:r>
        <w:rPr>
          <w:rFonts w:hint="eastAsia" w:ascii="Times New Roman" w:hAnsi="Times New Roman" w:eastAsia="仿宋" w:cs="Times New Roman"/>
          <w:bCs/>
          <w:color w:val="auto"/>
          <w:kern w:val="2"/>
          <w:szCs w:val="21"/>
        </w:rPr>
        <w:t>.7未经许可携带危化品进入作业现场的；作业结束后危化品处置不当，课以违约金500元/件。</w:t>
      </w:r>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rPr>
      </w:pPr>
      <w:r>
        <w:rPr>
          <w:rFonts w:hint="eastAsia" w:ascii="Times New Roman" w:hAnsi="Times New Roman" w:eastAsia="仿宋" w:cs="Times New Roman"/>
          <w:bCs/>
          <w:color w:val="auto"/>
          <w:kern w:val="2"/>
          <w:szCs w:val="21"/>
          <w:lang w:eastAsia="zh-CN"/>
        </w:rPr>
        <w:t>7.2</w:t>
      </w:r>
      <w:r>
        <w:rPr>
          <w:rFonts w:hint="eastAsia" w:ascii="Times New Roman" w:hAnsi="Times New Roman" w:eastAsia="仿宋" w:cs="Times New Roman"/>
          <w:bCs/>
          <w:color w:val="auto"/>
          <w:kern w:val="2"/>
          <w:szCs w:val="21"/>
        </w:rPr>
        <w:t>.8未经比选人同意，比选申请人带与工作无关人员进入地铁作业区域的，课以违约金1000元/次，因此造成其他经济损失由比选申请人负责。</w:t>
      </w:r>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rPr>
      </w:pPr>
      <w:r>
        <w:rPr>
          <w:rFonts w:hint="eastAsia" w:ascii="Times New Roman" w:hAnsi="Times New Roman" w:eastAsia="仿宋" w:cs="Times New Roman"/>
          <w:bCs/>
          <w:color w:val="auto"/>
          <w:kern w:val="2"/>
          <w:szCs w:val="21"/>
          <w:lang w:eastAsia="zh-CN"/>
        </w:rPr>
        <w:t>7.2</w:t>
      </w:r>
      <w:r>
        <w:rPr>
          <w:rFonts w:hint="eastAsia" w:ascii="Times New Roman" w:hAnsi="Times New Roman" w:eastAsia="仿宋" w:cs="Times New Roman"/>
          <w:bCs/>
          <w:color w:val="auto"/>
          <w:kern w:val="2"/>
          <w:szCs w:val="21"/>
        </w:rPr>
        <w:t>.9比选申请人违反比选人各类安全、生产管理规定（以地铁最新规定为准，比选人负责通知），课以违约金200元/次。</w:t>
      </w:r>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rPr>
      </w:pPr>
      <w:r>
        <w:rPr>
          <w:rFonts w:hint="eastAsia" w:ascii="Times New Roman" w:hAnsi="Times New Roman" w:eastAsia="仿宋" w:cs="Times New Roman"/>
          <w:bCs/>
          <w:color w:val="auto"/>
          <w:kern w:val="2"/>
          <w:szCs w:val="21"/>
          <w:lang w:eastAsia="zh-CN"/>
        </w:rPr>
        <w:t>7.2</w:t>
      </w:r>
      <w:r>
        <w:rPr>
          <w:rFonts w:hint="eastAsia" w:ascii="Times New Roman" w:hAnsi="Times New Roman" w:eastAsia="仿宋" w:cs="Times New Roman"/>
          <w:bCs/>
          <w:color w:val="auto"/>
          <w:kern w:val="2"/>
          <w:szCs w:val="21"/>
        </w:rPr>
        <w:t>.10比选申请人违反国家、行业各类管理规定及法律法规（以国家最新规定为准，比选人不负责通知），课以违约金500元/次。造成比选人的其他损失，比选人还将向比选申请人索赔。</w:t>
      </w:r>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rPr>
      </w:pPr>
      <w:r>
        <w:rPr>
          <w:rFonts w:hint="eastAsia" w:ascii="Times New Roman" w:hAnsi="Times New Roman" w:eastAsia="仿宋" w:cs="Times New Roman"/>
          <w:bCs/>
          <w:color w:val="auto"/>
          <w:kern w:val="2"/>
          <w:szCs w:val="21"/>
          <w:lang w:eastAsia="zh-CN"/>
        </w:rPr>
        <w:t>7.2</w:t>
      </w:r>
      <w:r>
        <w:rPr>
          <w:rFonts w:hint="eastAsia" w:ascii="Times New Roman" w:hAnsi="Times New Roman" w:eastAsia="仿宋" w:cs="Times New Roman"/>
          <w:bCs/>
          <w:color w:val="auto"/>
          <w:kern w:val="2"/>
          <w:szCs w:val="21"/>
        </w:rPr>
        <w:t>.11因比选申请人责任造成人员人身伤亡等现象的，按相关法律法规及地铁公司相关规定进行处理，由比选申请人承担事故的一切责任及费用。</w:t>
      </w:r>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rPr>
      </w:pPr>
      <w:r>
        <w:rPr>
          <w:rFonts w:hint="eastAsia" w:ascii="Times New Roman" w:hAnsi="Times New Roman" w:eastAsia="仿宋" w:cs="Times New Roman"/>
          <w:bCs/>
          <w:color w:val="auto"/>
          <w:kern w:val="2"/>
          <w:szCs w:val="21"/>
          <w:lang w:eastAsia="zh-CN"/>
        </w:rPr>
        <w:t>7.2</w:t>
      </w:r>
      <w:r>
        <w:rPr>
          <w:rFonts w:hint="eastAsia" w:ascii="Times New Roman" w:hAnsi="Times New Roman" w:eastAsia="仿宋" w:cs="Times New Roman"/>
          <w:bCs/>
          <w:color w:val="auto"/>
          <w:kern w:val="2"/>
          <w:szCs w:val="21"/>
        </w:rPr>
        <w:t>.12未经比选人批准，比选申请人进行计划类作业以外的工作，课以违约金1000元/次。</w:t>
      </w:r>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rPr>
      </w:pPr>
      <w:r>
        <w:rPr>
          <w:rFonts w:hint="eastAsia" w:ascii="Times New Roman" w:hAnsi="Times New Roman" w:eastAsia="仿宋" w:cs="Times New Roman"/>
          <w:bCs/>
          <w:color w:val="auto"/>
          <w:kern w:val="2"/>
          <w:szCs w:val="21"/>
          <w:lang w:eastAsia="zh-CN"/>
        </w:rPr>
        <w:t>7.2</w:t>
      </w:r>
      <w:r>
        <w:rPr>
          <w:rFonts w:hint="eastAsia" w:ascii="Times New Roman" w:hAnsi="Times New Roman" w:eastAsia="仿宋" w:cs="Times New Roman"/>
          <w:bCs/>
          <w:color w:val="auto"/>
          <w:kern w:val="2"/>
          <w:szCs w:val="21"/>
        </w:rPr>
        <w:t>.13比选申请人应保证所用的施工材料满足质量要求，如发现比选申请人采用劣质或假冒伪劣进行代替的，课以违约金500元/次。</w:t>
      </w:r>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rPr>
      </w:pPr>
      <w:r>
        <w:rPr>
          <w:rFonts w:hint="eastAsia" w:ascii="Times New Roman" w:hAnsi="Times New Roman" w:eastAsia="仿宋" w:cs="Times New Roman"/>
          <w:bCs/>
          <w:color w:val="auto"/>
          <w:kern w:val="2"/>
          <w:szCs w:val="21"/>
          <w:lang w:eastAsia="zh-CN"/>
        </w:rPr>
        <w:t>7.2</w:t>
      </w:r>
      <w:r>
        <w:rPr>
          <w:rFonts w:hint="eastAsia" w:ascii="Times New Roman" w:hAnsi="Times New Roman" w:eastAsia="仿宋" w:cs="Times New Roman"/>
          <w:bCs/>
          <w:color w:val="auto"/>
          <w:kern w:val="2"/>
          <w:szCs w:val="21"/>
        </w:rPr>
        <w:t>.14比选申请人逾期完成施工的，每逾期一天，比选申请人向比选人支付合同价款的0.5%的违约金，逾期一个月的，比选申请人有权解除合同。</w:t>
      </w:r>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rPr>
      </w:pPr>
      <w:r>
        <w:rPr>
          <w:rFonts w:hint="eastAsia" w:ascii="Times New Roman" w:hAnsi="Times New Roman" w:eastAsia="仿宋" w:cs="Times New Roman"/>
          <w:bCs/>
          <w:color w:val="auto"/>
          <w:kern w:val="2"/>
          <w:szCs w:val="21"/>
          <w:lang w:eastAsia="zh-CN"/>
        </w:rPr>
        <w:t>7.2</w:t>
      </w:r>
      <w:r>
        <w:rPr>
          <w:rFonts w:hint="eastAsia" w:ascii="Times New Roman" w:hAnsi="Times New Roman" w:eastAsia="仿宋" w:cs="Times New Roman"/>
          <w:bCs/>
          <w:color w:val="auto"/>
          <w:kern w:val="2"/>
          <w:szCs w:val="21"/>
        </w:rPr>
        <w:t>.15比选申请人未在故障修复时间内修复设备的，课以违约金，违约金计算标准为：违约金500元/天乘于（实际修复所需时间-规定修复时间）。</w:t>
      </w:r>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rPr>
      </w:pPr>
      <w:r>
        <w:rPr>
          <w:rFonts w:hint="eastAsia" w:ascii="Times New Roman" w:hAnsi="Times New Roman" w:eastAsia="仿宋" w:cs="Times New Roman"/>
          <w:bCs/>
          <w:color w:val="auto"/>
          <w:kern w:val="2"/>
          <w:szCs w:val="21"/>
          <w:lang w:eastAsia="zh-CN"/>
        </w:rPr>
        <w:t>7.2</w:t>
      </w:r>
      <w:r>
        <w:rPr>
          <w:rFonts w:hint="eastAsia" w:ascii="Times New Roman" w:hAnsi="Times New Roman" w:eastAsia="仿宋" w:cs="Times New Roman"/>
          <w:bCs/>
          <w:color w:val="auto"/>
          <w:kern w:val="2"/>
          <w:szCs w:val="21"/>
        </w:rPr>
        <w:t>.16比选申请人故障响应时间超过比选申请人承诺故障响应时间，课以违约金100元/每半时。</w:t>
      </w:r>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rPr>
      </w:pPr>
      <w:r>
        <w:rPr>
          <w:rFonts w:hint="eastAsia" w:ascii="Times New Roman" w:hAnsi="Times New Roman" w:eastAsia="仿宋" w:cs="Times New Roman"/>
          <w:bCs/>
          <w:color w:val="auto"/>
          <w:kern w:val="2"/>
          <w:szCs w:val="21"/>
          <w:lang w:val="en-US" w:eastAsia="zh-CN"/>
        </w:rPr>
        <w:t>7.2</w:t>
      </w:r>
      <w:r>
        <w:rPr>
          <w:rFonts w:hint="eastAsia" w:ascii="Times New Roman" w:hAnsi="Times New Roman" w:eastAsia="仿宋" w:cs="Times New Roman"/>
          <w:bCs/>
          <w:color w:val="auto"/>
          <w:kern w:val="2"/>
          <w:szCs w:val="21"/>
        </w:rPr>
        <w:t>.1</w:t>
      </w:r>
      <w:r>
        <w:rPr>
          <w:rFonts w:hint="eastAsia" w:ascii="Times New Roman" w:hAnsi="Times New Roman" w:eastAsia="仿宋" w:cs="Times New Roman"/>
          <w:bCs/>
          <w:color w:val="auto"/>
          <w:kern w:val="2"/>
          <w:szCs w:val="21"/>
          <w:lang w:val="en-US" w:eastAsia="zh-CN"/>
        </w:rPr>
        <w:t>7</w:t>
      </w:r>
      <w:r>
        <w:rPr>
          <w:rFonts w:hint="eastAsia" w:ascii="Times New Roman" w:hAnsi="Times New Roman" w:eastAsia="仿宋" w:cs="Times New Roman"/>
          <w:bCs/>
          <w:color w:val="auto"/>
          <w:kern w:val="2"/>
          <w:szCs w:val="21"/>
        </w:rPr>
        <w:t>由于</w:t>
      </w:r>
      <w:r>
        <w:rPr>
          <w:rFonts w:hint="eastAsia" w:ascii="Times New Roman" w:hAnsi="Times New Roman" w:eastAsia="仿宋" w:cs="Times New Roman"/>
          <w:bCs/>
          <w:color w:val="auto"/>
          <w:kern w:val="2"/>
          <w:szCs w:val="21"/>
          <w:lang w:eastAsia="zh-CN"/>
        </w:rPr>
        <w:t>比选申请人</w:t>
      </w:r>
      <w:r>
        <w:rPr>
          <w:rFonts w:hint="eastAsia" w:ascii="Times New Roman" w:hAnsi="Times New Roman" w:eastAsia="仿宋" w:cs="Times New Roman"/>
          <w:bCs/>
          <w:color w:val="auto"/>
          <w:kern w:val="2"/>
          <w:szCs w:val="21"/>
        </w:rPr>
        <w:t>原因，</w:t>
      </w:r>
      <w:r>
        <w:rPr>
          <w:rFonts w:hint="eastAsia" w:ascii="Times New Roman" w:hAnsi="Times New Roman" w:eastAsia="仿宋" w:cs="Times New Roman"/>
          <w:bCs/>
          <w:color w:val="auto"/>
          <w:kern w:val="2"/>
          <w:szCs w:val="21"/>
          <w:lang w:eastAsia="zh-CN"/>
        </w:rPr>
        <w:t>比选申请人</w:t>
      </w:r>
      <w:r>
        <w:rPr>
          <w:rFonts w:hint="eastAsia" w:ascii="Times New Roman" w:hAnsi="Times New Roman" w:eastAsia="仿宋" w:cs="Times New Roman"/>
          <w:bCs/>
          <w:color w:val="auto"/>
          <w:kern w:val="2"/>
          <w:szCs w:val="21"/>
        </w:rPr>
        <w:t>未能按约定配合甲方完成</w:t>
      </w:r>
      <w:r>
        <w:rPr>
          <w:rFonts w:hint="eastAsia" w:ascii="Times New Roman" w:hAnsi="Times New Roman" w:eastAsia="仿宋" w:cs="Times New Roman"/>
          <w:bCs/>
          <w:color w:val="auto"/>
          <w:kern w:val="2"/>
          <w:szCs w:val="21"/>
          <w:lang w:val="en-US" w:eastAsia="zh-CN"/>
        </w:rPr>
        <w:t>项目</w:t>
      </w:r>
      <w:r>
        <w:rPr>
          <w:rFonts w:hint="eastAsia" w:ascii="Times New Roman" w:hAnsi="Times New Roman" w:eastAsia="仿宋" w:cs="Times New Roman"/>
          <w:bCs/>
          <w:color w:val="auto"/>
          <w:kern w:val="2"/>
          <w:szCs w:val="21"/>
        </w:rPr>
        <w:t>，</w:t>
      </w:r>
      <w:r>
        <w:rPr>
          <w:rFonts w:hint="eastAsia" w:ascii="Times New Roman" w:hAnsi="Times New Roman" w:eastAsia="仿宋" w:cs="Times New Roman"/>
          <w:bCs/>
          <w:color w:val="auto"/>
          <w:kern w:val="2"/>
          <w:szCs w:val="21"/>
          <w:lang w:val="en-US" w:eastAsia="zh-CN"/>
        </w:rPr>
        <w:t>比选人</w:t>
      </w:r>
      <w:r>
        <w:rPr>
          <w:rFonts w:hint="eastAsia" w:ascii="Times New Roman" w:hAnsi="Times New Roman" w:eastAsia="仿宋" w:cs="Times New Roman"/>
          <w:bCs/>
          <w:color w:val="auto"/>
          <w:kern w:val="2"/>
          <w:szCs w:val="21"/>
        </w:rPr>
        <w:t>有权不支付合同价款，可单方面解除合同，并要求</w:t>
      </w:r>
      <w:r>
        <w:rPr>
          <w:rFonts w:hint="eastAsia" w:ascii="Times New Roman" w:hAnsi="Times New Roman" w:eastAsia="仿宋" w:cs="Times New Roman"/>
          <w:bCs/>
          <w:color w:val="auto"/>
          <w:kern w:val="2"/>
          <w:szCs w:val="21"/>
          <w:lang w:eastAsia="zh-CN"/>
        </w:rPr>
        <w:t>比选申请人</w:t>
      </w:r>
      <w:r>
        <w:rPr>
          <w:rFonts w:hint="eastAsia" w:ascii="Times New Roman" w:hAnsi="Times New Roman" w:eastAsia="仿宋" w:cs="Times New Roman"/>
          <w:bCs/>
          <w:color w:val="auto"/>
          <w:kern w:val="2"/>
          <w:szCs w:val="21"/>
        </w:rPr>
        <w:t>赔偿合同总价的20％违约金。</w:t>
      </w:r>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rPr>
      </w:pPr>
      <w:r>
        <w:rPr>
          <w:rFonts w:hint="eastAsia" w:ascii="Times New Roman" w:hAnsi="Times New Roman" w:eastAsia="仿宋" w:cs="Times New Roman"/>
          <w:bCs/>
          <w:color w:val="auto"/>
          <w:kern w:val="2"/>
          <w:szCs w:val="21"/>
          <w:lang w:val="en-US" w:eastAsia="zh-CN"/>
        </w:rPr>
        <w:t>7.2</w:t>
      </w:r>
      <w:r>
        <w:rPr>
          <w:rFonts w:hint="eastAsia" w:ascii="Times New Roman" w:hAnsi="Times New Roman" w:eastAsia="仿宋" w:cs="Times New Roman"/>
          <w:bCs/>
          <w:color w:val="auto"/>
          <w:kern w:val="2"/>
          <w:szCs w:val="21"/>
        </w:rPr>
        <w:t>.</w:t>
      </w:r>
      <w:r>
        <w:rPr>
          <w:rFonts w:hint="eastAsia" w:ascii="Times New Roman" w:hAnsi="Times New Roman" w:eastAsia="仿宋" w:cs="Times New Roman"/>
          <w:bCs/>
          <w:color w:val="auto"/>
          <w:kern w:val="2"/>
          <w:szCs w:val="21"/>
          <w:lang w:val="en-US" w:eastAsia="zh-CN"/>
        </w:rPr>
        <w:t>18</w:t>
      </w:r>
      <w:r>
        <w:rPr>
          <w:rFonts w:hint="eastAsia" w:ascii="Times New Roman" w:hAnsi="Times New Roman" w:eastAsia="仿宋" w:cs="Times New Roman"/>
          <w:bCs/>
          <w:color w:val="auto"/>
          <w:kern w:val="2"/>
          <w:szCs w:val="21"/>
        </w:rPr>
        <w:t>若因</w:t>
      </w:r>
      <w:r>
        <w:rPr>
          <w:rFonts w:hint="eastAsia" w:ascii="Times New Roman" w:hAnsi="Times New Roman" w:eastAsia="仿宋" w:cs="Times New Roman"/>
          <w:bCs/>
          <w:color w:val="auto"/>
          <w:kern w:val="2"/>
          <w:szCs w:val="21"/>
          <w:lang w:eastAsia="zh-CN"/>
        </w:rPr>
        <w:t>比选申请人</w:t>
      </w:r>
      <w:r>
        <w:rPr>
          <w:rFonts w:hint="eastAsia" w:ascii="Times New Roman" w:hAnsi="Times New Roman" w:eastAsia="仿宋" w:cs="Times New Roman"/>
          <w:bCs/>
          <w:color w:val="auto"/>
          <w:kern w:val="2"/>
          <w:szCs w:val="21"/>
        </w:rPr>
        <w:t>提供的货物或服务不满足验收标准和技术需求，并拒绝更换符合</w:t>
      </w:r>
      <w:r>
        <w:rPr>
          <w:rFonts w:hint="eastAsia" w:ascii="Times New Roman" w:hAnsi="Times New Roman" w:eastAsia="仿宋" w:cs="Times New Roman"/>
          <w:bCs/>
          <w:color w:val="auto"/>
          <w:kern w:val="2"/>
          <w:szCs w:val="21"/>
          <w:lang w:val="en-US" w:eastAsia="zh-CN"/>
        </w:rPr>
        <w:t>比选人</w:t>
      </w:r>
      <w:r>
        <w:rPr>
          <w:rFonts w:hint="eastAsia" w:ascii="Times New Roman" w:hAnsi="Times New Roman" w:eastAsia="仿宋" w:cs="Times New Roman"/>
          <w:bCs/>
          <w:color w:val="auto"/>
          <w:kern w:val="2"/>
          <w:szCs w:val="21"/>
        </w:rPr>
        <w:t>技术需求的货物或服务，</w:t>
      </w:r>
      <w:r>
        <w:rPr>
          <w:rFonts w:hint="eastAsia" w:ascii="Times New Roman" w:hAnsi="Times New Roman" w:eastAsia="仿宋" w:cs="Times New Roman"/>
          <w:bCs/>
          <w:color w:val="auto"/>
          <w:kern w:val="2"/>
          <w:szCs w:val="21"/>
          <w:lang w:eastAsia="zh-CN"/>
        </w:rPr>
        <w:t>比选申请人</w:t>
      </w:r>
      <w:r>
        <w:rPr>
          <w:rFonts w:hint="eastAsia" w:ascii="Times New Roman" w:hAnsi="Times New Roman" w:eastAsia="仿宋" w:cs="Times New Roman"/>
          <w:bCs/>
          <w:color w:val="auto"/>
          <w:kern w:val="2"/>
          <w:szCs w:val="21"/>
        </w:rPr>
        <w:t>须支付本批次合同标的20%的违约金，同时</w:t>
      </w:r>
      <w:r>
        <w:rPr>
          <w:rFonts w:hint="eastAsia" w:ascii="Times New Roman" w:hAnsi="Times New Roman" w:eastAsia="仿宋" w:cs="Times New Roman"/>
          <w:bCs/>
          <w:color w:val="auto"/>
          <w:kern w:val="2"/>
          <w:szCs w:val="21"/>
          <w:lang w:val="en-US" w:eastAsia="zh-CN"/>
        </w:rPr>
        <w:t>比选人</w:t>
      </w:r>
      <w:r>
        <w:rPr>
          <w:rFonts w:hint="eastAsia" w:ascii="Times New Roman" w:hAnsi="Times New Roman" w:eastAsia="仿宋" w:cs="Times New Roman"/>
          <w:bCs/>
          <w:color w:val="auto"/>
          <w:kern w:val="2"/>
          <w:szCs w:val="21"/>
        </w:rPr>
        <w:t>重新采购因价格差所造成的损失由</w:t>
      </w:r>
      <w:r>
        <w:rPr>
          <w:rFonts w:hint="eastAsia" w:ascii="Times New Roman" w:hAnsi="Times New Roman" w:eastAsia="仿宋" w:cs="Times New Roman"/>
          <w:bCs/>
          <w:color w:val="auto"/>
          <w:kern w:val="2"/>
          <w:szCs w:val="21"/>
          <w:lang w:eastAsia="zh-CN"/>
        </w:rPr>
        <w:t>比选申请人</w:t>
      </w:r>
      <w:r>
        <w:rPr>
          <w:rFonts w:hint="eastAsia" w:ascii="Times New Roman" w:hAnsi="Times New Roman" w:eastAsia="仿宋" w:cs="Times New Roman"/>
          <w:bCs/>
          <w:color w:val="auto"/>
          <w:kern w:val="2"/>
          <w:szCs w:val="21"/>
        </w:rPr>
        <w:t>承担。</w:t>
      </w:r>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rPr>
      </w:pPr>
      <w:r>
        <w:rPr>
          <w:rFonts w:hint="eastAsia" w:ascii="Times New Roman" w:hAnsi="Times New Roman" w:eastAsia="仿宋" w:cs="Times New Roman"/>
          <w:bCs/>
          <w:color w:val="auto"/>
          <w:kern w:val="2"/>
          <w:szCs w:val="21"/>
          <w:lang w:val="en-US" w:eastAsia="zh-CN"/>
        </w:rPr>
        <w:t>7.2</w:t>
      </w:r>
      <w:r>
        <w:rPr>
          <w:rFonts w:hint="eastAsia" w:ascii="Times New Roman" w:hAnsi="Times New Roman" w:eastAsia="仿宋" w:cs="Times New Roman"/>
          <w:bCs/>
          <w:color w:val="auto"/>
          <w:kern w:val="2"/>
          <w:szCs w:val="21"/>
        </w:rPr>
        <w:t>.</w:t>
      </w:r>
      <w:r>
        <w:rPr>
          <w:rFonts w:hint="eastAsia" w:ascii="Times New Roman" w:hAnsi="Times New Roman" w:eastAsia="仿宋" w:cs="Times New Roman"/>
          <w:bCs/>
          <w:color w:val="auto"/>
          <w:kern w:val="2"/>
          <w:szCs w:val="21"/>
          <w:lang w:val="en-US" w:eastAsia="zh-CN"/>
        </w:rPr>
        <w:t>19</w:t>
      </w:r>
      <w:r>
        <w:rPr>
          <w:rFonts w:hint="eastAsia" w:ascii="Times New Roman" w:hAnsi="Times New Roman" w:eastAsia="仿宋" w:cs="Times New Roman"/>
          <w:bCs/>
          <w:color w:val="auto"/>
          <w:kern w:val="2"/>
          <w:szCs w:val="21"/>
          <w:lang w:eastAsia="zh-CN"/>
        </w:rPr>
        <w:t>比选申请人</w:t>
      </w:r>
      <w:r>
        <w:rPr>
          <w:rFonts w:hint="eastAsia" w:ascii="Times New Roman" w:hAnsi="Times New Roman" w:eastAsia="仿宋" w:cs="Times New Roman"/>
          <w:bCs/>
          <w:color w:val="auto"/>
          <w:kern w:val="2"/>
          <w:szCs w:val="21"/>
        </w:rPr>
        <w:t>在提供相关服务过程中出现过失，应当承担相应的违约责任，</w:t>
      </w:r>
      <w:r>
        <w:rPr>
          <w:rFonts w:hint="eastAsia" w:ascii="Times New Roman" w:hAnsi="Times New Roman" w:eastAsia="仿宋" w:cs="Times New Roman"/>
          <w:bCs/>
          <w:color w:val="auto"/>
          <w:kern w:val="2"/>
          <w:szCs w:val="21"/>
          <w:lang w:val="en-US" w:eastAsia="zh-CN"/>
        </w:rPr>
        <w:t>比选人</w:t>
      </w:r>
      <w:r>
        <w:rPr>
          <w:rFonts w:hint="eastAsia" w:ascii="Times New Roman" w:hAnsi="Times New Roman" w:eastAsia="仿宋" w:cs="Times New Roman"/>
          <w:bCs/>
          <w:color w:val="auto"/>
          <w:kern w:val="2"/>
          <w:szCs w:val="21"/>
        </w:rPr>
        <w:t>扣除合同总金额5%作为</w:t>
      </w:r>
      <w:r>
        <w:rPr>
          <w:rFonts w:hint="eastAsia" w:ascii="Times New Roman" w:hAnsi="Times New Roman" w:eastAsia="仿宋" w:cs="Times New Roman"/>
          <w:bCs/>
          <w:color w:val="auto"/>
          <w:kern w:val="2"/>
          <w:szCs w:val="21"/>
          <w:lang w:eastAsia="zh-CN"/>
        </w:rPr>
        <w:t>比选申请人</w:t>
      </w:r>
      <w:r>
        <w:rPr>
          <w:rFonts w:hint="eastAsia" w:ascii="Times New Roman" w:hAnsi="Times New Roman" w:eastAsia="仿宋" w:cs="Times New Roman"/>
          <w:bCs/>
          <w:color w:val="auto"/>
          <w:kern w:val="2"/>
          <w:szCs w:val="21"/>
        </w:rPr>
        <w:t>的违约金。若损失超过违约金，</w:t>
      </w:r>
      <w:r>
        <w:rPr>
          <w:rFonts w:hint="eastAsia" w:ascii="Times New Roman" w:hAnsi="Times New Roman" w:eastAsia="仿宋" w:cs="Times New Roman"/>
          <w:bCs/>
          <w:color w:val="auto"/>
          <w:kern w:val="2"/>
          <w:szCs w:val="21"/>
          <w:lang w:val="en-US" w:eastAsia="zh-CN"/>
        </w:rPr>
        <w:t>比选人</w:t>
      </w:r>
      <w:r>
        <w:rPr>
          <w:rFonts w:hint="eastAsia" w:ascii="Times New Roman" w:hAnsi="Times New Roman" w:eastAsia="仿宋" w:cs="Times New Roman"/>
          <w:bCs/>
          <w:color w:val="auto"/>
          <w:kern w:val="2"/>
          <w:szCs w:val="21"/>
        </w:rPr>
        <w:t>有权向</w:t>
      </w:r>
      <w:r>
        <w:rPr>
          <w:rFonts w:hint="eastAsia" w:ascii="Times New Roman" w:hAnsi="Times New Roman" w:eastAsia="仿宋" w:cs="Times New Roman"/>
          <w:bCs/>
          <w:color w:val="auto"/>
          <w:kern w:val="2"/>
          <w:szCs w:val="21"/>
          <w:lang w:eastAsia="zh-CN"/>
        </w:rPr>
        <w:t>比选申请人</w:t>
      </w:r>
      <w:r>
        <w:rPr>
          <w:rFonts w:hint="eastAsia" w:ascii="Times New Roman" w:hAnsi="Times New Roman" w:eastAsia="仿宋" w:cs="Times New Roman"/>
          <w:bCs/>
          <w:color w:val="auto"/>
          <w:kern w:val="2"/>
          <w:szCs w:val="21"/>
        </w:rPr>
        <w:t>继续追偿。</w:t>
      </w:r>
    </w:p>
    <w:p>
      <w:pPr>
        <w:keepNext/>
        <w:keepLines/>
        <w:pageBreakBefore/>
        <w:numPr>
          <w:ilvl w:val="0"/>
          <w:numId w:val="7"/>
        </w:numPr>
        <w:spacing w:before="240" w:after="240" w:line="360" w:lineRule="auto"/>
        <w:ind w:left="-2"/>
        <w:outlineLvl w:val="0"/>
        <w:rPr>
          <w:rFonts w:ascii="Times New Roman" w:hAnsi="Times New Roman" w:eastAsia="仿宋" w:cs="Times New Roman"/>
          <w:b/>
          <w:color w:val="auto"/>
          <w:kern w:val="28"/>
          <w:sz w:val="32"/>
          <w:szCs w:val="30"/>
          <w:lang w:val="en-GB" w:eastAsia="zh-CN" w:bidi="ar-SA"/>
        </w:rPr>
      </w:pPr>
      <w:bookmarkStart w:id="1316" w:name="_Toc28276"/>
      <w:bookmarkStart w:id="1317" w:name="_Toc49008493"/>
      <w:bookmarkStart w:id="1318" w:name="_Toc21997"/>
      <w:bookmarkStart w:id="1319" w:name="_Toc49106875"/>
      <w:bookmarkStart w:id="1320" w:name="_Toc23775"/>
      <w:r>
        <w:rPr>
          <w:rFonts w:ascii="Times New Roman" w:hAnsi="Times New Roman" w:eastAsia="仿宋" w:cs="Times New Roman"/>
          <w:b/>
          <w:color w:val="auto"/>
          <w:kern w:val="28"/>
          <w:sz w:val="32"/>
          <w:szCs w:val="30"/>
          <w:lang w:val="en-GB" w:eastAsia="zh-CN" w:bidi="ar-SA"/>
        </w:rPr>
        <w:t>项目验收</w:t>
      </w:r>
      <w:bookmarkEnd w:id="1316"/>
      <w:bookmarkEnd w:id="1317"/>
      <w:bookmarkEnd w:id="1318"/>
      <w:bookmarkEnd w:id="1319"/>
      <w:bookmarkEnd w:id="1320"/>
    </w:p>
    <w:p>
      <w:pPr>
        <w:keepNext/>
        <w:numPr>
          <w:ilvl w:val="1"/>
          <w:numId w:val="7"/>
        </w:numPr>
        <w:spacing w:before="120" w:after="120" w:line="360" w:lineRule="auto"/>
        <w:outlineLvl w:val="1"/>
        <w:rPr>
          <w:rFonts w:hint="eastAsia" w:ascii="Times New Roman" w:hAnsi="Times New Roman" w:eastAsia="仿宋" w:cs="Times New Roman"/>
          <w:b/>
          <w:color w:val="auto"/>
          <w:kern w:val="0"/>
          <w:sz w:val="30"/>
          <w:szCs w:val="30"/>
          <w:lang w:val="en-GB" w:eastAsia="zh-CN" w:bidi="ar-SA"/>
        </w:rPr>
      </w:pPr>
      <w:bookmarkStart w:id="1321" w:name="_Toc24321"/>
      <w:bookmarkStart w:id="1322" w:name="_Toc402898634"/>
      <w:bookmarkStart w:id="1323" w:name="_Toc402904172"/>
      <w:bookmarkStart w:id="1324" w:name="_Toc336261576"/>
      <w:bookmarkStart w:id="1325" w:name="_Toc206926024"/>
      <w:r>
        <w:rPr>
          <w:rFonts w:hint="eastAsia" w:ascii="Times New Roman" w:hAnsi="Times New Roman" w:eastAsia="仿宋" w:cs="Times New Roman"/>
          <w:b/>
          <w:color w:val="auto"/>
          <w:kern w:val="0"/>
          <w:sz w:val="30"/>
          <w:szCs w:val="30"/>
          <w:lang w:val="en-GB" w:eastAsia="zh-CN" w:bidi="ar-SA"/>
        </w:rPr>
        <w:t>项目验收的组织机构</w:t>
      </w:r>
      <w:bookmarkEnd w:id="1321"/>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lang w:val="en-US" w:eastAsia="zh-CN"/>
        </w:rPr>
      </w:pPr>
      <w:r>
        <w:rPr>
          <w:rFonts w:hint="eastAsia" w:ascii="Times New Roman" w:hAnsi="Times New Roman" w:eastAsia="仿宋" w:cs="Times New Roman"/>
          <w:bCs/>
          <w:color w:val="auto"/>
          <w:kern w:val="2"/>
          <w:szCs w:val="21"/>
          <w:lang w:val="en-US" w:eastAsia="zh-CN"/>
        </w:rPr>
        <w:t>比选人负责组织验收小组，负责整个验收工作。比选申请人应组建由有关专业技术人员构成的测试小组，并在验收小组指导监督下开展工作。验收小组提出的验收测试要求及质量保证要求，比选申请人应积极响应，并会同比选人共同制定合适的验收和质量保证方案。本项目采用的验收方式如与今后业主下发的有关管理办法有冲突，以后者为准。</w:t>
      </w:r>
    </w:p>
    <w:p>
      <w:pPr>
        <w:keepNext/>
        <w:numPr>
          <w:ilvl w:val="1"/>
          <w:numId w:val="7"/>
        </w:numPr>
        <w:spacing w:before="120" w:after="120" w:line="360" w:lineRule="auto"/>
        <w:outlineLvl w:val="1"/>
        <w:rPr>
          <w:rFonts w:ascii="Times New Roman" w:hAnsi="Times New Roman" w:eastAsia="仿宋" w:cs="Times New Roman"/>
          <w:b/>
          <w:color w:val="auto"/>
          <w:kern w:val="0"/>
          <w:sz w:val="30"/>
          <w:szCs w:val="30"/>
          <w:lang w:val="en-GB" w:eastAsia="zh-CN" w:bidi="ar-SA"/>
        </w:rPr>
      </w:pPr>
      <w:bookmarkStart w:id="1326" w:name="_Toc102808295"/>
      <w:bookmarkStart w:id="1327" w:name="_Toc11207"/>
      <w:bookmarkStart w:id="1328" w:name="_Toc8209"/>
      <w:bookmarkStart w:id="1329" w:name="_Toc336261562"/>
      <w:bookmarkStart w:id="1330" w:name="_Toc49106877"/>
      <w:bookmarkStart w:id="1331" w:name="_Toc30013"/>
      <w:bookmarkStart w:id="1332" w:name="_Toc49008495"/>
      <w:r>
        <w:rPr>
          <w:rFonts w:ascii="Times New Roman" w:hAnsi="Times New Roman" w:eastAsia="仿宋" w:cs="Times New Roman"/>
          <w:b/>
          <w:color w:val="auto"/>
          <w:kern w:val="0"/>
          <w:sz w:val="30"/>
          <w:szCs w:val="30"/>
          <w:lang w:val="en-GB" w:eastAsia="zh-CN" w:bidi="ar-SA"/>
        </w:rPr>
        <w:t>初步验收标准</w:t>
      </w:r>
      <w:bookmarkEnd w:id="1326"/>
      <w:bookmarkEnd w:id="1327"/>
      <w:bookmarkEnd w:id="1328"/>
      <w:bookmarkEnd w:id="1329"/>
      <w:bookmarkEnd w:id="1330"/>
      <w:bookmarkEnd w:id="1331"/>
      <w:bookmarkEnd w:id="1332"/>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lang w:val="en-US" w:eastAsia="zh-CN"/>
        </w:rPr>
      </w:pPr>
      <w:r>
        <w:rPr>
          <w:rFonts w:hint="eastAsia" w:ascii="Times New Roman" w:hAnsi="Times New Roman" w:eastAsia="仿宋" w:cs="Times New Roman"/>
          <w:bCs/>
          <w:color w:val="auto"/>
          <w:kern w:val="2"/>
          <w:szCs w:val="21"/>
          <w:lang w:val="en-US" w:eastAsia="zh-CN"/>
        </w:rPr>
        <w:t>1.各阶段实施满足本需求书要求。</w:t>
      </w:r>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lang w:val="en-US" w:eastAsia="zh-CN"/>
        </w:rPr>
      </w:pPr>
      <w:r>
        <w:rPr>
          <w:rFonts w:hint="eastAsia" w:ascii="Times New Roman" w:hAnsi="Times New Roman" w:eastAsia="仿宋" w:cs="Times New Roman"/>
          <w:bCs/>
          <w:color w:val="auto"/>
          <w:kern w:val="2"/>
          <w:szCs w:val="21"/>
          <w:lang w:val="en-US" w:eastAsia="zh-CN"/>
        </w:rPr>
        <w:t>2.按需求书完成相关工作并提交项目成果，所有项目成果均已达到需求书要求、通过比选人的审查并签字确认系统性能、功能、安全满足需求，上线试运行1个月以上，系统运行稳定无宕机，各功能模块能支撑业务正常运作。</w:t>
      </w:r>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lang w:val="en-US" w:eastAsia="zh-CN"/>
        </w:rPr>
      </w:pPr>
      <w:r>
        <w:rPr>
          <w:rFonts w:hint="eastAsia" w:ascii="Times New Roman" w:hAnsi="Times New Roman" w:eastAsia="仿宋" w:cs="Times New Roman"/>
          <w:bCs/>
          <w:color w:val="auto"/>
          <w:kern w:val="2"/>
          <w:szCs w:val="21"/>
          <w:lang w:val="en-US" w:eastAsia="zh-CN"/>
        </w:rPr>
        <w:t>3.对于不满足需求书要求的比选申请人交付物，比选申请人应及时予以整改、修订、完善以满足要求。运行期间若出现功能故障、系统不稳定现象，解决故障时间不计入试运行时间，上线试运行时间向后顺延。</w:t>
      </w:r>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lang w:val="en-US" w:eastAsia="zh-CN"/>
        </w:rPr>
      </w:pPr>
      <w:r>
        <w:rPr>
          <w:rFonts w:hint="eastAsia" w:ascii="Times New Roman" w:hAnsi="Times New Roman" w:eastAsia="仿宋" w:cs="Times New Roman"/>
          <w:bCs/>
          <w:color w:val="auto"/>
          <w:kern w:val="2"/>
          <w:szCs w:val="21"/>
          <w:lang w:val="en-US" w:eastAsia="zh-CN"/>
        </w:rPr>
        <w:t>4.提交培训文档。</w:t>
      </w:r>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lang w:val="en-US" w:eastAsia="zh-CN"/>
        </w:rPr>
      </w:pPr>
      <w:r>
        <w:rPr>
          <w:rFonts w:hint="eastAsia" w:ascii="Times New Roman" w:hAnsi="Times New Roman" w:eastAsia="仿宋" w:cs="Times New Roman"/>
          <w:bCs/>
          <w:color w:val="auto"/>
          <w:kern w:val="2"/>
          <w:szCs w:val="21"/>
          <w:lang w:val="en-US" w:eastAsia="zh-CN"/>
        </w:rPr>
        <w:t>5.项目验收相关文档已完成整理。</w:t>
      </w:r>
    </w:p>
    <w:p>
      <w:pPr>
        <w:keepNext/>
        <w:numPr>
          <w:ilvl w:val="1"/>
          <w:numId w:val="7"/>
        </w:numPr>
        <w:spacing w:before="120" w:after="120" w:line="360" w:lineRule="auto"/>
        <w:outlineLvl w:val="1"/>
        <w:rPr>
          <w:rFonts w:ascii="Times New Roman" w:hAnsi="Times New Roman" w:eastAsia="仿宋" w:cs="Times New Roman"/>
          <w:b/>
          <w:color w:val="auto"/>
          <w:kern w:val="0"/>
          <w:sz w:val="30"/>
          <w:szCs w:val="30"/>
          <w:lang w:val="en-GB" w:eastAsia="zh-CN" w:bidi="ar-SA"/>
        </w:rPr>
      </w:pPr>
      <w:bookmarkStart w:id="1333" w:name="_Toc336261565"/>
      <w:bookmarkEnd w:id="1333"/>
      <w:bookmarkStart w:id="1334" w:name="_Toc336261563"/>
      <w:bookmarkEnd w:id="1334"/>
      <w:bookmarkStart w:id="1335" w:name="_Toc336261567"/>
      <w:bookmarkEnd w:id="1335"/>
      <w:bookmarkStart w:id="1336" w:name="_Toc336261564"/>
      <w:bookmarkEnd w:id="1336"/>
      <w:bookmarkStart w:id="1337" w:name="_Toc336261566"/>
      <w:bookmarkEnd w:id="1337"/>
      <w:bookmarkStart w:id="1338" w:name="_Toc336261568"/>
      <w:bookmarkEnd w:id="1338"/>
      <w:bookmarkStart w:id="1339" w:name="_Toc102808296"/>
      <w:bookmarkStart w:id="1340" w:name="_Toc2711"/>
      <w:bookmarkStart w:id="1341" w:name="_Toc23504"/>
      <w:bookmarkStart w:id="1342" w:name="_Toc9877"/>
      <w:bookmarkStart w:id="1343" w:name="_Toc49106878"/>
      <w:bookmarkStart w:id="1344" w:name="_Toc49008496"/>
      <w:bookmarkStart w:id="1345" w:name="_Toc336261569"/>
      <w:bookmarkStart w:id="1346" w:name="_Toc206926022"/>
      <w:r>
        <w:rPr>
          <w:rFonts w:ascii="Times New Roman" w:hAnsi="Times New Roman" w:eastAsia="仿宋" w:cs="Times New Roman"/>
          <w:b/>
          <w:color w:val="auto"/>
          <w:kern w:val="0"/>
          <w:sz w:val="30"/>
          <w:szCs w:val="30"/>
          <w:lang w:val="en-GB" w:eastAsia="zh-CN" w:bidi="ar-SA"/>
        </w:rPr>
        <w:t>阶段成果确认</w:t>
      </w:r>
      <w:bookmarkEnd w:id="1339"/>
      <w:bookmarkEnd w:id="1340"/>
      <w:bookmarkEnd w:id="1341"/>
      <w:bookmarkEnd w:id="1342"/>
      <w:bookmarkEnd w:id="1343"/>
      <w:bookmarkEnd w:id="1344"/>
      <w:bookmarkEnd w:id="1345"/>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lang w:val="en-US" w:eastAsia="zh-CN"/>
        </w:rPr>
      </w:pPr>
      <w:r>
        <w:rPr>
          <w:rFonts w:hint="eastAsia" w:ascii="Times New Roman" w:hAnsi="Times New Roman" w:eastAsia="仿宋" w:cs="Times New Roman"/>
          <w:bCs/>
          <w:color w:val="auto"/>
          <w:kern w:val="2"/>
          <w:szCs w:val="21"/>
          <w:lang w:val="en-US" w:eastAsia="zh-CN"/>
        </w:rPr>
        <w:t>阶段成果交付后，比选人将依据需求书要求，组织进行阶段成果的审查、确认工作，比选申请人需出具试运行总结报告。</w:t>
      </w:r>
    </w:p>
    <w:p>
      <w:pPr>
        <w:keepNext/>
        <w:numPr>
          <w:ilvl w:val="1"/>
          <w:numId w:val="7"/>
        </w:numPr>
        <w:spacing w:before="120" w:after="120" w:line="360" w:lineRule="auto"/>
        <w:outlineLvl w:val="1"/>
        <w:rPr>
          <w:rFonts w:ascii="Times New Roman" w:hAnsi="Times New Roman" w:eastAsia="仿宋" w:cs="Times New Roman"/>
          <w:b/>
          <w:color w:val="auto"/>
          <w:kern w:val="0"/>
          <w:sz w:val="30"/>
          <w:szCs w:val="30"/>
          <w:lang w:val="en-GB" w:eastAsia="zh-CN" w:bidi="ar-SA"/>
        </w:rPr>
      </w:pPr>
      <w:bookmarkStart w:id="1347" w:name="_Toc49106879"/>
      <w:bookmarkStart w:id="1348" w:name="_Toc14870"/>
      <w:bookmarkStart w:id="1349" w:name="_Toc102808297"/>
      <w:bookmarkStart w:id="1350" w:name="_Toc17115"/>
      <w:bookmarkStart w:id="1351" w:name="_Toc18807"/>
      <w:bookmarkStart w:id="1352" w:name="_Toc336261570"/>
      <w:bookmarkStart w:id="1353" w:name="_Toc49008497"/>
      <w:r>
        <w:rPr>
          <w:rFonts w:ascii="Times New Roman" w:hAnsi="Times New Roman" w:eastAsia="仿宋" w:cs="Times New Roman"/>
          <w:b/>
          <w:color w:val="auto"/>
          <w:kern w:val="0"/>
          <w:sz w:val="30"/>
          <w:szCs w:val="30"/>
          <w:lang w:val="en-GB" w:eastAsia="zh-CN" w:bidi="ar-SA"/>
        </w:rPr>
        <w:t>初步验收</w:t>
      </w:r>
      <w:bookmarkEnd w:id="1346"/>
      <w:bookmarkEnd w:id="1347"/>
      <w:bookmarkEnd w:id="1348"/>
      <w:bookmarkEnd w:id="1349"/>
      <w:bookmarkEnd w:id="1350"/>
      <w:bookmarkEnd w:id="1351"/>
      <w:bookmarkEnd w:id="1352"/>
      <w:bookmarkEnd w:id="1353"/>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lang w:val="en-US" w:eastAsia="zh-CN"/>
        </w:rPr>
      </w:pPr>
      <w:r>
        <w:rPr>
          <w:rFonts w:hint="eastAsia" w:ascii="Times New Roman" w:hAnsi="Times New Roman" w:eastAsia="仿宋" w:cs="Times New Roman"/>
          <w:bCs/>
          <w:color w:val="auto"/>
          <w:kern w:val="2"/>
          <w:szCs w:val="21"/>
          <w:lang w:val="en-US" w:eastAsia="zh-CN"/>
        </w:rPr>
        <w:t>项目成果交付后，比选人检查项目符合验收标准后，组织进行项目初步验收相关工作。</w:t>
      </w:r>
    </w:p>
    <w:p>
      <w:pPr>
        <w:keepNext/>
        <w:numPr>
          <w:ilvl w:val="1"/>
          <w:numId w:val="7"/>
        </w:numPr>
        <w:spacing w:before="120" w:after="120" w:line="360" w:lineRule="auto"/>
        <w:outlineLvl w:val="1"/>
        <w:rPr>
          <w:rFonts w:hint="eastAsia" w:ascii="Times New Roman" w:hAnsi="Times New Roman" w:eastAsia="仿宋" w:cs="Times New Roman"/>
          <w:b/>
          <w:color w:val="auto"/>
          <w:kern w:val="0"/>
          <w:sz w:val="30"/>
          <w:szCs w:val="30"/>
          <w:lang w:val="en-GB" w:eastAsia="zh-CN" w:bidi="ar-SA"/>
        </w:rPr>
      </w:pPr>
      <w:bookmarkStart w:id="1354" w:name="_Toc336261572"/>
      <w:bookmarkEnd w:id="1354"/>
      <w:bookmarkStart w:id="1355" w:name="_Toc336261571"/>
      <w:bookmarkEnd w:id="1355"/>
      <w:bookmarkStart w:id="1356" w:name="_Toc1235"/>
      <w:r>
        <w:rPr>
          <w:rFonts w:hint="eastAsia" w:ascii="Times New Roman" w:hAnsi="Times New Roman" w:eastAsia="仿宋" w:cs="Times New Roman"/>
          <w:b/>
          <w:color w:val="auto"/>
          <w:kern w:val="0"/>
          <w:sz w:val="30"/>
          <w:szCs w:val="30"/>
          <w:lang w:val="en-GB" w:eastAsia="zh-CN" w:bidi="ar-SA"/>
        </w:rPr>
        <w:t>项目验收</w:t>
      </w:r>
      <w:bookmarkEnd w:id="1356"/>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lang w:val="en-US" w:eastAsia="zh-CN"/>
        </w:rPr>
      </w:pPr>
      <w:r>
        <w:rPr>
          <w:rFonts w:hint="eastAsia" w:ascii="Times New Roman" w:hAnsi="Times New Roman" w:eastAsia="仿宋" w:cs="Times New Roman"/>
          <w:bCs/>
          <w:color w:val="auto"/>
          <w:kern w:val="2"/>
          <w:szCs w:val="21"/>
          <w:lang w:val="en-US" w:eastAsia="zh-CN"/>
        </w:rPr>
        <w:t>1.比选申请人须按比选人的要求提交所有与项目相关的文件。</w:t>
      </w:r>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lang w:val="en-US" w:eastAsia="zh-CN"/>
        </w:rPr>
      </w:pPr>
      <w:r>
        <w:rPr>
          <w:rFonts w:hint="eastAsia" w:ascii="Times New Roman" w:hAnsi="Times New Roman" w:eastAsia="仿宋" w:cs="Times New Roman"/>
          <w:bCs/>
          <w:color w:val="auto"/>
          <w:kern w:val="2"/>
          <w:szCs w:val="21"/>
          <w:lang w:val="en-US" w:eastAsia="zh-CN"/>
        </w:rPr>
        <w:t>2.比选申请人须按比选人的意见进行整改，直至最终验收通过。</w:t>
      </w:r>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lang w:val="en-US" w:eastAsia="zh-CN"/>
        </w:rPr>
      </w:pPr>
      <w:r>
        <w:rPr>
          <w:rFonts w:hint="eastAsia" w:ascii="Times New Roman" w:hAnsi="Times New Roman" w:eastAsia="仿宋" w:cs="Times New Roman"/>
          <w:bCs/>
          <w:color w:val="auto"/>
          <w:kern w:val="2"/>
          <w:szCs w:val="21"/>
          <w:lang w:val="en-US" w:eastAsia="zh-CN"/>
        </w:rPr>
        <w:t>3.按照比选人档案管理部门要求，编制相关归档文件，完成项目归档工作。</w:t>
      </w:r>
    </w:p>
    <w:p>
      <w:pPr>
        <w:keepNext/>
        <w:numPr>
          <w:ilvl w:val="1"/>
          <w:numId w:val="7"/>
        </w:numPr>
        <w:spacing w:before="120" w:after="120" w:line="360" w:lineRule="auto"/>
        <w:outlineLvl w:val="1"/>
        <w:rPr>
          <w:rFonts w:hint="eastAsia" w:ascii="Times New Roman" w:hAnsi="Times New Roman" w:eastAsia="仿宋" w:cs="Times New Roman"/>
          <w:b/>
          <w:color w:val="auto"/>
          <w:kern w:val="0"/>
          <w:sz w:val="30"/>
          <w:szCs w:val="30"/>
          <w:lang w:val="en-GB" w:eastAsia="zh-CN" w:bidi="ar-SA"/>
        </w:rPr>
      </w:pPr>
      <w:bookmarkStart w:id="1357" w:name="_Toc19576"/>
      <w:r>
        <w:rPr>
          <w:rFonts w:hint="eastAsia" w:ascii="Times New Roman" w:hAnsi="Times New Roman" w:eastAsia="仿宋" w:cs="Times New Roman"/>
          <w:b/>
          <w:color w:val="auto"/>
          <w:kern w:val="0"/>
          <w:sz w:val="30"/>
          <w:szCs w:val="30"/>
          <w:lang w:val="en-GB" w:eastAsia="zh-CN" w:bidi="ar-SA"/>
        </w:rPr>
        <w:t>项目交付成果</w:t>
      </w:r>
      <w:bookmarkEnd w:id="1357"/>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lang w:val="en-US" w:eastAsia="zh-CN"/>
        </w:rPr>
      </w:pPr>
      <w:r>
        <w:rPr>
          <w:rFonts w:hint="eastAsia" w:ascii="Times New Roman" w:hAnsi="Times New Roman" w:eastAsia="仿宋" w:cs="Times New Roman"/>
          <w:bCs/>
          <w:color w:val="auto"/>
          <w:kern w:val="2"/>
          <w:szCs w:val="21"/>
          <w:lang w:val="en-US" w:eastAsia="zh-CN"/>
        </w:rPr>
        <w:t>项目成果物包括但不限于以下文档清单（以下文档的编写应符合相关国家标准或南宁轨道交通集团有关项目管理、开发管理、文档管理的规范和要求）：</w:t>
      </w:r>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lang w:val="en-US" w:eastAsia="zh-CN"/>
        </w:rPr>
      </w:pPr>
      <w:r>
        <w:rPr>
          <w:rFonts w:hint="eastAsia" w:ascii="Times New Roman" w:hAnsi="Times New Roman" w:eastAsia="仿宋" w:cs="Times New Roman"/>
          <w:bCs/>
          <w:color w:val="auto"/>
          <w:kern w:val="2"/>
          <w:szCs w:val="21"/>
          <w:lang w:val="en-US" w:eastAsia="zh-CN"/>
        </w:rPr>
        <w:t>1.必须提供所有已封装程序的系统安装U盘等。</w:t>
      </w:r>
    </w:p>
    <w:p>
      <w:pPr>
        <w:spacing w:before="0" w:after="0" w:afterAutospacing="0" w:line="360" w:lineRule="auto"/>
        <w:ind w:left="2" w:leftChars="1" w:right="0" w:firstLine="420" w:firstLineChars="200"/>
        <w:jc w:val="left"/>
        <w:rPr>
          <w:rFonts w:hint="default" w:ascii="Times New Roman" w:hAnsi="Times New Roman" w:eastAsia="仿宋" w:cs="Times New Roman"/>
          <w:bCs/>
          <w:color w:val="auto"/>
          <w:kern w:val="2"/>
          <w:szCs w:val="21"/>
          <w:lang w:val="en-US" w:eastAsia="zh-CN"/>
        </w:rPr>
      </w:pPr>
      <w:r>
        <w:rPr>
          <w:rFonts w:hint="eastAsia" w:ascii="Times New Roman" w:hAnsi="Times New Roman" w:eastAsia="仿宋" w:cs="Times New Roman"/>
          <w:bCs/>
          <w:color w:val="auto"/>
          <w:kern w:val="2"/>
          <w:szCs w:val="21"/>
          <w:lang w:val="en-US" w:eastAsia="zh-CN"/>
        </w:rPr>
        <w:t>2.VR头戴显示设备。</w:t>
      </w:r>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lang w:val="en-US" w:eastAsia="zh-CN"/>
        </w:rPr>
      </w:pPr>
      <w:r>
        <w:rPr>
          <w:rFonts w:hint="eastAsia" w:ascii="Times New Roman" w:hAnsi="Times New Roman" w:eastAsia="仿宋" w:cs="Times New Roman"/>
          <w:bCs/>
          <w:color w:val="auto"/>
          <w:kern w:val="2"/>
          <w:szCs w:val="21"/>
          <w:lang w:val="en-US" w:eastAsia="zh-CN"/>
        </w:rPr>
        <w:t>3.《系统说明手册》，必须包括如下内容：</w:t>
      </w:r>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lang w:val="en-US" w:eastAsia="zh-CN"/>
        </w:rPr>
      </w:pPr>
      <w:r>
        <w:rPr>
          <w:rFonts w:hint="eastAsia" w:ascii="Times New Roman" w:hAnsi="Times New Roman" w:eastAsia="仿宋" w:cs="Times New Roman"/>
          <w:bCs/>
          <w:color w:val="auto"/>
          <w:kern w:val="2"/>
          <w:szCs w:val="21"/>
          <w:lang w:val="en-US" w:eastAsia="zh-CN"/>
        </w:rPr>
        <w:t>（1）软、硬件安装要求，安装环境、软件名称、软件版本、安装步骤、安装图示，常见问题指南等。</w:t>
      </w:r>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lang w:val="en-US" w:eastAsia="zh-CN"/>
        </w:rPr>
      </w:pPr>
      <w:r>
        <w:rPr>
          <w:rFonts w:hint="eastAsia" w:ascii="Times New Roman" w:hAnsi="Times New Roman" w:eastAsia="仿宋" w:cs="Times New Roman"/>
          <w:bCs/>
          <w:color w:val="auto"/>
          <w:kern w:val="2"/>
          <w:szCs w:val="21"/>
          <w:lang w:val="en-US" w:eastAsia="zh-CN"/>
        </w:rPr>
        <w:t>（2）说明系统所依赖的软件环境、系统依赖的服务及访问端口、服务的主要功能作用、系统的目录结构、文件、系统的报表安装目录。</w:t>
      </w:r>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lang w:val="en-US" w:eastAsia="zh-CN"/>
        </w:rPr>
      </w:pPr>
      <w:r>
        <w:rPr>
          <w:rFonts w:hint="eastAsia" w:ascii="Times New Roman" w:hAnsi="Times New Roman" w:eastAsia="仿宋" w:cs="Times New Roman"/>
          <w:bCs/>
          <w:color w:val="auto"/>
          <w:kern w:val="2"/>
          <w:szCs w:val="21"/>
          <w:lang w:val="en-US" w:eastAsia="zh-CN"/>
        </w:rPr>
        <w:t>（3）系统备份和恢复的策略、方法和操作步骤。</w:t>
      </w:r>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lang w:val="en-US" w:eastAsia="zh-CN"/>
        </w:rPr>
      </w:pPr>
      <w:r>
        <w:rPr>
          <w:rFonts w:hint="eastAsia" w:ascii="Times New Roman" w:hAnsi="Times New Roman" w:eastAsia="仿宋" w:cs="Times New Roman"/>
          <w:bCs/>
          <w:color w:val="auto"/>
          <w:kern w:val="2"/>
          <w:szCs w:val="21"/>
          <w:lang w:val="en-US" w:eastAsia="zh-CN"/>
        </w:rPr>
        <w:t>4.《用户使用手册》，内容包括：</w:t>
      </w:r>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lang w:val="en-US" w:eastAsia="zh-CN"/>
        </w:rPr>
      </w:pPr>
      <w:r>
        <w:rPr>
          <w:rFonts w:hint="eastAsia" w:ascii="Times New Roman" w:hAnsi="Times New Roman" w:eastAsia="仿宋" w:cs="Times New Roman"/>
          <w:bCs/>
          <w:color w:val="auto"/>
          <w:kern w:val="2"/>
          <w:szCs w:val="21"/>
          <w:lang w:val="en-US" w:eastAsia="zh-CN"/>
        </w:rPr>
        <w:t>（1）功能操作说明</w:t>
      </w:r>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lang w:val="en-US" w:eastAsia="zh-CN"/>
        </w:rPr>
      </w:pPr>
      <w:r>
        <w:rPr>
          <w:rFonts w:hint="eastAsia" w:ascii="Times New Roman" w:hAnsi="Times New Roman" w:eastAsia="仿宋" w:cs="Times New Roman"/>
          <w:bCs/>
          <w:color w:val="auto"/>
          <w:kern w:val="2"/>
          <w:szCs w:val="21"/>
          <w:lang w:val="en-US" w:eastAsia="zh-CN"/>
        </w:rPr>
        <w:t>（2）系统数据维护与备份说明。</w:t>
      </w:r>
    </w:p>
    <w:p>
      <w:pPr>
        <w:keepNext/>
        <w:numPr>
          <w:ilvl w:val="1"/>
          <w:numId w:val="7"/>
        </w:numPr>
        <w:spacing w:before="120" w:after="120" w:line="360" w:lineRule="auto"/>
        <w:outlineLvl w:val="1"/>
        <w:rPr>
          <w:rFonts w:hint="eastAsia" w:ascii="Times New Roman" w:hAnsi="Times New Roman" w:eastAsia="仿宋" w:cs="Times New Roman"/>
          <w:b/>
          <w:color w:val="auto"/>
          <w:kern w:val="0"/>
          <w:sz w:val="30"/>
          <w:szCs w:val="30"/>
          <w:lang w:val="en-GB" w:eastAsia="zh-CN" w:bidi="ar-SA"/>
        </w:rPr>
      </w:pPr>
      <w:bookmarkStart w:id="1358" w:name="_Toc13386"/>
      <w:r>
        <w:rPr>
          <w:rFonts w:hint="eastAsia" w:ascii="Times New Roman" w:hAnsi="Times New Roman" w:eastAsia="仿宋" w:cs="Times New Roman"/>
          <w:b/>
          <w:color w:val="auto"/>
          <w:kern w:val="0"/>
          <w:sz w:val="30"/>
          <w:szCs w:val="30"/>
          <w:lang w:val="en-GB" w:eastAsia="zh-CN" w:bidi="ar-SA"/>
        </w:rPr>
        <w:t>质保要求</w:t>
      </w:r>
      <w:bookmarkEnd w:id="1358"/>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lang w:val="en-US" w:eastAsia="zh-CN"/>
        </w:rPr>
      </w:pPr>
      <w:r>
        <w:rPr>
          <w:rFonts w:hint="eastAsia" w:ascii="Times New Roman" w:hAnsi="Times New Roman" w:eastAsia="仿宋" w:cs="Times New Roman"/>
          <w:bCs/>
          <w:color w:val="auto"/>
          <w:kern w:val="2"/>
          <w:szCs w:val="21"/>
          <w:lang w:val="en-US" w:eastAsia="zh-CN"/>
        </w:rPr>
        <w:t>为保障系统稳定运作，进行系统升级、优化等工作，比选申请人在验收通过后要进行后续服务。本项目质保期为自系统验收结束起12个月内，比选申请人在质保期内须免费提供项目有关质保服务。</w:t>
      </w:r>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lang w:val="en-US" w:eastAsia="zh-CN"/>
        </w:rPr>
      </w:pPr>
      <w:r>
        <w:rPr>
          <w:rFonts w:hint="eastAsia" w:ascii="Times New Roman" w:hAnsi="Times New Roman" w:eastAsia="仿宋" w:cs="Times New Roman"/>
          <w:bCs/>
          <w:color w:val="auto"/>
          <w:kern w:val="2"/>
          <w:szCs w:val="21"/>
          <w:lang w:val="en-US" w:eastAsia="zh-CN"/>
        </w:rPr>
        <w:t>支持和服务包括但不限于：</w:t>
      </w:r>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lang w:val="en-US" w:eastAsia="zh-CN"/>
        </w:rPr>
      </w:pPr>
      <w:r>
        <w:rPr>
          <w:rFonts w:hint="eastAsia" w:ascii="Times New Roman" w:hAnsi="Times New Roman" w:eastAsia="仿宋" w:cs="Times New Roman"/>
          <w:bCs/>
          <w:color w:val="auto"/>
          <w:kern w:val="2"/>
          <w:szCs w:val="21"/>
          <w:lang w:val="en-US" w:eastAsia="zh-CN"/>
        </w:rPr>
        <w:t>1.系统技术支持，要求如下：</w:t>
      </w:r>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lang w:val="en-US" w:eastAsia="zh-CN"/>
        </w:rPr>
      </w:pPr>
      <w:r>
        <w:rPr>
          <w:rFonts w:hint="eastAsia" w:ascii="Times New Roman" w:hAnsi="Times New Roman" w:eastAsia="仿宋" w:cs="Times New Roman"/>
          <w:bCs/>
          <w:color w:val="auto"/>
          <w:kern w:val="2"/>
          <w:szCs w:val="21"/>
          <w:lang w:val="en-US" w:eastAsia="zh-CN"/>
        </w:rPr>
        <w:t>（1）对系统有关问题及时进行答疑与解释；</w:t>
      </w:r>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lang w:val="en-US" w:eastAsia="zh-CN"/>
        </w:rPr>
      </w:pPr>
      <w:r>
        <w:rPr>
          <w:rFonts w:hint="eastAsia" w:ascii="Times New Roman" w:hAnsi="Times New Roman" w:eastAsia="仿宋" w:cs="Times New Roman"/>
          <w:bCs/>
          <w:color w:val="auto"/>
          <w:kern w:val="2"/>
          <w:szCs w:val="21"/>
          <w:lang w:val="en-US" w:eastAsia="zh-CN"/>
        </w:rPr>
        <w:t>（2）对不熟悉的功能与操作进行培训指导；</w:t>
      </w:r>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lang w:val="en-US" w:eastAsia="zh-CN"/>
        </w:rPr>
      </w:pPr>
      <w:r>
        <w:rPr>
          <w:rFonts w:hint="eastAsia" w:ascii="Times New Roman" w:hAnsi="Times New Roman" w:eastAsia="仿宋" w:cs="Times New Roman"/>
          <w:bCs/>
          <w:color w:val="auto"/>
          <w:kern w:val="2"/>
          <w:szCs w:val="21"/>
          <w:lang w:val="en-US" w:eastAsia="zh-CN"/>
        </w:rPr>
        <w:t>（3）对系统视频讲解拓展功能进行指导。</w:t>
      </w:r>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lang w:val="en-US" w:eastAsia="zh-CN"/>
        </w:rPr>
      </w:pPr>
      <w:r>
        <w:rPr>
          <w:rFonts w:hint="eastAsia" w:ascii="Times New Roman" w:hAnsi="Times New Roman" w:eastAsia="仿宋" w:cs="Times New Roman"/>
          <w:bCs/>
          <w:color w:val="auto"/>
          <w:kern w:val="2"/>
          <w:szCs w:val="21"/>
          <w:lang w:val="en-US" w:eastAsia="zh-CN"/>
        </w:rPr>
        <w:t>2.对系统运作和故障情况的支持、服务要求：</w:t>
      </w:r>
    </w:p>
    <w:p>
      <w:pPr>
        <w:spacing w:before="0" w:after="0" w:afterAutospacing="0" w:line="360" w:lineRule="auto"/>
        <w:ind w:left="2" w:leftChars="1" w:right="0" w:firstLine="420" w:firstLineChars="200"/>
        <w:jc w:val="left"/>
        <w:rPr>
          <w:rFonts w:hint="eastAsia" w:ascii="Times New Roman" w:hAnsi="Times New Roman" w:eastAsia="仿宋" w:cs="Times New Roman"/>
          <w:bCs/>
          <w:color w:val="auto"/>
          <w:kern w:val="2"/>
          <w:szCs w:val="21"/>
          <w:lang w:val="en-US" w:eastAsia="zh-CN"/>
        </w:rPr>
      </w:pPr>
      <w:r>
        <w:rPr>
          <w:rFonts w:hint="eastAsia" w:ascii="Times New Roman" w:hAnsi="Times New Roman" w:eastAsia="仿宋" w:cs="Times New Roman"/>
          <w:bCs/>
          <w:color w:val="auto"/>
          <w:kern w:val="2"/>
          <w:szCs w:val="21"/>
          <w:lang w:val="en-US" w:eastAsia="zh-CN"/>
        </w:rPr>
        <w:t>由于系统自身原因造成的系统瘫痪、部分功能失效、运行异常等问题，比选申请人应24小时之内恢复正常运行。</w:t>
      </w:r>
    </w:p>
    <w:bookmarkEnd w:id="1322"/>
    <w:bookmarkEnd w:id="1323"/>
    <w:bookmarkEnd w:id="1324"/>
    <w:bookmarkEnd w:id="1325"/>
    <w:p>
      <w:pPr>
        <w:spacing w:line="360" w:lineRule="auto"/>
        <w:ind w:left="0" w:leftChars="0" w:firstLine="0" w:firstLineChars="0"/>
        <w:rPr>
          <w:rFonts w:ascii="宋体" w:hAnsi="Courier New" w:eastAsia="仿宋" w:cs="Times New Roman"/>
          <w:color w:val="auto"/>
          <w:kern w:val="0"/>
          <w:sz w:val="20"/>
          <w:szCs w:val="21"/>
          <w:lang w:val="en-US" w:eastAsia="zh-CN" w:bidi="ar-SA"/>
        </w:rPr>
      </w:pPr>
    </w:p>
    <w:p>
      <w:pPr>
        <w:keepNext/>
        <w:keepLines/>
        <w:pageBreakBefore/>
        <w:numPr>
          <w:ilvl w:val="0"/>
          <w:numId w:val="7"/>
        </w:numPr>
        <w:spacing w:before="240" w:after="240" w:line="360" w:lineRule="auto"/>
        <w:ind w:left="-2"/>
        <w:outlineLvl w:val="0"/>
        <w:rPr>
          <w:rFonts w:ascii="Times New Roman" w:hAnsi="Times New Roman" w:eastAsia="仿宋" w:cs="Times New Roman"/>
          <w:b/>
          <w:color w:val="auto"/>
          <w:kern w:val="28"/>
          <w:sz w:val="32"/>
          <w:szCs w:val="30"/>
          <w:lang w:val="en-GB" w:eastAsia="zh-CN" w:bidi="ar-SA"/>
        </w:rPr>
      </w:pPr>
      <w:bookmarkStart w:id="1359" w:name="_Toc31938"/>
      <w:r>
        <w:rPr>
          <w:rFonts w:hint="eastAsia" w:ascii="Times New Roman" w:hAnsi="Times New Roman" w:eastAsia="仿宋" w:cs="Times New Roman"/>
          <w:b/>
          <w:color w:val="auto"/>
          <w:kern w:val="28"/>
          <w:sz w:val="32"/>
          <w:szCs w:val="30"/>
          <w:lang w:val="en-US" w:eastAsia="zh-CN" w:bidi="ar-SA"/>
        </w:rPr>
        <w:t>附件</w:t>
      </w:r>
      <w:bookmarkEnd w:id="1359"/>
    </w:p>
    <w:p>
      <w:pPr>
        <w:spacing w:after="0" w:line="360" w:lineRule="auto"/>
        <w:ind w:firstLine="420" w:firstLineChars="200"/>
        <w:rPr>
          <w:rFonts w:hint="eastAsia" w:ascii="Times New Roman" w:hAnsi="Times New Roman" w:eastAsia="仿宋" w:cs="Times New Roman"/>
          <w:color w:val="auto"/>
          <w:kern w:val="2"/>
          <w:sz w:val="21"/>
          <w:szCs w:val="21"/>
          <w:lang w:val="en-US" w:eastAsia="zh-CN" w:bidi="ar-SA"/>
        </w:rPr>
      </w:pPr>
      <w:bookmarkStart w:id="1360" w:name="_Toc103857129"/>
      <w:bookmarkStart w:id="1361" w:name="_Toc15891"/>
      <w:bookmarkStart w:id="1362" w:name="_Toc7767"/>
      <w:bookmarkStart w:id="1363" w:name="_Toc5183"/>
      <w:bookmarkStart w:id="1364" w:name="_Toc20881"/>
      <w:bookmarkStart w:id="1365" w:name="_Toc71302765"/>
      <w:bookmarkStart w:id="1366" w:name="_Toc19333"/>
      <w:bookmarkStart w:id="1367" w:name="_Toc2393"/>
      <w:bookmarkStart w:id="1368" w:name="_Toc16753"/>
      <w:bookmarkStart w:id="1369" w:name="_Toc6328"/>
      <w:bookmarkStart w:id="1370" w:name="_Toc3472"/>
      <w:bookmarkStart w:id="1371" w:name="_Toc31142"/>
      <w:bookmarkStart w:id="1372" w:name="_Toc28233"/>
      <w:bookmarkStart w:id="1373" w:name="_Toc2636"/>
      <w:bookmarkStart w:id="1374" w:name="_Toc11105"/>
      <w:bookmarkStart w:id="1375" w:name="_Toc12557"/>
      <w:bookmarkStart w:id="1376" w:name="_Toc24380"/>
      <w:bookmarkStart w:id="1377" w:name="_Toc4075844"/>
      <w:bookmarkStart w:id="1378" w:name="_Toc26696932"/>
      <w:bookmarkStart w:id="1379" w:name="_Toc17496"/>
      <w:bookmarkStart w:id="1380" w:name="_Toc26588"/>
      <w:bookmarkStart w:id="1381" w:name="_Toc14524"/>
      <w:bookmarkStart w:id="1382" w:name="_Toc10336"/>
      <w:bookmarkStart w:id="1383" w:name="_Toc25107"/>
      <w:bookmarkStart w:id="1384" w:name="_Toc25466"/>
      <w:bookmarkStart w:id="1385" w:name="_Toc1466"/>
      <w:bookmarkStart w:id="1386" w:name="_Toc27707"/>
      <w:bookmarkStart w:id="1387" w:name="_Toc6814"/>
      <w:bookmarkStart w:id="1388" w:name="_Toc26577"/>
      <w:bookmarkStart w:id="1389" w:name="_Toc26696858"/>
      <w:bookmarkStart w:id="1390" w:name="_Toc7828"/>
      <w:bookmarkStart w:id="1391" w:name="_Toc4356"/>
      <w:bookmarkStart w:id="1392" w:name="_Toc8829"/>
      <w:bookmarkStart w:id="1393" w:name="_Toc14059"/>
      <w:bookmarkStart w:id="1394" w:name="_Toc653"/>
      <w:bookmarkStart w:id="1395" w:name="_Toc25339"/>
      <w:bookmarkStart w:id="1396" w:name="_Toc26038"/>
      <w:bookmarkStart w:id="1397" w:name="_Toc28198"/>
      <w:bookmarkStart w:id="1398" w:name="_Toc1921"/>
      <w:bookmarkStart w:id="1399" w:name="_Toc22335"/>
      <w:bookmarkStart w:id="1400" w:name="_Toc16580"/>
      <w:bookmarkStart w:id="1401" w:name="_Toc15871"/>
      <w:bookmarkStart w:id="1402" w:name="_Toc1364"/>
      <w:bookmarkStart w:id="1403" w:name="_Toc24471"/>
      <w:bookmarkStart w:id="1404" w:name="_Toc17237"/>
      <w:bookmarkStart w:id="1405" w:name="_Toc26157"/>
      <w:bookmarkStart w:id="1406" w:name="_Toc23572"/>
      <w:bookmarkStart w:id="1407" w:name="_Toc4097"/>
      <w:bookmarkStart w:id="1408" w:name="_Toc31270"/>
      <w:bookmarkStart w:id="1409" w:name="_Toc23"/>
      <w:bookmarkStart w:id="1410" w:name="_Toc534613594"/>
      <w:bookmarkStart w:id="1411" w:name="_Toc29915"/>
      <w:bookmarkStart w:id="1412" w:name="_Toc6425"/>
      <w:bookmarkStart w:id="1413" w:name="_Toc11357"/>
      <w:r>
        <w:rPr>
          <w:rFonts w:hint="eastAsia" w:ascii="Times New Roman" w:hAnsi="Times New Roman" w:eastAsia="仿宋" w:cs="Times New Roman"/>
          <w:color w:val="auto"/>
          <w:kern w:val="2"/>
          <w:sz w:val="21"/>
          <w:szCs w:val="21"/>
          <w:lang w:val="en-US" w:eastAsia="zh-CN" w:bidi="ar-SA"/>
        </w:rPr>
        <w:t>附件1：运营公司项目合同违约处理通知单</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pPr>
        <w:spacing w:before="0" w:after="0" w:afterAutospacing="0" w:line="360" w:lineRule="auto"/>
        <w:ind w:left="0" w:right="0" w:firstLine="0"/>
        <w:jc w:val="center"/>
        <w:rPr>
          <w:rFonts w:ascii="宋体" w:hAnsi="宋体" w:cs="宋体"/>
          <w:b/>
          <w:color w:val="auto"/>
          <w:kern w:val="2"/>
          <w:sz w:val="32"/>
          <w:szCs w:val="32"/>
        </w:rPr>
      </w:pPr>
      <w:bookmarkStart w:id="1414" w:name="_Toc10825_WPSOffice_Level1"/>
      <w:bookmarkStart w:id="1415" w:name="_Toc4071_WPSOffice_Level1"/>
      <w:r>
        <w:rPr>
          <w:rFonts w:hint="eastAsia" w:ascii="宋体" w:hAnsi="宋体" w:cs="宋体"/>
          <w:b/>
          <w:color w:val="auto"/>
          <w:kern w:val="2"/>
          <w:sz w:val="32"/>
          <w:szCs w:val="32"/>
        </w:rPr>
        <w:t>运营公司项目合同违约处理通知单</w:t>
      </w:r>
    </w:p>
    <w:p>
      <w:pPr>
        <w:spacing w:line="360" w:lineRule="auto"/>
        <w:ind w:firstLine="402" w:firstLineChars="200"/>
        <w:rPr>
          <w:rFonts w:ascii="宋体" w:hAnsi="Courier New" w:eastAsia="宋体" w:cs="Times New Roman"/>
          <w:bCs/>
          <w:color w:val="auto"/>
          <w:kern w:val="0"/>
          <w:sz w:val="20"/>
          <w:lang w:val="en-US" w:eastAsia="zh-CN" w:bidi="ar-SA"/>
        </w:rPr>
      </w:pPr>
      <w:r>
        <w:rPr>
          <w:rFonts w:hint="eastAsia" w:ascii="宋体" w:hAnsi="宋体" w:eastAsia="宋体" w:cs="Times New Roman"/>
          <w:b/>
          <w:color w:val="auto"/>
          <w:kern w:val="0"/>
          <w:sz w:val="20"/>
          <w:lang w:val="en-US" w:eastAsia="zh-CN" w:bidi="ar-SA"/>
        </w:rPr>
        <w:t>编号：</w:t>
      </w:r>
      <w:r>
        <w:rPr>
          <w:rFonts w:hint="eastAsia" w:ascii="宋体" w:hAnsi="宋体" w:eastAsia="宋体" w:cs="Times New Roman"/>
          <w:bCs/>
          <w:color w:val="auto"/>
          <w:kern w:val="0"/>
          <w:sz w:val="20"/>
          <w:lang w:val="en-US" w:eastAsia="zh-CN" w:bidi="ar-SA"/>
        </w:rPr>
        <w:t>合同编号</w:t>
      </w:r>
      <w:r>
        <w:rPr>
          <w:rFonts w:ascii="宋体" w:hAnsi="宋体" w:eastAsia="宋体" w:cs="Times New Roman"/>
          <w:bCs/>
          <w:color w:val="auto"/>
          <w:kern w:val="0"/>
          <w:sz w:val="20"/>
          <w:lang w:val="en-US" w:eastAsia="zh-CN" w:bidi="ar-SA"/>
        </w:rPr>
        <w:t>-年月-两位数流水号</w:t>
      </w:r>
    </w:p>
    <w:tbl>
      <w:tblPr>
        <w:tblStyle w:val="29"/>
        <w:tblW w:w="9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1352"/>
        <w:gridCol w:w="1720"/>
        <w:gridCol w:w="1176"/>
        <w:gridCol w:w="360"/>
        <w:gridCol w:w="1784"/>
        <w:gridCol w:w="2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836" w:type="dxa"/>
            <w:gridSpan w:val="2"/>
            <w:tcBorders>
              <w:top w:val="thinThickSmallGap" w:color="auto" w:sz="18" w:space="0"/>
              <w:left w:val="thinThickSmallGap" w:color="auto" w:sz="18" w:space="0"/>
              <w:bottom w:val="single" w:color="auto" w:sz="4" w:space="0"/>
              <w:right w:val="single" w:color="auto" w:sz="4" w:space="0"/>
            </w:tcBorders>
            <w:noWrap w:val="0"/>
            <w:vAlign w:val="center"/>
          </w:tcPr>
          <w:p>
            <w:pPr>
              <w:spacing w:before="0" w:after="0" w:afterAutospacing="0" w:line="240" w:lineRule="auto"/>
              <w:ind w:left="0" w:right="0" w:firstLine="0"/>
              <w:jc w:val="center"/>
              <w:rPr>
                <w:rFonts w:ascii="宋体" w:hAnsi="宋体" w:cs="Times New Roman"/>
                <w:b/>
                <w:color w:val="auto"/>
                <w:kern w:val="2"/>
                <w:sz w:val="24"/>
                <w:szCs w:val="20"/>
              </w:rPr>
            </w:pPr>
            <w:r>
              <w:rPr>
                <w:rFonts w:hint="eastAsia" w:ascii="宋体" w:hAnsi="宋体" w:cs="Times New Roman"/>
                <w:b/>
                <w:color w:val="auto"/>
                <w:kern w:val="2"/>
                <w:szCs w:val="21"/>
              </w:rPr>
              <w:t>项目名称</w:t>
            </w:r>
          </w:p>
        </w:tc>
        <w:tc>
          <w:tcPr>
            <w:tcW w:w="3256" w:type="dxa"/>
            <w:gridSpan w:val="3"/>
            <w:tcBorders>
              <w:top w:val="thinThickSmallGap" w:color="auto" w:sz="18" w:space="0"/>
              <w:left w:val="single" w:color="auto" w:sz="4" w:space="0"/>
              <w:bottom w:val="single" w:color="auto" w:sz="4" w:space="0"/>
              <w:right w:val="single" w:color="auto" w:sz="4" w:space="0"/>
            </w:tcBorders>
            <w:noWrap w:val="0"/>
            <w:vAlign w:val="center"/>
          </w:tcPr>
          <w:p>
            <w:pPr>
              <w:keepNext/>
              <w:keepLines/>
              <w:spacing w:before="220" w:after="210" w:afterAutospacing="0" w:line="576" w:lineRule="auto"/>
              <w:ind w:left="432" w:right="0" w:firstLine="0"/>
              <w:jc w:val="left"/>
              <w:outlineLvl w:val="0"/>
              <w:rPr>
                <w:rFonts w:ascii="宋体" w:hAnsi="宋体" w:cs="Times New Roman"/>
                <w:b/>
                <w:color w:val="auto"/>
                <w:kern w:val="2"/>
                <w:szCs w:val="20"/>
              </w:rPr>
            </w:pPr>
            <w:bookmarkStart w:id="1416" w:name="_Toc103851986"/>
            <w:bookmarkEnd w:id="1416"/>
          </w:p>
        </w:tc>
        <w:tc>
          <w:tcPr>
            <w:tcW w:w="1784" w:type="dxa"/>
            <w:tcBorders>
              <w:top w:val="thinThickSmallGap" w:color="auto" w:sz="18" w:space="0"/>
              <w:left w:val="single" w:color="auto" w:sz="4" w:space="0"/>
              <w:bottom w:val="single" w:color="auto" w:sz="4" w:space="0"/>
              <w:right w:val="single" w:color="auto" w:sz="4" w:space="0"/>
            </w:tcBorders>
            <w:noWrap w:val="0"/>
            <w:vAlign w:val="center"/>
          </w:tcPr>
          <w:p>
            <w:pPr>
              <w:spacing w:before="0" w:after="0" w:afterAutospacing="0" w:line="240" w:lineRule="auto"/>
              <w:ind w:left="0" w:right="0" w:firstLine="0"/>
              <w:jc w:val="center"/>
              <w:rPr>
                <w:rFonts w:ascii="宋体" w:hAnsi="宋体" w:cs="Times New Roman"/>
                <w:b/>
                <w:color w:val="auto"/>
                <w:kern w:val="2"/>
                <w:sz w:val="24"/>
                <w:szCs w:val="20"/>
              </w:rPr>
            </w:pPr>
            <w:r>
              <w:rPr>
                <w:rFonts w:hint="eastAsia" w:ascii="宋体" w:hAnsi="宋体" w:cs="Times New Roman"/>
                <w:b/>
                <w:color w:val="auto"/>
                <w:kern w:val="2"/>
                <w:szCs w:val="21"/>
              </w:rPr>
              <w:t>合同编号</w:t>
            </w:r>
          </w:p>
        </w:tc>
        <w:tc>
          <w:tcPr>
            <w:tcW w:w="2782" w:type="dxa"/>
            <w:tcBorders>
              <w:top w:val="thinThickSmallGap" w:color="auto" w:sz="18" w:space="0"/>
              <w:left w:val="single" w:color="auto" w:sz="4" w:space="0"/>
              <w:bottom w:val="single" w:color="auto" w:sz="4" w:space="0"/>
              <w:right w:val="thinThickSmallGap" w:color="auto" w:sz="18" w:space="0"/>
            </w:tcBorders>
            <w:noWrap w:val="0"/>
            <w:vAlign w:val="center"/>
          </w:tcPr>
          <w:p>
            <w:pPr>
              <w:keepNext/>
              <w:keepLines/>
              <w:spacing w:before="220" w:after="210" w:afterAutospacing="0" w:line="576" w:lineRule="auto"/>
              <w:ind w:left="432" w:right="0" w:firstLine="0"/>
              <w:jc w:val="left"/>
              <w:outlineLvl w:val="0"/>
              <w:rPr>
                <w:rFonts w:ascii="宋体" w:hAnsi="宋体" w:cs="Times New Roman"/>
                <w:color w:val="auto"/>
                <w:kern w:val="2"/>
                <w:szCs w:val="20"/>
              </w:rPr>
            </w:pPr>
            <w:bookmarkStart w:id="1417" w:name="_Toc103851987"/>
            <w:bookmarkEnd w:id="14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836" w:type="dxa"/>
            <w:gridSpan w:val="2"/>
            <w:tcBorders>
              <w:top w:val="single" w:color="auto" w:sz="4" w:space="0"/>
              <w:left w:val="thinThickSmallGap" w:color="auto" w:sz="18" w:space="0"/>
              <w:bottom w:val="single" w:color="auto" w:sz="4" w:space="0"/>
              <w:right w:val="single" w:color="auto" w:sz="4" w:space="0"/>
            </w:tcBorders>
            <w:noWrap w:val="0"/>
            <w:vAlign w:val="center"/>
          </w:tcPr>
          <w:p>
            <w:pPr>
              <w:spacing w:before="0" w:after="0" w:afterAutospacing="0" w:line="240" w:lineRule="auto"/>
              <w:ind w:left="0" w:right="0" w:firstLine="0"/>
              <w:jc w:val="center"/>
              <w:rPr>
                <w:rFonts w:ascii="宋体" w:hAnsi="宋体" w:cs="Times New Roman"/>
                <w:b/>
                <w:color w:val="auto"/>
                <w:kern w:val="2"/>
                <w:sz w:val="24"/>
                <w:szCs w:val="20"/>
              </w:rPr>
            </w:pPr>
            <w:r>
              <w:rPr>
                <w:rFonts w:hint="eastAsia" w:ascii="宋体" w:hAnsi="宋体" w:cs="Times New Roman"/>
                <w:b/>
                <w:color w:val="auto"/>
                <w:kern w:val="2"/>
                <w:szCs w:val="21"/>
              </w:rPr>
              <w:t>承包商</w:t>
            </w:r>
          </w:p>
        </w:tc>
        <w:tc>
          <w:tcPr>
            <w:tcW w:w="3256" w:type="dxa"/>
            <w:gridSpan w:val="3"/>
            <w:tcBorders>
              <w:top w:val="single" w:color="auto" w:sz="4" w:space="0"/>
              <w:left w:val="single" w:color="auto" w:sz="4" w:space="0"/>
              <w:bottom w:val="single" w:color="auto" w:sz="4" w:space="0"/>
              <w:right w:val="single" w:color="auto" w:sz="4" w:space="0"/>
            </w:tcBorders>
            <w:noWrap w:val="0"/>
            <w:vAlign w:val="center"/>
          </w:tcPr>
          <w:p>
            <w:pPr>
              <w:keepNext/>
              <w:keepLines/>
              <w:spacing w:before="220" w:after="210" w:afterAutospacing="0" w:line="576" w:lineRule="auto"/>
              <w:ind w:left="432" w:right="0" w:firstLine="0"/>
              <w:jc w:val="left"/>
              <w:outlineLvl w:val="0"/>
              <w:rPr>
                <w:rFonts w:ascii="宋体" w:hAnsi="宋体" w:cs="Times New Roman"/>
                <w:color w:val="auto"/>
                <w:kern w:val="2"/>
                <w:szCs w:val="21"/>
              </w:rPr>
            </w:pPr>
            <w:bookmarkStart w:id="1418" w:name="_Toc103851988"/>
            <w:bookmarkEnd w:id="1418"/>
          </w:p>
        </w:tc>
        <w:tc>
          <w:tcPr>
            <w:tcW w:w="1784" w:type="dxa"/>
            <w:tcBorders>
              <w:top w:val="single" w:color="auto" w:sz="4" w:space="0"/>
              <w:left w:val="single" w:color="auto" w:sz="4" w:space="0"/>
              <w:bottom w:val="single" w:color="auto" w:sz="4" w:space="0"/>
              <w:right w:val="single" w:color="auto" w:sz="4" w:space="0"/>
            </w:tcBorders>
            <w:noWrap w:val="0"/>
            <w:vAlign w:val="center"/>
          </w:tcPr>
          <w:p>
            <w:pPr>
              <w:spacing w:before="0" w:after="0" w:afterAutospacing="0" w:line="240" w:lineRule="auto"/>
              <w:ind w:left="0" w:right="0" w:firstLine="0"/>
              <w:jc w:val="center"/>
              <w:rPr>
                <w:rFonts w:ascii="宋体" w:hAnsi="宋体" w:cs="Times New Roman"/>
                <w:b/>
                <w:color w:val="auto"/>
                <w:kern w:val="2"/>
                <w:sz w:val="24"/>
                <w:szCs w:val="20"/>
              </w:rPr>
            </w:pPr>
            <w:r>
              <w:rPr>
                <w:rFonts w:hint="eastAsia" w:ascii="宋体" w:hAnsi="宋体" w:cs="Times New Roman"/>
                <w:b/>
                <w:color w:val="auto"/>
                <w:kern w:val="2"/>
                <w:szCs w:val="21"/>
              </w:rPr>
              <w:t>业主主办部门</w:t>
            </w:r>
          </w:p>
        </w:tc>
        <w:tc>
          <w:tcPr>
            <w:tcW w:w="2782" w:type="dxa"/>
            <w:tcBorders>
              <w:top w:val="single" w:color="auto" w:sz="4" w:space="0"/>
              <w:left w:val="single" w:color="auto" w:sz="4" w:space="0"/>
              <w:bottom w:val="single" w:color="auto" w:sz="4" w:space="0"/>
              <w:right w:val="thinThickSmallGap" w:color="auto" w:sz="18" w:space="0"/>
            </w:tcBorders>
            <w:noWrap w:val="0"/>
            <w:vAlign w:val="center"/>
          </w:tcPr>
          <w:p>
            <w:pPr>
              <w:keepNext/>
              <w:keepLines/>
              <w:spacing w:before="220" w:after="210" w:afterAutospacing="0" w:line="576" w:lineRule="auto"/>
              <w:ind w:left="432" w:right="0" w:firstLine="0"/>
              <w:jc w:val="left"/>
              <w:outlineLvl w:val="0"/>
              <w:rPr>
                <w:rFonts w:ascii="宋体" w:hAnsi="宋体" w:cs="Times New Roman"/>
                <w:color w:val="auto"/>
                <w:kern w:val="2"/>
                <w:szCs w:val="20"/>
              </w:rPr>
            </w:pPr>
            <w:bookmarkStart w:id="1419" w:name="_Toc103851989"/>
            <w:bookmarkEnd w:id="14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9" w:hRule="atLeast"/>
          <w:jc w:val="center"/>
        </w:trPr>
        <w:tc>
          <w:tcPr>
            <w:tcW w:w="1836" w:type="dxa"/>
            <w:gridSpan w:val="2"/>
            <w:tcBorders>
              <w:top w:val="single" w:color="auto" w:sz="4" w:space="0"/>
              <w:left w:val="thinThickSmallGap" w:color="auto" w:sz="18" w:space="0"/>
              <w:bottom w:val="single" w:color="auto" w:sz="4" w:space="0"/>
              <w:right w:val="single" w:color="auto" w:sz="4" w:space="0"/>
            </w:tcBorders>
            <w:noWrap w:val="0"/>
            <w:vAlign w:val="center"/>
          </w:tcPr>
          <w:p>
            <w:pPr>
              <w:spacing w:before="0" w:after="0" w:afterAutospacing="0" w:line="240" w:lineRule="auto"/>
              <w:ind w:left="0" w:right="0" w:firstLine="0"/>
              <w:jc w:val="center"/>
              <w:rPr>
                <w:rFonts w:ascii="宋体" w:hAnsi="宋体" w:cs="Times New Roman"/>
                <w:b/>
                <w:color w:val="auto"/>
                <w:kern w:val="2"/>
                <w:szCs w:val="20"/>
              </w:rPr>
            </w:pPr>
            <w:r>
              <w:rPr>
                <w:rFonts w:hint="eastAsia" w:ascii="宋体" w:hAnsi="宋体" w:cs="Times New Roman"/>
                <w:b/>
                <w:color w:val="auto"/>
                <w:kern w:val="2"/>
                <w:szCs w:val="20"/>
              </w:rPr>
              <w:t>合同违约情况</w:t>
            </w:r>
          </w:p>
        </w:tc>
        <w:tc>
          <w:tcPr>
            <w:tcW w:w="7822" w:type="dxa"/>
            <w:gridSpan w:val="5"/>
            <w:tcBorders>
              <w:top w:val="single" w:color="auto" w:sz="4" w:space="0"/>
              <w:left w:val="single" w:color="auto" w:sz="4" w:space="0"/>
              <w:bottom w:val="single" w:color="auto" w:sz="4" w:space="0"/>
              <w:right w:val="thinThickSmallGap" w:color="auto" w:sz="18" w:space="0"/>
            </w:tcBorders>
            <w:noWrap w:val="0"/>
            <w:vAlign w:val="top"/>
          </w:tcPr>
          <w:p>
            <w:pPr>
              <w:widowControl/>
              <w:snapToGrid w:val="0"/>
              <w:spacing w:before="0" w:after="0" w:afterAutospacing="0" w:line="240" w:lineRule="auto"/>
              <w:ind w:left="0" w:right="0" w:firstLine="0"/>
              <w:jc w:val="left"/>
              <w:rPr>
                <w:rFonts w:ascii="宋体" w:hAnsi="宋体" w:cs="Times New Roman"/>
                <w:color w:val="auto"/>
                <w:kern w:val="2"/>
                <w:sz w:val="18"/>
                <w:szCs w:val="18"/>
              </w:rPr>
            </w:pPr>
            <w:r>
              <w:rPr>
                <w:rFonts w:hint="eastAsia" w:ascii="宋体" w:hAnsi="宋体" w:cs="Times New Roman"/>
                <w:bCs/>
                <w:color w:val="auto"/>
                <w:kern w:val="2"/>
                <w:sz w:val="18"/>
                <w:szCs w:val="18"/>
              </w:rPr>
              <w:t>违约情况：</w:t>
            </w:r>
            <w:r>
              <w:rPr>
                <w:rFonts w:hint="eastAsia" w:ascii="宋体" w:hAnsi="宋体" w:cs="Times New Roman"/>
                <w:color w:val="auto"/>
                <w:kern w:val="2"/>
                <w:sz w:val="18"/>
                <w:szCs w:val="18"/>
              </w:rPr>
              <w:t>我部技术人员于</w:t>
            </w:r>
            <w:r>
              <w:rPr>
                <w:rFonts w:ascii="宋体" w:hAnsi="宋体" w:cs="Times New Roman"/>
                <w:color w:val="auto"/>
                <w:kern w:val="2"/>
                <w:sz w:val="18"/>
                <w:szCs w:val="18"/>
              </w:rPr>
              <w:t>X年X月X日跟岗作业中（作业令：1A2-01-01）发现XX-XX区间部分XX设备检修口插销存在锈蚀、松脱现象，且个别情况较为严重，而承包商在X年X月XX设备月检中未能及时发现和处理，检修台账中也未记录，存在漏检现象。（举例）</w:t>
            </w:r>
          </w:p>
          <w:p>
            <w:pPr>
              <w:keepNext/>
              <w:keepLines/>
              <w:widowControl/>
              <w:snapToGrid w:val="0"/>
              <w:spacing w:before="140" w:after="140" w:afterAutospacing="0" w:line="413" w:lineRule="auto"/>
              <w:ind w:left="720" w:right="0" w:firstLine="0"/>
              <w:jc w:val="left"/>
              <w:outlineLvl w:val="2"/>
              <w:rPr>
                <w:rFonts w:ascii="宋体" w:hAnsi="宋体" w:cs="Times New Roman"/>
                <w:color w:val="auto"/>
                <w:kern w:val="2"/>
                <w:sz w:val="18"/>
                <w:szCs w:val="18"/>
              </w:rPr>
            </w:pPr>
          </w:p>
          <w:p>
            <w:pPr>
              <w:widowControl/>
              <w:snapToGrid w:val="0"/>
              <w:spacing w:before="0" w:after="0" w:afterAutospacing="0" w:line="240" w:lineRule="auto"/>
              <w:ind w:left="0" w:right="0" w:firstLine="0"/>
              <w:jc w:val="left"/>
              <w:rPr>
                <w:rFonts w:ascii="宋体" w:hAnsi="宋体" w:cs="Times New Roman"/>
                <w:color w:val="auto"/>
                <w:kern w:val="2"/>
                <w:sz w:val="18"/>
                <w:szCs w:val="18"/>
              </w:rPr>
            </w:pPr>
            <w:r>
              <w:rPr>
                <w:rFonts w:hint="eastAsia" w:ascii="宋体" w:hAnsi="宋体" w:cs="Times New Roman"/>
                <w:bCs/>
                <w:color w:val="auto"/>
                <w:kern w:val="2"/>
                <w:sz w:val="18"/>
                <w:szCs w:val="18"/>
              </w:rPr>
              <w:t>合同违约条款：</w:t>
            </w:r>
            <w:r>
              <w:rPr>
                <w:rFonts w:hint="eastAsia" w:ascii="宋体" w:hAnsi="宋体" w:cs="Times New Roman"/>
                <w:color w:val="auto"/>
                <w:kern w:val="2"/>
                <w:sz w:val="18"/>
                <w:szCs w:val="18"/>
              </w:rPr>
              <w:t>《</w:t>
            </w:r>
            <w:r>
              <w:rPr>
                <w:rFonts w:ascii="宋体" w:hAnsi="宋体" w:cs="Times New Roman"/>
                <w:color w:val="auto"/>
                <w:kern w:val="2"/>
                <w:sz w:val="18"/>
                <w:szCs w:val="18"/>
              </w:rPr>
              <w:t>XXX项目合同》十二条之附表第26条款：“乙方未按照《XXX维修规程》规定的周期执行，发生漏检</w:t>
            </w:r>
            <w:r>
              <w:rPr>
                <w:rFonts w:hint="eastAsia" w:ascii="宋体" w:hAnsi="宋体" w:cs="Times New Roman"/>
                <w:color w:val="auto"/>
                <w:kern w:val="2"/>
                <w:sz w:val="18"/>
                <w:szCs w:val="18"/>
              </w:rPr>
              <w:t>、</w:t>
            </w:r>
            <w:r>
              <w:rPr>
                <w:rFonts w:ascii="宋体" w:hAnsi="宋体" w:cs="Times New Roman"/>
                <w:color w:val="auto"/>
                <w:kern w:val="2"/>
                <w:sz w:val="18"/>
                <w:szCs w:val="18"/>
              </w:rPr>
              <w:t>漏修月检内容</w:t>
            </w:r>
            <w:r>
              <w:rPr>
                <w:rFonts w:hint="eastAsia" w:ascii="宋体" w:hAnsi="宋体" w:cs="Times New Roman"/>
                <w:color w:val="auto"/>
                <w:kern w:val="2"/>
                <w:sz w:val="18"/>
                <w:szCs w:val="18"/>
              </w:rPr>
              <w:t>或记录不完善，</w:t>
            </w:r>
            <w:r>
              <w:rPr>
                <w:rFonts w:ascii="宋体" w:hAnsi="宋体" w:cs="Times New Roman"/>
                <w:color w:val="auto"/>
                <w:kern w:val="2"/>
                <w:sz w:val="18"/>
                <w:szCs w:val="18"/>
              </w:rPr>
              <w:t>每次</w:t>
            </w:r>
            <w:r>
              <w:rPr>
                <w:rFonts w:hint="eastAsia" w:ascii="宋体" w:hAnsi="宋体" w:cs="Times New Roman"/>
                <w:color w:val="auto"/>
                <w:kern w:val="2"/>
                <w:sz w:val="18"/>
                <w:szCs w:val="18"/>
              </w:rPr>
              <w:t>每项</w:t>
            </w:r>
            <w:r>
              <w:rPr>
                <w:rFonts w:ascii="宋体" w:hAnsi="宋体" w:cs="Times New Roman"/>
                <w:color w:val="auto"/>
                <w:kern w:val="2"/>
                <w:sz w:val="18"/>
                <w:szCs w:val="18"/>
              </w:rPr>
              <w:t>乙方向甲方支付500元违约金</w:t>
            </w:r>
            <w:r>
              <w:rPr>
                <w:rFonts w:hint="eastAsia" w:ascii="宋体" w:hAnsi="宋体" w:cs="Times New Roman"/>
                <w:color w:val="auto"/>
                <w:kern w:val="2"/>
                <w:sz w:val="18"/>
                <w:szCs w:val="18"/>
              </w:rPr>
              <w:t>，考核</w:t>
            </w:r>
            <w:r>
              <w:rPr>
                <w:rFonts w:ascii="宋体" w:hAnsi="宋体" w:cs="Times New Roman"/>
                <w:color w:val="auto"/>
                <w:kern w:val="2"/>
                <w:sz w:val="18"/>
                <w:szCs w:val="18"/>
              </w:rPr>
              <w:t>0.5分”。（举例）</w:t>
            </w:r>
          </w:p>
          <w:p>
            <w:pPr>
              <w:keepNext/>
              <w:keepLines/>
              <w:spacing w:before="140" w:after="140" w:afterAutospacing="0" w:line="300" w:lineRule="exact"/>
              <w:ind w:left="720" w:right="0" w:firstLine="0"/>
              <w:jc w:val="left"/>
              <w:outlineLvl w:val="2"/>
              <w:rPr>
                <w:rFonts w:ascii="宋体" w:hAnsi="宋体" w:cs="Times New Roman"/>
                <w:bCs/>
                <w:color w:val="auto"/>
                <w:kern w:val="2"/>
                <w:szCs w:val="2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jc w:val="center"/>
        </w:trPr>
        <w:tc>
          <w:tcPr>
            <w:tcW w:w="1836" w:type="dxa"/>
            <w:gridSpan w:val="2"/>
            <w:tcBorders>
              <w:top w:val="single" w:color="auto" w:sz="4" w:space="0"/>
              <w:left w:val="thinThickSmallGap" w:color="auto" w:sz="18" w:space="0"/>
              <w:bottom w:val="single" w:color="auto" w:sz="4" w:space="0"/>
              <w:right w:val="single" w:color="auto" w:sz="4" w:space="0"/>
            </w:tcBorders>
            <w:noWrap w:val="0"/>
            <w:vAlign w:val="center"/>
          </w:tcPr>
          <w:p>
            <w:pPr>
              <w:spacing w:before="0" w:after="0" w:afterAutospacing="0" w:line="240" w:lineRule="auto"/>
              <w:ind w:left="0" w:right="0" w:firstLine="0"/>
              <w:jc w:val="center"/>
              <w:rPr>
                <w:rFonts w:ascii="宋体" w:hAnsi="宋体" w:cs="Times New Roman"/>
                <w:b/>
                <w:color w:val="auto"/>
                <w:kern w:val="2"/>
                <w:szCs w:val="20"/>
              </w:rPr>
            </w:pPr>
            <w:r>
              <w:rPr>
                <w:rFonts w:hint="eastAsia" w:ascii="宋体" w:hAnsi="宋体" w:cs="Times New Roman"/>
                <w:b/>
                <w:color w:val="auto"/>
                <w:kern w:val="2"/>
                <w:szCs w:val="20"/>
              </w:rPr>
              <w:t>违约处理意向</w:t>
            </w:r>
          </w:p>
        </w:tc>
        <w:tc>
          <w:tcPr>
            <w:tcW w:w="7822" w:type="dxa"/>
            <w:gridSpan w:val="5"/>
            <w:tcBorders>
              <w:top w:val="single" w:color="auto" w:sz="4" w:space="0"/>
              <w:left w:val="single" w:color="auto" w:sz="4" w:space="0"/>
              <w:bottom w:val="single" w:color="auto" w:sz="4" w:space="0"/>
              <w:right w:val="thinThickSmallGap" w:color="auto" w:sz="18" w:space="0"/>
            </w:tcBorders>
            <w:noWrap w:val="0"/>
            <w:vAlign w:val="top"/>
          </w:tcPr>
          <w:p>
            <w:pPr>
              <w:keepNext/>
              <w:keepLines/>
              <w:widowControl/>
              <w:snapToGrid w:val="0"/>
              <w:spacing w:before="220" w:after="210" w:afterAutospacing="0" w:line="576" w:lineRule="auto"/>
              <w:ind w:left="432" w:right="0" w:firstLine="0"/>
              <w:jc w:val="left"/>
              <w:outlineLvl w:val="0"/>
              <w:rPr>
                <w:rFonts w:ascii="宋体" w:hAnsi="宋体" w:cs="Times New Roman"/>
                <w:color w:val="auto"/>
                <w:kern w:val="2"/>
                <w:sz w:val="18"/>
                <w:szCs w:val="18"/>
              </w:rPr>
            </w:pPr>
            <w:bookmarkStart w:id="1420" w:name="_Toc103851990"/>
            <w:bookmarkEnd w:id="1420"/>
          </w:p>
          <w:p>
            <w:pPr>
              <w:spacing w:before="0" w:after="0" w:afterAutospacing="0" w:line="300" w:lineRule="exact"/>
              <w:ind w:left="0" w:right="0" w:firstLine="0"/>
              <w:jc w:val="left"/>
              <w:rPr>
                <w:rFonts w:ascii="宋体" w:hAnsi="宋体" w:cs="Times New Roman"/>
                <w:bCs/>
                <w:color w:val="auto"/>
                <w:kern w:val="2"/>
                <w:szCs w:val="21"/>
              </w:rPr>
            </w:pPr>
            <w:r>
              <w:rPr>
                <w:rFonts w:hint="eastAsia" w:ascii="宋体" w:hAnsi="宋体" w:cs="Times New Roman"/>
                <w:color w:val="auto"/>
                <w:kern w:val="2"/>
                <w:sz w:val="18"/>
                <w:szCs w:val="18"/>
              </w:rPr>
              <w:t>根据《</w:t>
            </w:r>
            <w:r>
              <w:rPr>
                <w:rFonts w:ascii="宋体" w:hAnsi="宋体" w:cs="Times New Roman"/>
                <w:color w:val="auto"/>
                <w:kern w:val="2"/>
                <w:sz w:val="18"/>
                <w:szCs w:val="18"/>
              </w:rPr>
              <w:t>XXX项目合同》中第XX条，决定对你司处以：1.处罚违约金500元人民币整；2.在月度评价表中扣0.5分；3.所罚扣款项从季度进度款中扣取。（举例）</w:t>
            </w:r>
          </w:p>
          <w:p>
            <w:pPr>
              <w:keepNext/>
              <w:keepLines/>
              <w:spacing w:before="140" w:after="140" w:afterAutospacing="0" w:line="300" w:lineRule="exact"/>
              <w:ind w:left="720" w:right="0" w:firstLine="0"/>
              <w:jc w:val="left"/>
              <w:outlineLvl w:val="2"/>
              <w:rPr>
                <w:rFonts w:ascii="宋体" w:hAnsi="宋体" w:cs="Times New Roman"/>
                <w:bCs/>
                <w:color w:val="auto"/>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484" w:type="dxa"/>
            <w:vMerge w:val="restart"/>
            <w:tcBorders>
              <w:top w:val="single" w:color="auto" w:sz="4" w:space="0"/>
              <w:left w:val="thinThickSmallGap" w:color="auto" w:sz="18" w:space="0"/>
              <w:bottom w:val="single" w:color="auto" w:sz="4" w:space="0"/>
              <w:right w:val="single" w:color="auto" w:sz="4" w:space="0"/>
            </w:tcBorders>
            <w:noWrap w:val="0"/>
            <w:vAlign w:val="center"/>
          </w:tcPr>
          <w:p>
            <w:pPr>
              <w:spacing w:before="0" w:after="0" w:afterAutospacing="0" w:line="240" w:lineRule="auto"/>
              <w:ind w:left="0" w:right="0" w:firstLine="0"/>
              <w:jc w:val="center"/>
              <w:rPr>
                <w:rFonts w:ascii="宋体" w:hAnsi="宋体" w:cs="Times New Roman"/>
                <w:b/>
                <w:color w:val="auto"/>
                <w:kern w:val="2"/>
                <w:szCs w:val="20"/>
              </w:rPr>
            </w:pPr>
            <w:r>
              <w:rPr>
                <w:rFonts w:hint="eastAsia" w:ascii="宋体" w:hAnsi="宋体" w:cs="Times New Roman"/>
                <w:b/>
                <w:color w:val="auto"/>
                <w:kern w:val="2"/>
                <w:szCs w:val="20"/>
              </w:rPr>
              <w:t>业主审批意见</w:t>
            </w:r>
          </w:p>
        </w:tc>
        <w:tc>
          <w:tcPr>
            <w:tcW w:w="1352" w:type="dxa"/>
            <w:tcBorders>
              <w:top w:val="single" w:color="auto" w:sz="4" w:space="0"/>
              <w:left w:val="single" w:color="auto" w:sz="4" w:space="0"/>
              <w:bottom w:val="single" w:color="auto" w:sz="4" w:space="0"/>
              <w:right w:val="single" w:color="auto" w:sz="4" w:space="0"/>
            </w:tcBorders>
            <w:noWrap w:val="0"/>
            <w:vAlign w:val="center"/>
          </w:tcPr>
          <w:p>
            <w:pPr>
              <w:spacing w:before="0" w:after="0" w:afterAutospacing="0" w:line="240" w:lineRule="auto"/>
              <w:ind w:left="0" w:right="0" w:firstLine="0"/>
              <w:jc w:val="center"/>
              <w:rPr>
                <w:rFonts w:ascii="宋体" w:hAnsi="宋体" w:cs="Times New Roman"/>
                <w:b/>
                <w:color w:val="auto"/>
                <w:kern w:val="2"/>
                <w:szCs w:val="20"/>
              </w:rPr>
            </w:pPr>
            <w:r>
              <w:rPr>
                <w:rFonts w:hint="eastAsia" w:ascii="宋体" w:hAnsi="宋体" w:cs="Times New Roman"/>
                <w:b/>
                <w:color w:val="auto"/>
                <w:kern w:val="2"/>
                <w:szCs w:val="20"/>
              </w:rPr>
              <w:t>主办部门</w:t>
            </w:r>
          </w:p>
        </w:tc>
        <w:tc>
          <w:tcPr>
            <w:tcW w:w="7822" w:type="dxa"/>
            <w:gridSpan w:val="5"/>
            <w:tcBorders>
              <w:top w:val="single" w:color="auto" w:sz="4" w:space="0"/>
              <w:left w:val="single" w:color="auto" w:sz="4" w:space="0"/>
              <w:bottom w:val="single" w:color="auto" w:sz="4" w:space="0"/>
              <w:right w:val="thinThickSmallGap" w:color="auto" w:sz="18" w:space="0"/>
            </w:tcBorders>
            <w:noWrap w:val="0"/>
            <w:vAlign w:val="top"/>
          </w:tcPr>
          <w:p>
            <w:pPr>
              <w:keepNext/>
              <w:keepLines/>
              <w:spacing w:before="220" w:after="210" w:afterAutospacing="0" w:line="576" w:lineRule="auto"/>
              <w:ind w:left="432" w:right="113" w:firstLine="0"/>
              <w:jc w:val="left"/>
              <w:outlineLvl w:val="0"/>
              <w:rPr>
                <w:rFonts w:ascii="宋体" w:hAnsi="宋体" w:cs="宋体"/>
                <w:color w:val="auto"/>
                <w:kern w:val="2"/>
                <w:szCs w:val="21"/>
              </w:rPr>
            </w:pPr>
            <w:bookmarkStart w:id="1421" w:name="_Toc103851991"/>
            <w:bookmarkEnd w:id="1421"/>
          </w:p>
          <w:p>
            <w:pPr>
              <w:keepNext/>
              <w:keepLines/>
              <w:spacing w:before="220" w:after="210" w:afterAutospacing="0" w:line="576" w:lineRule="auto"/>
              <w:ind w:left="432" w:right="113" w:firstLine="0"/>
              <w:jc w:val="left"/>
              <w:outlineLvl w:val="0"/>
              <w:rPr>
                <w:rFonts w:ascii="宋体" w:hAnsi="宋体" w:cs="Times New Roman"/>
                <w:color w:val="auto"/>
                <w:kern w:val="2"/>
                <w:szCs w:val="20"/>
              </w:rPr>
            </w:pPr>
            <w:bookmarkStart w:id="1422" w:name="_Toc103851992"/>
            <w:bookmarkEnd w:id="1422"/>
          </w:p>
          <w:p>
            <w:pPr>
              <w:keepNext/>
              <w:keepLines/>
              <w:spacing w:before="220" w:after="210" w:afterAutospacing="0" w:line="576" w:lineRule="auto"/>
              <w:ind w:left="432" w:right="113" w:firstLine="0"/>
              <w:jc w:val="left"/>
              <w:outlineLvl w:val="0"/>
              <w:rPr>
                <w:rFonts w:ascii="宋体" w:hAnsi="宋体" w:cs="Times New Roman"/>
                <w:color w:val="auto"/>
                <w:kern w:val="2"/>
                <w:szCs w:val="20"/>
              </w:rPr>
            </w:pPr>
            <w:bookmarkStart w:id="1423" w:name="_Toc103851993"/>
            <w:bookmarkEnd w:id="14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484" w:type="dxa"/>
            <w:vMerge w:val="continue"/>
            <w:tcBorders>
              <w:top w:val="single" w:color="auto" w:sz="4" w:space="0"/>
              <w:left w:val="thinThickSmallGap" w:color="auto" w:sz="18" w:space="0"/>
              <w:bottom w:val="single" w:color="auto" w:sz="4" w:space="0"/>
              <w:right w:val="single" w:color="auto" w:sz="4" w:space="0"/>
            </w:tcBorders>
            <w:noWrap w:val="0"/>
            <w:vAlign w:val="center"/>
          </w:tcPr>
          <w:p>
            <w:pPr>
              <w:keepNext/>
              <w:keepLines/>
              <w:numPr>
                <w:ilvl w:val="0"/>
                <w:numId w:val="9"/>
              </w:numPr>
              <w:spacing w:before="220" w:after="210" w:afterAutospacing="0" w:line="576" w:lineRule="auto"/>
              <w:ind w:left="0" w:right="0" w:firstLine="0"/>
              <w:jc w:val="center"/>
              <w:outlineLvl w:val="0"/>
              <w:rPr>
                <w:rFonts w:ascii="宋体" w:hAnsi="宋体" w:cs="Times New Roman"/>
                <w:b/>
                <w:color w:val="auto"/>
                <w:kern w:val="2"/>
                <w:szCs w:val="20"/>
              </w:rPr>
            </w:pPr>
            <w:bookmarkStart w:id="1424" w:name="_Toc103857130"/>
            <w:bookmarkEnd w:id="1424"/>
            <w:bookmarkStart w:id="1425" w:name="_Toc103851994"/>
            <w:bookmarkEnd w:id="1425"/>
          </w:p>
        </w:tc>
        <w:tc>
          <w:tcPr>
            <w:tcW w:w="1352" w:type="dxa"/>
            <w:tcBorders>
              <w:top w:val="single" w:color="auto" w:sz="4" w:space="0"/>
              <w:left w:val="single" w:color="auto" w:sz="4" w:space="0"/>
              <w:bottom w:val="single" w:color="auto" w:sz="4" w:space="0"/>
              <w:right w:val="single" w:color="auto" w:sz="4" w:space="0"/>
            </w:tcBorders>
            <w:noWrap w:val="0"/>
            <w:vAlign w:val="center"/>
          </w:tcPr>
          <w:p>
            <w:pPr>
              <w:spacing w:before="0" w:after="0" w:afterAutospacing="0" w:line="240" w:lineRule="auto"/>
              <w:ind w:left="0" w:right="0" w:firstLine="0"/>
              <w:jc w:val="center"/>
              <w:rPr>
                <w:rFonts w:ascii="宋体" w:hAnsi="宋体" w:cs="Times New Roman"/>
                <w:b/>
                <w:color w:val="auto"/>
                <w:kern w:val="2"/>
                <w:szCs w:val="20"/>
              </w:rPr>
            </w:pPr>
            <w:r>
              <w:rPr>
                <w:rFonts w:hint="eastAsia" w:ascii="宋体" w:hAnsi="宋体" w:cs="Times New Roman"/>
                <w:b/>
                <w:color w:val="auto"/>
                <w:kern w:val="2"/>
                <w:szCs w:val="20"/>
              </w:rPr>
              <w:t>相关部门</w:t>
            </w:r>
          </w:p>
        </w:tc>
        <w:tc>
          <w:tcPr>
            <w:tcW w:w="7822" w:type="dxa"/>
            <w:gridSpan w:val="5"/>
            <w:tcBorders>
              <w:top w:val="single" w:color="auto" w:sz="4" w:space="0"/>
              <w:left w:val="single" w:color="auto" w:sz="4" w:space="0"/>
              <w:bottom w:val="single" w:color="auto" w:sz="4" w:space="0"/>
              <w:right w:val="thinThickSmallGap" w:color="auto" w:sz="18" w:space="0"/>
            </w:tcBorders>
            <w:noWrap w:val="0"/>
            <w:vAlign w:val="top"/>
          </w:tcPr>
          <w:p>
            <w:pPr>
              <w:keepNext/>
              <w:keepLines/>
              <w:spacing w:before="220" w:after="210" w:afterAutospacing="0" w:line="576" w:lineRule="auto"/>
              <w:ind w:left="113" w:right="113" w:firstLine="0"/>
              <w:jc w:val="left"/>
              <w:outlineLvl w:val="0"/>
              <w:rPr>
                <w:rFonts w:ascii="宋体" w:hAnsi="宋体" w:cs="宋体"/>
                <w:color w:val="auto"/>
                <w:kern w:val="2"/>
                <w:szCs w:val="21"/>
              </w:rPr>
            </w:pPr>
            <w:bookmarkStart w:id="1426" w:name="_Toc103851995"/>
            <w:bookmarkEnd w:id="1426"/>
          </w:p>
          <w:p>
            <w:pPr>
              <w:keepNext/>
              <w:keepLines/>
              <w:spacing w:before="220" w:after="210" w:afterAutospacing="0" w:line="576" w:lineRule="auto"/>
              <w:ind w:left="432" w:right="113" w:firstLine="0"/>
              <w:jc w:val="left"/>
              <w:outlineLvl w:val="0"/>
              <w:rPr>
                <w:rFonts w:ascii="宋体" w:hAnsi="宋体" w:cs="Times New Roman"/>
                <w:color w:val="auto"/>
                <w:kern w:val="2"/>
                <w:szCs w:val="20"/>
              </w:rPr>
            </w:pPr>
            <w:bookmarkStart w:id="1427" w:name="_Toc103851996"/>
            <w:bookmarkEnd w:id="14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484" w:type="dxa"/>
            <w:vMerge w:val="continue"/>
            <w:tcBorders>
              <w:top w:val="single" w:color="auto" w:sz="4" w:space="0"/>
              <w:left w:val="thinThickSmallGap" w:color="auto" w:sz="18" w:space="0"/>
              <w:bottom w:val="single" w:color="auto" w:sz="4" w:space="0"/>
              <w:right w:val="single" w:color="auto" w:sz="4" w:space="0"/>
            </w:tcBorders>
            <w:noWrap w:val="0"/>
            <w:vAlign w:val="center"/>
          </w:tcPr>
          <w:p>
            <w:pPr>
              <w:keepNext/>
              <w:keepLines/>
              <w:numPr>
                <w:ilvl w:val="0"/>
                <w:numId w:val="9"/>
              </w:numPr>
              <w:spacing w:before="220" w:after="210" w:afterAutospacing="0" w:line="576" w:lineRule="auto"/>
              <w:ind w:left="0" w:right="0" w:firstLine="0"/>
              <w:jc w:val="center"/>
              <w:outlineLvl w:val="0"/>
              <w:rPr>
                <w:rFonts w:ascii="宋体" w:hAnsi="宋体" w:cs="Times New Roman"/>
                <w:b/>
                <w:color w:val="auto"/>
                <w:kern w:val="2"/>
                <w:szCs w:val="20"/>
              </w:rPr>
            </w:pPr>
            <w:bookmarkStart w:id="1428" w:name="_Toc103857131"/>
            <w:bookmarkEnd w:id="1428"/>
            <w:bookmarkStart w:id="1429" w:name="_Toc103851997"/>
            <w:bookmarkEnd w:id="1429"/>
          </w:p>
        </w:tc>
        <w:tc>
          <w:tcPr>
            <w:tcW w:w="1352" w:type="dxa"/>
            <w:tcBorders>
              <w:top w:val="single" w:color="auto" w:sz="4" w:space="0"/>
              <w:left w:val="single" w:color="auto" w:sz="4" w:space="0"/>
              <w:bottom w:val="single" w:color="auto" w:sz="4" w:space="0"/>
              <w:right w:val="single" w:color="auto" w:sz="4" w:space="0"/>
            </w:tcBorders>
            <w:noWrap w:val="0"/>
            <w:vAlign w:val="center"/>
          </w:tcPr>
          <w:p>
            <w:pPr>
              <w:spacing w:before="0" w:after="0" w:afterAutospacing="0" w:line="240" w:lineRule="auto"/>
              <w:ind w:left="0" w:right="0" w:firstLine="0"/>
              <w:jc w:val="center"/>
              <w:rPr>
                <w:rFonts w:ascii="宋体" w:hAnsi="宋体" w:cs="Times New Roman"/>
                <w:b/>
                <w:color w:val="auto"/>
                <w:kern w:val="2"/>
                <w:szCs w:val="20"/>
              </w:rPr>
            </w:pPr>
            <w:r>
              <w:rPr>
                <w:rFonts w:hint="eastAsia" w:ascii="宋体" w:hAnsi="宋体" w:cs="Times New Roman"/>
                <w:b/>
                <w:color w:val="auto"/>
                <w:kern w:val="2"/>
                <w:szCs w:val="20"/>
              </w:rPr>
              <w:t>分公司分管副总经理</w:t>
            </w:r>
          </w:p>
        </w:tc>
        <w:tc>
          <w:tcPr>
            <w:tcW w:w="7822" w:type="dxa"/>
            <w:gridSpan w:val="5"/>
            <w:tcBorders>
              <w:top w:val="single" w:color="auto" w:sz="4" w:space="0"/>
              <w:left w:val="single" w:color="auto" w:sz="4" w:space="0"/>
              <w:bottom w:val="single" w:color="auto" w:sz="4" w:space="0"/>
              <w:right w:val="thinThickSmallGap" w:color="auto" w:sz="18" w:space="0"/>
            </w:tcBorders>
            <w:noWrap w:val="0"/>
            <w:vAlign w:val="top"/>
          </w:tcPr>
          <w:p>
            <w:pPr>
              <w:keepNext/>
              <w:keepLines/>
              <w:spacing w:before="220" w:after="210" w:afterAutospacing="0" w:line="576" w:lineRule="auto"/>
              <w:ind w:left="1272" w:right="113" w:firstLine="0"/>
              <w:jc w:val="left"/>
              <w:outlineLvl w:val="0"/>
              <w:rPr>
                <w:rFonts w:ascii="Times New Roman" w:hAnsi="Times New Roman" w:cs="Times New Roman"/>
                <w:color w:val="auto"/>
                <w:kern w:val="2"/>
                <w:szCs w:val="20"/>
              </w:rPr>
            </w:pPr>
            <w:bookmarkStart w:id="1430" w:name="_Toc103851998"/>
            <w:bookmarkEnd w:id="1430"/>
          </w:p>
          <w:p>
            <w:pPr>
              <w:keepNext/>
              <w:keepLines/>
              <w:spacing w:before="220" w:after="210" w:line="576" w:lineRule="auto"/>
              <w:ind w:left="432" w:firstLine="400" w:firstLineChars="200"/>
              <w:outlineLvl w:val="0"/>
              <w:rPr>
                <w:rFonts w:ascii="宋体" w:hAnsi="Courier New" w:eastAsia="宋体" w:cs="Times New Roman"/>
                <w:color w:val="auto"/>
                <w:kern w:val="0"/>
                <w:sz w:val="20"/>
                <w:lang w:val="en-US" w:eastAsia="zh-CN" w:bidi="ar-SA"/>
              </w:rPr>
            </w:pPr>
            <w:bookmarkStart w:id="1431" w:name="_Toc103851999"/>
            <w:bookmarkEnd w:id="14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484" w:type="dxa"/>
            <w:vMerge w:val="continue"/>
            <w:tcBorders>
              <w:top w:val="single" w:color="auto" w:sz="4" w:space="0"/>
              <w:left w:val="thinThickSmallGap" w:color="auto" w:sz="18" w:space="0"/>
              <w:bottom w:val="single" w:color="auto" w:sz="4" w:space="0"/>
              <w:right w:val="single" w:color="auto" w:sz="4" w:space="0"/>
            </w:tcBorders>
            <w:noWrap w:val="0"/>
            <w:vAlign w:val="center"/>
          </w:tcPr>
          <w:p>
            <w:pPr>
              <w:keepNext/>
              <w:keepLines/>
              <w:numPr>
                <w:ilvl w:val="0"/>
                <w:numId w:val="9"/>
              </w:numPr>
              <w:spacing w:before="220" w:after="210" w:afterAutospacing="0" w:line="576" w:lineRule="auto"/>
              <w:ind w:left="0" w:right="0" w:firstLine="0"/>
              <w:jc w:val="center"/>
              <w:outlineLvl w:val="0"/>
              <w:rPr>
                <w:rFonts w:ascii="宋体" w:hAnsi="宋体" w:cs="Times New Roman"/>
                <w:b/>
                <w:color w:val="auto"/>
                <w:kern w:val="2"/>
                <w:szCs w:val="20"/>
              </w:rPr>
            </w:pPr>
            <w:bookmarkStart w:id="1432" w:name="_Toc103852000"/>
            <w:bookmarkEnd w:id="1432"/>
            <w:bookmarkStart w:id="1433" w:name="_Toc103857132"/>
            <w:bookmarkEnd w:id="1433"/>
          </w:p>
        </w:tc>
        <w:tc>
          <w:tcPr>
            <w:tcW w:w="1352" w:type="dxa"/>
            <w:tcBorders>
              <w:top w:val="single" w:color="auto" w:sz="4" w:space="0"/>
              <w:left w:val="single" w:color="auto" w:sz="4" w:space="0"/>
              <w:bottom w:val="single" w:color="auto" w:sz="4" w:space="0"/>
              <w:right w:val="single" w:color="auto" w:sz="4" w:space="0"/>
            </w:tcBorders>
            <w:noWrap w:val="0"/>
            <w:vAlign w:val="center"/>
          </w:tcPr>
          <w:p>
            <w:pPr>
              <w:spacing w:before="0" w:after="0" w:afterAutospacing="0" w:line="240" w:lineRule="auto"/>
              <w:ind w:left="0" w:right="0" w:firstLine="0"/>
              <w:jc w:val="center"/>
              <w:rPr>
                <w:rFonts w:ascii="宋体" w:hAnsi="宋体" w:cs="Times New Roman"/>
                <w:b/>
                <w:color w:val="auto"/>
                <w:kern w:val="2"/>
                <w:szCs w:val="20"/>
              </w:rPr>
            </w:pPr>
            <w:r>
              <w:rPr>
                <w:rFonts w:hint="eastAsia" w:ascii="宋体" w:hAnsi="宋体" w:cs="Times New Roman"/>
                <w:b/>
                <w:color w:val="auto"/>
                <w:kern w:val="2"/>
                <w:szCs w:val="20"/>
              </w:rPr>
              <w:t>分公司</w:t>
            </w:r>
          </w:p>
          <w:p>
            <w:pPr>
              <w:spacing w:before="0" w:after="0" w:afterAutospacing="0" w:line="240" w:lineRule="auto"/>
              <w:ind w:left="0" w:right="0" w:firstLine="0"/>
              <w:jc w:val="center"/>
              <w:rPr>
                <w:rFonts w:ascii="宋体" w:hAnsi="宋体" w:cs="Times New Roman"/>
                <w:b/>
                <w:color w:val="auto"/>
                <w:kern w:val="2"/>
                <w:szCs w:val="20"/>
              </w:rPr>
            </w:pPr>
            <w:r>
              <w:rPr>
                <w:rFonts w:hint="eastAsia" w:ascii="宋体" w:hAnsi="宋体" w:cs="Times New Roman"/>
                <w:b/>
                <w:color w:val="auto"/>
                <w:kern w:val="2"/>
                <w:szCs w:val="20"/>
              </w:rPr>
              <w:t>总经理</w:t>
            </w:r>
          </w:p>
        </w:tc>
        <w:tc>
          <w:tcPr>
            <w:tcW w:w="7822" w:type="dxa"/>
            <w:gridSpan w:val="5"/>
            <w:tcBorders>
              <w:top w:val="single" w:color="auto" w:sz="4" w:space="0"/>
              <w:left w:val="single" w:color="auto" w:sz="4" w:space="0"/>
              <w:bottom w:val="single" w:color="auto" w:sz="4" w:space="0"/>
              <w:right w:val="thinThickSmallGap" w:color="auto" w:sz="18" w:space="0"/>
            </w:tcBorders>
            <w:noWrap w:val="0"/>
            <w:vAlign w:val="top"/>
          </w:tcPr>
          <w:p>
            <w:pPr>
              <w:keepNext/>
              <w:keepLines/>
              <w:spacing w:before="220" w:after="210" w:afterAutospacing="0" w:line="576" w:lineRule="auto"/>
              <w:ind w:left="432" w:right="0" w:firstLine="0"/>
              <w:jc w:val="left"/>
              <w:outlineLvl w:val="0"/>
              <w:rPr>
                <w:rFonts w:ascii="宋体" w:hAnsi="宋体" w:cs="宋体"/>
                <w:color w:val="auto"/>
                <w:kern w:val="2"/>
                <w:szCs w:val="21"/>
              </w:rPr>
            </w:pPr>
            <w:bookmarkStart w:id="1434" w:name="_Toc103852001"/>
            <w:bookmarkEnd w:id="1434"/>
          </w:p>
          <w:p>
            <w:pPr>
              <w:keepNext/>
              <w:keepLines/>
              <w:spacing w:before="220" w:after="210" w:afterAutospacing="0" w:line="576" w:lineRule="auto"/>
              <w:ind w:left="432" w:right="113" w:firstLine="0"/>
              <w:jc w:val="left"/>
              <w:outlineLvl w:val="0"/>
              <w:rPr>
                <w:rFonts w:ascii="宋体" w:hAnsi="宋体" w:cs="Times New Roman"/>
                <w:color w:val="auto"/>
                <w:kern w:val="2"/>
                <w:szCs w:val="20"/>
              </w:rPr>
            </w:pPr>
            <w:bookmarkStart w:id="1435" w:name="_Toc103852002"/>
            <w:bookmarkEnd w:id="14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1836" w:type="dxa"/>
            <w:gridSpan w:val="2"/>
            <w:tcBorders>
              <w:top w:val="single" w:color="auto" w:sz="4" w:space="0"/>
              <w:left w:val="thinThickSmallGap" w:color="auto" w:sz="18" w:space="0"/>
              <w:bottom w:val="thinThickSmallGap" w:color="auto" w:sz="18" w:space="0"/>
              <w:right w:val="single" w:color="auto" w:sz="4" w:space="0"/>
            </w:tcBorders>
            <w:noWrap w:val="0"/>
            <w:vAlign w:val="center"/>
          </w:tcPr>
          <w:p>
            <w:pPr>
              <w:spacing w:before="0" w:after="0" w:afterAutospacing="0" w:line="240" w:lineRule="auto"/>
              <w:ind w:left="0" w:right="0" w:firstLine="0"/>
              <w:jc w:val="center"/>
              <w:rPr>
                <w:rFonts w:ascii="宋体" w:hAnsi="宋体" w:cs="Times New Roman"/>
                <w:b/>
                <w:color w:val="auto"/>
                <w:kern w:val="2"/>
                <w:szCs w:val="20"/>
              </w:rPr>
            </w:pPr>
            <w:r>
              <w:rPr>
                <w:rFonts w:hint="eastAsia" w:ascii="宋体" w:hAnsi="宋体" w:cs="Times New Roman"/>
                <w:b/>
                <w:color w:val="auto"/>
                <w:kern w:val="2"/>
                <w:szCs w:val="20"/>
              </w:rPr>
              <w:t>送达日期</w:t>
            </w:r>
          </w:p>
        </w:tc>
        <w:tc>
          <w:tcPr>
            <w:tcW w:w="1720" w:type="dxa"/>
            <w:tcBorders>
              <w:top w:val="single" w:color="auto" w:sz="4" w:space="0"/>
              <w:left w:val="single" w:color="auto" w:sz="4" w:space="0"/>
              <w:bottom w:val="thinThickSmallGap" w:color="auto" w:sz="18" w:space="0"/>
              <w:right w:val="single" w:color="auto" w:sz="4" w:space="0"/>
            </w:tcBorders>
            <w:noWrap w:val="0"/>
            <w:vAlign w:val="top"/>
          </w:tcPr>
          <w:p>
            <w:pPr>
              <w:keepNext/>
              <w:keepLines/>
              <w:widowControl/>
              <w:spacing w:before="220" w:after="210" w:afterAutospacing="0" w:line="576" w:lineRule="auto"/>
              <w:ind w:left="432" w:right="0" w:firstLine="0"/>
              <w:jc w:val="left"/>
              <w:outlineLvl w:val="0"/>
              <w:rPr>
                <w:rFonts w:ascii="宋体" w:hAnsi="宋体" w:cs="Times New Roman"/>
                <w:b/>
                <w:color w:val="auto"/>
                <w:kern w:val="2"/>
                <w:szCs w:val="20"/>
              </w:rPr>
            </w:pPr>
            <w:bookmarkStart w:id="1436" w:name="_Toc103852003"/>
            <w:bookmarkEnd w:id="1436"/>
          </w:p>
        </w:tc>
        <w:tc>
          <w:tcPr>
            <w:tcW w:w="1176" w:type="dxa"/>
            <w:tcBorders>
              <w:top w:val="single" w:color="auto" w:sz="4" w:space="0"/>
              <w:left w:val="single" w:color="auto" w:sz="4" w:space="0"/>
              <w:bottom w:val="thinThickSmallGap" w:color="auto" w:sz="18" w:space="0"/>
              <w:right w:val="single" w:color="auto" w:sz="4" w:space="0"/>
            </w:tcBorders>
            <w:noWrap w:val="0"/>
            <w:vAlign w:val="center"/>
          </w:tcPr>
          <w:p>
            <w:pPr>
              <w:widowControl/>
              <w:spacing w:before="0" w:after="0" w:afterAutospacing="0" w:line="240" w:lineRule="auto"/>
              <w:ind w:left="0" w:right="0" w:firstLine="0"/>
              <w:jc w:val="center"/>
              <w:rPr>
                <w:rFonts w:ascii="宋体" w:hAnsi="宋体" w:cs="Times New Roman"/>
                <w:bCs/>
                <w:color w:val="auto"/>
                <w:kern w:val="2"/>
                <w:szCs w:val="21"/>
              </w:rPr>
            </w:pPr>
            <w:r>
              <w:rPr>
                <w:rFonts w:hint="eastAsia" w:ascii="宋体" w:hAnsi="宋体" w:cs="Times New Roman"/>
                <w:b/>
                <w:color w:val="auto"/>
                <w:kern w:val="2"/>
                <w:szCs w:val="21"/>
              </w:rPr>
              <w:t>送达方式</w:t>
            </w:r>
          </w:p>
        </w:tc>
        <w:tc>
          <w:tcPr>
            <w:tcW w:w="4926" w:type="dxa"/>
            <w:gridSpan w:val="3"/>
            <w:tcBorders>
              <w:top w:val="single" w:color="auto" w:sz="4" w:space="0"/>
              <w:left w:val="single" w:color="auto" w:sz="4" w:space="0"/>
              <w:bottom w:val="thinThickSmallGap" w:color="auto" w:sz="18" w:space="0"/>
              <w:right w:val="thinThickSmallGap" w:color="auto" w:sz="18" w:space="0"/>
            </w:tcBorders>
            <w:noWrap w:val="0"/>
            <w:vAlign w:val="top"/>
          </w:tcPr>
          <w:p>
            <w:pPr>
              <w:widowControl/>
              <w:spacing w:before="0" w:after="0" w:afterAutospacing="0" w:line="240" w:lineRule="auto"/>
              <w:ind w:left="0" w:right="0" w:firstLine="210" w:firstLineChars="100"/>
              <w:jc w:val="left"/>
              <w:rPr>
                <w:rFonts w:ascii="Times New Roman" w:hAnsi="Times New Roman" w:cs="Times New Roman"/>
                <w:color w:val="auto"/>
                <w:kern w:val="2"/>
                <w:szCs w:val="20"/>
              </w:rPr>
            </w:pPr>
            <w:r>
              <w:rPr>
                <w:rFonts w:hint="eastAsia" w:ascii="Times New Roman" w:hAnsi="Times New Roman" w:cs="Times New Roman"/>
                <w:color w:val="auto"/>
                <w:kern w:val="2"/>
                <w:szCs w:val="20"/>
              </w:rPr>
              <w:t>直接送达</w:t>
            </w:r>
            <w:r>
              <w:rPr>
                <w:rFonts w:hint="eastAsia" w:ascii="Times New Roman" w:hAnsi="Times New Roman" w:cs="Times New Roman"/>
                <w:color w:val="auto"/>
                <w:kern w:val="2"/>
                <w:szCs w:val="20"/>
              </w:rPr>
              <w:sym w:font="Wingdings 2" w:char="00A3"/>
            </w:r>
            <w:r>
              <w:rPr>
                <w:rFonts w:hint="eastAsia" w:ascii="Times New Roman" w:hAnsi="Times New Roman" w:cs="Times New Roman"/>
                <w:color w:val="auto"/>
                <w:kern w:val="2"/>
                <w:szCs w:val="20"/>
              </w:rPr>
              <w:t>签收人：</w:t>
            </w:r>
          </w:p>
          <w:p>
            <w:pPr>
              <w:spacing w:line="360" w:lineRule="auto"/>
              <w:ind w:firstLine="400" w:firstLineChars="200"/>
              <w:rPr>
                <w:rFonts w:ascii="宋体" w:hAnsi="Courier New" w:eastAsia="宋体" w:cs="Times New Roman"/>
                <w:color w:val="auto"/>
                <w:kern w:val="0"/>
                <w:sz w:val="20"/>
                <w:lang w:val="en-US" w:eastAsia="zh-CN" w:bidi="ar-SA"/>
              </w:rPr>
            </w:pPr>
            <w:r>
              <w:rPr>
                <w:rFonts w:hint="eastAsia" w:ascii="宋体" w:hAnsi="Courier New" w:eastAsia="宋体" w:cs="Times New Roman"/>
                <w:color w:val="auto"/>
                <w:kern w:val="0"/>
                <w:sz w:val="20"/>
                <w:lang w:val="en-US" w:eastAsia="zh-CN" w:bidi="ar-SA"/>
              </w:rPr>
              <w:t xml:space="preserve">  留置送达</w:t>
            </w:r>
            <w:r>
              <w:rPr>
                <w:rFonts w:ascii="宋体" w:hAnsi="Courier New" w:eastAsia="宋体" w:cs="Times New Roman"/>
                <w:color w:val="auto"/>
                <w:kern w:val="0"/>
                <w:sz w:val="20"/>
                <w:lang w:val="en-US" w:eastAsia="zh-CN" w:bidi="ar-SA"/>
              </w:rPr>
              <w:sym w:font="Wingdings 2" w:char="00A3"/>
            </w:r>
            <w:r>
              <w:rPr>
                <w:rFonts w:hint="eastAsia" w:ascii="宋体" w:hAnsi="Courier New" w:eastAsia="宋体" w:cs="Times New Roman"/>
                <w:color w:val="auto"/>
                <w:kern w:val="0"/>
                <w:sz w:val="20"/>
                <w:lang w:val="en-US" w:eastAsia="zh-CN" w:bidi="ar-SA"/>
              </w:rPr>
              <w:t xml:space="preserve">  送达地址：                    </w:t>
            </w:r>
          </w:p>
          <w:p>
            <w:pPr>
              <w:keepNext/>
              <w:keepLines/>
              <w:spacing w:before="140" w:after="140" w:line="413" w:lineRule="auto"/>
              <w:ind w:left="720" w:firstLine="400" w:firstLineChars="200"/>
              <w:outlineLvl w:val="2"/>
              <w:rPr>
                <w:rFonts w:ascii="宋体" w:hAnsi="Courier New" w:eastAsia="宋体" w:cs="Times New Roman"/>
                <w:color w:val="auto"/>
                <w:kern w:val="0"/>
                <w:sz w:val="20"/>
                <w:lang w:val="en-US" w:eastAsia="zh-CN" w:bidi="ar-SA"/>
              </w:rPr>
            </w:pPr>
          </w:p>
          <w:p>
            <w:pPr>
              <w:spacing w:line="360" w:lineRule="auto"/>
              <w:ind w:firstLine="400" w:firstLineChars="200"/>
              <w:rPr>
                <w:rFonts w:ascii="宋体" w:hAnsi="Courier New" w:eastAsia="宋体" w:cs="Times New Roman"/>
                <w:color w:val="auto"/>
                <w:kern w:val="0"/>
                <w:sz w:val="20"/>
                <w:lang w:val="en-US" w:eastAsia="zh-CN" w:bidi="ar-SA"/>
              </w:rPr>
            </w:pPr>
            <w:r>
              <w:rPr>
                <w:rFonts w:hint="eastAsia" w:ascii="宋体" w:hAnsi="Courier New" w:eastAsia="宋体" w:cs="Times New Roman"/>
                <w:color w:val="auto"/>
                <w:kern w:val="0"/>
                <w:sz w:val="20"/>
                <w:lang w:val="en-US" w:eastAsia="zh-CN" w:bidi="ar-SA"/>
              </w:rPr>
              <w:t xml:space="preserve">  电子送达</w:t>
            </w:r>
            <w:r>
              <w:rPr>
                <w:rFonts w:ascii="宋体" w:hAnsi="Courier New" w:eastAsia="宋体" w:cs="Times New Roman"/>
                <w:color w:val="auto"/>
                <w:kern w:val="0"/>
                <w:sz w:val="20"/>
                <w:lang w:val="en-US" w:eastAsia="zh-CN" w:bidi="ar-SA"/>
              </w:rPr>
              <w:sym w:font="Wingdings 2" w:char="00A3"/>
            </w:r>
            <w:r>
              <w:rPr>
                <w:rFonts w:hint="eastAsia" w:ascii="宋体" w:hAnsi="Courier New" w:eastAsia="宋体" w:cs="Times New Roman"/>
                <w:color w:val="auto"/>
                <w:kern w:val="0"/>
                <w:sz w:val="20"/>
                <w:lang w:val="en-US" w:eastAsia="zh-CN" w:bidi="ar-SA"/>
              </w:rPr>
              <w:t xml:space="preserve">  （收件电子邮箱地址等）</w:t>
            </w:r>
          </w:p>
        </w:tc>
      </w:tr>
    </w:tbl>
    <w:p>
      <w:pPr>
        <w:spacing w:before="0" w:after="0" w:afterAutospacing="0" w:line="240" w:lineRule="exact"/>
        <w:ind w:left="0" w:right="-779" w:rightChars="-371" w:firstLine="0"/>
        <w:jc w:val="left"/>
        <w:rPr>
          <w:rFonts w:ascii="宋体" w:hAnsi="宋体" w:cs="Times New Roman"/>
          <w:color w:val="auto"/>
          <w:kern w:val="2"/>
          <w:sz w:val="18"/>
          <w:szCs w:val="18"/>
        </w:rPr>
      </w:pPr>
    </w:p>
    <w:p>
      <w:pPr>
        <w:spacing w:before="0" w:after="0" w:afterAutospacing="0" w:line="240" w:lineRule="exact"/>
        <w:ind w:left="-619" w:leftChars="-295" w:right="-779" w:rightChars="-371" w:firstLine="0"/>
        <w:jc w:val="left"/>
        <w:rPr>
          <w:rFonts w:ascii="宋体" w:hAnsi="宋体" w:cs="Times New Roman"/>
          <w:color w:val="auto"/>
          <w:kern w:val="2"/>
          <w:sz w:val="18"/>
          <w:szCs w:val="18"/>
        </w:rPr>
      </w:pPr>
      <w:r>
        <w:rPr>
          <w:rFonts w:hint="eastAsia" w:ascii="宋体" w:hAnsi="宋体" w:cs="Times New Roman"/>
          <w:color w:val="auto"/>
          <w:kern w:val="2"/>
          <w:sz w:val="18"/>
          <w:szCs w:val="18"/>
        </w:rPr>
        <w:t>说明：</w:t>
      </w:r>
      <w:r>
        <w:rPr>
          <w:rFonts w:ascii="宋体" w:hAnsi="宋体" w:cs="Times New Roman"/>
          <w:color w:val="auto"/>
          <w:kern w:val="2"/>
          <w:sz w:val="18"/>
          <w:szCs w:val="18"/>
        </w:rPr>
        <w:t>1.本通知单一式三份，承包商执一份，业主执两份，由业主在合同执行过程中发现问题时填写；</w:t>
      </w:r>
    </w:p>
    <w:p>
      <w:pPr>
        <w:spacing w:before="0" w:after="0" w:afterAutospacing="0" w:line="240" w:lineRule="exact"/>
        <w:ind w:left="-619" w:leftChars="-295" w:right="-779" w:rightChars="-371" w:firstLine="540" w:firstLineChars="300"/>
        <w:jc w:val="left"/>
        <w:rPr>
          <w:rFonts w:ascii="宋体" w:hAnsi="宋体" w:cs="Times New Roman"/>
          <w:color w:val="auto"/>
          <w:kern w:val="2"/>
          <w:sz w:val="18"/>
          <w:szCs w:val="18"/>
        </w:rPr>
      </w:pPr>
      <w:r>
        <w:rPr>
          <w:rFonts w:ascii="宋体" w:hAnsi="宋体" w:cs="Times New Roman"/>
          <w:color w:val="auto"/>
          <w:kern w:val="2"/>
          <w:sz w:val="18"/>
          <w:szCs w:val="18"/>
        </w:rPr>
        <w:t>2.承包商若对本次违约处理有意见，须在《违约处理通知单》送达后2个工作日内向项目主办部门提交正式申诉材料提出申诉，否则视为接受违约处理意见，项目主办部门在收到申诉材料后须在5个工作日给予回复；</w:t>
      </w:r>
    </w:p>
    <w:p>
      <w:pPr>
        <w:spacing w:before="0" w:after="0" w:afterAutospacing="0" w:line="240" w:lineRule="exact"/>
        <w:ind w:left="-619" w:leftChars="-295" w:right="-779" w:rightChars="-371" w:firstLine="540" w:firstLineChars="300"/>
        <w:jc w:val="left"/>
        <w:rPr>
          <w:rFonts w:ascii="宋体" w:hAnsi="宋体" w:cs="Times New Roman"/>
          <w:color w:val="auto"/>
          <w:kern w:val="2"/>
          <w:sz w:val="18"/>
          <w:szCs w:val="18"/>
        </w:rPr>
      </w:pPr>
      <w:r>
        <w:rPr>
          <w:rFonts w:ascii="宋体" w:hAnsi="宋体" w:cs="Times New Roman"/>
          <w:color w:val="auto"/>
          <w:kern w:val="2"/>
          <w:sz w:val="18"/>
          <w:szCs w:val="18"/>
        </w:rPr>
        <w:t>3.《合同违约处理通知单》按照违约处理决定的金额和授权方案逐级签批或用印，不超过5000元由主办部门签批，5000（不含）-10000元分公司分管副总经理签批并用</w:t>
      </w:r>
      <w:r>
        <w:rPr>
          <w:rFonts w:hint="eastAsia" w:ascii="宋体" w:hAnsi="宋体" w:cs="Times New Roman"/>
          <w:color w:val="auto"/>
          <w:kern w:val="2"/>
          <w:sz w:val="18"/>
          <w:szCs w:val="18"/>
        </w:rPr>
        <w:t>运营公司</w:t>
      </w:r>
      <w:r>
        <w:rPr>
          <w:rFonts w:ascii="宋体" w:hAnsi="宋体" w:cs="Times New Roman"/>
          <w:color w:val="auto"/>
          <w:kern w:val="2"/>
          <w:sz w:val="18"/>
          <w:szCs w:val="18"/>
        </w:rPr>
        <w:t>印，10000元以上由分公司总经理签批并用</w:t>
      </w:r>
      <w:r>
        <w:rPr>
          <w:rFonts w:hint="eastAsia" w:ascii="宋体" w:hAnsi="宋体" w:cs="Times New Roman"/>
          <w:color w:val="auto"/>
          <w:kern w:val="2"/>
          <w:sz w:val="18"/>
          <w:szCs w:val="18"/>
        </w:rPr>
        <w:t>运营公司</w:t>
      </w:r>
      <w:r>
        <w:rPr>
          <w:rFonts w:ascii="宋体" w:hAnsi="宋体" w:cs="Times New Roman"/>
          <w:color w:val="auto"/>
          <w:kern w:val="2"/>
          <w:sz w:val="18"/>
          <w:szCs w:val="18"/>
        </w:rPr>
        <w:t>印；</w:t>
      </w:r>
    </w:p>
    <w:p>
      <w:pPr>
        <w:spacing w:before="0" w:after="0" w:afterAutospacing="0" w:line="240" w:lineRule="exact"/>
        <w:ind w:left="-619" w:leftChars="-295" w:right="-779" w:rightChars="-371" w:firstLine="540" w:firstLineChars="300"/>
        <w:jc w:val="left"/>
        <w:rPr>
          <w:rFonts w:ascii="Times New Roman" w:hAnsi="Times New Roman" w:cs="Times New Roman"/>
          <w:color w:val="auto"/>
          <w:kern w:val="2"/>
          <w:szCs w:val="20"/>
        </w:rPr>
      </w:pPr>
      <w:r>
        <w:rPr>
          <w:rFonts w:ascii="宋体" w:hAnsi="宋体" w:cs="Times New Roman"/>
          <w:color w:val="auto"/>
          <w:kern w:val="2"/>
          <w:sz w:val="18"/>
          <w:szCs w:val="18"/>
        </w:rPr>
        <w:t>4.本通知单自送达之日起生效。送达时间基准为:(1)直接送达以签收人签收时间为准；（2）留置送达以通知单送达指定地点时间为准（如出现拒签情况，以通知单送达指定地点时派送人现场照片或物流信息显示送达时间为准）；（3）电子送达以发送人发出通知单时间为准。</w:t>
      </w:r>
      <w:bookmarkEnd w:id="1414"/>
      <w:bookmarkEnd w:id="1415"/>
    </w:p>
    <w:p>
      <w:pPr>
        <w:pStyle w:val="59"/>
        <w:ind w:left="0" w:leftChars="0" w:firstLine="0" w:firstLineChars="0"/>
        <w:rPr>
          <w:color w:val="auto"/>
        </w:rPr>
      </w:pPr>
    </w:p>
    <w:p>
      <w:pPr>
        <w:pStyle w:val="14"/>
        <w:ind w:left="0" w:leftChars="0" w:firstLine="0" w:firstLineChars="0"/>
        <w:rPr>
          <w:rFonts w:eastAsia="仿宋"/>
          <w:color w:val="auto"/>
          <w:szCs w:val="21"/>
        </w:rPr>
      </w:pPr>
    </w:p>
    <w:p>
      <w:pPr>
        <w:snapToGrid w:val="0"/>
        <w:spacing w:before="0" w:after="0" w:afterAutospacing="0"/>
        <w:ind w:left="0" w:right="0" w:firstLine="0"/>
        <w:jc w:val="left"/>
        <w:rPr>
          <w:rFonts w:ascii="宋体" w:hAnsi="宋体"/>
          <w:b/>
          <w:color w:val="auto"/>
          <w:highlight w:val="none"/>
        </w:rPr>
      </w:pPr>
    </w:p>
    <w:sectPr>
      <w:headerReference r:id="rId8" w:type="default"/>
      <w:footerReference r:id="rId9" w:type="default"/>
      <w:pgSz w:w="11905" w:h="16838"/>
      <w:pgMar w:top="1418" w:right="1418" w:bottom="1304" w:left="1418" w:header="454" w:footer="56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0"/>
    <w:family w:val="auto"/>
    <w:pitch w:val="default"/>
    <w:sig w:usb0="00000000" w:usb1="00000000" w:usb2="00000000" w:usb3="00000000" w:csb0="8000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1848186"/>
    </w:sdtPr>
    <w:sdtContent>
      <w:sdt>
        <w:sdtPr>
          <w:id w:val="-1669238322"/>
        </w:sdtPr>
        <w:sdtContent>
          <w:p>
            <w:pPr>
              <w:pStyle w:val="18"/>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30</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62</w:t>
            </w:r>
            <w:r>
              <w:rPr>
                <w:b/>
                <w:bCs/>
                <w:sz w:val="24"/>
                <w:szCs w:val="24"/>
              </w:rPr>
              <w:fldChar w:fldCharType="end"/>
            </w:r>
          </w:p>
        </w:sdtContent>
      </w:sdt>
    </w:sdtContent>
  </w:sdt>
  <w:p>
    <w:pPr>
      <w:pStyle w:val="18"/>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ascii="Times New Roman" w:hAnsi="Times New Roman" w:eastAsia="宋体" w:cs="Times New Roman"/>
        <w:kern w:val="2"/>
        <w:sz w:val="18"/>
        <w:lang w:val="en-US" w:eastAsia="zh-CN" w:bidi="ar-SA"/>
      </w:rPr>
    </w:pPr>
    <w:r>
      <w:rPr>
        <w:rFonts w:ascii="Times New Roman" w:hAnsi="Times New Roman" w:eastAsia="宋体" w:cs="Times New Roman"/>
        <w:kern w:val="2"/>
        <w:sz w:val="18"/>
        <w:lang w:val="en-US" w:eastAsia="zh-CN" w:bidi="ar-SA"/>
      </w:rPr>
      <w:fldChar w:fldCharType="begin"/>
    </w:r>
    <w:r>
      <w:rPr>
        <w:rFonts w:ascii="Times New Roman" w:hAnsi="Times New Roman" w:eastAsia="宋体" w:cs="Times New Roman"/>
        <w:kern w:val="2"/>
        <w:sz w:val="18"/>
        <w:lang w:val="en-US" w:eastAsia="zh-CN" w:bidi="ar-SA"/>
      </w:rPr>
      <w:instrText xml:space="preserve"> PAGE   \* MERGEFORMAT </w:instrText>
    </w:r>
    <w:r>
      <w:rPr>
        <w:rFonts w:ascii="Times New Roman" w:hAnsi="Times New Roman" w:eastAsia="宋体" w:cs="Times New Roman"/>
        <w:kern w:val="2"/>
        <w:sz w:val="18"/>
        <w:lang w:val="en-US" w:eastAsia="zh-CN" w:bidi="ar-SA"/>
      </w:rPr>
      <w:fldChar w:fldCharType="separate"/>
    </w:r>
    <w:r>
      <w:rPr>
        <w:rFonts w:ascii="Times New Roman" w:hAnsi="Times New Roman" w:eastAsia="宋体" w:cs="Times New Roman"/>
        <w:kern w:val="2"/>
        <w:sz w:val="18"/>
        <w:lang w:val="zh-CN" w:eastAsia="zh-CN" w:bidi="ar-SA"/>
      </w:rPr>
      <w:t>1</w:t>
    </w:r>
    <w:r>
      <w:rPr>
        <w:rFonts w:ascii="Times New Roman" w:hAnsi="Times New Roman" w:eastAsia="宋体" w:cs="Times New Roman"/>
        <w:kern w:val="2"/>
        <w:sz w:val="18"/>
        <w:lang w:val="en-US" w:eastAsia="zh-CN" w:bidi="ar-SA"/>
      </w:rPr>
      <w:fldChar w:fldCharType="end"/>
    </w:r>
  </w:p>
  <w:p>
    <w:pPr>
      <w:snapToGrid w:val="0"/>
      <w:jc w:val="center"/>
      <w:rPr>
        <w:rFonts w:ascii="Times New Roman" w:hAnsi="Times New Roman" w:eastAsia="宋体" w:cs="Times New Roman"/>
        <w:kern w:val="2"/>
        <w:sz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ascii="Times New Roman" w:hAnsi="Times New Roman" w:eastAsia="宋体" w:cs="Times New Roman"/>
        <w:kern w:val="2"/>
        <w:sz w:val="18"/>
        <w:lang w:val="en-US" w:eastAsia="zh-CN" w:bidi="ar-SA"/>
      </w:rPr>
    </w:pPr>
    <w:r>
      <w:rPr>
        <w:rFonts w:ascii="Times New Roman" w:hAnsi="Times New Roman" w:eastAsia="宋体" w:cs="Times New Roman"/>
        <w:kern w:val="2"/>
        <w:sz w:val="18"/>
        <w:lang w:val="en-US" w:eastAsia="zh-CN" w:bidi="ar-SA"/>
      </w:rPr>
      <w:fldChar w:fldCharType="begin"/>
    </w:r>
    <w:r>
      <w:rPr>
        <w:rFonts w:ascii="Times New Roman" w:hAnsi="Times New Roman" w:eastAsia="宋体" w:cs="Times New Roman"/>
        <w:kern w:val="2"/>
        <w:sz w:val="18"/>
        <w:lang w:val="en-US" w:eastAsia="zh-CN" w:bidi="ar-SA"/>
      </w:rPr>
      <w:instrText xml:space="preserve"> PAGE   \* MERGEFORMAT </w:instrText>
    </w:r>
    <w:r>
      <w:rPr>
        <w:rFonts w:ascii="Times New Roman" w:hAnsi="Times New Roman" w:eastAsia="宋体" w:cs="Times New Roman"/>
        <w:kern w:val="2"/>
        <w:sz w:val="18"/>
        <w:lang w:val="en-US" w:eastAsia="zh-CN" w:bidi="ar-SA"/>
      </w:rPr>
      <w:fldChar w:fldCharType="separate"/>
    </w:r>
    <w:r>
      <w:rPr>
        <w:rFonts w:ascii="Times New Roman" w:hAnsi="Times New Roman" w:eastAsia="宋体" w:cs="Times New Roman"/>
        <w:kern w:val="2"/>
        <w:sz w:val="18"/>
        <w:lang w:val="zh-CN" w:eastAsia="zh-CN" w:bidi="ar-SA"/>
      </w:rPr>
      <w:t>4</w:t>
    </w:r>
    <w:r>
      <w:rPr>
        <w:rFonts w:ascii="Times New Roman" w:hAnsi="Times New Roman" w:eastAsia="宋体" w:cs="Times New Roman"/>
        <w:kern w:val="2"/>
        <w:sz w:val="18"/>
        <w:lang w:val="en-US" w:eastAsia="zh-CN" w:bidi="ar-SA"/>
      </w:rPr>
      <w:fldChar w:fldCharType="end"/>
    </w:r>
  </w:p>
  <w:p>
    <w:pPr>
      <w:snapToGrid w:val="0"/>
      <w:jc w:val="center"/>
      <w:rPr>
        <w:rFonts w:hint="eastAsia" w:ascii="Times New Roman" w:hAnsi="Times New Roman" w:eastAsia="宋体" w:cs="Times New Roman"/>
        <w:kern w:val="2"/>
        <w:sz w:val="18"/>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ascii="Times New Roman" w:hAnsi="Times New Roman" w:eastAsia="宋体" w:cs="Times New Roman"/>
        <w:kern w:val="2"/>
        <w:sz w:val="18"/>
        <w:lang w:val="en-US" w:eastAsia="zh-CN" w:bidi="ar-SA"/>
      </w:rPr>
    </w:pPr>
    <w:r>
      <w:rPr>
        <w:rFonts w:ascii="Times New Roman" w:hAnsi="Times New Roman" w:eastAsia="宋体" w:cs="Times New Roman"/>
        <w:kern w:val="2"/>
        <w:sz w:val="18"/>
        <w:lang w:val="en-US" w:eastAsia="zh-CN" w:bidi="ar-SA"/>
      </w:rPr>
      <w:fldChar w:fldCharType="begin"/>
    </w:r>
    <w:r>
      <w:rPr>
        <w:rFonts w:ascii="Times New Roman" w:hAnsi="Times New Roman" w:eastAsia="宋体" w:cs="Times New Roman"/>
        <w:kern w:val="2"/>
        <w:sz w:val="18"/>
        <w:lang w:val="en-US" w:eastAsia="zh-CN" w:bidi="ar-SA"/>
      </w:rPr>
      <w:instrText xml:space="preserve"> PAGE   \* MERGEFORMAT </w:instrText>
    </w:r>
    <w:r>
      <w:rPr>
        <w:rFonts w:ascii="Times New Roman" w:hAnsi="Times New Roman" w:eastAsia="宋体" w:cs="Times New Roman"/>
        <w:kern w:val="2"/>
        <w:sz w:val="18"/>
        <w:lang w:val="en-US" w:eastAsia="zh-CN" w:bidi="ar-SA"/>
      </w:rPr>
      <w:fldChar w:fldCharType="separate"/>
    </w:r>
    <w:r>
      <w:rPr>
        <w:rFonts w:ascii="Times New Roman" w:hAnsi="Times New Roman" w:eastAsia="宋体" w:cs="Times New Roman"/>
        <w:kern w:val="2"/>
        <w:sz w:val="18"/>
        <w:lang w:val="zh-CN" w:eastAsia="zh-CN" w:bidi="ar-SA"/>
      </w:rPr>
      <w:t>11</w:t>
    </w:r>
    <w:r>
      <w:rPr>
        <w:rFonts w:ascii="Times New Roman" w:hAnsi="Times New Roman" w:eastAsia="宋体" w:cs="Times New Roman"/>
        <w:kern w:val="2"/>
        <w:sz w:val="18"/>
        <w:lang w:val="en-US" w:eastAsia="zh-CN" w:bidi="ar-SA"/>
      </w:rPr>
      <w:fldChar w:fldCharType="end"/>
    </w:r>
  </w:p>
  <w:p>
    <w:pPr>
      <w:snapToGrid w:val="0"/>
      <w:jc w:val="center"/>
      <w:rPr>
        <w:rFonts w:hint="eastAsia" w:ascii="Times New Roman" w:hAnsi="Times New Roman" w:eastAsia="宋体" w:cs="Times New Roman"/>
        <w:kern w:val="2"/>
        <w:sz w:val="18"/>
        <w:lang w:val="en-US" w:eastAsia="zh-CN" w:bidi="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11</w:t>
    </w:r>
    <w:r>
      <w:fldChar w:fldCharType="end"/>
    </w:r>
  </w:p>
  <w:p>
    <w:pPr>
      <w:pStyle w:val="18"/>
      <w:jc w:val="center"/>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tabs>
        <w:tab w:val="left" w:pos="2847"/>
        <w:tab w:val="left" w:pos="3510"/>
        <w:tab w:val="left" w:pos="4002"/>
        <w:tab w:val="clear" w:pos="4153"/>
        <w:tab w:val="clear" w:pos="8306"/>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C4E71E"/>
    <w:multiLevelType w:val="multilevel"/>
    <w:tmpl w:val="84C4E71E"/>
    <w:lvl w:ilvl="0" w:tentative="0">
      <w:start w:val="1"/>
      <w:numFmt w:val="chineseCountingThousand"/>
      <w:suff w:val="space"/>
      <w:lvlText w:val="第%1章"/>
      <w:lvlJc w:val="left"/>
      <w:pPr>
        <w:ind w:left="0" w:firstLine="0"/>
      </w:pPr>
      <w:rPr>
        <w:rFonts w:hint="eastAsia" w:ascii="宋体" w:hAnsi="宋体" w:eastAsia="宋体"/>
        <w:b/>
        <w:i w:val="0"/>
        <w:color w:val="auto"/>
        <w:sz w:val="32"/>
        <w:szCs w:val="32"/>
        <w:u w:val="none"/>
        <w:lang w:val="en-US"/>
      </w:rPr>
    </w:lvl>
    <w:lvl w:ilvl="1" w:tentative="0">
      <w:start w:val="1"/>
      <w:numFmt w:val="decimal"/>
      <w:isLgl/>
      <w:suff w:val="space"/>
      <w:lvlText w:val="%1.%2"/>
      <w:lvlJc w:val="left"/>
      <w:pPr>
        <w:ind w:left="0" w:firstLine="0"/>
      </w:pPr>
      <w:rPr>
        <w:rFonts w:hint="eastAsia"/>
      </w:rPr>
    </w:lvl>
    <w:lvl w:ilvl="2" w:tentative="0">
      <w:start w:val="1"/>
      <w:numFmt w:val="decimal"/>
      <w:isLgl/>
      <w:suff w:val="space"/>
      <w:lvlText w:val="%1.%2.%3"/>
      <w:lvlJc w:val="left"/>
      <w:pPr>
        <w:tabs>
          <w:tab w:val="left" w:pos="0"/>
        </w:tabs>
        <w:ind w:left="0" w:firstLine="0"/>
      </w:pPr>
      <w:rPr>
        <w:rFonts w:hint="eastAsia" w:ascii="Times New Roman" w:hAnsi="Times New Roman" w:cs="Arial"/>
      </w:rPr>
    </w:lvl>
    <w:lvl w:ilvl="3" w:tentative="0">
      <w:start w:val="1"/>
      <w:numFmt w:val="decimal"/>
      <w:isLgl/>
      <w:suff w:val="space"/>
      <w:lvlText w:val="%1.%2.%3.%4"/>
      <w:lvlJc w:val="left"/>
      <w:pPr>
        <w:ind w:left="0" w:firstLine="0"/>
      </w:pPr>
      <w:rPr>
        <w:rFonts w:hint="eastAsia"/>
      </w:rPr>
    </w:lvl>
    <w:lvl w:ilvl="4" w:tentative="0">
      <w:start w:val="1"/>
      <w:numFmt w:val="decimal"/>
      <w:isLgl/>
      <w:suff w:val="space"/>
      <w:lvlText w:val="%1.%2.%3.%4.%5"/>
      <w:lvlJc w:val="left"/>
      <w:pPr>
        <w:ind w:left="0" w:firstLine="0"/>
      </w:pPr>
      <w:rPr>
        <w:rFonts w:hint="eastAsia" w:ascii="Arial" w:hAnsi="Arial" w:cs="Arial"/>
      </w:rPr>
    </w:lvl>
    <w:lvl w:ilvl="5" w:tentative="0">
      <w:start w:val="1"/>
      <w:numFmt w:val="decimal"/>
      <w:isLgl/>
      <w:suff w:val="space"/>
      <w:lvlText w:val="%1.%2.%3.%4.%5.%6"/>
      <w:lvlJc w:val="left"/>
      <w:pPr>
        <w:ind w:left="-283" w:firstLine="0"/>
      </w:pPr>
      <w:rPr>
        <w:rFonts w:hint="eastAsia" w:ascii="Arial" w:hAnsi="Arial" w:eastAsia="宋体"/>
        <w:b w:val="0"/>
        <w:i w:val="0"/>
        <w:sz w:val="21"/>
      </w:rPr>
    </w:lvl>
    <w:lvl w:ilvl="6" w:tentative="0">
      <w:start w:val="1"/>
      <w:numFmt w:val="decimal"/>
      <w:lvlText w:val="%1.%2.%3．%4.%5.%6.%7."/>
      <w:lvlJc w:val="left"/>
      <w:pPr>
        <w:tabs>
          <w:tab w:val="left" w:pos="1517"/>
        </w:tabs>
        <w:ind w:left="1517" w:hanging="1800"/>
      </w:pPr>
      <w:rPr>
        <w:rFonts w:hint="eastAsia"/>
      </w:rPr>
    </w:lvl>
    <w:lvl w:ilvl="7" w:tentative="0">
      <w:start w:val="1"/>
      <w:numFmt w:val="decimal"/>
      <w:lvlText w:val="%1.%2.%3．%4.%5.%6.%7.%8."/>
      <w:lvlJc w:val="left"/>
      <w:pPr>
        <w:tabs>
          <w:tab w:val="left" w:pos="1517"/>
        </w:tabs>
        <w:ind w:left="1517" w:hanging="1800"/>
      </w:pPr>
      <w:rPr>
        <w:rFonts w:hint="eastAsia"/>
      </w:rPr>
    </w:lvl>
    <w:lvl w:ilvl="8" w:tentative="0">
      <w:start w:val="1"/>
      <w:numFmt w:val="decimal"/>
      <w:lvlText w:val="%1.%2.%3．%4.%5.%6.%7.%8.%9."/>
      <w:lvlJc w:val="left"/>
      <w:pPr>
        <w:tabs>
          <w:tab w:val="left" w:pos="1877"/>
        </w:tabs>
        <w:ind w:left="1877" w:hanging="2160"/>
      </w:pPr>
      <w:rPr>
        <w:rFonts w:hint="eastAsia"/>
      </w:rPr>
    </w:lvl>
  </w:abstractNum>
  <w:abstractNum w:abstractNumId="1">
    <w:nsid w:val="862DB5E3"/>
    <w:multiLevelType w:val="singleLevel"/>
    <w:tmpl w:val="862DB5E3"/>
    <w:lvl w:ilvl="0" w:tentative="0">
      <w:start w:val="1"/>
      <w:numFmt w:val="decimal"/>
      <w:suff w:val="space"/>
      <w:lvlText w:val="%1."/>
      <w:lvlJc w:val="left"/>
    </w:lvl>
  </w:abstractNum>
  <w:abstractNum w:abstractNumId="2">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3">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72160ED1"/>
    <w:multiLevelType w:val="multilevel"/>
    <w:tmpl w:val="72160ED1"/>
    <w:lvl w:ilvl="0" w:tentative="0">
      <w:start w:val="1"/>
      <w:numFmt w:val="decimal"/>
      <w:lvlText w:val="%1"/>
      <w:lvlJc w:val="left"/>
      <w:pPr>
        <w:ind w:left="432" w:hanging="432"/>
      </w:pPr>
      <w:rPr>
        <w:rFonts w:hint="default" w:ascii="宋体" w:hAnsi="宋体" w:eastAsia="宋体"/>
      </w:rPr>
    </w:lvl>
    <w:lvl w:ilvl="1" w:tentative="0">
      <w:start w:val="1"/>
      <w:numFmt w:val="decimal"/>
      <w:suff w:val="space"/>
      <w:lvlText w:val="%1.%2"/>
      <w:lvlJc w:val="left"/>
      <w:pPr>
        <w:ind w:left="573" w:hanging="573"/>
      </w:pPr>
      <w:rPr>
        <w:rFonts w:hint="default" w:ascii="宋体" w:hAnsi="宋体" w:eastAsia="宋体" w:cs="宋体"/>
        <w:sz w:val="24"/>
        <w:szCs w:val="18"/>
      </w:rPr>
    </w:lvl>
    <w:lvl w:ilvl="2" w:tentative="0">
      <w:start w:val="1"/>
      <w:numFmt w:val="decimal"/>
      <w:lvlText w:val="%1.%2.%3"/>
      <w:lvlJc w:val="left"/>
      <w:pPr>
        <w:ind w:left="720" w:hanging="720"/>
      </w:pPr>
      <w:rPr>
        <w:rFonts w:hint="default" w:ascii="宋体" w:hAnsi="宋体" w:eastAsia="宋体" w:cs="宋体"/>
        <w:b w:val="0"/>
        <w:bCs/>
        <w:sz w:val="21"/>
        <w:szCs w:val="16"/>
      </w:rPr>
    </w:lvl>
    <w:lvl w:ilvl="3" w:tentative="0">
      <w:start w:val="1"/>
      <w:numFmt w:val="decimal"/>
      <w:lvlText w:val="%1.2.1.%4"/>
      <w:lvlJc w:val="left"/>
      <w:pPr>
        <w:ind w:left="907" w:hanging="907"/>
      </w:pPr>
      <w:rPr>
        <w:rFonts w:hint="eastAsia" w:ascii="宋体" w:eastAsia="宋体"/>
        <w:b w:val="0"/>
        <w:i w:val="0"/>
        <w:sz w:val="21"/>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7">
    <w:nsid w:val="76B5E588"/>
    <w:multiLevelType w:val="singleLevel"/>
    <w:tmpl w:val="76B5E588"/>
    <w:lvl w:ilvl="0" w:tentative="0">
      <w:start w:val="1"/>
      <w:numFmt w:val="decimal"/>
      <w:lvlText w:val="%1."/>
      <w:lvlJc w:val="left"/>
      <w:pPr>
        <w:tabs>
          <w:tab w:val="left" w:pos="312"/>
        </w:tabs>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5"/>
  </w:num>
  <w:num w:numId="6">
    <w:abstractNumId w:val="7"/>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mMTNhNjZhNDNiM2MwZjI5N2IyMDRmMzRhZmRhYmYifQ=="/>
  </w:docVars>
  <w:rsids>
    <w:rsidRoot w:val="00BA3124"/>
    <w:rsid w:val="000000F2"/>
    <w:rsid w:val="00000139"/>
    <w:rsid w:val="00003CE2"/>
    <w:rsid w:val="000045EA"/>
    <w:rsid w:val="00007C3F"/>
    <w:rsid w:val="000143B4"/>
    <w:rsid w:val="000156A5"/>
    <w:rsid w:val="00015B06"/>
    <w:rsid w:val="00022F88"/>
    <w:rsid w:val="00030F30"/>
    <w:rsid w:val="0003642A"/>
    <w:rsid w:val="000437E6"/>
    <w:rsid w:val="00043E88"/>
    <w:rsid w:val="00050898"/>
    <w:rsid w:val="0005200D"/>
    <w:rsid w:val="000674D5"/>
    <w:rsid w:val="00070470"/>
    <w:rsid w:val="00074337"/>
    <w:rsid w:val="00076CEF"/>
    <w:rsid w:val="0008222E"/>
    <w:rsid w:val="00092270"/>
    <w:rsid w:val="0009493E"/>
    <w:rsid w:val="00095B78"/>
    <w:rsid w:val="000A0870"/>
    <w:rsid w:val="000A167C"/>
    <w:rsid w:val="000A1767"/>
    <w:rsid w:val="000A49C9"/>
    <w:rsid w:val="000B34C7"/>
    <w:rsid w:val="000B5BA2"/>
    <w:rsid w:val="000C1668"/>
    <w:rsid w:val="000C1D2F"/>
    <w:rsid w:val="000C20C1"/>
    <w:rsid w:val="000C32A2"/>
    <w:rsid w:val="000C4529"/>
    <w:rsid w:val="000C53FF"/>
    <w:rsid w:val="000C56A1"/>
    <w:rsid w:val="000C61D1"/>
    <w:rsid w:val="000C68D6"/>
    <w:rsid w:val="000D2B9F"/>
    <w:rsid w:val="000D3045"/>
    <w:rsid w:val="000E072A"/>
    <w:rsid w:val="000E3B0A"/>
    <w:rsid w:val="000E7DA5"/>
    <w:rsid w:val="000F56F5"/>
    <w:rsid w:val="000F5E28"/>
    <w:rsid w:val="000F6EB3"/>
    <w:rsid w:val="00100517"/>
    <w:rsid w:val="00100EE1"/>
    <w:rsid w:val="0011106B"/>
    <w:rsid w:val="0011296C"/>
    <w:rsid w:val="001147FC"/>
    <w:rsid w:val="001207B4"/>
    <w:rsid w:val="00126FBA"/>
    <w:rsid w:val="001315CE"/>
    <w:rsid w:val="00133A8C"/>
    <w:rsid w:val="001345CE"/>
    <w:rsid w:val="00135B62"/>
    <w:rsid w:val="00135C49"/>
    <w:rsid w:val="00136FF6"/>
    <w:rsid w:val="00141670"/>
    <w:rsid w:val="001445DC"/>
    <w:rsid w:val="001520D4"/>
    <w:rsid w:val="0015296D"/>
    <w:rsid w:val="00155FD4"/>
    <w:rsid w:val="0017175E"/>
    <w:rsid w:val="00180594"/>
    <w:rsid w:val="00183519"/>
    <w:rsid w:val="00186A28"/>
    <w:rsid w:val="001A37D3"/>
    <w:rsid w:val="001A3FCA"/>
    <w:rsid w:val="001A4AD0"/>
    <w:rsid w:val="001B0893"/>
    <w:rsid w:val="001C0C50"/>
    <w:rsid w:val="001E0D82"/>
    <w:rsid w:val="001E0D93"/>
    <w:rsid w:val="001E5985"/>
    <w:rsid w:val="001E5F4A"/>
    <w:rsid w:val="002041A6"/>
    <w:rsid w:val="002065F4"/>
    <w:rsid w:val="00206D2E"/>
    <w:rsid w:val="00210D44"/>
    <w:rsid w:val="00212AF9"/>
    <w:rsid w:val="00226768"/>
    <w:rsid w:val="00226771"/>
    <w:rsid w:val="00226B2E"/>
    <w:rsid w:val="00226D0E"/>
    <w:rsid w:val="00227511"/>
    <w:rsid w:val="00237A98"/>
    <w:rsid w:val="0024287B"/>
    <w:rsid w:val="002441F7"/>
    <w:rsid w:val="0024741B"/>
    <w:rsid w:val="00250465"/>
    <w:rsid w:val="00261C93"/>
    <w:rsid w:val="00265564"/>
    <w:rsid w:val="00272F80"/>
    <w:rsid w:val="0027764C"/>
    <w:rsid w:val="00280E7F"/>
    <w:rsid w:val="0028366D"/>
    <w:rsid w:val="002A20A0"/>
    <w:rsid w:val="002A7A9A"/>
    <w:rsid w:val="002B1394"/>
    <w:rsid w:val="002C556E"/>
    <w:rsid w:val="002C5B0F"/>
    <w:rsid w:val="002D23D9"/>
    <w:rsid w:val="002D2720"/>
    <w:rsid w:val="002D2931"/>
    <w:rsid w:val="002D6A78"/>
    <w:rsid w:val="002D6D0E"/>
    <w:rsid w:val="002E190D"/>
    <w:rsid w:val="002E6BE3"/>
    <w:rsid w:val="003149DC"/>
    <w:rsid w:val="003166B6"/>
    <w:rsid w:val="00316E03"/>
    <w:rsid w:val="003207F4"/>
    <w:rsid w:val="00320BB7"/>
    <w:rsid w:val="00330D78"/>
    <w:rsid w:val="003354EE"/>
    <w:rsid w:val="00337C6A"/>
    <w:rsid w:val="003464E7"/>
    <w:rsid w:val="0035146B"/>
    <w:rsid w:val="00353318"/>
    <w:rsid w:val="00354E36"/>
    <w:rsid w:val="003568E4"/>
    <w:rsid w:val="00361313"/>
    <w:rsid w:val="003632A7"/>
    <w:rsid w:val="0036732D"/>
    <w:rsid w:val="003706A5"/>
    <w:rsid w:val="003712A4"/>
    <w:rsid w:val="003756AE"/>
    <w:rsid w:val="00383573"/>
    <w:rsid w:val="00393EBC"/>
    <w:rsid w:val="00395A23"/>
    <w:rsid w:val="003976F0"/>
    <w:rsid w:val="003A0C71"/>
    <w:rsid w:val="003A170B"/>
    <w:rsid w:val="003A286A"/>
    <w:rsid w:val="003A7F1A"/>
    <w:rsid w:val="003B097F"/>
    <w:rsid w:val="003B2656"/>
    <w:rsid w:val="003B3099"/>
    <w:rsid w:val="003B43D3"/>
    <w:rsid w:val="003B6BE9"/>
    <w:rsid w:val="003C312A"/>
    <w:rsid w:val="003C4653"/>
    <w:rsid w:val="003D0506"/>
    <w:rsid w:val="003D3A75"/>
    <w:rsid w:val="003D6118"/>
    <w:rsid w:val="003E454F"/>
    <w:rsid w:val="003E6DFB"/>
    <w:rsid w:val="003F2270"/>
    <w:rsid w:val="003F672B"/>
    <w:rsid w:val="003F746F"/>
    <w:rsid w:val="0040286B"/>
    <w:rsid w:val="004043A2"/>
    <w:rsid w:val="004117BD"/>
    <w:rsid w:val="00412A48"/>
    <w:rsid w:val="00414B71"/>
    <w:rsid w:val="00417574"/>
    <w:rsid w:val="004215F1"/>
    <w:rsid w:val="0042215D"/>
    <w:rsid w:val="0043285C"/>
    <w:rsid w:val="00436E82"/>
    <w:rsid w:val="00440133"/>
    <w:rsid w:val="00440F9A"/>
    <w:rsid w:val="00443ADE"/>
    <w:rsid w:val="0044418D"/>
    <w:rsid w:val="004518D2"/>
    <w:rsid w:val="0045479E"/>
    <w:rsid w:val="004632AA"/>
    <w:rsid w:val="0046375D"/>
    <w:rsid w:val="00476FBE"/>
    <w:rsid w:val="00483264"/>
    <w:rsid w:val="004A0C16"/>
    <w:rsid w:val="004A0D30"/>
    <w:rsid w:val="004B1E96"/>
    <w:rsid w:val="004B508D"/>
    <w:rsid w:val="004B62C0"/>
    <w:rsid w:val="004B6350"/>
    <w:rsid w:val="004B6F1C"/>
    <w:rsid w:val="004C09AF"/>
    <w:rsid w:val="004C7017"/>
    <w:rsid w:val="004D03B0"/>
    <w:rsid w:val="004D1018"/>
    <w:rsid w:val="004D449E"/>
    <w:rsid w:val="004D4C3A"/>
    <w:rsid w:val="004E12DE"/>
    <w:rsid w:val="004F6E95"/>
    <w:rsid w:val="00500C4A"/>
    <w:rsid w:val="00505261"/>
    <w:rsid w:val="00510E4D"/>
    <w:rsid w:val="00512701"/>
    <w:rsid w:val="00512A45"/>
    <w:rsid w:val="00516B22"/>
    <w:rsid w:val="0052634A"/>
    <w:rsid w:val="00532363"/>
    <w:rsid w:val="00541401"/>
    <w:rsid w:val="005418DB"/>
    <w:rsid w:val="0054269C"/>
    <w:rsid w:val="005448AD"/>
    <w:rsid w:val="00545844"/>
    <w:rsid w:val="00562190"/>
    <w:rsid w:val="00562E44"/>
    <w:rsid w:val="005648F8"/>
    <w:rsid w:val="00564C20"/>
    <w:rsid w:val="00571D43"/>
    <w:rsid w:val="00574C3B"/>
    <w:rsid w:val="00575AB8"/>
    <w:rsid w:val="0057690D"/>
    <w:rsid w:val="00583A7E"/>
    <w:rsid w:val="00587B70"/>
    <w:rsid w:val="005934F7"/>
    <w:rsid w:val="005A1A6A"/>
    <w:rsid w:val="005A2E67"/>
    <w:rsid w:val="005A5B47"/>
    <w:rsid w:val="005B01E0"/>
    <w:rsid w:val="005B2E43"/>
    <w:rsid w:val="005B439E"/>
    <w:rsid w:val="005C0AA6"/>
    <w:rsid w:val="005C5B0E"/>
    <w:rsid w:val="005D0BB2"/>
    <w:rsid w:val="005D30DE"/>
    <w:rsid w:val="005E5912"/>
    <w:rsid w:val="005F2A05"/>
    <w:rsid w:val="005F2C46"/>
    <w:rsid w:val="005F5B89"/>
    <w:rsid w:val="00606397"/>
    <w:rsid w:val="006173A4"/>
    <w:rsid w:val="0061752B"/>
    <w:rsid w:val="00622520"/>
    <w:rsid w:val="00622A7C"/>
    <w:rsid w:val="006279E7"/>
    <w:rsid w:val="00634596"/>
    <w:rsid w:val="006425FA"/>
    <w:rsid w:val="00642B95"/>
    <w:rsid w:val="00647559"/>
    <w:rsid w:val="006523EB"/>
    <w:rsid w:val="00653C14"/>
    <w:rsid w:val="0065460D"/>
    <w:rsid w:val="0065720F"/>
    <w:rsid w:val="0066001D"/>
    <w:rsid w:val="0066558F"/>
    <w:rsid w:val="006679DC"/>
    <w:rsid w:val="00670400"/>
    <w:rsid w:val="006724B7"/>
    <w:rsid w:val="00672716"/>
    <w:rsid w:val="00672F69"/>
    <w:rsid w:val="00677925"/>
    <w:rsid w:val="00677A8A"/>
    <w:rsid w:val="006922EC"/>
    <w:rsid w:val="00695EDE"/>
    <w:rsid w:val="00697D33"/>
    <w:rsid w:val="006A0C9A"/>
    <w:rsid w:val="006A23E9"/>
    <w:rsid w:val="006A2F07"/>
    <w:rsid w:val="006A4D72"/>
    <w:rsid w:val="006A543A"/>
    <w:rsid w:val="006B6F3C"/>
    <w:rsid w:val="006C2D0C"/>
    <w:rsid w:val="006C4DC3"/>
    <w:rsid w:val="006C77CD"/>
    <w:rsid w:val="006E1C8A"/>
    <w:rsid w:val="006E692B"/>
    <w:rsid w:val="006F48AD"/>
    <w:rsid w:val="006F56A7"/>
    <w:rsid w:val="006F629E"/>
    <w:rsid w:val="007032FC"/>
    <w:rsid w:val="00703D29"/>
    <w:rsid w:val="00703F0B"/>
    <w:rsid w:val="007076B1"/>
    <w:rsid w:val="0071330B"/>
    <w:rsid w:val="00722F66"/>
    <w:rsid w:val="00722FCE"/>
    <w:rsid w:val="007258A2"/>
    <w:rsid w:val="00733600"/>
    <w:rsid w:val="007339A9"/>
    <w:rsid w:val="00733AB7"/>
    <w:rsid w:val="007345D7"/>
    <w:rsid w:val="00735BD4"/>
    <w:rsid w:val="00737A61"/>
    <w:rsid w:val="00741B8D"/>
    <w:rsid w:val="00745B90"/>
    <w:rsid w:val="00746901"/>
    <w:rsid w:val="00750C92"/>
    <w:rsid w:val="00751CDD"/>
    <w:rsid w:val="00753178"/>
    <w:rsid w:val="00754FB0"/>
    <w:rsid w:val="00756CAA"/>
    <w:rsid w:val="00762CB8"/>
    <w:rsid w:val="0077088A"/>
    <w:rsid w:val="00771B6D"/>
    <w:rsid w:val="00785F88"/>
    <w:rsid w:val="00786B37"/>
    <w:rsid w:val="00790C82"/>
    <w:rsid w:val="00792362"/>
    <w:rsid w:val="007954E0"/>
    <w:rsid w:val="007A04DC"/>
    <w:rsid w:val="007A287A"/>
    <w:rsid w:val="007A2EB0"/>
    <w:rsid w:val="007A4490"/>
    <w:rsid w:val="007B04FF"/>
    <w:rsid w:val="007B1635"/>
    <w:rsid w:val="007B6DA0"/>
    <w:rsid w:val="007C15ED"/>
    <w:rsid w:val="007C19AE"/>
    <w:rsid w:val="007C283D"/>
    <w:rsid w:val="007C2CCC"/>
    <w:rsid w:val="007C337F"/>
    <w:rsid w:val="007D0888"/>
    <w:rsid w:val="007D2FAE"/>
    <w:rsid w:val="007D399D"/>
    <w:rsid w:val="007D59AF"/>
    <w:rsid w:val="007D7DEB"/>
    <w:rsid w:val="007F0619"/>
    <w:rsid w:val="007F28DB"/>
    <w:rsid w:val="007F4345"/>
    <w:rsid w:val="00803C1E"/>
    <w:rsid w:val="00804954"/>
    <w:rsid w:val="00810B98"/>
    <w:rsid w:val="0081164E"/>
    <w:rsid w:val="00816129"/>
    <w:rsid w:val="008177BD"/>
    <w:rsid w:val="00824189"/>
    <w:rsid w:val="008252F0"/>
    <w:rsid w:val="00826EBD"/>
    <w:rsid w:val="0083668C"/>
    <w:rsid w:val="00840E0D"/>
    <w:rsid w:val="008461E9"/>
    <w:rsid w:val="008475AA"/>
    <w:rsid w:val="00847E90"/>
    <w:rsid w:val="00856873"/>
    <w:rsid w:val="00856E35"/>
    <w:rsid w:val="0086037E"/>
    <w:rsid w:val="00860F02"/>
    <w:rsid w:val="00861912"/>
    <w:rsid w:val="008657A4"/>
    <w:rsid w:val="00865FB6"/>
    <w:rsid w:val="0086730C"/>
    <w:rsid w:val="0088026D"/>
    <w:rsid w:val="00881EB7"/>
    <w:rsid w:val="00884884"/>
    <w:rsid w:val="0088570D"/>
    <w:rsid w:val="00887902"/>
    <w:rsid w:val="00891420"/>
    <w:rsid w:val="00895FBB"/>
    <w:rsid w:val="008A0C18"/>
    <w:rsid w:val="008A1E1B"/>
    <w:rsid w:val="008A31FC"/>
    <w:rsid w:val="008B0302"/>
    <w:rsid w:val="008B224C"/>
    <w:rsid w:val="008C2226"/>
    <w:rsid w:val="008C77F8"/>
    <w:rsid w:val="008D2976"/>
    <w:rsid w:val="008E500C"/>
    <w:rsid w:val="008F2A48"/>
    <w:rsid w:val="008F720F"/>
    <w:rsid w:val="00900496"/>
    <w:rsid w:val="009021F6"/>
    <w:rsid w:val="00902910"/>
    <w:rsid w:val="00904592"/>
    <w:rsid w:val="00906D34"/>
    <w:rsid w:val="009120C7"/>
    <w:rsid w:val="009123C5"/>
    <w:rsid w:val="00916179"/>
    <w:rsid w:val="00917615"/>
    <w:rsid w:val="00921A28"/>
    <w:rsid w:val="009236BA"/>
    <w:rsid w:val="00925337"/>
    <w:rsid w:val="00931174"/>
    <w:rsid w:val="00937B1F"/>
    <w:rsid w:val="0094110B"/>
    <w:rsid w:val="00944B82"/>
    <w:rsid w:val="00945006"/>
    <w:rsid w:val="00956B31"/>
    <w:rsid w:val="00956FA8"/>
    <w:rsid w:val="00957AA0"/>
    <w:rsid w:val="009604CB"/>
    <w:rsid w:val="00961F4A"/>
    <w:rsid w:val="00965538"/>
    <w:rsid w:val="0097464F"/>
    <w:rsid w:val="00984BFB"/>
    <w:rsid w:val="00991B49"/>
    <w:rsid w:val="00995A55"/>
    <w:rsid w:val="009A7B76"/>
    <w:rsid w:val="009B0988"/>
    <w:rsid w:val="009C5DF4"/>
    <w:rsid w:val="009D3453"/>
    <w:rsid w:val="009E1329"/>
    <w:rsid w:val="009E28E5"/>
    <w:rsid w:val="009E4CE3"/>
    <w:rsid w:val="009F214A"/>
    <w:rsid w:val="009F374F"/>
    <w:rsid w:val="009F588C"/>
    <w:rsid w:val="00A02C14"/>
    <w:rsid w:val="00A03373"/>
    <w:rsid w:val="00A05ECF"/>
    <w:rsid w:val="00A11C51"/>
    <w:rsid w:val="00A1337E"/>
    <w:rsid w:val="00A249A4"/>
    <w:rsid w:val="00A2528E"/>
    <w:rsid w:val="00A31A3F"/>
    <w:rsid w:val="00A34C49"/>
    <w:rsid w:val="00A461C1"/>
    <w:rsid w:val="00A535D7"/>
    <w:rsid w:val="00A54F86"/>
    <w:rsid w:val="00A63392"/>
    <w:rsid w:val="00A722C5"/>
    <w:rsid w:val="00A859DC"/>
    <w:rsid w:val="00A872DA"/>
    <w:rsid w:val="00A9122E"/>
    <w:rsid w:val="00A91F36"/>
    <w:rsid w:val="00A93A7F"/>
    <w:rsid w:val="00A975BC"/>
    <w:rsid w:val="00AA0FB3"/>
    <w:rsid w:val="00AB6B27"/>
    <w:rsid w:val="00AC5B3F"/>
    <w:rsid w:val="00AD6B25"/>
    <w:rsid w:val="00AD6ED0"/>
    <w:rsid w:val="00AE2C17"/>
    <w:rsid w:val="00AE5333"/>
    <w:rsid w:val="00AE6F3C"/>
    <w:rsid w:val="00AF196A"/>
    <w:rsid w:val="00AF54E1"/>
    <w:rsid w:val="00B00C09"/>
    <w:rsid w:val="00B04E81"/>
    <w:rsid w:val="00B12244"/>
    <w:rsid w:val="00B14E6B"/>
    <w:rsid w:val="00B16089"/>
    <w:rsid w:val="00B204D2"/>
    <w:rsid w:val="00B25BF3"/>
    <w:rsid w:val="00B266B6"/>
    <w:rsid w:val="00B31CA2"/>
    <w:rsid w:val="00B457D5"/>
    <w:rsid w:val="00B47764"/>
    <w:rsid w:val="00B4784E"/>
    <w:rsid w:val="00B52D63"/>
    <w:rsid w:val="00B62476"/>
    <w:rsid w:val="00B6303A"/>
    <w:rsid w:val="00B75E61"/>
    <w:rsid w:val="00B80D2F"/>
    <w:rsid w:val="00B82E58"/>
    <w:rsid w:val="00B863CD"/>
    <w:rsid w:val="00B90EB4"/>
    <w:rsid w:val="00B97802"/>
    <w:rsid w:val="00BA0E5D"/>
    <w:rsid w:val="00BA3124"/>
    <w:rsid w:val="00BA37AA"/>
    <w:rsid w:val="00BA55B3"/>
    <w:rsid w:val="00BB2B84"/>
    <w:rsid w:val="00BD389A"/>
    <w:rsid w:val="00BE2F9C"/>
    <w:rsid w:val="00BE3C13"/>
    <w:rsid w:val="00BF3812"/>
    <w:rsid w:val="00BF4099"/>
    <w:rsid w:val="00C07A4F"/>
    <w:rsid w:val="00C13489"/>
    <w:rsid w:val="00C244BA"/>
    <w:rsid w:val="00C254EC"/>
    <w:rsid w:val="00C25AD7"/>
    <w:rsid w:val="00C31620"/>
    <w:rsid w:val="00C3605A"/>
    <w:rsid w:val="00C4070E"/>
    <w:rsid w:val="00C421CD"/>
    <w:rsid w:val="00C45A1F"/>
    <w:rsid w:val="00C46538"/>
    <w:rsid w:val="00C46568"/>
    <w:rsid w:val="00C519A3"/>
    <w:rsid w:val="00C524FA"/>
    <w:rsid w:val="00C557E5"/>
    <w:rsid w:val="00C61DF1"/>
    <w:rsid w:val="00C636A8"/>
    <w:rsid w:val="00C649A3"/>
    <w:rsid w:val="00C64C38"/>
    <w:rsid w:val="00C64D53"/>
    <w:rsid w:val="00C716E6"/>
    <w:rsid w:val="00C7432E"/>
    <w:rsid w:val="00C76FE6"/>
    <w:rsid w:val="00C8124B"/>
    <w:rsid w:val="00C85D99"/>
    <w:rsid w:val="00C91765"/>
    <w:rsid w:val="00CA3F44"/>
    <w:rsid w:val="00CA4DB7"/>
    <w:rsid w:val="00CA4EDA"/>
    <w:rsid w:val="00CA6CAC"/>
    <w:rsid w:val="00CB3033"/>
    <w:rsid w:val="00CB3C9F"/>
    <w:rsid w:val="00CB5F47"/>
    <w:rsid w:val="00CC0FA9"/>
    <w:rsid w:val="00CC18DB"/>
    <w:rsid w:val="00CC1C15"/>
    <w:rsid w:val="00CC46A2"/>
    <w:rsid w:val="00CC5B47"/>
    <w:rsid w:val="00CC6D92"/>
    <w:rsid w:val="00CD04A5"/>
    <w:rsid w:val="00CD0CA9"/>
    <w:rsid w:val="00CD7D67"/>
    <w:rsid w:val="00CE01EF"/>
    <w:rsid w:val="00CF001A"/>
    <w:rsid w:val="00CF355D"/>
    <w:rsid w:val="00D0134F"/>
    <w:rsid w:val="00D0202D"/>
    <w:rsid w:val="00D14665"/>
    <w:rsid w:val="00D14E99"/>
    <w:rsid w:val="00D1571D"/>
    <w:rsid w:val="00D21E36"/>
    <w:rsid w:val="00D2321E"/>
    <w:rsid w:val="00D23492"/>
    <w:rsid w:val="00D26520"/>
    <w:rsid w:val="00D277F8"/>
    <w:rsid w:val="00D300DD"/>
    <w:rsid w:val="00D37B6A"/>
    <w:rsid w:val="00D44F13"/>
    <w:rsid w:val="00D479CD"/>
    <w:rsid w:val="00D55758"/>
    <w:rsid w:val="00D74E9C"/>
    <w:rsid w:val="00D829D0"/>
    <w:rsid w:val="00D841A1"/>
    <w:rsid w:val="00D84F11"/>
    <w:rsid w:val="00D92C17"/>
    <w:rsid w:val="00D930BB"/>
    <w:rsid w:val="00D932AD"/>
    <w:rsid w:val="00D93779"/>
    <w:rsid w:val="00D95A48"/>
    <w:rsid w:val="00D95A4C"/>
    <w:rsid w:val="00DA4D68"/>
    <w:rsid w:val="00DB181C"/>
    <w:rsid w:val="00DB2E0D"/>
    <w:rsid w:val="00DC7E00"/>
    <w:rsid w:val="00DE249D"/>
    <w:rsid w:val="00DE77B9"/>
    <w:rsid w:val="00E02431"/>
    <w:rsid w:val="00E03C51"/>
    <w:rsid w:val="00E11081"/>
    <w:rsid w:val="00E22781"/>
    <w:rsid w:val="00E255AC"/>
    <w:rsid w:val="00E26053"/>
    <w:rsid w:val="00E312D2"/>
    <w:rsid w:val="00E33009"/>
    <w:rsid w:val="00E3415B"/>
    <w:rsid w:val="00E42EAA"/>
    <w:rsid w:val="00E43660"/>
    <w:rsid w:val="00E449D8"/>
    <w:rsid w:val="00E45D74"/>
    <w:rsid w:val="00E51F99"/>
    <w:rsid w:val="00E52414"/>
    <w:rsid w:val="00E55177"/>
    <w:rsid w:val="00E57591"/>
    <w:rsid w:val="00E653F5"/>
    <w:rsid w:val="00E72F1F"/>
    <w:rsid w:val="00E763ED"/>
    <w:rsid w:val="00E86025"/>
    <w:rsid w:val="00E8709E"/>
    <w:rsid w:val="00E93BCC"/>
    <w:rsid w:val="00E9439E"/>
    <w:rsid w:val="00E96E54"/>
    <w:rsid w:val="00EA11E5"/>
    <w:rsid w:val="00EA1ED7"/>
    <w:rsid w:val="00EA49B9"/>
    <w:rsid w:val="00EA5C66"/>
    <w:rsid w:val="00EB0C24"/>
    <w:rsid w:val="00EC2D7B"/>
    <w:rsid w:val="00EC7653"/>
    <w:rsid w:val="00ED5241"/>
    <w:rsid w:val="00ED64CD"/>
    <w:rsid w:val="00ED7DBB"/>
    <w:rsid w:val="00EE5896"/>
    <w:rsid w:val="00EE6E83"/>
    <w:rsid w:val="00EF20F4"/>
    <w:rsid w:val="00EF2D43"/>
    <w:rsid w:val="00EF2D68"/>
    <w:rsid w:val="00EF5BD9"/>
    <w:rsid w:val="00EF6456"/>
    <w:rsid w:val="00F06631"/>
    <w:rsid w:val="00F115E5"/>
    <w:rsid w:val="00F121C0"/>
    <w:rsid w:val="00F1492D"/>
    <w:rsid w:val="00F2140E"/>
    <w:rsid w:val="00F275D0"/>
    <w:rsid w:val="00F331FE"/>
    <w:rsid w:val="00F344D6"/>
    <w:rsid w:val="00F35244"/>
    <w:rsid w:val="00F359C1"/>
    <w:rsid w:val="00F37250"/>
    <w:rsid w:val="00F3752A"/>
    <w:rsid w:val="00F40FBF"/>
    <w:rsid w:val="00F41ABA"/>
    <w:rsid w:val="00F43D41"/>
    <w:rsid w:val="00F502E0"/>
    <w:rsid w:val="00F52F5A"/>
    <w:rsid w:val="00F5512B"/>
    <w:rsid w:val="00F56501"/>
    <w:rsid w:val="00F57BAB"/>
    <w:rsid w:val="00F603CC"/>
    <w:rsid w:val="00F74EBD"/>
    <w:rsid w:val="00F82ADB"/>
    <w:rsid w:val="00F831B3"/>
    <w:rsid w:val="00F85E17"/>
    <w:rsid w:val="00F86B8B"/>
    <w:rsid w:val="00F8733F"/>
    <w:rsid w:val="00F94057"/>
    <w:rsid w:val="00F95B86"/>
    <w:rsid w:val="00FB3AAB"/>
    <w:rsid w:val="00FC02B4"/>
    <w:rsid w:val="00FD1370"/>
    <w:rsid w:val="00FD5F55"/>
    <w:rsid w:val="00FE3364"/>
    <w:rsid w:val="00FE4C53"/>
    <w:rsid w:val="00FE6711"/>
    <w:rsid w:val="00FF2D5E"/>
    <w:rsid w:val="00FF3FB5"/>
    <w:rsid w:val="00FF5A2F"/>
    <w:rsid w:val="00FF6546"/>
    <w:rsid w:val="01436469"/>
    <w:rsid w:val="01610D54"/>
    <w:rsid w:val="01C359C8"/>
    <w:rsid w:val="01C70C50"/>
    <w:rsid w:val="022E6257"/>
    <w:rsid w:val="02502671"/>
    <w:rsid w:val="026F162C"/>
    <w:rsid w:val="02FF4DC3"/>
    <w:rsid w:val="03105CDF"/>
    <w:rsid w:val="033A1494"/>
    <w:rsid w:val="03EE0C0F"/>
    <w:rsid w:val="03EF781B"/>
    <w:rsid w:val="0546609B"/>
    <w:rsid w:val="05540EFA"/>
    <w:rsid w:val="05566B00"/>
    <w:rsid w:val="057E12A3"/>
    <w:rsid w:val="061A6258"/>
    <w:rsid w:val="062B1D05"/>
    <w:rsid w:val="063D4CBA"/>
    <w:rsid w:val="064C5B75"/>
    <w:rsid w:val="064D67D9"/>
    <w:rsid w:val="065773B9"/>
    <w:rsid w:val="067278C7"/>
    <w:rsid w:val="06856C51"/>
    <w:rsid w:val="071316ED"/>
    <w:rsid w:val="07C6771F"/>
    <w:rsid w:val="085A1DAD"/>
    <w:rsid w:val="08655004"/>
    <w:rsid w:val="09FE59C9"/>
    <w:rsid w:val="0A1A0761"/>
    <w:rsid w:val="0A1D15EC"/>
    <w:rsid w:val="0A586566"/>
    <w:rsid w:val="0A5900DE"/>
    <w:rsid w:val="0ABA2DAB"/>
    <w:rsid w:val="0B013202"/>
    <w:rsid w:val="0B455FAC"/>
    <w:rsid w:val="0B8E671B"/>
    <w:rsid w:val="0C5B3B7E"/>
    <w:rsid w:val="0CE91379"/>
    <w:rsid w:val="0D433268"/>
    <w:rsid w:val="0D460BF6"/>
    <w:rsid w:val="0D7039AC"/>
    <w:rsid w:val="0DBE7591"/>
    <w:rsid w:val="0E2F1962"/>
    <w:rsid w:val="0E651252"/>
    <w:rsid w:val="0EDB6298"/>
    <w:rsid w:val="0F6A6EFB"/>
    <w:rsid w:val="100C507E"/>
    <w:rsid w:val="1051355E"/>
    <w:rsid w:val="10CA62D1"/>
    <w:rsid w:val="11AB73CC"/>
    <w:rsid w:val="126D4515"/>
    <w:rsid w:val="12FD7040"/>
    <w:rsid w:val="13730711"/>
    <w:rsid w:val="141D0140"/>
    <w:rsid w:val="142F43C4"/>
    <w:rsid w:val="143E1249"/>
    <w:rsid w:val="144E452D"/>
    <w:rsid w:val="146F2E2A"/>
    <w:rsid w:val="151B0D0F"/>
    <w:rsid w:val="15340BA5"/>
    <w:rsid w:val="15DC5577"/>
    <w:rsid w:val="15E72718"/>
    <w:rsid w:val="15F34E7D"/>
    <w:rsid w:val="16C60CFC"/>
    <w:rsid w:val="16CE0D3A"/>
    <w:rsid w:val="17BA314F"/>
    <w:rsid w:val="17D00132"/>
    <w:rsid w:val="180C6BE2"/>
    <w:rsid w:val="180D32C7"/>
    <w:rsid w:val="18D44814"/>
    <w:rsid w:val="190A1374"/>
    <w:rsid w:val="19877551"/>
    <w:rsid w:val="19B66BAA"/>
    <w:rsid w:val="19DA2FD2"/>
    <w:rsid w:val="19EE69CC"/>
    <w:rsid w:val="1B8D3872"/>
    <w:rsid w:val="1BCB46BE"/>
    <w:rsid w:val="1C166BA2"/>
    <w:rsid w:val="1CA90F88"/>
    <w:rsid w:val="1CC60853"/>
    <w:rsid w:val="1CDB0FD8"/>
    <w:rsid w:val="1D55200B"/>
    <w:rsid w:val="1D637DDE"/>
    <w:rsid w:val="1D680D79"/>
    <w:rsid w:val="1D9E675A"/>
    <w:rsid w:val="1DAF2F5B"/>
    <w:rsid w:val="1E353A55"/>
    <w:rsid w:val="1E932132"/>
    <w:rsid w:val="1F881244"/>
    <w:rsid w:val="1FBC47EF"/>
    <w:rsid w:val="20FE02A0"/>
    <w:rsid w:val="20FF46B4"/>
    <w:rsid w:val="215167CA"/>
    <w:rsid w:val="22E33E8B"/>
    <w:rsid w:val="2362246F"/>
    <w:rsid w:val="239D1533"/>
    <w:rsid w:val="23A42162"/>
    <w:rsid w:val="23EA6F56"/>
    <w:rsid w:val="24AF1DAE"/>
    <w:rsid w:val="24EB3585"/>
    <w:rsid w:val="250C57A8"/>
    <w:rsid w:val="25130617"/>
    <w:rsid w:val="25D3148A"/>
    <w:rsid w:val="265A4E30"/>
    <w:rsid w:val="26982A81"/>
    <w:rsid w:val="26E65E0D"/>
    <w:rsid w:val="27077A20"/>
    <w:rsid w:val="27391076"/>
    <w:rsid w:val="27463597"/>
    <w:rsid w:val="27557E64"/>
    <w:rsid w:val="27780568"/>
    <w:rsid w:val="27A66E22"/>
    <w:rsid w:val="27D96CA7"/>
    <w:rsid w:val="295A2F33"/>
    <w:rsid w:val="29830235"/>
    <w:rsid w:val="299B7DC6"/>
    <w:rsid w:val="2A261201"/>
    <w:rsid w:val="2A5A1FE5"/>
    <w:rsid w:val="2AA54162"/>
    <w:rsid w:val="2AE81E90"/>
    <w:rsid w:val="2B914308"/>
    <w:rsid w:val="2BFF3C39"/>
    <w:rsid w:val="2C1E25F3"/>
    <w:rsid w:val="2C3E1BB2"/>
    <w:rsid w:val="2CB51A2D"/>
    <w:rsid w:val="2CE04285"/>
    <w:rsid w:val="2CF741C7"/>
    <w:rsid w:val="2D374BCB"/>
    <w:rsid w:val="2D591B73"/>
    <w:rsid w:val="2DCA15C6"/>
    <w:rsid w:val="2DE53D06"/>
    <w:rsid w:val="2DE6129A"/>
    <w:rsid w:val="2DEE0AFB"/>
    <w:rsid w:val="2DFB7085"/>
    <w:rsid w:val="2E8D3859"/>
    <w:rsid w:val="2EED5F67"/>
    <w:rsid w:val="2F355D90"/>
    <w:rsid w:val="2F8E2AF0"/>
    <w:rsid w:val="30356292"/>
    <w:rsid w:val="30AA7555"/>
    <w:rsid w:val="30BE1567"/>
    <w:rsid w:val="30DC72F7"/>
    <w:rsid w:val="31660D11"/>
    <w:rsid w:val="31947FB6"/>
    <w:rsid w:val="31B6378A"/>
    <w:rsid w:val="327B5F64"/>
    <w:rsid w:val="329531B2"/>
    <w:rsid w:val="32A33722"/>
    <w:rsid w:val="32E24DF5"/>
    <w:rsid w:val="33030EB6"/>
    <w:rsid w:val="34184095"/>
    <w:rsid w:val="342F6A2E"/>
    <w:rsid w:val="34332B30"/>
    <w:rsid w:val="343D5F4C"/>
    <w:rsid w:val="345C669A"/>
    <w:rsid w:val="346B05DA"/>
    <w:rsid w:val="349F4C0E"/>
    <w:rsid w:val="34A965A1"/>
    <w:rsid w:val="34D2324D"/>
    <w:rsid w:val="350C348F"/>
    <w:rsid w:val="35165C4D"/>
    <w:rsid w:val="35194EB1"/>
    <w:rsid w:val="351F3659"/>
    <w:rsid w:val="35303AB8"/>
    <w:rsid w:val="35676752"/>
    <w:rsid w:val="35814314"/>
    <w:rsid w:val="35B01027"/>
    <w:rsid w:val="360C1ED7"/>
    <w:rsid w:val="365E7588"/>
    <w:rsid w:val="366652D6"/>
    <w:rsid w:val="368B638E"/>
    <w:rsid w:val="36BA661A"/>
    <w:rsid w:val="379D2F5B"/>
    <w:rsid w:val="37F857B8"/>
    <w:rsid w:val="383B3057"/>
    <w:rsid w:val="3ABA462D"/>
    <w:rsid w:val="3ACB22A0"/>
    <w:rsid w:val="3AE94C88"/>
    <w:rsid w:val="3AEC50AC"/>
    <w:rsid w:val="3B404329"/>
    <w:rsid w:val="3B9823B7"/>
    <w:rsid w:val="3C0015DD"/>
    <w:rsid w:val="3C300842"/>
    <w:rsid w:val="3C3B52D4"/>
    <w:rsid w:val="3C6028AD"/>
    <w:rsid w:val="3C7769E9"/>
    <w:rsid w:val="3D13326C"/>
    <w:rsid w:val="3DA74B34"/>
    <w:rsid w:val="3DEA4DB5"/>
    <w:rsid w:val="3E577DDE"/>
    <w:rsid w:val="3F240783"/>
    <w:rsid w:val="3F2A6AC1"/>
    <w:rsid w:val="405A2C52"/>
    <w:rsid w:val="4078640A"/>
    <w:rsid w:val="409F16A8"/>
    <w:rsid w:val="40BD03D8"/>
    <w:rsid w:val="40D57DED"/>
    <w:rsid w:val="40DE1EB1"/>
    <w:rsid w:val="40F34F07"/>
    <w:rsid w:val="41377FDC"/>
    <w:rsid w:val="4151136A"/>
    <w:rsid w:val="417B60BB"/>
    <w:rsid w:val="417E18C5"/>
    <w:rsid w:val="432B4574"/>
    <w:rsid w:val="436A7AE3"/>
    <w:rsid w:val="43B701B4"/>
    <w:rsid w:val="43B74BAB"/>
    <w:rsid w:val="43B77931"/>
    <w:rsid w:val="43E46B3D"/>
    <w:rsid w:val="44E84D2D"/>
    <w:rsid w:val="45072E8E"/>
    <w:rsid w:val="4534592A"/>
    <w:rsid w:val="45E455DC"/>
    <w:rsid w:val="45E76392"/>
    <w:rsid w:val="465704F4"/>
    <w:rsid w:val="467302DE"/>
    <w:rsid w:val="46FC6761"/>
    <w:rsid w:val="46FD0F66"/>
    <w:rsid w:val="47ED4C99"/>
    <w:rsid w:val="48127A27"/>
    <w:rsid w:val="48657AC5"/>
    <w:rsid w:val="487A1984"/>
    <w:rsid w:val="4894259D"/>
    <w:rsid w:val="49217B43"/>
    <w:rsid w:val="498D598E"/>
    <w:rsid w:val="4A2E69CA"/>
    <w:rsid w:val="4A50327E"/>
    <w:rsid w:val="4A8B635A"/>
    <w:rsid w:val="4AA20C69"/>
    <w:rsid w:val="4ACA3CEC"/>
    <w:rsid w:val="4AF84AEE"/>
    <w:rsid w:val="4B193A2C"/>
    <w:rsid w:val="4BF54971"/>
    <w:rsid w:val="4C273A41"/>
    <w:rsid w:val="4C6D441A"/>
    <w:rsid w:val="4CC34D2C"/>
    <w:rsid w:val="4D4075ED"/>
    <w:rsid w:val="4D6B31A8"/>
    <w:rsid w:val="4DA7324F"/>
    <w:rsid w:val="4DCA11C7"/>
    <w:rsid w:val="4DDC41D4"/>
    <w:rsid w:val="4DFC07CB"/>
    <w:rsid w:val="4E5F7B49"/>
    <w:rsid w:val="4E7E3651"/>
    <w:rsid w:val="4E8E08F6"/>
    <w:rsid w:val="4EDE01CA"/>
    <w:rsid w:val="4EEC684A"/>
    <w:rsid w:val="4F6A6389"/>
    <w:rsid w:val="4FA94519"/>
    <w:rsid w:val="4FFF6109"/>
    <w:rsid w:val="50CD7B3F"/>
    <w:rsid w:val="51965AC3"/>
    <w:rsid w:val="52262197"/>
    <w:rsid w:val="52263E21"/>
    <w:rsid w:val="52A91AC1"/>
    <w:rsid w:val="52E4015B"/>
    <w:rsid w:val="52FA23F6"/>
    <w:rsid w:val="534F1660"/>
    <w:rsid w:val="53A252F3"/>
    <w:rsid w:val="53E9736C"/>
    <w:rsid w:val="53ED6444"/>
    <w:rsid w:val="54724115"/>
    <w:rsid w:val="549F3E6E"/>
    <w:rsid w:val="54BC281B"/>
    <w:rsid w:val="54D8352B"/>
    <w:rsid w:val="569C34CF"/>
    <w:rsid w:val="56EB2A59"/>
    <w:rsid w:val="570A10B6"/>
    <w:rsid w:val="573D7B79"/>
    <w:rsid w:val="57E548CF"/>
    <w:rsid w:val="58CE2AC0"/>
    <w:rsid w:val="5929550C"/>
    <w:rsid w:val="596A536F"/>
    <w:rsid w:val="596F4E3C"/>
    <w:rsid w:val="59D74205"/>
    <w:rsid w:val="5A3C21C6"/>
    <w:rsid w:val="5A7A2DE0"/>
    <w:rsid w:val="5B096777"/>
    <w:rsid w:val="5B5B5E65"/>
    <w:rsid w:val="5B7750F9"/>
    <w:rsid w:val="5B7F7DE6"/>
    <w:rsid w:val="5C101494"/>
    <w:rsid w:val="5C221012"/>
    <w:rsid w:val="5C4A30DB"/>
    <w:rsid w:val="5D496EEB"/>
    <w:rsid w:val="5DAE1125"/>
    <w:rsid w:val="5EAA0DD3"/>
    <w:rsid w:val="5FE82E23"/>
    <w:rsid w:val="60111054"/>
    <w:rsid w:val="60350374"/>
    <w:rsid w:val="61274E3E"/>
    <w:rsid w:val="613A1697"/>
    <w:rsid w:val="62173835"/>
    <w:rsid w:val="62365C55"/>
    <w:rsid w:val="6290523D"/>
    <w:rsid w:val="62D2413E"/>
    <w:rsid w:val="638A381C"/>
    <w:rsid w:val="639C0BAB"/>
    <w:rsid w:val="642E0F3D"/>
    <w:rsid w:val="6473046F"/>
    <w:rsid w:val="64C56B15"/>
    <w:rsid w:val="64F642EB"/>
    <w:rsid w:val="64FB7A2E"/>
    <w:rsid w:val="650A2F27"/>
    <w:rsid w:val="652A60AB"/>
    <w:rsid w:val="65955C94"/>
    <w:rsid w:val="65A92F6E"/>
    <w:rsid w:val="65D95FD1"/>
    <w:rsid w:val="660E39E1"/>
    <w:rsid w:val="662875FC"/>
    <w:rsid w:val="66527BAE"/>
    <w:rsid w:val="66845055"/>
    <w:rsid w:val="66AA2E1B"/>
    <w:rsid w:val="66AF4608"/>
    <w:rsid w:val="66C32257"/>
    <w:rsid w:val="678F6EFE"/>
    <w:rsid w:val="67903EB9"/>
    <w:rsid w:val="67A77179"/>
    <w:rsid w:val="67DF3AEC"/>
    <w:rsid w:val="67E11A70"/>
    <w:rsid w:val="685C09A6"/>
    <w:rsid w:val="685E1480"/>
    <w:rsid w:val="6902529F"/>
    <w:rsid w:val="691602F4"/>
    <w:rsid w:val="691B43CA"/>
    <w:rsid w:val="699C78A9"/>
    <w:rsid w:val="6A32136E"/>
    <w:rsid w:val="6A882D05"/>
    <w:rsid w:val="6B2D1892"/>
    <w:rsid w:val="6B676BC4"/>
    <w:rsid w:val="6B897776"/>
    <w:rsid w:val="6BA9600F"/>
    <w:rsid w:val="6C442718"/>
    <w:rsid w:val="6C454C4B"/>
    <w:rsid w:val="6CD00782"/>
    <w:rsid w:val="6CD70247"/>
    <w:rsid w:val="6D0C667E"/>
    <w:rsid w:val="6D4F2097"/>
    <w:rsid w:val="6D8A2F65"/>
    <w:rsid w:val="6DE103D4"/>
    <w:rsid w:val="6E802358"/>
    <w:rsid w:val="6E863101"/>
    <w:rsid w:val="6E91666F"/>
    <w:rsid w:val="6EC2384A"/>
    <w:rsid w:val="6F451202"/>
    <w:rsid w:val="6FCC07BA"/>
    <w:rsid w:val="70885290"/>
    <w:rsid w:val="70B77792"/>
    <w:rsid w:val="70D72386"/>
    <w:rsid w:val="714C7AC0"/>
    <w:rsid w:val="716A64A7"/>
    <w:rsid w:val="718A0C1D"/>
    <w:rsid w:val="719C5A86"/>
    <w:rsid w:val="72BC7A6F"/>
    <w:rsid w:val="72F8037C"/>
    <w:rsid w:val="731C0BFD"/>
    <w:rsid w:val="731C730B"/>
    <w:rsid w:val="73C77756"/>
    <w:rsid w:val="73E456F3"/>
    <w:rsid w:val="73E63C6A"/>
    <w:rsid w:val="74AD4992"/>
    <w:rsid w:val="758656D2"/>
    <w:rsid w:val="760D3D42"/>
    <w:rsid w:val="764D7E0E"/>
    <w:rsid w:val="769B71B7"/>
    <w:rsid w:val="76BF474E"/>
    <w:rsid w:val="775D5A48"/>
    <w:rsid w:val="77A84028"/>
    <w:rsid w:val="77AA2FE2"/>
    <w:rsid w:val="77C35AEB"/>
    <w:rsid w:val="784B185F"/>
    <w:rsid w:val="7892299C"/>
    <w:rsid w:val="78BD2E3A"/>
    <w:rsid w:val="79162336"/>
    <w:rsid w:val="7A5071E0"/>
    <w:rsid w:val="7AC87999"/>
    <w:rsid w:val="7B022520"/>
    <w:rsid w:val="7B0B4F6B"/>
    <w:rsid w:val="7B194791"/>
    <w:rsid w:val="7B5D42B9"/>
    <w:rsid w:val="7B651078"/>
    <w:rsid w:val="7BDC6B36"/>
    <w:rsid w:val="7BDC717B"/>
    <w:rsid w:val="7C4917F6"/>
    <w:rsid w:val="7C72677D"/>
    <w:rsid w:val="7D022412"/>
    <w:rsid w:val="7D3A3422"/>
    <w:rsid w:val="7D5304B7"/>
    <w:rsid w:val="7D8822D3"/>
    <w:rsid w:val="7DBC7151"/>
    <w:rsid w:val="7DF17204"/>
    <w:rsid w:val="7DFD2445"/>
    <w:rsid w:val="7E31018F"/>
    <w:rsid w:val="7E7A6758"/>
    <w:rsid w:val="7F1A66A7"/>
    <w:rsid w:val="7F224C7D"/>
    <w:rsid w:val="7F5636E8"/>
    <w:rsid w:val="7F9F0E2D"/>
    <w:rsid w:val="7FBA5A25"/>
  </w:rsids>
  <m:mathPr>
    <m:mathFont m:val="Cambria Math"/>
    <m:brkBin m:val="before"/>
    <m:brkBinSub m:val="--"/>
    <m:smallFrac m:val="1"/>
    <m:dispDef/>
    <m:lMargin m:val="1440"/>
    <m:rMargin m:val="144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0" w:semiHidden="0"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4">
    <w:name w:val="heading 1"/>
    <w:basedOn w:val="1"/>
    <w:next w:val="1"/>
    <w:qFormat/>
    <w:uiPriority w:val="7"/>
    <w:pPr>
      <w:spacing w:before="0" w:after="330" w:line="576" w:lineRule="auto"/>
      <w:outlineLvl w:val="0"/>
    </w:pPr>
    <w:rPr>
      <w:b/>
      <w:sz w:val="44"/>
      <w:szCs w:val="44"/>
    </w:rPr>
  </w:style>
  <w:style w:type="paragraph" w:styleId="5">
    <w:name w:val="heading 2"/>
    <w:basedOn w:val="1"/>
    <w:next w:val="1"/>
    <w:qFormat/>
    <w:uiPriority w:val="8"/>
    <w:pPr>
      <w:spacing w:before="0" w:after="260" w:line="415" w:lineRule="auto"/>
      <w:outlineLvl w:val="1"/>
    </w:pPr>
    <w:rPr>
      <w:rFonts w:ascii="Arial" w:hAnsi="Arial" w:eastAsia="黑体"/>
      <w:b/>
      <w:sz w:val="32"/>
      <w:szCs w:val="32"/>
    </w:rPr>
  </w:style>
  <w:style w:type="paragraph" w:styleId="6">
    <w:name w:val="heading 3"/>
    <w:basedOn w:val="1"/>
    <w:next w:val="1"/>
    <w:qFormat/>
    <w:uiPriority w:val="9"/>
    <w:pPr>
      <w:outlineLvl w:val="2"/>
    </w:pPr>
    <w:rPr>
      <w:b/>
      <w:sz w:val="24"/>
      <w:szCs w:val="24"/>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0"/>
    <w:pPr>
      <w:spacing w:after="120" w:line="240" w:lineRule="auto"/>
      <w:ind w:left="420" w:leftChars="200" w:firstLine="420"/>
    </w:pPr>
    <w:rPr>
      <w:rFonts w:ascii="Calibri" w:hAnsi="Calibri" w:eastAsia="Times New Roman"/>
      <w:color w:val="auto"/>
      <w:sz w:val="24"/>
    </w:rPr>
  </w:style>
  <w:style w:type="paragraph" w:styleId="3">
    <w:name w:val="Body Text Indent"/>
    <w:basedOn w:val="1"/>
    <w:qFormat/>
    <w:uiPriority w:val="0"/>
    <w:pPr>
      <w:spacing w:line="480" w:lineRule="exact"/>
      <w:ind w:firstLine="560" w:firstLineChars="200"/>
    </w:pPr>
    <w:rPr>
      <w:sz w:val="24"/>
    </w:rPr>
  </w:style>
  <w:style w:type="paragraph" w:styleId="7">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8">
    <w:name w:val="Normal Indent"/>
    <w:basedOn w:val="1"/>
    <w:qFormat/>
    <w:uiPriority w:val="0"/>
    <w:pPr>
      <w:ind w:firstLine="420"/>
    </w:pPr>
    <w:rPr>
      <w:kern w:val="0"/>
    </w:rPr>
  </w:style>
  <w:style w:type="paragraph" w:styleId="9">
    <w:name w:val="Document Map"/>
    <w:basedOn w:val="1"/>
    <w:semiHidden/>
    <w:unhideWhenUsed/>
    <w:qFormat/>
    <w:uiPriority w:val="0"/>
    <w:rPr>
      <w:rFonts w:ascii="宋体"/>
      <w:sz w:val="18"/>
      <w:szCs w:val="18"/>
    </w:rPr>
  </w:style>
  <w:style w:type="paragraph" w:styleId="10">
    <w:name w:val="annotation text"/>
    <w:basedOn w:val="1"/>
    <w:semiHidden/>
    <w:unhideWhenUsed/>
    <w:qFormat/>
    <w:uiPriority w:val="0"/>
    <w:pPr>
      <w:jc w:val="left"/>
    </w:pPr>
  </w:style>
  <w:style w:type="paragraph" w:styleId="11">
    <w:name w:val="Body Text"/>
    <w:basedOn w:val="1"/>
    <w:link w:val="52"/>
    <w:semiHidden/>
    <w:unhideWhenUsed/>
    <w:qFormat/>
    <w:uiPriority w:val="99"/>
    <w:pPr>
      <w:spacing w:after="120"/>
    </w:pPr>
  </w:style>
  <w:style w:type="paragraph" w:styleId="12">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3">
    <w:name w:val="toc 3"/>
    <w:basedOn w:val="1"/>
    <w:next w:val="1"/>
    <w:unhideWhenUsed/>
    <w:qFormat/>
    <w:uiPriority w:val="39"/>
    <w:pPr>
      <w:ind w:left="840" w:firstLine="0"/>
    </w:pPr>
  </w:style>
  <w:style w:type="paragraph" w:styleId="14">
    <w:name w:val="Plain Text"/>
    <w:basedOn w:val="1"/>
    <w:link w:val="50"/>
    <w:unhideWhenUsed/>
    <w:qFormat/>
    <w:uiPriority w:val="0"/>
    <w:rPr>
      <w:rFonts w:ascii="宋体" w:hAnsi="Courier New" w:cs="宋体"/>
      <w:sz w:val="20"/>
      <w:szCs w:val="20"/>
    </w:rPr>
  </w:style>
  <w:style w:type="paragraph" w:styleId="15">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6">
    <w:name w:val="Date"/>
    <w:basedOn w:val="1"/>
    <w:next w:val="1"/>
    <w:link w:val="54"/>
    <w:semiHidden/>
    <w:unhideWhenUsed/>
    <w:qFormat/>
    <w:uiPriority w:val="99"/>
    <w:pPr>
      <w:ind w:left="100" w:leftChars="2500"/>
    </w:pPr>
  </w:style>
  <w:style w:type="paragraph" w:styleId="17">
    <w:name w:val="Balloon Text"/>
    <w:basedOn w:val="1"/>
    <w:semiHidden/>
    <w:unhideWhenUsed/>
    <w:qFormat/>
    <w:uiPriority w:val="0"/>
    <w:pPr>
      <w:spacing w:after="0" w:line="240" w:lineRule="auto"/>
    </w:pPr>
    <w:rPr>
      <w:sz w:val="18"/>
      <w:szCs w:val="18"/>
    </w:rPr>
  </w:style>
  <w:style w:type="paragraph" w:styleId="18">
    <w:name w:val="footer"/>
    <w:basedOn w:val="1"/>
    <w:qFormat/>
    <w:uiPriority w:val="99"/>
    <w:pPr>
      <w:tabs>
        <w:tab w:val="center" w:pos="4153"/>
        <w:tab w:val="right" w:pos="8306"/>
      </w:tabs>
      <w:snapToGrid w:val="0"/>
      <w:jc w:val="left"/>
    </w:pPr>
    <w:rPr>
      <w:sz w:val="18"/>
      <w:szCs w:val="18"/>
    </w:rPr>
  </w:style>
  <w:style w:type="paragraph" w:styleId="19">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style>
  <w:style w:type="paragraph" w:styleId="21">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2">
    <w:name w:val="footnote text"/>
    <w:basedOn w:val="1"/>
    <w:semiHidden/>
    <w:unhideWhenUsed/>
    <w:qFormat/>
    <w:uiPriority w:val="0"/>
    <w:pPr>
      <w:snapToGrid w:val="0"/>
      <w:jc w:val="left"/>
    </w:pPr>
    <w:rPr>
      <w:sz w:val="18"/>
      <w:szCs w:val="18"/>
    </w:rPr>
  </w:style>
  <w:style w:type="paragraph" w:styleId="23">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4">
    <w:name w:val="Body Text Indent 3"/>
    <w:basedOn w:val="1"/>
    <w:qFormat/>
    <w:uiPriority w:val="0"/>
    <w:pPr>
      <w:spacing w:after="120"/>
      <w:ind w:left="420" w:firstLine="0"/>
    </w:pPr>
    <w:rPr>
      <w:sz w:val="16"/>
      <w:szCs w:val="16"/>
    </w:rPr>
  </w:style>
  <w:style w:type="paragraph" w:styleId="25">
    <w:name w:val="toc 2"/>
    <w:basedOn w:val="1"/>
    <w:next w:val="1"/>
    <w:unhideWhenUsed/>
    <w:qFormat/>
    <w:uiPriority w:val="39"/>
    <w:pPr>
      <w:ind w:left="420" w:firstLine="0"/>
    </w:pPr>
  </w:style>
  <w:style w:type="paragraph" w:styleId="26">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7">
    <w:name w:val="Body Text 2"/>
    <w:basedOn w:val="1"/>
    <w:unhideWhenUsed/>
    <w:qFormat/>
    <w:uiPriority w:val="0"/>
    <w:pPr>
      <w:spacing w:after="120" w:line="480" w:lineRule="auto"/>
    </w:pPr>
  </w:style>
  <w:style w:type="paragraph" w:styleId="28">
    <w:name w:val="annotation subject"/>
    <w:basedOn w:val="10"/>
    <w:next w:val="10"/>
    <w:semiHidden/>
    <w:unhideWhenUsed/>
    <w:qFormat/>
    <w:uiPriority w:val="0"/>
    <w:rPr>
      <w:b/>
    </w:rPr>
  </w:style>
  <w:style w:type="table" w:styleId="30">
    <w:name w:val="Table Grid"/>
    <w:basedOn w:val="2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20"/>
    <w:rPr>
      <w:rFonts w:cs="Times New Roman"/>
      <w:b/>
    </w:rPr>
  </w:style>
  <w:style w:type="character" w:styleId="33">
    <w:name w:val="page number"/>
    <w:basedOn w:val="31"/>
    <w:qFormat/>
    <w:uiPriority w:val="0"/>
  </w:style>
  <w:style w:type="character" w:styleId="34">
    <w:name w:val="Hyperlink"/>
    <w:basedOn w:val="31"/>
    <w:unhideWhenUsed/>
    <w:qFormat/>
    <w:uiPriority w:val="99"/>
    <w:rPr>
      <w:color w:val="0000FF"/>
      <w:u w:val="single"/>
    </w:rPr>
  </w:style>
  <w:style w:type="character" w:styleId="35">
    <w:name w:val="annotation reference"/>
    <w:basedOn w:val="31"/>
    <w:semiHidden/>
    <w:unhideWhenUsed/>
    <w:qFormat/>
    <w:uiPriority w:val="0"/>
    <w:rPr>
      <w:sz w:val="21"/>
      <w:szCs w:val="21"/>
    </w:rPr>
  </w:style>
  <w:style w:type="character" w:styleId="36">
    <w:name w:val="footnote reference"/>
    <w:basedOn w:val="31"/>
    <w:semiHidden/>
    <w:unhideWhenUsed/>
    <w:qFormat/>
    <w:uiPriority w:val="0"/>
    <w:rPr>
      <w:vertAlign w:val="superscript"/>
    </w:rPr>
  </w:style>
  <w:style w:type="paragraph" w:styleId="37">
    <w:name w:val="List Paragraph"/>
    <w:basedOn w:val="1"/>
    <w:qFormat/>
    <w:uiPriority w:val="34"/>
    <w:pPr>
      <w:ind w:firstLine="200"/>
    </w:pPr>
    <w:rPr>
      <w:rFonts w:ascii="Calibri" w:hAnsi="Calibri"/>
    </w:rPr>
  </w:style>
  <w:style w:type="character" w:customStyle="1" w:styleId="38">
    <w:name w:val="正文文本 2 Char"/>
    <w:basedOn w:val="31"/>
    <w:qFormat/>
    <w:uiPriority w:val="0"/>
    <w:rPr>
      <w:rFonts w:ascii="Times New Roman" w:hAnsi="Times New Roman" w:eastAsia="宋体" w:cs="Times New Roman"/>
    </w:rPr>
  </w:style>
  <w:style w:type="character" w:customStyle="1" w:styleId="39">
    <w:name w:val="16"/>
    <w:basedOn w:val="31"/>
    <w:qFormat/>
    <w:uiPriority w:val="0"/>
    <w:rPr>
      <w:rFonts w:hint="default" w:ascii="Times New Roman" w:hAnsi="Times New Roman" w:cs="Times New Roman"/>
      <w:color w:val="0000FF"/>
      <w:u w:val="single"/>
    </w:rPr>
  </w:style>
  <w:style w:type="character" w:customStyle="1" w:styleId="40">
    <w:name w:val="15"/>
    <w:basedOn w:val="31"/>
    <w:qFormat/>
    <w:uiPriority w:val="0"/>
    <w:rPr>
      <w:rFonts w:hint="default" w:ascii="Times New Roman" w:hAnsi="Times New Roman" w:cs="Times New Roman"/>
      <w:color w:val="0000FF"/>
      <w:u w:val="single"/>
    </w:rPr>
  </w:style>
  <w:style w:type="character" w:customStyle="1" w:styleId="41">
    <w:name w:val="标题 3 Char"/>
    <w:qFormat/>
    <w:uiPriority w:val="0"/>
    <w:rPr>
      <w:b/>
      <w:sz w:val="24"/>
      <w:szCs w:val="24"/>
    </w:rPr>
  </w:style>
  <w:style w:type="character" w:customStyle="1" w:styleId="42">
    <w:name w:val="标题 2 Char"/>
    <w:qFormat/>
    <w:uiPriority w:val="8"/>
    <w:rPr>
      <w:rFonts w:ascii="Arial" w:hAnsi="Arial" w:eastAsia="黑体"/>
      <w:b/>
      <w:sz w:val="32"/>
      <w:szCs w:val="32"/>
    </w:rPr>
  </w:style>
  <w:style w:type="character" w:customStyle="1" w:styleId="43">
    <w:name w:val="批注框文本 Char"/>
    <w:basedOn w:val="31"/>
    <w:semiHidden/>
    <w:qFormat/>
    <w:uiPriority w:val="0"/>
    <w:rPr>
      <w:sz w:val="18"/>
      <w:szCs w:val="18"/>
    </w:rPr>
  </w:style>
  <w:style w:type="character" w:customStyle="1" w:styleId="44">
    <w:name w:val="批注文字 Char"/>
    <w:basedOn w:val="31"/>
    <w:semiHidden/>
    <w:qFormat/>
    <w:uiPriority w:val="0"/>
    <w:rPr>
      <w:sz w:val="21"/>
      <w:szCs w:val="21"/>
    </w:rPr>
  </w:style>
  <w:style w:type="character" w:customStyle="1" w:styleId="45">
    <w:name w:val="批注主题 Char"/>
    <w:basedOn w:val="44"/>
    <w:semiHidden/>
    <w:qFormat/>
    <w:uiPriority w:val="0"/>
    <w:rPr>
      <w:b/>
      <w:sz w:val="21"/>
      <w:szCs w:val="21"/>
    </w:rPr>
  </w:style>
  <w:style w:type="character" w:customStyle="1" w:styleId="46">
    <w:name w:val="文档结构图 Char"/>
    <w:basedOn w:val="31"/>
    <w:semiHidden/>
    <w:qFormat/>
    <w:uiPriority w:val="0"/>
    <w:rPr>
      <w:rFonts w:ascii="宋体"/>
      <w:sz w:val="18"/>
      <w:szCs w:val="18"/>
    </w:rPr>
  </w:style>
  <w:style w:type="character" w:customStyle="1" w:styleId="47">
    <w:name w:val="页脚 Char"/>
    <w:qFormat/>
    <w:uiPriority w:val="99"/>
    <w:rPr>
      <w:sz w:val="18"/>
      <w:szCs w:val="18"/>
    </w:rPr>
  </w:style>
  <w:style w:type="character" w:customStyle="1" w:styleId="48">
    <w:name w:val="脚注文本 Char"/>
    <w:basedOn w:val="31"/>
    <w:semiHidden/>
    <w:qFormat/>
    <w:uiPriority w:val="0"/>
    <w:rPr>
      <w:sz w:val="18"/>
      <w:szCs w:val="18"/>
    </w:rPr>
  </w:style>
  <w:style w:type="paragraph" w:customStyle="1" w:styleId="49">
    <w:name w:val="TOC 标题1"/>
    <w:basedOn w:val="4"/>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50">
    <w:name w:val="纯文本 字符"/>
    <w:link w:val="14"/>
    <w:qFormat/>
    <w:locked/>
    <w:uiPriority w:val="0"/>
    <w:rPr>
      <w:rFonts w:ascii="宋体" w:hAnsi="Courier New" w:cs="宋体"/>
    </w:rPr>
  </w:style>
  <w:style w:type="paragraph" w:customStyle="1" w:styleId="51">
    <w:name w:val="修订1"/>
    <w:hidden/>
    <w:semiHidden/>
    <w:qFormat/>
    <w:uiPriority w:val="99"/>
    <w:rPr>
      <w:rFonts w:ascii="Times New Roman" w:hAnsi="Times New Roman" w:eastAsia="宋体" w:cs="Times New Roman"/>
      <w:sz w:val="21"/>
      <w:szCs w:val="21"/>
      <w:lang w:val="en-US" w:eastAsia="zh-CN" w:bidi="ar-SA"/>
    </w:rPr>
  </w:style>
  <w:style w:type="character" w:customStyle="1" w:styleId="52">
    <w:name w:val="正文文本 字符"/>
    <w:basedOn w:val="31"/>
    <w:link w:val="11"/>
    <w:semiHidden/>
    <w:qFormat/>
    <w:uiPriority w:val="99"/>
    <w:rPr>
      <w:sz w:val="21"/>
      <w:szCs w:val="21"/>
    </w:rPr>
  </w:style>
  <w:style w:type="paragraph" w:customStyle="1" w:styleId="53">
    <w:name w:val="修订2"/>
    <w:hidden/>
    <w:unhideWhenUsed/>
    <w:qFormat/>
    <w:uiPriority w:val="99"/>
    <w:rPr>
      <w:rFonts w:ascii="Times New Roman" w:hAnsi="Times New Roman" w:eastAsia="宋体" w:cs="Times New Roman"/>
      <w:sz w:val="21"/>
      <w:szCs w:val="21"/>
      <w:lang w:val="en-US" w:eastAsia="zh-CN" w:bidi="ar-SA"/>
    </w:rPr>
  </w:style>
  <w:style w:type="character" w:customStyle="1" w:styleId="54">
    <w:name w:val="日期 字符"/>
    <w:basedOn w:val="31"/>
    <w:link w:val="16"/>
    <w:semiHidden/>
    <w:qFormat/>
    <w:uiPriority w:val="99"/>
    <w:rPr>
      <w:sz w:val="21"/>
      <w:szCs w:val="21"/>
    </w:rPr>
  </w:style>
  <w:style w:type="paragraph" w:customStyle="1" w:styleId="55">
    <w:name w:val="Blockquote"/>
    <w:basedOn w:val="1"/>
    <w:qFormat/>
    <w:uiPriority w:val="0"/>
    <w:pPr>
      <w:widowControl w:val="0"/>
      <w:autoSpaceDE w:val="0"/>
      <w:autoSpaceDN w:val="0"/>
      <w:adjustRightInd w:val="0"/>
      <w:spacing w:before="100" w:afterAutospacing="0" w:line="240" w:lineRule="auto"/>
      <w:ind w:left="360" w:right="360" w:firstLine="0"/>
      <w:jc w:val="left"/>
    </w:pPr>
    <w:rPr>
      <w:sz w:val="24"/>
      <w:szCs w:val="20"/>
    </w:rPr>
  </w:style>
  <w:style w:type="paragraph" w:customStyle="1" w:styleId="56">
    <w:name w:val="TOC 标题2"/>
    <w:basedOn w:val="4"/>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paragraph" w:customStyle="1" w:styleId="57">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8">
    <w:name w:val="正文首行缩进11"/>
    <w:basedOn w:val="11"/>
    <w:unhideWhenUsed/>
    <w:qFormat/>
    <w:uiPriority w:val="0"/>
    <w:pPr>
      <w:ind w:firstLine="420" w:firstLineChars="100"/>
    </w:pPr>
    <w:rPr>
      <w:szCs w:val="22"/>
    </w:rPr>
  </w:style>
  <w:style w:type="paragraph" w:customStyle="1" w:styleId="59">
    <w:name w:val="正文1"/>
    <w:basedOn w:val="8"/>
    <w:next w:val="1"/>
    <w:qFormat/>
    <w:uiPriority w:val="0"/>
    <w:pPr>
      <w:spacing w:beforeLines="50" w:afterLines="50" w:line="360" w:lineRule="auto"/>
      <w:ind w:firstLine="200" w:firstLineChars="200"/>
    </w:pPr>
    <w:rPr>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Sky123.Org</Company>
  <Pages>90</Pages>
  <Words>38414</Words>
  <Characters>40646</Characters>
  <Lines>235</Lines>
  <Paragraphs>66</Paragraphs>
  <TotalTime>34</TotalTime>
  <ScaleCrop>false</ScaleCrop>
  <LinksUpToDate>false</LinksUpToDate>
  <CharactersWithSpaces>41178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2019-12-30T17:01:00Z</dcterms:created>
  <dc:creator>NTKO</dc:creator>
  <cp:lastModifiedBy>黎梅芬</cp:lastModifiedBy>
  <cp:lastPrinted>2022-04-12T08:14:00Z</cp:lastPrinted>
  <dcterms:modified xsi:type="dcterms:W3CDTF">2022-11-01T09:20:55Z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1ED437BF902543D4A94F2D5F90417791</vt:lpwstr>
  </property>
</Properties>
</file>