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ascii="黑体" w:eastAsia="黑体"/>
          <w:b/>
          <w:sz w:val="44"/>
          <w:szCs w:val="48"/>
        </w:rPr>
      </w:pPr>
    </w:p>
    <w:p>
      <w:pPr>
        <w:spacing w:after="120"/>
        <w:jc w:val="center"/>
        <w:rPr>
          <w:rFonts w:ascii="黑体" w:eastAsia="黑体"/>
          <w:b/>
          <w:sz w:val="44"/>
          <w:szCs w:val="48"/>
        </w:rPr>
      </w:pPr>
    </w:p>
    <w:p>
      <w:pPr>
        <w:pStyle w:val="23"/>
        <w:spacing w:before="0" w:after="100"/>
        <w:ind w:right="-57" w:firstLine="0"/>
        <w:jc w:val="center"/>
        <w:rPr>
          <w:rFonts w:ascii="黑体" w:eastAsia="黑体"/>
          <w:b/>
          <w:sz w:val="44"/>
          <w:szCs w:val="48"/>
        </w:rPr>
      </w:pPr>
      <w:r>
        <w:rPr>
          <w:rFonts w:hint="eastAsia" w:ascii="黑体" w:eastAsia="黑体"/>
          <w:b/>
          <w:sz w:val="44"/>
          <w:szCs w:val="48"/>
        </w:rPr>
        <w:t>南宁轨道交通运营有限公司</w:t>
      </w:r>
    </w:p>
    <w:p>
      <w:pPr>
        <w:pStyle w:val="23"/>
        <w:spacing w:before="0" w:after="100"/>
        <w:ind w:right="-57" w:firstLine="0"/>
        <w:jc w:val="center"/>
        <w:rPr>
          <w:rFonts w:ascii="宋体" w:hAnsi="宋体"/>
          <w:b/>
          <w:spacing w:val="-4"/>
          <w:sz w:val="44"/>
          <w:szCs w:val="44"/>
        </w:rPr>
      </w:pPr>
      <w:r>
        <w:rPr>
          <w:rFonts w:hint="eastAsia" w:ascii="黑体" w:eastAsia="黑体"/>
          <w:b/>
          <w:sz w:val="44"/>
          <w:szCs w:val="48"/>
        </w:rPr>
        <w:t>2022年办公家具采购项目</w:t>
      </w:r>
    </w:p>
    <w:p>
      <w:pPr>
        <w:spacing w:before="0"/>
        <w:ind w:right="-57" w:firstLine="0"/>
        <w:jc w:val="center"/>
        <w:rPr>
          <w:rFonts w:ascii="宋体" w:hAnsi="宋体"/>
          <w:b/>
          <w:sz w:val="32"/>
          <w:szCs w:val="32"/>
        </w:rPr>
      </w:pPr>
      <w:r>
        <w:rPr>
          <w:rFonts w:hint="eastAsia" w:ascii="宋体" w:hAnsi="宋体"/>
          <w:b/>
          <w:sz w:val="72"/>
          <w:szCs w:val="72"/>
        </w:rPr>
        <w:t>比选</w:t>
      </w:r>
      <w:r>
        <w:rPr>
          <w:rFonts w:ascii="宋体" w:hAnsi="宋体"/>
          <w:b/>
          <w:sz w:val="72"/>
          <w:szCs w:val="72"/>
        </w:rPr>
        <w:t>文件</w:t>
      </w:r>
    </w:p>
    <w:p>
      <w:pPr>
        <w:spacing w:before="720"/>
        <w:ind w:left="1801" w:right="-57" w:hanging="180"/>
        <w:rPr>
          <w:rFonts w:ascii="宋体" w:hAnsi="宋体"/>
          <w:b/>
          <w:sz w:val="32"/>
          <w:szCs w:val="32"/>
        </w:rPr>
      </w:pPr>
    </w:p>
    <w:p>
      <w:pPr>
        <w:spacing w:before="0"/>
        <w:ind w:left="0" w:right="-57" w:firstLine="0"/>
        <w:rPr>
          <w:rFonts w:ascii="宋体" w:hAnsi="宋体"/>
        </w:rPr>
      </w:pPr>
    </w:p>
    <w:p>
      <w:pPr>
        <w:spacing w:before="0"/>
        <w:ind w:left="1801" w:right="-57" w:hanging="180"/>
        <w:rPr>
          <w:rFonts w:ascii="宋体" w:hAnsi="宋体"/>
          <w:b/>
          <w:sz w:val="32"/>
          <w:szCs w:val="32"/>
        </w:rPr>
      </w:pPr>
      <w:r>
        <w:rPr>
          <w:rFonts w:hint="eastAsia" w:ascii="宋体" w:hAnsi="宋体"/>
          <w:b/>
          <w:sz w:val="32"/>
          <w:szCs w:val="32"/>
        </w:rPr>
        <w:t>项目编号：</w:t>
      </w:r>
      <w:r>
        <w:rPr>
          <w:rFonts w:hint="eastAsia" w:ascii="宋体" w:hAnsi="宋体"/>
          <w:b/>
          <w:sz w:val="32"/>
          <w:szCs w:val="32"/>
          <w:u w:val="single"/>
        </w:rPr>
        <w:t xml:space="preserve"> 202208260004           </w:t>
      </w:r>
    </w:p>
    <w:p>
      <w:pPr>
        <w:spacing w:before="0"/>
        <w:ind w:left="1801" w:right="-57" w:hanging="180"/>
        <w:rPr>
          <w:rFonts w:ascii="宋体" w:hAnsi="宋体"/>
          <w:b/>
          <w:sz w:val="32"/>
          <w:szCs w:val="32"/>
          <w:u w:val="single"/>
        </w:rPr>
      </w:pPr>
      <w:r>
        <w:rPr>
          <w:rFonts w:ascii="宋体" w:hAnsi="宋体"/>
          <w:b/>
          <w:sz w:val="32"/>
          <w:szCs w:val="32"/>
        </w:rPr>
        <w:t>比选人：</w:t>
      </w:r>
      <w:r>
        <w:rPr>
          <w:rFonts w:ascii="宋体" w:hAnsi="宋体"/>
          <w:b/>
          <w:sz w:val="32"/>
          <w:szCs w:val="32"/>
          <w:u w:val="single"/>
        </w:rPr>
        <w:t>南宁轨道交通</w:t>
      </w:r>
      <w:r>
        <w:rPr>
          <w:rFonts w:hint="eastAsia" w:ascii="宋体" w:hAnsi="宋体"/>
          <w:b/>
          <w:sz w:val="32"/>
          <w:szCs w:val="32"/>
          <w:u w:val="single"/>
        </w:rPr>
        <w:t>运营有限</w:t>
      </w:r>
      <w:r>
        <w:rPr>
          <w:rFonts w:ascii="宋体" w:hAnsi="宋体"/>
          <w:b/>
          <w:sz w:val="32"/>
          <w:szCs w:val="32"/>
          <w:u w:val="single"/>
        </w:rPr>
        <w:t>公司</w:t>
      </w:r>
    </w:p>
    <w:p>
      <w:pPr>
        <w:spacing w:before="0"/>
        <w:ind w:right="-57" w:firstLine="435"/>
        <w:jc w:val="center"/>
        <w:rPr>
          <w:rFonts w:ascii="宋体" w:hAnsi="宋体"/>
          <w:sz w:val="30"/>
          <w:szCs w:val="30"/>
        </w:rPr>
      </w:pPr>
    </w:p>
    <w:p>
      <w:pPr>
        <w:spacing w:before="0"/>
        <w:ind w:right="-57" w:firstLine="0"/>
        <w:jc w:val="center"/>
        <w:rPr>
          <w:rFonts w:ascii="宋体" w:hAnsi="宋体"/>
        </w:rPr>
      </w:pPr>
      <w:r>
        <w:rPr>
          <w:rFonts w:hint="eastAsia" w:ascii="宋体" w:hAnsi="宋体"/>
          <w:b/>
          <w:sz w:val="36"/>
          <w:szCs w:val="36"/>
        </w:rPr>
        <w:t>2022</w:t>
      </w:r>
      <w:r>
        <w:rPr>
          <w:rFonts w:ascii="宋体" w:hAnsi="宋体"/>
          <w:b/>
          <w:sz w:val="36"/>
          <w:szCs w:val="36"/>
        </w:rPr>
        <w:t>年</w:t>
      </w:r>
      <w:r>
        <w:rPr>
          <w:rFonts w:hint="eastAsia" w:ascii="宋体" w:hAnsi="宋体"/>
          <w:b/>
          <w:sz w:val="36"/>
          <w:szCs w:val="36"/>
        </w:rPr>
        <w:t xml:space="preserve"> </w:t>
      </w:r>
      <w:r>
        <w:rPr>
          <w:rFonts w:ascii="宋体" w:hAnsi="宋体"/>
          <w:b/>
          <w:sz w:val="36"/>
          <w:szCs w:val="36"/>
        </w:rPr>
        <w:t>月</w:t>
      </w:r>
    </w:p>
    <w:p>
      <w:pPr>
        <w:spacing w:before="0"/>
        <w:ind w:right="-57" w:firstLine="0"/>
        <w:jc w:val="center"/>
        <w:rPr>
          <w:rFonts w:ascii="宋体" w:hAnsi="宋体" w:cs="宋体"/>
          <w:b/>
          <w:sz w:val="36"/>
          <w:szCs w:val="36"/>
        </w:rPr>
        <w:sectPr>
          <w:footerReference r:id="rId5" w:type="default"/>
          <w:pgSz w:w="11905" w:h="16838"/>
          <w:pgMar w:top="1418" w:right="851" w:bottom="1418" w:left="1418" w:header="454" w:footer="567" w:gutter="0"/>
          <w:pgNumType w:start="1" w:chapStyle="1"/>
          <w:cols w:space="720" w:num="1"/>
          <w:docGrid w:linePitch="312" w:charSpace="0"/>
        </w:sectPr>
      </w:pPr>
    </w:p>
    <w:p>
      <w:pPr>
        <w:ind w:left="0" w:firstLine="0"/>
        <w:rPr>
          <w:rFonts w:ascii="宋体" w:hAnsi="宋体"/>
        </w:rPr>
      </w:pPr>
    </w:p>
    <w:sdt>
      <w:sdtPr>
        <w:rPr>
          <w:rFonts w:ascii="Times New Roman" w:hAnsi="Times New Roman" w:eastAsia="宋体" w:cs="Times New Roman"/>
          <w:b w:val="0"/>
          <w:bCs w:val="0"/>
          <w:color w:val="auto"/>
          <w:sz w:val="21"/>
          <w:szCs w:val="21"/>
          <w:lang w:val="zh-CN"/>
        </w:rPr>
        <w:id w:val="637865694"/>
        <w:docPartObj>
          <w:docPartGallery w:val="Table of Contents"/>
          <w:docPartUnique/>
        </w:docPartObj>
      </w:sdtPr>
      <w:sdtEndPr>
        <w:rPr>
          <w:rFonts w:ascii="Times New Roman" w:hAnsi="Times New Roman" w:eastAsia="宋体" w:cs="Times New Roman"/>
          <w:b w:val="0"/>
          <w:bCs w:val="0"/>
          <w:color w:val="auto"/>
          <w:sz w:val="21"/>
          <w:szCs w:val="21"/>
          <w:lang w:val="en-US"/>
        </w:rPr>
      </w:sdtEndPr>
      <w:sdtContent>
        <w:p>
          <w:pPr>
            <w:pStyle w:val="54"/>
          </w:pPr>
          <w:bookmarkStart w:id="0" w:name="_Toc5910"/>
          <w:bookmarkStart w:id="1" w:name="_Toc3658"/>
          <w:bookmarkStart w:id="2" w:name="_Toc3400"/>
          <w:bookmarkStart w:id="3" w:name="_Toc23367"/>
          <w:bookmarkStart w:id="4" w:name="_Toc25355"/>
          <w:bookmarkStart w:id="5" w:name="_Toc15211"/>
          <w:bookmarkStart w:id="6" w:name="_Toc492478714"/>
          <w:bookmarkStart w:id="7" w:name="_Toc26192"/>
          <w:bookmarkStart w:id="8" w:name="_Toc30647"/>
          <w:bookmarkStart w:id="9" w:name="_Toc23476"/>
          <w:bookmarkStart w:id="10" w:name="_Toc14762"/>
          <w:bookmarkStart w:id="11" w:name="_Toc237"/>
          <w:bookmarkStart w:id="12" w:name="_Toc17906"/>
          <w:bookmarkStart w:id="13" w:name="_Toc1363"/>
          <w:bookmarkStart w:id="14" w:name="_Toc1227"/>
          <w:bookmarkStart w:id="15" w:name="_Toc26620"/>
          <w:bookmarkStart w:id="16" w:name="_Toc481"/>
          <w:bookmarkStart w:id="17" w:name="_Toc375039061"/>
          <w:bookmarkStart w:id="18" w:name="_Toc26939"/>
          <w:r>
            <w:rPr>
              <w:lang w:val="zh-CN"/>
            </w:rPr>
            <w:t>目录</w:t>
          </w:r>
        </w:p>
        <w:p>
          <w:pPr>
            <w:pStyle w:val="16"/>
            <w:tabs>
              <w:tab w:val="right" w:leader="dot" w:pos="9061"/>
            </w:tabs>
            <w:rPr>
              <w:rFonts w:asciiTheme="minorHAnsi" w:hAnsiTheme="minorHAnsi" w:eastAsiaTheme="minorEastAsia" w:cstheme="minorBidi"/>
              <w:kern w:val="2"/>
              <w:szCs w:val="22"/>
            </w:rPr>
          </w:pPr>
          <w:r>
            <w:fldChar w:fldCharType="begin"/>
          </w:r>
          <w:r>
            <w:instrText xml:space="preserve"> TOC \o "1-3" \h \z \u </w:instrText>
          </w:r>
          <w:r>
            <w:fldChar w:fldCharType="separate"/>
          </w:r>
          <w:r>
            <w:fldChar w:fldCharType="begin"/>
          </w:r>
          <w:r>
            <w:instrText xml:space="preserve"> HYPERLINK \l "_Toc75276786" </w:instrText>
          </w:r>
          <w:r>
            <w:fldChar w:fldCharType="separate"/>
          </w:r>
          <w:r>
            <w:rPr>
              <w:rStyle w:val="31"/>
              <w:rFonts w:hint="eastAsia" w:hAnsi="宋体"/>
              <w:b/>
            </w:rPr>
            <w:t>第一章比选公告</w:t>
          </w:r>
          <w:r>
            <w:tab/>
          </w:r>
          <w:r>
            <w:fldChar w:fldCharType="begin"/>
          </w:r>
          <w:r>
            <w:instrText xml:space="preserve"> PAGEREF _Toc75276786 \h </w:instrText>
          </w:r>
          <w:r>
            <w:fldChar w:fldCharType="separate"/>
          </w:r>
          <w:r>
            <w:t>4</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"_Toc75276787" </w:instrText>
          </w:r>
          <w:r>
            <w:fldChar w:fldCharType="separate"/>
          </w:r>
          <w:r>
            <w:rPr>
              <w:rStyle w:val="31"/>
              <w:rFonts w:hint="eastAsia" w:hAnsi="宋体"/>
              <w:b/>
            </w:rPr>
            <w:t>第二章比选申请须知</w:t>
          </w:r>
          <w:r>
            <w:tab/>
          </w:r>
          <w:r>
            <w:fldChar w:fldCharType="begin"/>
          </w:r>
          <w:r>
            <w:instrText xml:space="preserve"> PAGEREF _Toc75276787 \h </w:instrText>
          </w:r>
          <w:r>
            <w:fldChar w:fldCharType="separate"/>
          </w:r>
          <w:r>
            <w:t>6</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"_Toc75276788" </w:instrText>
          </w:r>
          <w:r>
            <w:fldChar w:fldCharType="separate"/>
          </w:r>
          <w:r>
            <w:rPr>
              <w:rStyle w:val="31"/>
              <w:rFonts w:hint="eastAsia" w:ascii="宋体" w:hAnsi="宋体"/>
            </w:rPr>
            <w:t>一、说明</w:t>
          </w:r>
          <w:r>
            <w:tab/>
          </w:r>
          <w:r>
            <w:fldChar w:fldCharType="begin"/>
          </w:r>
          <w:r>
            <w:instrText xml:space="preserve"> PAGEREF _Toc75276788 \h </w:instrText>
          </w:r>
          <w:r>
            <w:fldChar w:fldCharType="separate"/>
          </w:r>
          <w:r>
            <w:t>10</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"_Toc75276793" </w:instrText>
          </w:r>
          <w:r>
            <w:fldChar w:fldCharType="separate"/>
          </w:r>
          <w:r>
            <w:rPr>
              <w:rStyle w:val="31"/>
              <w:rFonts w:hint="eastAsia" w:ascii="宋体" w:hAnsi="宋体"/>
            </w:rPr>
            <w:t>二、比选文件</w:t>
          </w:r>
          <w:r>
            <w:tab/>
          </w:r>
          <w:r>
            <w:fldChar w:fldCharType="begin"/>
          </w:r>
          <w:r>
            <w:instrText xml:space="preserve"> PAGEREF _Toc75276793 \h </w:instrText>
          </w:r>
          <w:r>
            <w:fldChar w:fldCharType="separate"/>
          </w:r>
          <w:r>
            <w:t>10</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"_Toc75276797" </w:instrText>
          </w:r>
          <w:r>
            <w:fldChar w:fldCharType="separate"/>
          </w:r>
          <w:r>
            <w:rPr>
              <w:rStyle w:val="31"/>
              <w:rFonts w:hint="eastAsia" w:ascii="宋体" w:hAnsi="宋体"/>
            </w:rPr>
            <w:t>三、比选申请文件的编制</w:t>
          </w:r>
          <w:r>
            <w:tab/>
          </w:r>
          <w:r>
            <w:fldChar w:fldCharType="begin"/>
          </w:r>
          <w:r>
            <w:instrText xml:space="preserve"> PAGEREF _Toc75276797 \h </w:instrText>
          </w:r>
          <w:r>
            <w:fldChar w:fldCharType="separate"/>
          </w:r>
          <w:r>
            <w:t>11</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"_Toc75276806" </w:instrText>
          </w:r>
          <w:r>
            <w:fldChar w:fldCharType="separate"/>
          </w:r>
          <w:r>
            <w:rPr>
              <w:rStyle w:val="31"/>
              <w:rFonts w:hint="eastAsia" w:ascii="宋体" w:hAnsi="宋体"/>
            </w:rPr>
            <w:t>四、比选申请文件的密封和递交</w:t>
          </w:r>
          <w:r>
            <w:tab/>
          </w:r>
          <w:r>
            <w:fldChar w:fldCharType="begin"/>
          </w:r>
          <w:r>
            <w:instrText xml:space="preserve"> PAGEREF _Toc75276806 \h </w:instrText>
          </w:r>
          <w:r>
            <w:fldChar w:fldCharType="separate"/>
          </w:r>
          <w:r>
            <w:t>14</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"_Toc75276811" </w:instrText>
          </w:r>
          <w:r>
            <w:fldChar w:fldCharType="separate"/>
          </w:r>
          <w:r>
            <w:rPr>
              <w:rStyle w:val="31"/>
              <w:rFonts w:hint="eastAsia" w:ascii="宋体" w:hAnsi="宋体"/>
            </w:rPr>
            <w:t>五、比选申请文件递交与评审</w:t>
          </w:r>
          <w:r>
            <w:tab/>
          </w:r>
          <w:r>
            <w:fldChar w:fldCharType="begin"/>
          </w:r>
          <w:r>
            <w:instrText xml:space="preserve"> PAGEREF _Toc75276811 \h </w:instrText>
          </w:r>
          <w:r>
            <w:fldChar w:fldCharType="separate"/>
          </w:r>
          <w:r>
            <w:t>15</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"_Toc75276823" </w:instrText>
          </w:r>
          <w:r>
            <w:fldChar w:fldCharType="separate"/>
          </w:r>
          <w:r>
            <w:rPr>
              <w:rStyle w:val="31"/>
              <w:rFonts w:hint="eastAsia" w:ascii="宋体" w:hAnsi="宋体"/>
            </w:rPr>
            <w:t>六、授予合同</w:t>
          </w:r>
          <w:r>
            <w:tab/>
          </w:r>
          <w:r>
            <w:fldChar w:fldCharType="begin"/>
          </w:r>
          <w:r>
            <w:instrText xml:space="preserve"> PAGEREF _Toc75276823 \h </w:instrText>
          </w:r>
          <w:r>
            <w:fldChar w:fldCharType="separate"/>
          </w:r>
          <w:r>
            <w:t>18</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"_Toc75276829" </w:instrText>
          </w:r>
          <w:r>
            <w:fldChar w:fldCharType="separate"/>
          </w:r>
          <w:r>
            <w:rPr>
              <w:rStyle w:val="31"/>
              <w:rFonts w:hint="eastAsia" w:ascii="宋体" w:hAnsi="宋体" w:eastAsia="黑体"/>
              <w:b/>
            </w:rPr>
            <w:t>第三章比选申请文件格式</w:t>
          </w:r>
          <w:r>
            <w:tab/>
          </w:r>
          <w:r>
            <w:fldChar w:fldCharType="begin"/>
          </w:r>
          <w:r>
            <w:instrText xml:space="preserve"> PAGEREF _Toc75276829 \h </w:instrText>
          </w:r>
          <w:r>
            <w:fldChar w:fldCharType="separate"/>
          </w:r>
          <w:r>
            <w:t>20</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"_Toc75276830" </w:instrText>
          </w:r>
          <w:r>
            <w:fldChar w:fldCharType="separate"/>
          </w:r>
          <w:r>
            <w:rPr>
              <w:rStyle w:val="31"/>
            </w:rPr>
            <w:t xml:space="preserve">A  </w:t>
          </w:r>
          <w:r>
            <w:rPr>
              <w:rStyle w:val="31"/>
              <w:rFonts w:hint="eastAsia"/>
            </w:rPr>
            <w:t>资格审查文件</w:t>
          </w:r>
          <w:r>
            <w:tab/>
          </w:r>
          <w:r>
            <w:fldChar w:fldCharType="begin"/>
          </w:r>
          <w:r>
            <w:instrText xml:space="preserve"> PAGEREF _Toc75276830 \h </w:instrText>
          </w:r>
          <w:r>
            <w:fldChar w:fldCharType="separate"/>
          </w:r>
          <w:r>
            <w:t>21</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"_Toc75276835" </w:instrText>
          </w:r>
          <w:r>
            <w:fldChar w:fldCharType="separate"/>
          </w:r>
          <w:r>
            <w:rPr>
              <w:rStyle w:val="31"/>
              <w:rFonts w:ascii="宋体" w:hAnsi="宋体"/>
            </w:rPr>
            <w:t xml:space="preserve">B </w:t>
          </w:r>
          <w:r>
            <w:rPr>
              <w:rStyle w:val="31"/>
              <w:rFonts w:hint="eastAsia" w:ascii="宋体" w:hAnsi="宋体"/>
            </w:rPr>
            <w:t>价格文件</w:t>
          </w:r>
          <w:r>
            <w:tab/>
          </w:r>
          <w:r>
            <w:fldChar w:fldCharType="begin"/>
          </w:r>
          <w:r>
            <w:instrText xml:space="preserve"> PAGEREF _Toc75276835 \h </w:instrText>
          </w:r>
          <w:r>
            <w:fldChar w:fldCharType="separate"/>
          </w:r>
          <w:r>
            <w:t>26</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"_Toc75276839" </w:instrText>
          </w:r>
          <w:r>
            <w:fldChar w:fldCharType="separate"/>
          </w:r>
          <w:r>
            <w:rPr>
              <w:rStyle w:val="31"/>
            </w:rPr>
            <w:t>C</w:t>
          </w:r>
          <w:r>
            <w:rPr>
              <w:rStyle w:val="31"/>
              <w:rFonts w:hint="eastAsia" w:hAnsi="宋体"/>
            </w:rPr>
            <w:t>技术文件</w:t>
          </w:r>
          <w:r>
            <w:tab/>
          </w:r>
          <w:r>
            <w:fldChar w:fldCharType="begin"/>
          </w:r>
          <w:r>
            <w:instrText xml:space="preserve"> PAGEREF _Toc75276839 \h </w:instrText>
          </w:r>
          <w:r>
            <w:fldChar w:fldCharType="separate"/>
          </w:r>
          <w:r>
            <w:t>31</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"_Toc75276844" </w:instrText>
          </w:r>
          <w:r>
            <w:fldChar w:fldCharType="separate"/>
          </w:r>
          <w:r>
            <w:rPr>
              <w:rStyle w:val="31"/>
              <w:rFonts w:hint="eastAsia" w:hAnsi="宋体"/>
              <w:b/>
            </w:rPr>
            <w:t>第四章用户需求书</w:t>
          </w:r>
          <w:r>
            <w:tab/>
          </w:r>
          <w:r>
            <w:fldChar w:fldCharType="begin"/>
          </w:r>
          <w:r>
            <w:instrText xml:space="preserve"> PAGEREF _Toc75276844 \h </w:instrText>
          </w:r>
          <w:r>
            <w:fldChar w:fldCharType="separate"/>
          </w:r>
          <w:r>
            <w:t>46</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"_Toc75276845" </w:instrText>
          </w:r>
          <w:r>
            <w:fldChar w:fldCharType="separate"/>
          </w:r>
          <w:r>
            <w:rPr>
              <w:rStyle w:val="31"/>
              <w:rFonts w:hint="eastAsia" w:ascii="宋体" w:hAnsi="宋体"/>
              <w:b/>
            </w:rPr>
            <w:t>一、商务要求</w:t>
          </w:r>
          <w:r>
            <w:tab/>
          </w:r>
          <w:r>
            <w:fldChar w:fldCharType="begin"/>
          </w:r>
          <w:r>
            <w:instrText xml:space="preserve"> PAGEREF _Toc75276845 \h </w:instrText>
          </w:r>
          <w:r>
            <w:fldChar w:fldCharType="separate"/>
          </w:r>
          <w:r>
            <w:t>46</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"_Toc75276846" </w:instrText>
          </w:r>
          <w:r>
            <w:fldChar w:fldCharType="separate"/>
          </w:r>
          <w:r>
            <w:rPr>
              <w:rStyle w:val="31"/>
              <w:rFonts w:hint="eastAsia" w:ascii="宋体" w:hAnsi="宋体"/>
              <w:b/>
            </w:rPr>
            <w:t>二、技术需求及数量表</w:t>
          </w:r>
          <w:r>
            <w:tab/>
          </w:r>
          <w:r>
            <w:fldChar w:fldCharType="begin"/>
          </w:r>
          <w:r>
            <w:instrText xml:space="preserve"> PAGEREF _Toc75276846 \h </w:instrText>
          </w:r>
          <w:r>
            <w:fldChar w:fldCharType="separate"/>
          </w:r>
          <w:r>
            <w:t>48</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"_Toc75276847" </w:instrText>
          </w:r>
          <w:r>
            <w:fldChar w:fldCharType="separate"/>
          </w:r>
          <w:r>
            <w:rPr>
              <w:rStyle w:val="31"/>
              <w:rFonts w:hint="eastAsia" w:hAnsi="宋体"/>
              <w:b/>
            </w:rPr>
            <w:t>第五章评分办法</w:t>
          </w:r>
          <w:r>
            <w:tab/>
          </w:r>
          <w:r>
            <w:fldChar w:fldCharType="begin"/>
          </w:r>
          <w:r>
            <w:instrText xml:space="preserve"> PAGEREF _Toc75276847 \h </w:instrText>
          </w:r>
          <w:r>
            <w:fldChar w:fldCharType="separate"/>
          </w:r>
          <w:r>
            <w:t>56</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"_Toc75276848" </w:instrText>
          </w:r>
          <w:r>
            <w:fldChar w:fldCharType="separate"/>
          </w:r>
          <w:r>
            <w:rPr>
              <w:rStyle w:val="31"/>
              <w:rFonts w:hint="eastAsia" w:ascii="宋体" w:hAnsi="宋体" w:cs="Arial"/>
              <w:b/>
              <w:bCs/>
            </w:rPr>
            <w:t>一、评审原则</w:t>
          </w:r>
          <w:r>
            <w:tab/>
          </w:r>
          <w:r>
            <w:fldChar w:fldCharType="begin"/>
          </w:r>
          <w:r>
            <w:instrText xml:space="preserve"> PAGEREF _Toc75276848 \h </w:instrText>
          </w:r>
          <w:r>
            <w:fldChar w:fldCharType="separate"/>
          </w:r>
          <w:r>
            <w:t>56</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"_Toc75276849" </w:instrText>
          </w:r>
          <w:r>
            <w:fldChar w:fldCharType="separate"/>
          </w:r>
          <w:r>
            <w:rPr>
              <w:rStyle w:val="31"/>
              <w:rFonts w:hint="eastAsia" w:ascii="宋体" w:hAnsi="宋体" w:cs="Arial"/>
              <w:b/>
              <w:bCs/>
            </w:rPr>
            <w:t>二、评定方法</w:t>
          </w:r>
          <w:r>
            <w:tab/>
          </w:r>
          <w:r>
            <w:fldChar w:fldCharType="begin"/>
          </w:r>
          <w:r>
            <w:instrText xml:space="preserve"> PAGEREF _Toc75276849 \h </w:instrText>
          </w:r>
          <w:r>
            <w:fldChar w:fldCharType="separate"/>
          </w:r>
          <w:r>
            <w:rPr>
              <w:b/>
            </w:rPr>
            <w:t>错误！未定义书签。</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"_Toc75276852" </w:instrText>
          </w:r>
          <w:r>
            <w:fldChar w:fldCharType="separate"/>
          </w:r>
          <w:r>
            <w:rPr>
              <w:rStyle w:val="31"/>
              <w:rFonts w:hint="eastAsia" w:hAnsi="宋体"/>
              <w:b/>
            </w:rPr>
            <w:t>第六章合同条款及格式</w:t>
          </w:r>
          <w:r>
            <w:tab/>
          </w:r>
          <w:r>
            <w:fldChar w:fldCharType="begin"/>
          </w:r>
          <w:r>
            <w:instrText xml:space="preserve"> PAGEREF _Toc75276852 \h </w:instrText>
          </w:r>
          <w:r>
            <w:fldChar w:fldCharType="separate"/>
          </w:r>
          <w:r>
            <w:t>65</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"_Toc75276853" </w:instrText>
          </w:r>
          <w:r>
            <w:fldChar w:fldCharType="separate"/>
          </w:r>
          <w:r>
            <w:rPr>
              <w:rStyle w:val="31"/>
              <w:rFonts w:hint="eastAsia" w:ascii="宋体" w:hAnsi="宋体"/>
              <w:b/>
            </w:rPr>
            <w:t>一、合同协议书</w:t>
          </w:r>
          <w:r>
            <w:tab/>
          </w:r>
          <w:r>
            <w:fldChar w:fldCharType="begin"/>
          </w:r>
          <w:r>
            <w:instrText xml:space="preserve"> PAGEREF _Toc75276853 \h </w:instrText>
          </w:r>
          <w:r>
            <w:fldChar w:fldCharType="separate"/>
          </w:r>
          <w:r>
            <w:t>65</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"_Toc75276854" </w:instrText>
          </w:r>
          <w:r>
            <w:fldChar w:fldCharType="separate"/>
          </w:r>
          <w:r>
            <w:rPr>
              <w:rStyle w:val="31"/>
              <w:rFonts w:hint="eastAsia" w:ascii="宋体" w:hAnsi="宋体"/>
              <w:b/>
            </w:rPr>
            <w:t>二、合同条款</w:t>
          </w:r>
          <w:r>
            <w:tab/>
          </w:r>
          <w:r>
            <w:fldChar w:fldCharType="begin"/>
          </w:r>
          <w:r>
            <w:instrText xml:space="preserve"> PAGEREF _Toc75276854 \h </w:instrText>
          </w:r>
          <w:r>
            <w:fldChar w:fldCharType="separate"/>
          </w:r>
          <w:r>
            <w:t>67</w:t>
          </w:r>
          <w:r>
            <w:fldChar w:fldCharType="end"/>
          </w:r>
          <w:r>
            <w:fldChar w:fldCharType="end"/>
          </w:r>
        </w:p>
        <w:p>
          <w:r>
            <w:fldChar w:fldCharType="end"/>
          </w:r>
        </w:p>
      </w:sdtContent>
    </w:sdt>
    <w:p>
      <w:pPr>
        <w:pStyle w:val="2"/>
        <w:pageBreakBefore/>
        <w:ind w:right="-57" w:firstLine="0"/>
        <w:jc w:val="center"/>
        <w:outlineLvl w:val="0"/>
        <w:rPr>
          <w:rStyle w:val="39"/>
          <w:rFonts w:ascii="宋体" w:hAnsi="宋体" w:eastAsia="宋体"/>
        </w:rPr>
      </w:pPr>
      <w:bookmarkStart w:id="19" w:name="_Toc75276786"/>
      <w:r>
        <w:rPr>
          <w:rStyle w:val="39"/>
          <w:rFonts w:hint="eastAsia" w:ascii="宋体" w:hAnsi="宋体" w:eastAsia="宋体"/>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after="120"/>
        <w:jc w:val="center"/>
        <w:rPr>
          <w:rFonts w:ascii="宋体" w:hAnsi="宋体"/>
          <w:b/>
          <w:sz w:val="28"/>
          <w:szCs w:val="28"/>
        </w:rPr>
      </w:pPr>
      <w:r>
        <w:rPr>
          <w:rFonts w:hint="eastAsia" w:ascii="宋体" w:hAnsi="宋体"/>
          <w:b/>
          <w:sz w:val="28"/>
          <w:szCs w:val="28"/>
        </w:rPr>
        <w:t>南宁轨道交通运营有限公司2022年办公家具采购项目比选公告</w:t>
      </w:r>
    </w:p>
    <w:p>
      <w:pPr>
        <w:spacing w:before="0" w:after="0" w:afterAutospacing="0"/>
        <w:ind w:left="0" w:right="0" w:firstLine="422" w:firstLineChars="200"/>
        <w:rPr>
          <w:rFonts w:ascii="宋体" w:hAnsi="宋体"/>
          <w:b/>
        </w:rPr>
      </w:pPr>
      <w:bookmarkStart w:id="20" w:name="OLE_LINK4"/>
      <w:bookmarkEnd w:id="20"/>
      <w:r>
        <w:rPr>
          <w:rFonts w:hint="eastAsia" w:ascii="宋体" w:hAnsi="宋体"/>
          <w:b/>
        </w:rPr>
        <w:t>1.比选条件</w:t>
      </w:r>
    </w:p>
    <w:p>
      <w:pPr>
        <w:spacing w:before="0" w:after="0" w:afterAutospacing="0"/>
        <w:ind w:left="0" w:right="0" w:firstLine="420" w:firstLineChars="200"/>
        <w:rPr>
          <w:rFonts w:ascii="宋体" w:hAnsi="宋体"/>
        </w:rPr>
      </w:pPr>
      <w:r>
        <w:rPr>
          <w:rFonts w:hint="eastAsia" w:ascii="宋体" w:hAnsi="宋体"/>
        </w:rPr>
        <w:t>本比选项目</w:t>
      </w:r>
      <w:r>
        <w:rPr>
          <w:rFonts w:hint="eastAsia" w:ascii="宋体" w:hAnsi="宋体"/>
          <w:lang w:eastAsia="zh-CN"/>
        </w:rPr>
        <w:t>：</w:t>
      </w:r>
      <w:r>
        <w:rPr>
          <w:rFonts w:hint="eastAsia" w:ascii="宋体" w:hAnsi="宋体"/>
          <w:color w:val="000000" w:themeColor="text1"/>
          <w:u w:val="single"/>
        </w:rPr>
        <w:t>南宁轨道交通运营有限公司2022年办公家具采购项目</w:t>
      </w:r>
      <w:r>
        <w:rPr>
          <w:rFonts w:hint="eastAsia" w:ascii="宋体" w:hAnsi="宋体"/>
        </w:rPr>
        <w:t>比选人为</w:t>
      </w:r>
      <w:r>
        <w:rPr>
          <w:rFonts w:ascii="宋体" w:hAnsi="宋体"/>
          <w:u w:val="single"/>
        </w:rPr>
        <w:t>南宁轨道</w:t>
      </w:r>
      <w:r>
        <w:rPr>
          <w:rFonts w:hint="eastAsia" w:ascii="宋体" w:hAnsi="宋体"/>
          <w:u w:val="single"/>
        </w:rPr>
        <w:t>交通运营</w:t>
      </w:r>
      <w:r>
        <w:rPr>
          <w:rFonts w:ascii="宋体" w:hAnsi="宋体"/>
          <w:u w:val="single"/>
        </w:rPr>
        <w:t>有限公司</w:t>
      </w:r>
      <w:r>
        <w:rPr>
          <w:rFonts w:hint="eastAsia" w:ascii="宋体" w:hAnsi="宋体"/>
        </w:rPr>
        <w:t>，比选项目资金来源为企业自有资金。</w:t>
      </w:r>
    </w:p>
    <w:p>
      <w:pPr>
        <w:spacing w:before="0" w:after="0" w:afterAutospacing="0"/>
        <w:ind w:left="0" w:right="0" w:firstLine="422" w:firstLineChars="200"/>
        <w:rPr>
          <w:rFonts w:ascii="宋体" w:hAnsi="宋体"/>
          <w:b/>
        </w:rPr>
      </w:pPr>
      <w:r>
        <w:rPr>
          <w:rFonts w:hint="eastAsia" w:ascii="宋体" w:hAnsi="宋体"/>
          <w:b/>
        </w:rPr>
        <w:t>2.项目概况与比选范围</w:t>
      </w:r>
    </w:p>
    <w:p>
      <w:pPr>
        <w:spacing w:before="0" w:after="0" w:afterAutospacing="0"/>
        <w:ind w:left="0" w:right="0" w:firstLine="420" w:firstLineChars="200"/>
        <w:rPr>
          <w:rFonts w:ascii="宋体" w:hAnsi="宋体"/>
          <w:bCs/>
          <w:color w:val="000000" w:themeColor="text1"/>
        </w:rPr>
      </w:pPr>
      <w:r>
        <w:rPr>
          <w:rFonts w:hint="eastAsia" w:ascii="宋体" w:hAnsi="宋体"/>
        </w:rPr>
        <w:t>项目编号：</w:t>
      </w:r>
      <w:r>
        <w:rPr>
          <w:rFonts w:hint="eastAsia" w:ascii="宋体" w:hAnsi="宋体"/>
          <w:b w:val="0"/>
          <w:bCs/>
          <w:color w:val="000000" w:themeColor="text1"/>
          <w:sz w:val="21"/>
          <w:szCs w:val="21"/>
          <w:u w:val="single"/>
        </w:rPr>
        <w:t xml:space="preserve"> 202208260004  </w:t>
      </w:r>
    </w:p>
    <w:p>
      <w:pPr>
        <w:spacing w:before="0" w:after="0" w:afterAutospacing="0"/>
        <w:ind w:left="0" w:right="0" w:firstLine="420" w:firstLineChars="200"/>
        <w:rPr>
          <w:rFonts w:ascii="宋体" w:hAnsi="宋体"/>
          <w:color w:val="000000" w:themeColor="text1"/>
        </w:rPr>
      </w:pPr>
      <w:r>
        <w:rPr>
          <w:rFonts w:hint="eastAsia" w:ascii="宋体" w:hAnsi="宋体"/>
        </w:rPr>
        <w:t>项目名称：</w:t>
      </w:r>
      <w:r>
        <w:rPr>
          <w:rFonts w:hint="eastAsia" w:ascii="宋体" w:hAnsi="宋体"/>
          <w:color w:val="000000" w:themeColor="text1"/>
          <w:u w:val="single"/>
        </w:rPr>
        <w:t>南宁轨道交通运营有限公司2022年办公家具采购项目</w:t>
      </w:r>
    </w:p>
    <w:p>
      <w:pPr>
        <w:spacing w:before="0" w:after="0" w:afterAutospacing="0"/>
        <w:ind w:left="0" w:right="0" w:firstLine="420" w:firstLineChars="200"/>
        <w:rPr>
          <w:rFonts w:ascii="宋体" w:hAnsi="宋体"/>
          <w:u w:val="single"/>
        </w:rPr>
      </w:pPr>
      <w:r>
        <w:rPr>
          <w:rFonts w:hint="eastAsia" w:ascii="宋体" w:hAnsi="宋体"/>
        </w:rPr>
        <w:t>上限控制价：本项目</w:t>
      </w:r>
      <w:r>
        <w:rPr>
          <w:rFonts w:hint="eastAsia" w:ascii="宋体" w:hAnsi="宋体"/>
          <w:u w:val="single"/>
        </w:rPr>
        <w:t>不含税上限控制价为人民</w:t>
      </w:r>
      <w:r>
        <w:rPr>
          <w:rFonts w:hint="eastAsia" w:ascii="宋体" w:hAnsi="宋体"/>
          <w:u w:val="single"/>
          <w:lang w:val="en-US" w:eastAsia="zh-CN"/>
        </w:rPr>
        <w:t>393000</w:t>
      </w:r>
      <w:r>
        <w:rPr>
          <w:rFonts w:hint="eastAsia" w:ascii="宋体" w:hAnsi="宋体"/>
          <w:u w:val="single"/>
        </w:rPr>
        <w:t>元</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交货期限：合同生效且</w:t>
      </w:r>
      <w:r>
        <w:rPr>
          <w:rFonts w:ascii="宋体" w:hAnsi="宋体"/>
        </w:rPr>
        <w:t>交货通知书发出后</w:t>
      </w:r>
      <w:r>
        <w:rPr>
          <w:rFonts w:hint="eastAsia" w:ascii="宋体" w:hAnsi="宋体"/>
          <w:color w:val="000000" w:themeColor="text1"/>
        </w:rPr>
        <w:t>90天</w:t>
      </w:r>
      <w:r>
        <w:rPr>
          <w:rFonts w:hint="eastAsia" w:ascii="宋体" w:hAnsi="宋体"/>
        </w:rPr>
        <w:t>内分批交货，如遇春节期间，交货期可适当延长，但不得超过4个月，具体按交货通知为准。具体详见用户需求书。</w:t>
      </w:r>
    </w:p>
    <w:p>
      <w:pPr>
        <w:spacing w:before="0" w:after="0" w:afterAutospacing="0"/>
        <w:ind w:left="0" w:right="0" w:firstLine="420" w:firstLineChars="200"/>
        <w:rPr>
          <w:rFonts w:ascii="宋体" w:hAnsi="宋体"/>
          <w:u w:val="single"/>
        </w:rPr>
      </w:pPr>
      <w:r>
        <w:rPr>
          <w:rFonts w:hint="eastAsia" w:ascii="宋体" w:hAnsi="宋体"/>
        </w:rPr>
        <w:t>交货地点：具体详见用户需求书。</w:t>
      </w:r>
    </w:p>
    <w:p>
      <w:pPr>
        <w:spacing w:before="0" w:after="0" w:afterAutospacing="0"/>
        <w:ind w:left="0" w:right="0" w:firstLine="420" w:firstLineChars="200"/>
        <w:rPr>
          <w:rFonts w:ascii="宋体" w:hAnsi="宋体"/>
          <w:u w:val="single"/>
        </w:rPr>
      </w:pPr>
      <w:r>
        <w:rPr>
          <w:rFonts w:hint="eastAsia" w:ascii="宋体" w:hAnsi="宋体"/>
        </w:rPr>
        <w:t>比选范围：</w:t>
      </w:r>
      <w:r>
        <w:rPr>
          <w:rFonts w:hint="eastAsia" w:ascii="宋体" w:hAnsi="宋体"/>
          <w:color w:val="000000" w:themeColor="text1"/>
          <w:u w:val="single"/>
        </w:rPr>
        <w:t>南宁轨道交通1-5号线办公家具</w:t>
      </w:r>
      <w:r>
        <w:rPr>
          <w:rFonts w:ascii="宋体" w:hAnsi="宋体"/>
          <w:color w:val="000000" w:themeColor="text1"/>
          <w:u w:val="single"/>
        </w:rPr>
        <w:t>采购</w:t>
      </w:r>
      <w:r>
        <w:rPr>
          <w:rFonts w:hint="eastAsia" w:ascii="宋体" w:hAnsi="宋体"/>
          <w:u w:val="single"/>
        </w:rPr>
        <w:t>，</w:t>
      </w:r>
      <w:r>
        <w:rPr>
          <w:rFonts w:hint="eastAsia" w:ascii="宋体" w:hAnsi="宋体"/>
        </w:rPr>
        <w:t>具体详见用户需求书。</w:t>
      </w:r>
    </w:p>
    <w:p>
      <w:pPr>
        <w:spacing w:before="0" w:after="0" w:afterAutospacing="0"/>
        <w:ind w:left="0" w:right="0" w:firstLine="422" w:firstLineChars="200"/>
        <w:rPr>
          <w:rFonts w:ascii="宋体" w:hAnsi="宋体"/>
        </w:rPr>
      </w:pPr>
      <w:r>
        <w:rPr>
          <w:rFonts w:hint="eastAsia" w:ascii="宋体" w:hAnsi="宋体"/>
          <w:b/>
        </w:rPr>
        <w:t>3.比选申请人资格要求</w:t>
      </w:r>
    </w:p>
    <w:p>
      <w:pPr>
        <w:spacing w:before="0" w:after="0" w:afterAutospacing="0"/>
        <w:ind w:left="0" w:right="0" w:firstLine="420" w:firstLineChars="200"/>
      </w:pPr>
      <w:r>
        <w:rPr>
          <w:rFonts w:hint="eastAsia" w:ascii="宋体" w:hAnsi="宋体"/>
        </w:rPr>
        <w:t>3.1比选申请人为中华人民共和国境内依法设立的法人或其他组织（若以分公司名义参与比选申请，必须出具总公司授权参与的证明）</w:t>
      </w:r>
      <w:r>
        <w:rPr>
          <w:rFonts w:hint="eastAsia" w:ascii="宋体" w:hAnsi="宋体"/>
          <w:lang w:val="en-US" w:eastAsia="zh-CN"/>
        </w:rPr>
        <w:t>,</w:t>
      </w:r>
      <w:r>
        <w:rPr>
          <w:rFonts w:hint="eastAsia" w:ascii="宋体" w:hAnsi="宋体"/>
        </w:rPr>
        <w:t>经营范围至少包括下列范围之一：家具的制造、设计、安装、维修及销售</w:t>
      </w:r>
      <w:r>
        <w:rPr>
          <w:rFonts w:hint="eastAsia" w:ascii="宋体" w:hAnsi="宋体"/>
          <w:color w:val="000000" w:themeColor="text1"/>
        </w:rPr>
        <w:t>等类似经营范围。</w:t>
      </w:r>
    </w:p>
    <w:p>
      <w:p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2</w:t>
      </w:r>
      <w:r>
        <w:rPr>
          <w:rFonts w:hint="eastAsia" w:ascii="宋体" w:hAnsi="宋体"/>
        </w:rPr>
        <w:t>比选申请人没有处于被行政主管部门或业主取消比选申请资格的处罚期内，且没有处于被责令停业，财产被接管、冻结、破产状态；比选申请截止时间前3年内没有骗取中选、严重违约或重大质量安全责任事故的情况</w:t>
      </w:r>
      <w:r>
        <w:rPr>
          <w:rFonts w:hint="eastAsia" w:ascii="宋体" w:hAnsi="宋体"/>
          <w:lang w:eastAsia="zh-CN"/>
        </w:rPr>
        <w:t>。</w:t>
      </w:r>
    </w:p>
    <w:p>
      <w:p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3</w:t>
      </w:r>
      <w:r>
        <w:rPr>
          <w:rFonts w:hint="eastAsia" w:ascii="宋体" w:hAnsi="宋体"/>
        </w:rPr>
        <w:t>单位负责人为同一人或者存在控股、管理关系的不同单位，不得参加同一标段比选申请或者未划分标段的同一比选项目比选申请</w:t>
      </w:r>
      <w:r>
        <w:rPr>
          <w:rFonts w:hint="eastAsia" w:ascii="宋体" w:hAnsi="宋体"/>
          <w:lang w:eastAsia="zh-CN"/>
        </w:rPr>
        <w:t>。</w:t>
      </w:r>
    </w:p>
    <w:p>
      <w:p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4</w:t>
      </w:r>
      <w:r>
        <w:rPr>
          <w:rFonts w:hint="eastAsia" w:ascii="宋体" w:hAnsi="宋体"/>
        </w:rPr>
        <w:t>本项目不接受联合体比选申请。</w:t>
      </w:r>
    </w:p>
    <w:p>
      <w:pPr>
        <w:spacing w:before="0" w:after="0" w:afterAutospacing="0"/>
        <w:ind w:left="0" w:right="0" w:firstLine="422" w:firstLineChars="200"/>
        <w:rPr>
          <w:rFonts w:ascii="宋体" w:hAnsi="宋体"/>
          <w:b/>
        </w:rPr>
      </w:pPr>
      <w:r>
        <w:rPr>
          <w:rFonts w:hint="eastAsia" w:ascii="宋体" w:hAnsi="宋体"/>
          <w:b/>
        </w:rPr>
        <w:t>4.资格审查方式</w:t>
      </w:r>
    </w:p>
    <w:p>
      <w:pPr>
        <w:spacing w:before="0" w:after="0" w:afterAutospacing="0"/>
        <w:ind w:left="0" w:right="0" w:firstLine="420" w:firstLineChars="200"/>
        <w:rPr>
          <w:rFonts w:ascii="宋体" w:hAnsi="宋体"/>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rPr>
      </w:pPr>
      <w:r>
        <w:rPr>
          <w:rFonts w:hint="eastAsia" w:ascii="宋体" w:hAnsi="宋体"/>
          <w:b/>
        </w:rPr>
        <w:t>5.比选文件的获取</w:t>
      </w:r>
    </w:p>
    <w:p>
      <w:pPr>
        <w:spacing w:before="0" w:after="0" w:afterAutospacing="0"/>
        <w:ind w:left="0" w:right="0" w:firstLine="420" w:firstLineChars="200"/>
        <w:rPr>
          <w:rFonts w:ascii="宋体" w:hAnsi="宋体"/>
        </w:rPr>
      </w:pPr>
      <w:r>
        <w:rPr>
          <w:rFonts w:hint="eastAsia" w:ascii="宋体" w:hAnsi="宋体"/>
        </w:rPr>
        <w:t>5.1比选文件获取：</w:t>
      </w:r>
    </w:p>
    <w:p>
      <w:pPr>
        <w:spacing w:before="0" w:after="0" w:afterAutospacing="0"/>
        <w:ind w:left="0" w:right="0" w:firstLine="420" w:firstLineChars="200"/>
        <w:rPr>
          <w:rFonts w:ascii="宋体" w:hAnsi="宋体"/>
        </w:rPr>
      </w:pPr>
      <w:r>
        <w:rPr>
          <w:rFonts w:hint="eastAsia" w:ascii="宋体" w:hAnsi="宋体"/>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rPr>
      </w:pPr>
      <w:r>
        <w:rPr>
          <w:rFonts w:hint="eastAsia" w:ascii="宋体" w:hAnsi="宋体"/>
          <w:b/>
        </w:rPr>
        <w:t>6.</w:t>
      </w:r>
      <w:r>
        <w:rPr>
          <w:rFonts w:ascii="宋体" w:hAnsi="宋体"/>
          <w:b/>
        </w:rPr>
        <w:t>比选申请截止时间</w:t>
      </w:r>
      <w:r>
        <w:rPr>
          <w:rFonts w:hint="eastAsia" w:ascii="宋体" w:hAnsi="宋体"/>
          <w:b/>
        </w:rPr>
        <w:t>和</w:t>
      </w:r>
      <w:r>
        <w:rPr>
          <w:rFonts w:ascii="宋体" w:hAnsi="宋体"/>
          <w:b/>
        </w:rPr>
        <w:t>地点</w:t>
      </w:r>
    </w:p>
    <w:p>
      <w:pPr>
        <w:spacing w:before="0" w:after="0" w:afterAutospacing="0"/>
        <w:ind w:left="0" w:right="0" w:firstLine="420" w:firstLineChars="200"/>
        <w:rPr>
          <w:rFonts w:ascii="宋体" w:hAnsi="宋体"/>
          <w:color w:val="FF0000"/>
        </w:rPr>
      </w:pPr>
      <w:r>
        <w:rPr>
          <w:rFonts w:hint="eastAsia" w:ascii="宋体" w:hAnsi="宋体"/>
          <w:color w:val="000000" w:themeColor="text1"/>
        </w:rPr>
        <w:t>6.1比选申请文件须密封后</w:t>
      </w:r>
      <w:r>
        <w:rPr>
          <w:rFonts w:hint="eastAsia" w:ascii="宋体" w:hAnsi="宋体"/>
          <w:color w:val="000000" w:themeColor="text1"/>
          <w:u w:val="none"/>
        </w:rPr>
        <w:t>于202</w:t>
      </w:r>
      <w:r>
        <w:rPr>
          <w:rFonts w:hint="eastAsia" w:ascii="宋体" w:hAnsi="宋体"/>
          <w:color w:val="000000" w:themeColor="text1"/>
          <w:u w:val="none"/>
          <w:lang w:val="en-US" w:eastAsia="zh-CN"/>
        </w:rPr>
        <w:t>2</w:t>
      </w:r>
      <w:r>
        <w:rPr>
          <w:rFonts w:hint="eastAsia" w:ascii="宋体" w:hAnsi="宋体"/>
          <w:color w:val="000000" w:themeColor="text1"/>
          <w:u w:val="none"/>
        </w:rPr>
        <w:t>年</w:t>
      </w:r>
      <w:r>
        <w:rPr>
          <w:rFonts w:hint="eastAsia" w:ascii="宋体" w:hAnsi="宋体"/>
          <w:color w:val="000000" w:themeColor="text1"/>
          <w:u w:val="none"/>
          <w:lang w:val="en-US" w:eastAsia="zh-CN"/>
        </w:rPr>
        <w:t>11</w:t>
      </w:r>
      <w:r>
        <w:rPr>
          <w:rFonts w:hint="eastAsia" w:ascii="宋体" w:hAnsi="宋体"/>
          <w:color w:val="000000" w:themeColor="text1"/>
        </w:rPr>
        <w:t>月</w:t>
      </w:r>
      <w:r>
        <w:rPr>
          <w:rFonts w:hint="eastAsia" w:ascii="宋体" w:hAnsi="宋体"/>
          <w:color w:val="000000" w:themeColor="text1"/>
          <w:lang w:val="en-US" w:eastAsia="zh-CN"/>
        </w:rPr>
        <w:t xml:space="preserve"> 16</w:t>
      </w:r>
      <w:r>
        <w:rPr>
          <w:rFonts w:hint="eastAsia" w:ascii="宋体" w:hAnsi="宋体"/>
          <w:color w:val="000000" w:themeColor="text1"/>
        </w:rPr>
        <w:t xml:space="preserve">日 </w:t>
      </w:r>
      <w:r>
        <w:rPr>
          <w:rFonts w:hint="eastAsia" w:ascii="宋体" w:hAnsi="宋体"/>
          <w:color w:val="000000" w:themeColor="text1"/>
          <w:lang w:val="en-US" w:eastAsia="zh-CN"/>
        </w:rPr>
        <w:t xml:space="preserve">15 </w:t>
      </w:r>
      <w:r>
        <w:rPr>
          <w:rFonts w:hint="eastAsia" w:ascii="宋体" w:hAnsi="宋体"/>
          <w:color w:val="000000" w:themeColor="text1"/>
        </w:rPr>
        <w:t>时</w:t>
      </w:r>
      <w:r>
        <w:rPr>
          <w:rFonts w:hint="eastAsia" w:ascii="宋体" w:hAnsi="宋体"/>
          <w:color w:val="000000" w:themeColor="text1"/>
          <w:lang w:val="en-US" w:eastAsia="zh-CN"/>
        </w:rPr>
        <w:t xml:space="preserve">00 </w:t>
      </w:r>
      <w:r>
        <w:rPr>
          <w:rFonts w:hint="eastAsia" w:ascii="宋体" w:hAnsi="宋体"/>
          <w:color w:val="000000" w:themeColor="text1"/>
        </w:rPr>
        <w:t>分-</w:t>
      </w:r>
      <w:r>
        <w:rPr>
          <w:rFonts w:hint="eastAsia" w:ascii="宋体" w:hAnsi="宋体"/>
          <w:color w:val="000000" w:themeColor="text1"/>
          <w:lang w:val="en-US" w:eastAsia="zh-CN"/>
        </w:rPr>
        <w:t>15</w:t>
      </w:r>
      <w:r>
        <w:rPr>
          <w:rFonts w:hint="eastAsia" w:ascii="宋体" w:hAnsi="宋体"/>
          <w:color w:val="000000" w:themeColor="text1"/>
        </w:rPr>
        <w:t>时</w:t>
      </w:r>
      <w:r>
        <w:rPr>
          <w:rFonts w:hint="eastAsia" w:ascii="宋体" w:hAnsi="宋体"/>
          <w:color w:val="000000" w:themeColor="text1"/>
          <w:lang w:val="en-US" w:eastAsia="zh-CN"/>
        </w:rPr>
        <w:t xml:space="preserve">30 </w:t>
      </w:r>
      <w:r>
        <w:rPr>
          <w:rFonts w:hint="eastAsia" w:ascii="宋体" w:hAnsi="宋体"/>
          <w:color w:val="000000" w:themeColor="text1"/>
        </w:rPr>
        <w:t>分（北京时间）前递交，递交地点在广西南宁市青秀区云景路83号屯里车辆段综合楼205会议室，递交现场联系人：</w:t>
      </w:r>
      <w:r>
        <w:rPr>
          <w:rFonts w:hint="eastAsia" w:ascii="宋体" w:hAnsi="宋体"/>
          <w:color w:val="000000" w:themeColor="text1"/>
          <w:lang w:eastAsia="zh-CN"/>
        </w:rPr>
        <w:t>李</w:t>
      </w:r>
      <w:r>
        <w:rPr>
          <w:rFonts w:hint="eastAsia" w:ascii="宋体" w:hAnsi="宋体"/>
          <w:lang w:eastAsia="zh-CN"/>
        </w:rPr>
        <w:t>工</w:t>
      </w:r>
      <w:r>
        <w:rPr>
          <w:rFonts w:hint="eastAsia" w:ascii="宋体" w:hAnsi="宋体"/>
          <w:color w:val="000000" w:themeColor="text1"/>
          <w:lang w:eastAsia="zh-CN"/>
        </w:rPr>
        <w:t>，</w:t>
      </w:r>
      <w:r>
        <w:rPr>
          <w:rFonts w:hint="eastAsia" w:ascii="宋体" w:hAnsi="宋体"/>
          <w:color w:val="000000" w:themeColor="text1"/>
        </w:rPr>
        <w:t>电话</w:t>
      </w:r>
      <w:r>
        <w:rPr>
          <w:rFonts w:hint="eastAsia" w:ascii="宋体" w:hAnsi="宋体"/>
          <w:color w:val="000000" w:themeColor="text1"/>
          <w:lang w:val="en-US" w:eastAsia="zh-CN"/>
        </w:rPr>
        <w:t>14795507439</w:t>
      </w:r>
      <w:r>
        <w:rPr>
          <w:rFonts w:hint="eastAsia" w:ascii="宋体" w:hAnsi="宋体"/>
          <w:color w:val="000000" w:themeColor="text1"/>
        </w:rPr>
        <w:t>；</w:t>
      </w:r>
    </w:p>
    <w:p>
      <w:pPr>
        <w:spacing w:before="0" w:after="0" w:afterAutospacing="0"/>
        <w:ind w:left="0" w:right="0" w:firstLine="420" w:firstLineChars="200"/>
        <w:rPr>
          <w:rFonts w:ascii="宋体" w:hAnsi="宋体"/>
        </w:rPr>
      </w:pPr>
      <w:r>
        <w:rPr>
          <w:rFonts w:hint="eastAsia" w:ascii="宋体" w:hAnsi="宋体"/>
        </w:rPr>
        <w:t>6.2</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6.3请比选申请人法定代表人或其授权代表携法人委托书原件准时参加。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法定代表人或其授权代表递交，否则比选人不予受理。</w:t>
      </w:r>
    </w:p>
    <w:p>
      <w:pPr>
        <w:spacing w:before="0" w:after="0" w:afterAutospacing="0"/>
        <w:ind w:left="0" w:right="0" w:firstLine="422" w:firstLineChars="200"/>
        <w:rPr>
          <w:rFonts w:ascii="宋体" w:hAnsi="宋体"/>
          <w:b/>
        </w:rPr>
      </w:pPr>
      <w:r>
        <w:rPr>
          <w:rFonts w:hint="eastAsia" w:ascii="宋体" w:hAnsi="宋体"/>
          <w:b/>
        </w:rPr>
        <w:t>7.发布公告的媒介</w:t>
      </w:r>
    </w:p>
    <w:p>
      <w:pPr>
        <w:spacing w:before="0" w:after="0" w:afterAutospacing="0"/>
        <w:ind w:left="0" w:right="0" w:firstLine="420" w:firstLineChars="200"/>
        <w:rPr>
          <w:rFonts w:ascii="宋体" w:hAnsi="宋体"/>
        </w:rPr>
      </w:pPr>
      <w:r>
        <w:rPr>
          <w:rFonts w:hint="eastAsia" w:ascii="宋体" w:hAnsi="宋体"/>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rPr>
      </w:pPr>
      <w:r>
        <w:rPr>
          <w:rFonts w:hint="eastAsia" w:ascii="宋体" w:hAnsi="宋体"/>
          <w:b/>
        </w:rPr>
        <w:t>8.联系方式</w:t>
      </w:r>
    </w:p>
    <w:p>
      <w:pPr>
        <w:spacing w:before="0" w:after="0" w:afterAutospacing="0"/>
        <w:ind w:left="0" w:right="0" w:firstLine="420" w:firstLineChars="200"/>
        <w:rPr>
          <w:rFonts w:ascii="宋体" w:hAnsi="宋体"/>
          <w:u w:val="single"/>
        </w:rPr>
      </w:pPr>
      <w:r>
        <w:rPr>
          <w:rFonts w:hint="eastAsia" w:ascii="宋体" w:hAnsi="宋体"/>
        </w:rPr>
        <w:t xml:space="preserve">比 选 人：南宁轨道交通运营有限公司    </w:t>
      </w:r>
    </w:p>
    <w:p>
      <w:pPr>
        <w:spacing w:before="0" w:after="0" w:afterAutospacing="0"/>
        <w:ind w:left="0" w:right="0" w:firstLine="420" w:firstLineChars="200"/>
        <w:rPr>
          <w:rFonts w:ascii="宋体" w:hAnsi="宋体"/>
          <w:u w:val="single"/>
        </w:rPr>
      </w:pPr>
      <w:r>
        <w:rPr>
          <w:rFonts w:hint="eastAsia" w:ascii="宋体" w:hAnsi="宋体"/>
        </w:rPr>
        <w:t xml:space="preserve">地    址：南宁市青秀区云景路83号         </w:t>
      </w:r>
    </w:p>
    <w:p>
      <w:pPr>
        <w:spacing w:before="0" w:after="0" w:afterAutospacing="0"/>
        <w:ind w:left="0" w:right="0" w:firstLine="420" w:firstLineChars="200"/>
        <w:rPr>
          <w:rFonts w:ascii="宋体" w:hAnsi="宋体"/>
          <w:u w:val="single"/>
        </w:rPr>
      </w:pPr>
      <w:r>
        <w:rPr>
          <w:rFonts w:hint="eastAsia" w:ascii="宋体" w:hAnsi="宋体"/>
        </w:rPr>
        <w:t xml:space="preserve">邮    编：530022                         </w:t>
      </w:r>
    </w:p>
    <w:p>
      <w:pPr>
        <w:spacing w:before="0" w:after="0" w:afterAutospacing="0"/>
        <w:ind w:left="0" w:right="0" w:firstLine="420" w:firstLineChars="200"/>
        <w:rPr>
          <w:rFonts w:ascii="Arial" w:hAnsi="Arial" w:cs="Arial"/>
          <w:color w:val="000000" w:themeColor="text1"/>
          <w:u w:val="single"/>
        </w:rPr>
      </w:pPr>
      <w:r>
        <w:rPr>
          <w:rFonts w:hint="eastAsia" w:ascii="宋体" w:hAnsi="宋体"/>
        </w:rPr>
        <w:t>联系人</w:t>
      </w:r>
      <w:r>
        <w:rPr>
          <w:rFonts w:hint="eastAsia" w:ascii="宋体" w:hAnsi="宋体"/>
          <w:color w:val="000000" w:themeColor="text1"/>
        </w:rPr>
        <w:t>：</w:t>
      </w:r>
      <w:r>
        <w:rPr>
          <w:rFonts w:hint="eastAsia" w:ascii="宋体" w:hAnsi="宋体"/>
          <w:color w:val="000000" w:themeColor="text1"/>
          <w:u w:val="none"/>
        </w:rPr>
        <w:t>李</w:t>
      </w:r>
      <w:r>
        <w:rPr>
          <w:rFonts w:hint="eastAsia" w:ascii="Arial" w:hAnsi="Arial" w:cs="Arial"/>
          <w:color w:val="000000" w:themeColor="text1"/>
          <w:u w:val="none"/>
        </w:rPr>
        <w:t>工、陈工</w:t>
      </w:r>
    </w:p>
    <w:p>
      <w:pPr>
        <w:widowControl w:val="0"/>
        <w:spacing w:before="0" w:after="0" w:afterAutospacing="0" w:line="420" w:lineRule="exact"/>
        <w:ind w:left="0" w:right="0" w:firstLine="420" w:firstLineChars="200"/>
        <w:rPr>
          <w:rFonts w:ascii="宋体" w:hAnsi="宋体"/>
          <w:color w:val="000000" w:themeColor="text1"/>
          <w:u w:val="none"/>
        </w:rPr>
      </w:pPr>
      <w:r>
        <w:rPr>
          <w:rFonts w:hint="eastAsia" w:ascii="宋体" w:hAnsi="宋体"/>
          <w:color w:val="000000" w:themeColor="text1"/>
        </w:rPr>
        <w:t>联系电话：</w:t>
      </w:r>
      <w:r>
        <w:rPr>
          <w:rFonts w:hint="eastAsia" w:ascii="宋体" w:hAnsi="宋体"/>
          <w:color w:val="000000" w:themeColor="text1"/>
          <w:u w:val="none"/>
        </w:rPr>
        <w:t>李</w:t>
      </w:r>
      <w:r>
        <w:rPr>
          <w:rFonts w:hint="eastAsia" w:ascii="Arial" w:hAnsi="Arial" w:cs="Arial"/>
          <w:color w:val="000000" w:themeColor="text1"/>
          <w:u w:val="none"/>
        </w:rPr>
        <w:t>工</w:t>
      </w:r>
      <w:r>
        <w:rPr>
          <w:rFonts w:hint="eastAsia" w:ascii="宋体" w:hAnsi="宋体"/>
          <w:color w:val="000000" w:themeColor="text1"/>
          <w:u w:val="none"/>
        </w:rPr>
        <w:t>0771-</w:t>
      </w:r>
      <w:r>
        <w:rPr>
          <w:rFonts w:hint="eastAsia" w:ascii="宋体" w:hAnsi="宋体"/>
          <w:color w:val="000000" w:themeColor="text1"/>
          <w:u w:val="none"/>
          <w:lang w:val="en-US" w:eastAsia="zh-CN"/>
        </w:rPr>
        <w:t>2227023</w:t>
      </w:r>
      <w:r>
        <w:rPr>
          <w:rFonts w:hint="eastAsia" w:ascii="宋体" w:hAnsi="宋体"/>
          <w:color w:val="000000" w:themeColor="text1"/>
          <w:u w:val="none"/>
        </w:rPr>
        <w:t>、陈</w:t>
      </w:r>
      <w:r>
        <w:rPr>
          <w:rFonts w:hint="eastAsia" w:ascii="Arial" w:hAnsi="Arial" w:cs="Arial"/>
          <w:color w:val="000000" w:themeColor="text1"/>
          <w:u w:val="none"/>
        </w:rPr>
        <w:t>工</w:t>
      </w:r>
      <w:r>
        <w:rPr>
          <w:rFonts w:hint="eastAsia" w:ascii="宋体" w:hAnsi="宋体"/>
          <w:color w:val="000000" w:themeColor="text1"/>
          <w:u w:val="none"/>
        </w:rPr>
        <w:t>0771-</w:t>
      </w:r>
      <w:r>
        <w:rPr>
          <w:rFonts w:hint="eastAsia" w:ascii="宋体" w:hAnsi="宋体"/>
          <w:lang w:val="en-US" w:eastAsia="zh-CN"/>
        </w:rPr>
        <w:t>2778973</w:t>
      </w:r>
      <w:r>
        <w:rPr>
          <w:rFonts w:hint="eastAsia" w:ascii="宋体" w:hAnsi="宋体"/>
          <w:color w:val="000000" w:themeColor="text1"/>
          <w:u w:val="none"/>
        </w:rPr>
        <w:t xml:space="preserve"> </w:t>
      </w:r>
    </w:p>
    <w:p>
      <w:pPr>
        <w:spacing w:before="0" w:after="0" w:afterAutospacing="0"/>
        <w:ind w:left="0" w:right="0" w:firstLine="420" w:firstLineChars="200"/>
        <w:rPr>
          <w:rFonts w:ascii="宋体" w:hAnsi="宋体"/>
          <w:color w:val="000000" w:themeColor="text1"/>
          <w:u w:val="single"/>
        </w:rPr>
      </w:pPr>
      <w:r>
        <w:rPr>
          <w:rFonts w:hint="eastAsia" w:ascii="宋体" w:hAnsi="宋体"/>
          <w:color w:val="000000" w:themeColor="text1"/>
        </w:rPr>
        <w:t>电子邮件：342068802</w:t>
      </w:r>
      <w:r>
        <w:rPr>
          <w:rFonts w:hint="eastAsia" w:ascii="宋体" w:hAnsi="宋体"/>
          <w:color w:val="000000" w:themeColor="text1"/>
          <w:u w:val="none"/>
        </w:rPr>
        <w:t>@qq.com</w:t>
      </w:r>
    </w:p>
    <w:p>
      <w:pPr>
        <w:spacing w:before="0" w:after="120" w:line="380" w:lineRule="exact"/>
        <w:ind w:left="430" w:right="-57" w:firstLine="200"/>
        <w:rPr>
          <w:rFonts w:ascii="宋体" w:hAnsi="宋体"/>
        </w:rPr>
      </w:pPr>
    </w:p>
    <w:p>
      <w:pPr>
        <w:spacing w:before="0" w:after="120" w:line="380" w:lineRule="exact"/>
        <w:ind w:left="430" w:right="-57" w:firstLine="200"/>
        <w:rPr>
          <w:rFonts w:ascii="宋体" w:hAnsi="宋体"/>
        </w:rPr>
      </w:pPr>
    </w:p>
    <w:p>
      <w:pPr>
        <w:pStyle w:val="2"/>
        <w:pageBreakBefore/>
        <w:ind w:right="-57" w:firstLine="0"/>
        <w:jc w:val="center"/>
        <w:outlineLvl w:val="0"/>
        <w:rPr>
          <w:rStyle w:val="39"/>
          <w:rFonts w:ascii="宋体" w:hAnsi="宋体" w:eastAsia="宋体"/>
        </w:rPr>
      </w:pPr>
      <w:bookmarkStart w:id="21" w:name="_Toc322528192"/>
      <w:bookmarkEnd w:id="21"/>
      <w:bookmarkStart w:id="22" w:name="_Toc512357502"/>
      <w:bookmarkStart w:id="23" w:name="_Toc20201"/>
      <w:bookmarkStart w:id="24" w:name="_Toc30883"/>
      <w:bookmarkStart w:id="25" w:name="_Toc17594"/>
      <w:bookmarkStart w:id="26" w:name="_Toc29836"/>
      <w:bookmarkStart w:id="27" w:name="_Toc75276787"/>
      <w:bookmarkStart w:id="28" w:name="_Toc17735"/>
      <w:bookmarkStart w:id="29" w:name="_Toc30950"/>
      <w:bookmarkStart w:id="30" w:name="_Toc1230"/>
      <w:bookmarkStart w:id="31" w:name="_Toc12635"/>
      <w:bookmarkStart w:id="32" w:name="_Toc18454"/>
      <w:bookmarkStart w:id="33" w:name="_Toc22273"/>
      <w:bookmarkStart w:id="34" w:name="_Toc24972"/>
      <w:bookmarkStart w:id="35" w:name="_Toc21830"/>
      <w:bookmarkStart w:id="36" w:name="_Toc30725"/>
      <w:bookmarkStart w:id="37" w:name="_Toc17240"/>
      <w:bookmarkStart w:id="38" w:name="_Toc15976"/>
      <w:bookmarkStart w:id="39" w:name="_Toc3495"/>
      <w:bookmarkStart w:id="40" w:name="_Toc24390"/>
      <w:r>
        <w:rPr>
          <w:rStyle w:val="39"/>
          <w:rFonts w:hint="eastAsia" w:ascii="宋体" w:hAnsi="宋体" w:eastAsia="宋体"/>
        </w:rPr>
        <w:t>第二章</w:t>
      </w:r>
      <w:bookmarkEnd w:id="22"/>
      <w:r>
        <w:rPr>
          <w:rStyle w:val="39"/>
          <w:rFonts w:hint="eastAsia" w:ascii="宋体" w:hAnsi="宋体" w:eastAsia="宋体"/>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2"/>
        <w:spacing w:before="0" w:after="0"/>
        <w:ind w:right="0" w:firstLine="0"/>
        <w:jc w:val="center"/>
        <w:rPr>
          <w:rFonts w:hAnsi="宋体"/>
          <w:b/>
          <w:sz w:val="30"/>
          <w:szCs w:val="30"/>
        </w:rPr>
      </w:pPr>
      <w:r>
        <w:rPr>
          <w:rFonts w:hint="eastAsia" w:hAnsi="宋体"/>
          <w:b/>
          <w:sz w:val="30"/>
          <w:szCs w:val="30"/>
        </w:rPr>
        <w:t>比选申请须知前附表</w:t>
      </w:r>
    </w:p>
    <w:tbl>
      <w:tblPr>
        <w:tblStyle w:val="26"/>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名称：南宁轨道交通运营有限公司</w:t>
            </w:r>
          </w:p>
          <w:p>
            <w:pPr>
              <w:spacing w:before="0" w:after="0" w:afterAutospacing="0"/>
              <w:ind w:left="0" w:right="0" w:firstLine="0"/>
              <w:rPr>
                <w:rFonts w:ascii="宋体" w:hAnsi="宋体"/>
                <w:color w:val="000000" w:themeColor="text1"/>
                <w:u w:val="none"/>
              </w:rPr>
            </w:pPr>
            <w:r>
              <w:rPr>
                <w:rFonts w:hint="eastAsia" w:ascii="宋体" w:hAnsi="宋体"/>
              </w:rPr>
              <w:t>地址：南宁</w:t>
            </w:r>
            <w:r>
              <w:rPr>
                <w:rFonts w:hint="eastAsia" w:ascii="宋体" w:hAnsi="宋体"/>
                <w:color w:val="000000" w:themeColor="text1"/>
                <w:u w:val="none"/>
              </w:rPr>
              <w:t>市青秀区云景路</w:t>
            </w:r>
            <w:r>
              <w:rPr>
                <w:rFonts w:ascii="宋体" w:hAnsi="宋体"/>
                <w:color w:val="000000" w:themeColor="text1"/>
                <w:u w:val="none"/>
              </w:rPr>
              <w:t>83</w:t>
            </w:r>
            <w:r>
              <w:rPr>
                <w:rFonts w:hint="eastAsia" w:ascii="宋体" w:hAnsi="宋体"/>
                <w:color w:val="000000" w:themeColor="text1"/>
                <w:u w:val="none"/>
              </w:rPr>
              <w:t>号</w:t>
            </w:r>
          </w:p>
          <w:p>
            <w:pPr>
              <w:spacing w:before="0" w:after="0" w:afterAutospacing="0"/>
              <w:ind w:left="0" w:right="0" w:firstLine="420" w:firstLineChars="200"/>
              <w:rPr>
                <w:rFonts w:ascii="Arial" w:hAnsi="Arial" w:cs="Arial"/>
                <w:color w:val="000000" w:themeColor="text1"/>
                <w:u w:val="none"/>
              </w:rPr>
            </w:pPr>
            <w:r>
              <w:rPr>
                <w:rFonts w:hint="eastAsia" w:ascii="宋体" w:hAnsi="宋体"/>
                <w:color w:val="000000" w:themeColor="text1"/>
                <w:u w:val="none"/>
              </w:rPr>
              <w:t>联系人：李</w:t>
            </w:r>
            <w:r>
              <w:rPr>
                <w:rFonts w:hint="eastAsia" w:ascii="Arial" w:hAnsi="Arial" w:cs="Arial"/>
                <w:color w:val="000000" w:themeColor="text1"/>
                <w:u w:val="none"/>
              </w:rPr>
              <w:t>工、陈工</w:t>
            </w:r>
          </w:p>
          <w:p>
            <w:pPr>
              <w:spacing w:before="0" w:after="0" w:afterAutospacing="0"/>
              <w:ind w:left="0" w:right="0" w:firstLine="420" w:firstLineChars="200"/>
              <w:rPr>
                <w:rFonts w:hint="default" w:ascii="宋体" w:hAnsi="宋体" w:eastAsia="宋体"/>
                <w:color w:val="FF0000"/>
                <w:lang w:val="en-US" w:eastAsia="zh-CN"/>
              </w:rPr>
            </w:pPr>
            <w:r>
              <w:rPr>
                <w:rFonts w:hint="eastAsia" w:ascii="宋体" w:hAnsi="宋体"/>
              </w:rPr>
              <w:t>联系电话：</w:t>
            </w:r>
            <w:r>
              <w:rPr>
                <w:rFonts w:hint="eastAsia" w:ascii="宋体" w:hAnsi="宋体"/>
                <w:color w:val="000000" w:themeColor="text1"/>
                <w:u w:val="none"/>
              </w:rPr>
              <w:t>李</w:t>
            </w:r>
            <w:r>
              <w:rPr>
                <w:rFonts w:hint="eastAsia" w:ascii="Arial" w:hAnsi="Arial" w:cs="Arial"/>
                <w:color w:val="000000" w:themeColor="text1"/>
                <w:u w:val="none"/>
              </w:rPr>
              <w:t>工</w:t>
            </w:r>
            <w:r>
              <w:rPr>
                <w:rFonts w:hint="eastAsia" w:ascii="宋体" w:hAnsi="宋体"/>
                <w:color w:val="000000" w:themeColor="text1"/>
                <w:u w:val="none"/>
              </w:rPr>
              <w:t>0771-2</w:t>
            </w:r>
            <w:r>
              <w:rPr>
                <w:rFonts w:hint="eastAsia" w:ascii="宋体" w:hAnsi="宋体"/>
                <w:color w:val="000000" w:themeColor="text1"/>
                <w:u w:val="none"/>
                <w:lang w:val="en-US" w:eastAsia="zh-CN"/>
              </w:rPr>
              <w:t>227023</w:t>
            </w:r>
            <w:r>
              <w:rPr>
                <w:rFonts w:hint="eastAsia" w:ascii="宋体" w:hAnsi="宋体"/>
                <w:color w:val="000000" w:themeColor="text1"/>
                <w:u w:val="none"/>
              </w:rPr>
              <w:t>、陈</w:t>
            </w:r>
            <w:r>
              <w:rPr>
                <w:rFonts w:hint="eastAsia" w:ascii="Arial" w:hAnsi="Arial" w:cs="Arial"/>
                <w:color w:val="000000" w:themeColor="text1"/>
                <w:u w:val="none"/>
              </w:rPr>
              <w:t>工</w:t>
            </w:r>
            <w:r>
              <w:rPr>
                <w:rFonts w:hint="eastAsia" w:ascii="宋体" w:hAnsi="宋体"/>
                <w:color w:val="000000" w:themeColor="text1"/>
                <w:u w:val="none"/>
              </w:rPr>
              <w:t>0771-</w:t>
            </w:r>
            <w:r>
              <w:rPr>
                <w:rFonts w:hint="eastAsia" w:ascii="宋体" w:hAnsi="宋体"/>
                <w:color w:val="000000" w:themeColor="text1"/>
                <w:u w:val="none"/>
                <w:lang w:val="en-US" w:eastAsia="zh-CN"/>
              </w:rPr>
              <w:t>2778973</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u w:val="single"/>
              </w:rPr>
              <w:t>南宁轨道交通运营有限公司2022年办公家具采购项目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u w:val="single"/>
              </w:rPr>
              <w:t>202208260004</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w:t>
            </w:r>
            <w:r>
              <w:rPr>
                <w:rFonts w:ascii="宋体" w:hAnsi="宋体"/>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u w:val="single"/>
              </w:rPr>
              <w:t>南宁轨道交通1-5号线办公家具</w:t>
            </w:r>
            <w:r>
              <w:rPr>
                <w:rFonts w:ascii="宋体" w:hAnsi="宋体"/>
                <w:color w:val="000000" w:themeColor="text1"/>
                <w:u w:val="single"/>
              </w:rPr>
              <w:t>采购</w:t>
            </w:r>
            <w:r>
              <w:rPr>
                <w:rFonts w:hint="eastAsia" w:ascii="宋体" w:hAnsi="宋体"/>
                <w:color w:val="000000" w:themeColor="text1"/>
                <w:u w:val="single"/>
              </w:rPr>
              <w:t>，</w:t>
            </w:r>
            <w:r>
              <w:rPr>
                <w:rFonts w:hint="eastAsia" w:ascii="宋体" w:hAnsi="宋体"/>
                <w:color w:val="000000" w:themeColor="text1"/>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FF0000"/>
                <w:u w:val="single"/>
              </w:rPr>
            </w:pPr>
            <w:r>
              <w:rPr>
                <w:rFonts w:hint="eastAsia" w:ascii="宋体" w:hAnsi="宋体"/>
              </w:rPr>
              <w:t>交货期限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u w:val="single"/>
              </w:rPr>
            </w:pPr>
            <w:r>
              <w:rPr>
                <w:rFonts w:hint="eastAsia" w:ascii="宋体" w:hAnsi="宋体"/>
                <w:color w:val="000000" w:themeColor="text1"/>
              </w:rPr>
              <w:t>合同签订且</w:t>
            </w:r>
            <w:r>
              <w:rPr>
                <w:rFonts w:ascii="宋体" w:hAnsi="宋体"/>
                <w:color w:val="000000" w:themeColor="text1"/>
              </w:rPr>
              <w:t>交货通知书发出后</w:t>
            </w:r>
            <w:r>
              <w:rPr>
                <w:rFonts w:hint="eastAsia" w:ascii="宋体" w:hAnsi="宋体"/>
                <w:color w:val="000000" w:themeColor="text1"/>
              </w:rPr>
              <w:t>90天内分批交货，如遇春节期间，交货期可适当延长，但不得超过4个月，具体按交货通知为准</w:t>
            </w:r>
            <w:r>
              <w:rPr>
                <w:rFonts w:hint="eastAsia" w:ascii="宋体" w:hAnsi="宋体"/>
                <w:color w:val="000000" w:themeColor="text1"/>
                <w:u w:val="single"/>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u w:val="single"/>
              </w:rPr>
            </w:pPr>
            <w:r>
              <w:rPr>
                <w:rFonts w:hint="eastAsia" w:ascii="宋体" w:hAnsi="宋体"/>
                <w:u w:val="single"/>
              </w:rPr>
              <w:t>上限控制价：本项目不含税上限控制价为人民币</w:t>
            </w:r>
            <w:r>
              <w:rPr>
                <w:rFonts w:hint="eastAsia" w:ascii="宋体" w:hAnsi="宋体"/>
                <w:u w:val="single"/>
                <w:lang w:val="en-US" w:eastAsia="zh-CN"/>
              </w:rPr>
              <w:t>393000</w:t>
            </w:r>
            <w:r>
              <w:rPr>
                <w:rFonts w:hint="eastAsia" w:ascii="宋体" w:hAnsi="宋体"/>
                <w:u w:val="single"/>
              </w:rPr>
              <w:t>元。比选申请报价高于上限控制价的比选申请文件将按否决比选申请处理。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rPr>
            </w:pPr>
            <w:r>
              <w:rPr>
                <w:rFonts w:hint="eastAsia" w:ascii="宋体" w:hAnsi="宋体"/>
              </w:rPr>
              <w:t>（</w:t>
            </w:r>
            <w:r>
              <w:rPr>
                <w:rFonts w:ascii="宋体" w:hAnsi="宋体"/>
              </w:rPr>
              <w:t>1</w:t>
            </w:r>
            <w:r>
              <w:rPr>
                <w:rFonts w:hint="eastAsia" w:ascii="宋体" w:hAnsi="宋体"/>
              </w:rPr>
              <w:t>）比选申请人为中华人民共和国境内依法设立的法人或其他组织（若以分公司名义参与比选申请，必须出具总公司授权参与的证明），经营范围至少包括下列范围之一：家具的制造、设计、安装、维修及销售等类似经营范围。</w:t>
            </w:r>
          </w:p>
          <w:p>
            <w:pPr>
              <w:spacing w:before="0" w:after="0" w:afterAutospacing="0"/>
              <w:ind w:left="0" w:right="0" w:firstLine="0"/>
              <w:rPr>
                <w:rFonts w:ascii="宋体" w:hAnsi="宋体"/>
              </w:rPr>
            </w:pPr>
            <w:r>
              <w:rPr>
                <w:rFonts w:hint="eastAsia" w:ascii="宋体" w:hAnsi="宋体"/>
              </w:rPr>
              <w:t>（</w:t>
            </w:r>
            <w:r>
              <w:rPr>
                <w:rFonts w:hint="eastAsia" w:ascii="宋体" w:hAnsi="宋体"/>
                <w:lang w:val="en-US" w:eastAsia="zh-CN"/>
              </w:rPr>
              <w:t>2</w:t>
            </w:r>
            <w:r>
              <w:rPr>
                <w:rFonts w:hint="eastAsia" w:ascii="宋体" w:hAnsi="宋体"/>
              </w:rPr>
              <w:t>）比选申请人没有处于被行政管部门或业主取消比选申请资格的处罚期内，且没有处于被责令停业，财产被接管、冻结、破产状态；比选申请截止时间前</w:t>
            </w:r>
            <w:r>
              <w:rPr>
                <w:rFonts w:ascii="宋体" w:hAnsi="宋体"/>
              </w:rPr>
              <w:t>3</w:t>
            </w:r>
            <w:r>
              <w:rPr>
                <w:rFonts w:hint="eastAsia" w:ascii="宋体" w:hAnsi="宋体"/>
              </w:rPr>
              <w:t>年内没有骗取中选、严重违约或重大质量安全责任事故的情况。</w:t>
            </w:r>
          </w:p>
          <w:p>
            <w:pPr>
              <w:spacing w:before="0" w:after="0" w:afterAutospacing="0"/>
              <w:ind w:left="0" w:right="0" w:firstLine="0"/>
              <w:rPr>
                <w:rFonts w:ascii="宋体" w:hAnsi="宋体"/>
              </w:rPr>
            </w:pPr>
            <w:r>
              <w:rPr>
                <w:rFonts w:hint="eastAsia" w:ascii="宋体" w:hAnsi="宋体"/>
              </w:rPr>
              <w:t>（</w:t>
            </w:r>
            <w:r>
              <w:rPr>
                <w:rFonts w:hint="eastAsia" w:ascii="宋体" w:hAnsi="宋体"/>
                <w:lang w:val="en-US" w:eastAsia="zh-CN"/>
              </w:rPr>
              <w:t>3</w:t>
            </w:r>
            <w:r>
              <w:rPr>
                <w:rFonts w:hint="eastAsia" w:ascii="宋体" w:hAnsi="宋体"/>
              </w:rPr>
              <w:t>）单位负责人为同一人或者存在控股、管理关系的不同单位，不得参加同一标段比选申请或者未划分标段的同一比选项目比选申请。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ascii="宋体" w:hAnsi="宋体"/>
              </w:rPr>
            </w:pPr>
            <w:r>
              <w:rPr>
                <w:rFonts w:hint="eastAsia" w:ascii="宋体" w:hAnsi="宋体"/>
              </w:rPr>
              <w:t>（</w:t>
            </w:r>
            <w:r>
              <w:rPr>
                <w:rFonts w:hint="eastAsia" w:ascii="宋体" w:hAnsi="宋体"/>
                <w:lang w:val="en-US" w:eastAsia="zh-CN"/>
              </w:rPr>
              <w:t>4</w:t>
            </w:r>
            <w:r>
              <w:rPr>
                <w:rFonts w:hint="eastAsia" w:ascii="宋体" w:hAnsi="宋体"/>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比选申请人要求澄清比选文件</w:t>
            </w:r>
          </w:p>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对比选文件提出疑问的截止</w:t>
            </w:r>
            <w:r>
              <w:rPr>
                <w:rFonts w:hint="eastAsia" w:ascii="宋体" w:hAnsi="宋体"/>
                <w:color w:val="000000" w:themeColor="text1"/>
              </w:rPr>
              <w:t>时间：</w:t>
            </w:r>
            <w:r>
              <w:rPr>
                <w:rFonts w:hint="eastAsia" w:ascii="宋体" w:hAnsi="宋体"/>
                <w:color w:val="000000" w:themeColor="text1"/>
                <w:u w:val="none"/>
              </w:rPr>
              <w:t xml:space="preserve"> 2022</w:t>
            </w:r>
            <w:r>
              <w:rPr>
                <w:rFonts w:hint="eastAsia" w:ascii="宋体" w:hAnsi="宋体"/>
                <w:color w:val="000000" w:themeColor="text1"/>
              </w:rPr>
              <w:t>年</w:t>
            </w:r>
            <w:r>
              <w:rPr>
                <w:rFonts w:hint="eastAsia" w:ascii="宋体" w:hAnsi="宋体"/>
                <w:color w:val="000000" w:themeColor="text1"/>
                <w:lang w:val="en-US" w:eastAsia="zh-CN"/>
              </w:rPr>
              <w:t>11</w:t>
            </w:r>
            <w:r>
              <w:rPr>
                <w:rFonts w:hint="eastAsia" w:ascii="宋体" w:hAnsi="宋体"/>
                <w:color w:val="000000" w:themeColor="text1"/>
              </w:rPr>
              <w:t>月</w:t>
            </w:r>
            <w:r>
              <w:rPr>
                <w:rFonts w:hint="eastAsia" w:ascii="宋体" w:hAnsi="宋体"/>
                <w:color w:val="000000" w:themeColor="text1"/>
                <w:lang w:val="en-US" w:eastAsia="zh-CN"/>
              </w:rPr>
              <w:t>9</w:t>
            </w:r>
            <w:r>
              <w:rPr>
                <w:rFonts w:hint="eastAsia" w:ascii="宋体" w:hAnsi="宋体"/>
                <w:color w:val="000000" w:themeColor="text1"/>
              </w:rPr>
              <w:t>日</w:t>
            </w:r>
            <w:r>
              <w:rPr>
                <w:rFonts w:hint="eastAsia" w:ascii="宋体" w:hAnsi="宋体"/>
                <w:color w:val="000000" w:themeColor="text1"/>
                <w:lang w:val="en-US" w:eastAsia="zh-CN"/>
              </w:rPr>
              <w:t>18:00</w:t>
            </w:r>
            <w:r>
              <w:rPr>
                <w:rFonts w:hint="eastAsia" w:ascii="宋体" w:hAnsi="宋体"/>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u w:val="single"/>
              </w:rPr>
            </w:pPr>
            <w:r>
              <w:rPr>
                <w:rFonts w:hint="eastAsia" w:ascii="宋体" w:hAnsi="宋体"/>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kern w:val="2"/>
              </w:rPr>
              <w:t>南宁轨道交通集团有限责任公司官网发布(</w:t>
            </w:r>
            <w:r>
              <w:fldChar w:fldCharType="begin"/>
            </w:r>
            <w:r>
              <w:instrText xml:space="preserve"> HYPERLINK "http://www.nngdjt.com" </w:instrText>
            </w:r>
            <w:r>
              <w:fldChar w:fldCharType="separate"/>
            </w:r>
            <w:r>
              <w:rPr>
                <w:rStyle w:val="31"/>
                <w:rFonts w:hint="eastAsia" w:ascii="宋体" w:hAnsi="宋体"/>
                <w:color w:val="auto"/>
                <w:kern w:val="2"/>
              </w:rPr>
              <w:t>http://www.nngdjt.com</w:t>
            </w:r>
            <w:r>
              <w:rPr>
                <w:rStyle w:val="31"/>
                <w:rFonts w:hint="eastAsia" w:ascii="宋体" w:hAnsi="宋体"/>
                <w:color w:val="auto"/>
                <w:kern w:val="2"/>
              </w:rPr>
              <w:fldChar w:fldCharType="end"/>
            </w:r>
            <w:r>
              <w:rPr>
                <w:rFonts w:hint="eastAsia" w:ascii="宋体" w:hAnsi="宋体"/>
                <w:kern w:val="2"/>
              </w:rPr>
              <w:t>)、</w:t>
            </w:r>
            <w:r>
              <w:rPr>
                <w:rFonts w:hint="eastAsia" w:ascii="宋体" w:hAnsi="宋体"/>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比选申请文件组成部分：</w:t>
            </w:r>
            <w:r>
              <w:rPr>
                <w:rFonts w:hint="eastAsia"/>
              </w:rPr>
              <w:t>资格审查文件、价格文件、技术文件</w:t>
            </w:r>
          </w:p>
          <w:p>
            <w:pPr>
              <w:spacing w:before="0" w:after="0" w:afterAutospacing="0" w:line="276" w:lineRule="auto"/>
              <w:ind w:left="0" w:right="0" w:firstLine="0"/>
              <w:rPr>
                <w:b/>
              </w:rPr>
            </w:pPr>
            <w:r>
              <w:rPr>
                <w:rFonts w:hint="eastAsia"/>
                <w:b/>
              </w:rPr>
              <w:t>资格审查文件</w:t>
            </w:r>
          </w:p>
          <w:p>
            <w:pPr>
              <w:spacing w:before="0" w:after="0" w:afterAutospacing="0" w:line="276" w:lineRule="auto"/>
              <w:ind w:left="0" w:right="0" w:firstLine="0"/>
            </w:pPr>
            <w:r>
              <w:rPr>
                <w:rFonts w:hint="eastAsia"/>
              </w:rPr>
              <w:t>（</w:t>
            </w:r>
            <w:r>
              <w:t>1</w:t>
            </w:r>
            <w:r>
              <w:rPr>
                <w:rFonts w:hint="eastAsia"/>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pPr>
            <w:r>
              <w:rPr>
                <w:rFonts w:hint="eastAsia"/>
              </w:rPr>
              <w:t>（</w:t>
            </w:r>
            <w:r>
              <w:t>2</w:t>
            </w:r>
            <w:r>
              <w:rPr>
                <w:rFonts w:hint="eastAsia"/>
              </w:rPr>
              <w:t>）比选申请人有效的营业执照复印件；</w:t>
            </w:r>
          </w:p>
          <w:p>
            <w:pPr>
              <w:spacing w:before="0" w:after="0" w:afterAutospacing="0" w:line="276" w:lineRule="auto"/>
              <w:ind w:left="0" w:right="0" w:firstLine="0"/>
            </w:pPr>
            <w:r>
              <w:rPr>
                <w:rFonts w:hint="eastAsia"/>
              </w:rPr>
              <w:t>（</w:t>
            </w:r>
            <w:r>
              <w:t>3</w:t>
            </w:r>
            <w:r>
              <w:rPr>
                <w:rFonts w:hint="eastAsia"/>
              </w:rPr>
              <w:t>）承诺书（格式见A3）；</w:t>
            </w:r>
          </w:p>
          <w:p>
            <w:pPr>
              <w:spacing w:before="0" w:after="0" w:afterAutospacing="0" w:line="276" w:lineRule="auto"/>
              <w:ind w:left="0" w:right="0" w:firstLine="0"/>
            </w:pPr>
            <w:r>
              <w:rPr>
                <w:rFonts w:hint="eastAsia"/>
              </w:rPr>
              <w:t>（4）</w:t>
            </w:r>
            <w:r>
              <w:rPr>
                <w:rFonts w:hint="eastAsia" w:hAnsi="宋体"/>
              </w:rPr>
              <w:t>类似项目业绩表（A4）</w:t>
            </w:r>
            <w:r>
              <w:rPr>
                <w:rFonts w:hint="eastAsia" w:hAnsi="宋体"/>
                <w:color w:val="FF0000"/>
              </w:rPr>
              <w:t>（如有）</w:t>
            </w:r>
            <w:r>
              <w:rPr>
                <w:rFonts w:hint="eastAsia" w:hAnsi="宋体"/>
              </w:rPr>
              <w:t>；</w:t>
            </w:r>
          </w:p>
          <w:p>
            <w:pPr>
              <w:spacing w:before="0" w:after="0" w:afterAutospacing="0"/>
              <w:ind w:left="0" w:right="0" w:firstLine="0"/>
            </w:pPr>
            <w:r>
              <w:rPr>
                <w:rFonts w:hint="eastAsia"/>
              </w:rPr>
              <w:t>（5）比选申请人认为应提交的其他比选申请资料</w:t>
            </w:r>
            <w:r>
              <w:rPr>
                <w:rFonts w:hint="eastAsia"/>
                <w:color w:val="FF0000"/>
              </w:rPr>
              <w:t>（如有）</w:t>
            </w:r>
            <w:r>
              <w:rPr>
                <w:rFonts w:hint="eastAsia"/>
              </w:rPr>
              <w:t>。</w:t>
            </w:r>
          </w:p>
          <w:p>
            <w:pPr>
              <w:spacing w:before="0" w:after="0" w:afterAutospacing="0" w:line="276" w:lineRule="auto"/>
              <w:ind w:left="0" w:right="0" w:firstLine="0"/>
              <w:rPr>
                <w:b/>
              </w:rPr>
            </w:pPr>
            <w:r>
              <w:rPr>
                <w:rFonts w:hint="eastAsia"/>
                <w:b/>
              </w:rPr>
              <w:t>价格文件</w:t>
            </w:r>
          </w:p>
          <w:p>
            <w:pPr>
              <w:spacing w:before="0" w:after="0" w:afterAutospacing="0" w:line="276" w:lineRule="auto"/>
              <w:ind w:left="0" w:right="0" w:firstLine="0"/>
            </w:pPr>
            <w:r>
              <w:rPr>
                <w:rFonts w:hint="eastAsia"/>
              </w:rPr>
              <w:t>（</w:t>
            </w:r>
            <w:r>
              <w:t>1</w:t>
            </w:r>
            <w:r>
              <w:rPr>
                <w:rFonts w:hint="eastAsia"/>
              </w:rPr>
              <w:t>）比选申请报价一览表（格式见B1）；</w:t>
            </w:r>
          </w:p>
          <w:p>
            <w:pPr>
              <w:spacing w:before="0" w:after="0" w:afterAutospacing="0" w:line="276" w:lineRule="auto"/>
              <w:ind w:left="0" w:right="0" w:firstLine="0"/>
            </w:pPr>
            <w:r>
              <w:rPr>
                <w:rFonts w:hint="eastAsia"/>
              </w:rPr>
              <w:t>（</w:t>
            </w:r>
            <w:r>
              <w:t>2</w:t>
            </w:r>
            <w:r>
              <w:rPr>
                <w:rFonts w:hint="eastAsia"/>
              </w:rPr>
              <w:t>）比选申请函（格式见B2）；</w:t>
            </w:r>
          </w:p>
          <w:p>
            <w:pPr>
              <w:spacing w:before="0" w:after="0" w:afterAutospacing="0" w:line="276" w:lineRule="auto"/>
              <w:ind w:left="0" w:right="0" w:firstLine="0"/>
            </w:pPr>
            <w:r>
              <w:rPr>
                <w:rFonts w:hint="eastAsia"/>
              </w:rPr>
              <w:t>（</w:t>
            </w:r>
            <w:r>
              <w:t>3</w:t>
            </w:r>
            <w:r>
              <w:rPr>
                <w:rFonts w:hint="eastAsia"/>
              </w:rPr>
              <w:t>）比选申请报价表（格式见B3）；</w:t>
            </w:r>
          </w:p>
          <w:p>
            <w:pPr>
              <w:spacing w:before="0" w:after="0" w:afterAutospacing="0"/>
              <w:ind w:left="0" w:right="0" w:firstLine="0"/>
              <w:rPr>
                <w:rFonts w:ascii="宋体" w:hAnsi="宋体" w:cs="Arial"/>
              </w:rPr>
            </w:pPr>
            <w:r>
              <w:rPr>
                <w:rFonts w:hint="eastAsia"/>
              </w:rPr>
              <w:t>（4）比选申请人认为应提交的其他比选申请资料（如有）。</w:t>
            </w:r>
          </w:p>
          <w:p>
            <w:pPr>
              <w:spacing w:before="0" w:after="0" w:afterAutospacing="0" w:line="276" w:lineRule="auto"/>
              <w:ind w:left="0" w:right="0" w:firstLine="0"/>
              <w:rPr>
                <w:b/>
              </w:rPr>
            </w:pPr>
            <w:r>
              <w:rPr>
                <w:rFonts w:hint="eastAsia"/>
                <w:b/>
              </w:rPr>
              <w:t>技术文件</w:t>
            </w:r>
          </w:p>
          <w:p>
            <w:pPr>
              <w:spacing w:before="0" w:after="0" w:afterAutospacing="0" w:line="276" w:lineRule="auto"/>
              <w:ind w:left="0" w:right="0" w:firstLine="0"/>
            </w:pPr>
            <w:r>
              <w:rPr>
                <w:rFonts w:hint="eastAsia"/>
              </w:rPr>
              <w:t>（1）技术文件响应表（格式见C1）；</w:t>
            </w:r>
          </w:p>
          <w:p>
            <w:pPr>
              <w:spacing w:before="0" w:after="0" w:afterAutospacing="0" w:line="276" w:lineRule="auto"/>
              <w:ind w:left="0" w:right="0" w:firstLine="0"/>
            </w:pPr>
            <w:r>
              <w:rPr>
                <w:rFonts w:hint="eastAsia"/>
              </w:rPr>
              <w:t>（2）</w:t>
            </w:r>
            <w:r>
              <w:rPr>
                <w:rFonts w:hint="eastAsia" w:hAnsi="宋体"/>
              </w:rPr>
              <w:t>按期交货承诺书（格式见C2）</w:t>
            </w:r>
            <w:r>
              <w:rPr>
                <w:rFonts w:hint="eastAsia"/>
              </w:rPr>
              <w:t>；</w:t>
            </w:r>
          </w:p>
          <w:p>
            <w:pPr>
              <w:spacing w:before="0" w:after="0" w:afterAutospacing="0" w:line="276" w:lineRule="auto"/>
              <w:ind w:left="0" w:right="0" w:firstLine="0"/>
            </w:pPr>
            <w:r>
              <w:rPr>
                <w:rFonts w:hint="eastAsia"/>
              </w:rPr>
              <w:t>（3）售后服务承诺书（</w:t>
            </w:r>
            <w:r>
              <w:rPr>
                <w:rFonts w:hint="eastAsia" w:hAnsi="宋体"/>
              </w:rPr>
              <w:t>格式见C3</w:t>
            </w:r>
            <w:r>
              <w:rPr>
                <w:rFonts w:hint="eastAsia"/>
              </w:rPr>
              <w:t>）；</w:t>
            </w:r>
          </w:p>
          <w:p>
            <w:pPr>
              <w:spacing w:before="0" w:after="0" w:afterAutospacing="0" w:line="276" w:lineRule="auto"/>
              <w:ind w:left="0" w:right="0" w:firstLine="0"/>
            </w:pPr>
            <w:r>
              <w:rPr>
                <w:rFonts w:hint="eastAsia"/>
              </w:rPr>
              <w:t>（4）商务响应表（格式见C</w:t>
            </w:r>
            <w:r>
              <w:t>4</w:t>
            </w:r>
            <w:r>
              <w:rPr>
                <w:rFonts w:hint="eastAsia"/>
              </w:rPr>
              <w:t>）</w:t>
            </w:r>
          </w:p>
          <w:p>
            <w:pPr>
              <w:spacing w:before="0" w:after="0" w:afterAutospacing="0"/>
              <w:ind w:left="0" w:right="0" w:firstLine="0"/>
              <w:rPr>
                <w:rFonts w:ascii="宋体" w:hAnsi="宋体"/>
              </w:rPr>
            </w:pPr>
            <w:r>
              <w:rPr>
                <w:rFonts w:hint="eastAsia"/>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w:t>
            </w:r>
            <w:r>
              <w:rPr>
                <w:rFonts w:ascii="宋体" w:hAnsi="宋体"/>
              </w:rPr>
              <w:t>1</w:t>
            </w:r>
            <w:r>
              <w:rPr>
                <w:rFonts w:hint="eastAsia" w:ascii="宋体" w:hAnsi="宋体"/>
              </w:rPr>
              <w:t>）</w:t>
            </w:r>
            <w:r>
              <w:rPr>
                <w:rFonts w:ascii="宋体" w:hAnsi="宋体"/>
                <w:b/>
              </w:rPr>
              <w:t>本项目采用</w:t>
            </w:r>
            <w:r>
              <w:rPr>
                <w:rFonts w:hint="eastAsia" w:ascii="宋体" w:hAnsi="宋体"/>
                <w:b/>
              </w:rPr>
              <w:t>不</w:t>
            </w:r>
            <w:r>
              <w:rPr>
                <w:rFonts w:ascii="宋体" w:hAnsi="宋体"/>
                <w:b/>
              </w:rPr>
              <w:t>含税报价</w:t>
            </w:r>
            <w:r>
              <w:rPr>
                <w:rFonts w:hint="eastAsia" w:ascii="宋体" w:hAnsi="宋体"/>
                <w:b/>
              </w:rPr>
              <w:t>。</w:t>
            </w:r>
            <w:r>
              <w:rPr>
                <w:rFonts w:hint="eastAsia" w:ascii="宋体" w:hAnsi="宋体"/>
                <w:b/>
                <w:color w:val="000000" w:themeColor="text1"/>
              </w:rPr>
              <w:t>在签订本项目合同时，遵循国家现行税法的相关规定在中标人不含税单价和合价的基础上逐项增加税费，并明确相应税率和税金。</w:t>
            </w:r>
            <w:r>
              <w:rPr>
                <w:rFonts w:hint="eastAsia" w:ascii="宋体" w:hAnsi="宋体"/>
                <w:b/>
              </w:rPr>
              <w:t>本合同最终税金在结算阶段，按实际产生的税金进行核算，但合同不含税价格不因国家税率调整而调整。</w:t>
            </w:r>
          </w:p>
          <w:p>
            <w:pPr>
              <w:spacing w:before="0" w:after="0" w:afterAutospacing="0"/>
              <w:ind w:left="0" w:right="0" w:firstLine="0"/>
              <w:rPr>
                <w:rFonts w:ascii="宋体" w:hAnsi="宋体"/>
              </w:rPr>
            </w:pPr>
            <w:r>
              <w:rPr>
                <w:rFonts w:hint="eastAsia" w:ascii="宋体" w:hAnsi="宋体"/>
              </w:rPr>
              <w:t>（</w:t>
            </w:r>
            <w:r>
              <w:rPr>
                <w:rFonts w:ascii="宋体" w:hAnsi="宋体"/>
              </w:rPr>
              <w:t>2</w:t>
            </w:r>
            <w:r>
              <w:rPr>
                <w:rFonts w:hint="eastAsia" w:ascii="宋体" w:hAnsi="宋体"/>
              </w:rPr>
              <w:t>）比选申请人须按第四章《用户需求书》中的技术需求及数量表的顺序填报比选申请报价表，不允许打乱顺序。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bookmarkStart w:id="41" w:name="CgwjmbEntity：KBSJ3_0"/>
            <w:r>
              <w:rPr>
                <w:rFonts w:hint="eastAsia" w:ascii="宋体" w:hAnsi="宋体"/>
                <w:color w:val="000000" w:themeColor="text1"/>
                <w:u w:val="none"/>
              </w:rPr>
              <w:t>2022年</w:t>
            </w:r>
            <w:bookmarkEnd w:id="41"/>
            <w:r>
              <w:rPr>
                <w:rFonts w:hint="eastAsia" w:ascii="宋体" w:hAnsi="宋体"/>
                <w:color w:val="000000" w:themeColor="text1"/>
                <w:u w:val="none"/>
                <w:lang w:val="en-US" w:eastAsia="zh-CN"/>
              </w:rPr>
              <w:t>11</w:t>
            </w:r>
            <w:r>
              <w:rPr>
                <w:rFonts w:hint="eastAsia" w:ascii="宋体" w:hAnsi="宋体"/>
                <w:color w:val="000000" w:themeColor="text1"/>
                <w:u w:val="none"/>
              </w:rPr>
              <w:t>月</w:t>
            </w:r>
            <w:r>
              <w:rPr>
                <w:rFonts w:hint="eastAsia" w:ascii="宋体" w:hAnsi="宋体"/>
                <w:color w:val="000000" w:themeColor="text1"/>
                <w:u w:val="none"/>
                <w:lang w:val="en-US" w:eastAsia="zh-CN"/>
              </w:rPr>
              <w:t xml:space="preserve"> 16</w:t>
            </w:r>
            <w:r>
              <w:rPr>
                <w:rFonts w:hint="eastAsia" w:ascii="宋体" w:hAnsi="宋体"/>
                <w:color w:val="000000" w:themeColor="text1"/>
                <w:u w:val="none"/>
              </w:rPr>
              <w:t>日</w:t>
            </w:r>
            <w:r>
              <w:rPr>
                <w:rFonts w:hint="eastAsia" w:ascii="宋体" w:hAnsi="宋体"/>
                <w:color w:val="000000" w:themeColor="text1"/>
                <w:u w:val="none"/>
                <w:lang w:val="en-US" w:eastAsia="zh-CN"/>
              </w:rPr>
              <w:t>15</w:t>
            </w:r>
            <w:r>
              <w:rPr>
                <w:rFonts w:hint="eastAsia" w:ascii="宋体" w:hAnsi="宋体"/>
                <w:color w:val="000000" w:themeColor="text1"/>
                <w:u w:val="none"/>
              </w:rPr>
              <w:t xml:space="preserve"> 时</w:t>
            </w:r>
            <w:r>
              <w:rPr>
                <w:rFonts w:hint="eastAsia" w:ascii="宋体" w:hAnsi="宋体"/>
                <w:color w:val="000000" w:themeColor="text1"/>
                <w:u w:val="none"/>
                <w:lang w:val="en-US" w:eastAsia="zh-CN"/>
              </w:rPr>
              <w:t>30</w:t>
            </w:r>
            <w:bookmarkStart w:id="2488" w:name="_GoBack"/>
            <w:bookmarkEnd w:id="2488"/>
            <w:r>
              <w:rPr>
                <w:rFonts w:hint="eastAsia" w:ascii="宋体" w:hAnsi="宋体"/>
                <w:color w:val="000000" w:themeColor="text1"/>
                <w:u w:val="none"/>
              </w:rPr>
              <w:t xml:space="preserve"> 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cs="宋体"/>
                <w:color w:val="000000" w:themeColor="text1"/>
              </w:rPr>
            </w:pPr>
            <w:r>
              <w:rPr>
                <w:rFonts w:hint="eastAsia" w:ascii="宋体" w:hAnsi="宋体" w:cs="宋体"/>
                <w:color w:val="000000" w:themeColor="text1"/>
              </w:rPr>
              <w:t>单位：南宁轨道交通运营有限公司</w:t>
            </w:r>
          </w:p>
          <w:p>
            <w:pPr>
              <w:spacing w:before="0" w:after="0" w:afterAutospacing="0"/>
              <w:ind w:left="708" w:right="0" w:hanging="707" w:hangingChars="337"/>
              <w:rPr>
                <w:rFonts w:hint="eastAsia" w:ascii="宋体" w:hAnsi="宋体" w:cs="宋体"/>
                <w:color w:val="000000" w:themeColor="text1"/>
              </w:rPr>
            </w:pPr>
            <w:r>
              <w:rPr>
                <w:rFonts w:hint="eastAsia" w:ascii="宋体" w:hAnsi="宋体" w:cs="宋体"/>
                <w:color w:val="000000" w:themeColor="text1"/>
              </w:rPr>
              <w:t>地址：南宁市青秀区云景路83号屯里车辆段综合楼205会议室</w:t>
            </w:r>
          </w:p>
          <w:p>
            <w:pPr>
              <w:spacing w:before="0" w:after="0" w:afterAutospacing="0"/>
              <w:ind w:left="0" w:right="0" w:firstLine="0"/>
              <w:rPr>
                <w:rFonts w:hint="eastAsia" w:ascii="宋体" w:hAnsi="宋体" w:cs="宋体"/>
                <w:color w:val="000000" w:themeColor="text1"/>
              </w:rPr>
            </w:pPr>
            <w:r>
              <w:rPr>
                <w:rFonts w:hint="eastAsia" w:ascii="宋体" w:hAnsi="宋体" w:cs="宋体"/>
                <w:color w:val="000000" w:themeColor="text1"/>
              </w:rPr>
              <w:t>递交现场联系人：</w:t>
            </w:r>
            <w:r>
              <w:rPr>
                <w:rFonts w:hint="eastAsia" w:ascii="宋体" w:hAnsi="宋体" w:cs="宋体"/>
                <w:color w:val="000000" w:themeColor="text1"/>
                <w:lang w:eastAsia="zh-CN"/>
              </w:rPr>
              <w:t>李工，</w:t>
            </w:r>
            <w:r>
              <w:rPr>
                <w:rFonts w:hint="eastAsia" w:ascii="宋体" w:hAnsi="宋体" w:cs="宋体"/>
                <w:color w:val="000000" w:themeColor="text1"/>
              </w:rPr>
              <w:t>电话</w:t>
            </w:r>
            <w:r>
              <w:rPr>
                <w:rFonts w:hint="eastAsia" w:ascii="宋体" w:hAnsi="宋体" w:cs="宋体"/>
                <w:color w:val="000000" w:themeColor="text1"/>
                <w:lang w:val="en-US" w:eastAsia="zh-CN"/>
              </w:rPr>
              <w:t>14795507439</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rPr>
              <w:t>综合评分法（评审价以不含税总报价为基准）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中选人如放弃中选资格，比选人有权禁止其1年内不得参与属于比选人的项目。</w:t>
            </w:r>
          </w:p>
        </w:tc>
      </w:tr>
      <w:tr>
        <w:tblPrEx>
          <w:tblCellMar>
            <w:top w:w="0" w:type="dxa"/>
            <w:left w:w="108" w:type="dxa"/>
            <w:bottom w:w="0" w:type="dxa"/>
            <w:right w:w="108" w:type="dxa"/>
          </w:tblCellMar>
        </w:tblPrEx>
        <w:trPr>
          <w:trHeight w:val="41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w:t>
            </w:r>
            <w:r>
              <w:rPr>
                <w:rFonts w:hint="eastAsia" w:ascii="宋体" w:hAnsi="宋体"/>
                <w:lang w:val="en-US" w:eastAsia="zh-CN"/>
              </w:rPr>
              <w:t>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color w:val="000000" w:themeColor="text1"/>
              </w:rPr>
              <w:t>以合同金额总价的</w:t>
            </w:r>
            <w:r>
              <w:rPr>
                <w:rFonts w:hint="eastAsia" w:ascii="宋体" w:hAnsi="宋体"/>
                <w:color w:val="000000" w:themeColor="text1"/>
                <w:lang w:val="en-US" w:eastAsia="zh-CN"/>
              </w:rPr>
              <w:t>2.</w:t>
            </w:r>
            <w:r>
              <w:rPr>
                <w:rFonts w:hint="eastAsia" w:ascii="宋体" w:hAnsi="宋体"/>
                <w:color w:val="000000" w:themeColor="text1"/>
              </w:rPr>
              <w:t>5%作为履约保证金（四舍五入，精确到元），要求在中选通知发出之日起30日内合同签订之前交纳。如中选人未能按约定时间足额缴纳，视为自动放弃中选资格。</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1.比选申请人在递交比选申请文件时，同时递交比选申请文件电子版。</w:t>
            </w:r>
          </w:p>
          <w:p>
            <w:pPr>
              <w:spacing w:before="0" w:after="0" w:afterAutospacing="0"/>
              <w:ind w:left="0" w:right="0" w:firstLine="0"/>
              <w:rPr>
                <w:rFonts w:ascii="宋体" w:hAnsi="宋体"/>
              </w:rPr>
            </w:pPr>
            <w:r>
              <w:rPr>
                <w:rFonts w:hint="eastAsia" w:ascii="宋体" w:hAnsi="宋体"/>
              </w:rPr>
              <w:t>2.比选申请文件电子版内容：</w:t>
            </w:r>
            <w:r>
              <w:rPr>
                <w:rFonts w:hint="eastAsia" w:ascii="宋体" w:hAnsi="宋体" w:cs="Arial"/>
              </w:rPr>
              <w:t>资格审查文件、价格文件和技术文件</w:t>
            </w:r>
          </w:p>
          <w:p>
            <w:pPr>
              <w:spacing w:before="0" w:after="0" w:afterAutospacing="0"/>
              <w:ind w:left="0" w:right="0" w:firstLine="0"/>
              <w:rPr>
                <w:rFonts w:ascii="宋体" w:hAnsi="宋体"/>
              </w:rPr>
            </w:pPr>
            <w:r>
              <w:rPr>
                <w:rFonts w:ascii="宋体" w:hAnsi="宋体"/>
              </w:rPr>
              <w:t>3.</w:t>
            </w:r>
            <w:r>
              <w:rPr>
                <w:rFonts w:hint="eastAsia" w:ascii="宋体" w:hAnsi="宋体"/>
              </w:rPr>
              <w:t>比选申请文件电子版份数：1份。</w:t>
            </w:r>
          </w:p>
          <w:p>
            <w:pPr>
              <w:spacing w:before="0" w:after="0" w:afterAutospacing="0"/>
              <w:ind w:left="0" w:right="0" w:firstLine="0"/>
              <w:rPr>
                <w:rFonts w:ascii="宋体" w:hAnsi="宋体"/>
              </w:rPr>
            </w:pPr>
            <w:r>
              <w:rPr>
                <w:rFonts w:ascii="宋体" w:hAnsi="宋体"/>
              </w:rPr>
              <w:t>4.</w:t>
            </w:r>
            <w:r>
              <w:rPr>
                <w:rFonts w:hint="eastAsia" w:ascii="宋体" w:hAnsi="宋体"/>
              </w:rPr>
              <w:t>比选申请文件电子版形式：每份包括</w:t>
            </w:r>
            <w:r>
              <w:rPr>
                <w:rFonts w:ascii="宋体" w:hAnsi="宋体"/>
              </w:rPr>
              <w:t>office</w:t>
            </w:r>
            <w:r>
              <w:rPr>
                <w:rFonts w:hint="eastAsia" w:ascii="宋体" w:hAnsi="宋体"/>
              </w:rPr>
              <w:t>版本（文本内容为</w:t>
            </w:r>
            <w:r>
              <w:rPr>
                <w:rFonts w:ascii="宋体" w:hAnsi="宋体"/>
              </w:rPr>
              <w:t>Word</w:t>
            </w:r>
            <w:r>
              <w:rPr>
                <w:rFonts w:hint="eastAsia" w:ascii="宋体" w:hAnsi="宋体"/>
              </w:rPr>
              <w:t>格式，工程量清单为</w:t>
            </w:r>
            <w:r>
              <w:rPr>
                <w:rFonts w:ascii="宋体" w:hAnsi="宋体"/>
              </w:rPr>
              <w:t>word</w:t>
            </w:r>
            <w:r>
              <w:rPr>
                <w:rFonts w:hint="eastAsia" w:ascii="宋体" w:hAnsi="宋体"/>
              </w:rPr>
              <w:t>或</w:t>
            </w:r>
            <w:r>
              <w:rPr>
                <w:rFonts w:ascii="宋体" w:hAnsi="宋体"/>
              </w:rPr>
              <w:t>Excel</w:t>
            </w:r>
            <w:r>
              <w:rPr>
                <w:rFonts w:hint="eastAsia" w:ascii="宋体" w:hAnsi="宋体"/>
              </w:rPr>
              <w:t>格式）的全套比选申请文件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和盖章后的全套比选申请文件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正本的</w:t>
            </w:r>
            <w:r>
              <w:rPr>
                <w:rFonts w:ascii="宋体" w:hAnsi="宋体"/>
              </w:rPr>
              <w:t>PDF</w:t>
            </w:r>
            <w:r>
              <w:rPr>
                <w:rFonts w:hint="eastAsia" w:ascii="宋体" w:hAnsi="宋体"/>
              </w:rPr>
              <w:t>版本扫描件。</w:t>
            </w:r>
          </w:p>
          <w:p>
            <w:pPr>
              <w:spacing w:before="0" w:after="0" w:afterAutospacing="0"/>
              <w:ind w:left="0" w:right="0" w:firstLine="0"/>
              <w:rPr>
                <w:rFonts w:ascii="宋体" w:hAnsi="宋体"/>
              </w:rPr>
            </w:pPr>
            <w:r>
              <w:rPr>
                <w:rFonts w:hint="eastAsia" w:ascii="宋体" w:hAnsi="宋体"/>
              </w:rPr>
              <w:t>保存介质：</w:t>
            </w:r>
            <w:r>
              <w:rPr>
                <w:rFonts w:ascii="宋体" w:hAnsi="宋体"/>
              </w:rPr>
              <w:t>U</w:t>
            </w:r>
            <w:r>
              <w:rPr>
                <w:rFonts w:hint="eastAsia" w:ascii="宋体" w:hAnsi="宋体"/>
              </w:rPr>
              <w:t>盘。</w:t>
            </w:r>
          </w:p>
          <w:p>
            <w:pPr>
              <w:spacing w:before="0" w:after="0" w:afterAutospacing="0"/>
              <w:ind w:left="0" w:right="0" w:firstLine="0"/>
              <w:rPr>
                <w:rFonts w:ascii="宋体" w:hAnsi="宋体"/>
              </w:rPr>
            </w:pPr>
            <w:r>
              <w:rPr>
                <w:rFonts w:ascii="宋体" w:hAnsi="宋体"/>
              </w:rPr>
              <w:t>5</w:t>
            </w:r>
            <w:r>
              <w:rPr>
                <w:rFonts w:hint="eastAsia" w:ascii="宋体" w:hAnsi="宋体"/>
              </w:rPr>
              <w:t>.</w:t>
            </w:r>
            <w:r>
              <w:rPr>
                <w:rFonts w:ascii="宋体" w:hAnsi="宋体"/>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1.本比选文件中描述比选申请人的</w:t>
            </w:r>
            <w:r>
              <w:rPr>
                <w:rFonts w:ascii="宋体" w:hAnsi="宋体"/>
              </w:rPr>
              <w:t>“</w:t>
            </w:r>
            <w:r>
              <w:rPr>
                <w:rFonts w:hint="eastAsia" w:ascii="宋体" w:hAnsi="宋体"/>
              </w:rPr>
              <w:t>公章</w:t>
            </w:r>
            <w:r>
              <w:rPr>
                <w:rFonts w:ascii="宋体" w:hAnsi="宋体"/>
              </w:rPr>
              <w:t>”</w:t>
            </w:r>
            <w:r>
              <w:rPr>
                <w:rFonts w:hint="eastAsia" w:ascii="宋体" w:hAnsi="宋体"/>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rPr>
            </w:pPr>
            <w:r>
              <w:rPr>
                <w:rFonts w:hint="eastAsia" w:ascii="宋体" w:hAnsi="宋体"/>
              </w:rPr>
              <w:t>2.本比选文件中描述比选申请人的</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1.本项目比选文件的最终解释权归比选人。</w:t>
            </w:r>
          </w:p>
        </w:tc>
      </w:tr>
    </w:tbl>
    <w:p>
      <w:pPr>
        <w:pStyle w:val="4"/>
        <w:spacing w:after="0" w:afterAutospacing="0" w:line="360" w:lineRule="auto"/>
        <w:ind w:left="484" w:leftChars="200" w:right="0" w:hanging="64" w:hangingChars="20"/>
        <w:rPr>
          <w:rFonts w:ascii="宋体" w:hAnsi="宋体" w:eastAsia="宋体"/>
          <w:sz w:val="24"/>
          <w:szCs w:val="24"/>
        </w:rPr>
      </w:pPr>
      <w:r>
        <w:rPr>
          <w:rFonts w:ascii="宋体" w:hAnsi="宋体" w:eastAsia="宋体"/>
        </w:rPr>
        <w:br w:type="page"/>
      </w:r>
      <w:bookmarkStart w:id="42" w:name="_Toc322528193"/>
      <w:bookmarkEnd w:id="42"/>
      <w:bookmarkStart w:id="43" w:name="_Toc75276788"/>
      <w:r>
        <w:rPr>
          <w:rFonts w:hint="eastAsia" w:ascii="宋体" w:hAnsi="宋体" w:eastAsia="宋体"/>
          <w:sz w:val="24"/>
          <w:szCs w:val="24"/>
        </w:rPr>
        <w:t>一、</w:t>
      </w:r>
      <w:r>
        <w:rPr>
          <w:rFonts w:ascii="宋体" w:hAnsi="宋体" w:eastAsia="宋体"/>
          <w:sz w:val="24"/>
          <w:szCs w:val="24"/>
        </w:rPr>
        <w:t>说明</w:t>
      </w:r>
      <w:bookmarkEnd w:id="43"/>
    </w:p>
    <w:p>
      <w:pPr>
        <w:pStyle w:val="5"/>
        <w:spacing w:before="0" w:after="0" w:afterAutospacing="0"/>
        <w:ind w:left="0" w:right="0" w:firstLine="422" w:firstLineChars="200"/>
        <w:rPr>
          <w:rFonts w:ascii="宋体" w:hAnsi="宋体"/>
          <w:sz w:val="21"/>
          <w:szCs w:val="21"/>
        </w:rPr>
      </w:pPr>
      <w:bookmarkStart w:id="44" w:name="_Toc390098419"/>
      <w:bookmarkStart w:id="45" w:name="_Toc3804"/>
      <w:bookmarkStart w:id="46" w:name="_Toc383891168"/>
      <w:bookmarkStart w:id="47" w:name="_Toc28326"/>
      <w:bookmarkStart w:id="48" w:name="_Toc21139"/>
      <w:bookmarkStart w:id="49" w:name="_Toc25750591"/>
      <w:bookmarkStart w:id="50" w:name="_Toc385427793"/>
      <w:bookmarkStart w:id="51" w:name="_Toc6861"/>
      <w:bookmarkStart w:id="52" w:name="_Toc12983505"/>
      <w:bookmarkStart w:id="53" w:name="_Toc9366"/>
      <w:bookmarkStart w:id="54" w:name="_Toc14066"/>
      <w:bookmarkStart w:id="55" w:name="_Toc17845"/>
      <w:bookmarkStart w:id="56" w:name="_Toc3364"/>
      <w:bookmarkStart w:id="57" w:name="_Toc75276789"/>
      <w:bookmarkStart w:id="58" w:name="_Toc5495"/>
      <w:bookmarkStart w:id="59" w:name="_Toc31563"/>
      <w:bookmarkStart w:id="60" w:name="_Toc27079"/>
      <w:bookmarkStart w:id="61" w:name="_Toc12526"/>
      <w:bookmarkStart w:id="62" w:name="_Toc375039064"/>
      <w:bookmarkStart w:id="63" w:name="_Toc11224"/>
      <w:bookmarkStart w:id="64" w:name="_Toc8166"/>
      <w:bookmarkStart w:id="65" w:name="_Toc463"/>
      <w:bookmarkStart w:id="66" w:name="_Toc30570"/>
      <w:bookmarkStart w:id="67" w:name="_Toc492478718"/>
      <w:bookmarkStart w:id="68" w:name="_Toc7778"/>
      <w:r>
        <w:rPr>
          <w:rFonts w:hint="eastAsia" w:ascii="宋体" w:hAnsi="宋体"/>
          <w:sz w:val="21"/>
          <w:szCs w:val="21"/>
        </w:rPr>
        <w:t xml:space="preserve">1. </w:t>
      </w:r>
      <w:r>
        <w:rPr>
          <w:rFonts w:ascii="宋体" w:hAnsi="宋体"/>
          <w:sz w:val="21"/>
          <w:szCs w:val="21"/>
        </w:rPr>
        <w:t>项目说明</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before="0" w:after="0" w:afterAutospacing="0"/>
        <w:ind w:left="0" w:right="0"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1.4 比选范围：</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1.5交货期限：</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1.7 上限控制价</w:t>
      </w:r>
      <w:r>
        <w:rPr>
          <w:rFonts w:ascii="宋体" w:hAnsi="宋体"/>
        </w:rPr>
        <w:t>：详见比选申请须知前附表。</w:t>
      </w:r>
    </w:p>
    <w:p>
      <w:pPr>
        <w:pStyle w:val="5"/>
        <w:spacing w:before="0" w:after="0" w:afterAutospacing="0"/>
        <w:ind w:left="0" w:right="0" w:firstLine="422" w:firstLineChars="200"/>
        <w:rPr>
          <w:rFonts w:ascii="宋体" w:hAnsi="宋体"/>
          <w:sz w:val="21"/>
          <w:szCs w:val="21"/>
        </w:rPr>
      </w:pPr>
      <w:bookmarkStart w:id="69" w:name="_Toc390098420"/>
      <w:bookmarkStart w:id="70" w:name="_Toc10907"/>
      <w:bookmarkStart w:id="71" w:name="_Toc21874"/>
      <w:bookmarkStart w:id="72" w:name="_Toc22987"/>
      <w:bookmarkStart w:id="73" w:name="_Toc27845"/>
      <w:bookmarkStart w:id="74" w:name="_Toc16860"/>
      <w:bookmarkStart w:id="75" w:name="_Toc1552"/>
      <w:bookmarkStart w:id="76" w:name="_Toc24429"/>
      <w:bookmarkStart w:id="77" w:name="_Toc6038"/>
      <w:bookmarkStart w:id="78" w:name="_Toc6985"/>
      <w:bookmarkStart w:id="79" w:name="_Toc31314"/>
      <w:bookmarkStart w:id="80" w:name="_Toc12983506"/>
      <w:bookmarkStart w:id="81" w:name="_Toc25750592"/>
      <w:bookmarkStart w:id="82" w:name="_Toc4780"/>
      <w:bookmarkStart w:id="83" w:name="_Toc375039065"/>
      <w:bookmarkStart w:id="84" w:name="_Toc385427794"/>
      <w:bookmarkStart w:id="85" w:name="_Toc27847"/>
      <w:bookmarkStart w:id="86" w:name="_Toc8052"/>
      <w:bookmarkStart w:id="87" w:name="_Toc383891169"/>
      <w:bookmarkStart w:id="88" w:name="_Toc492478719"/>
      <w:bookmarkStart w:id="89" w:name="_Toc75276790"/>
      <w:r>
        <w:rPr>
          <w:rFonts w:hint="eastAsia" w:ascii="宋体" w:hAnsi="宋体"/>
          <w:sz w:val="21"/>
          <w:szCs w:val="21"/>
        </w:rPr>
        <w:t>2. 定义.</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spacing w:before="0" w:after="0" w:afterAutospacing="0"/>
        <w:ind w:left="0" w:right="0"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采购货物的国家机关、企业、事业单位或其它组织。本比选文件中比选人是指南宁轨道交通</w:t>
      </w:r>
      <w:r>
        <w:rPr>
          <w:rFonts w:hint="eastAsia" w:ascii="宋体" w:hAnsi="宋体"/>
        </w:rPr>
        <w:t>运营有限公司</w:t>
      </w:r>
      <w:r>
        <w:rPr>
          <w:rFonts w:ascii="宋体" w:hAnsi="宋体"/>
        </w:rPr>
        <w:t>。如无特别说明本比选文件中的“发包人、业主、甲方和比选人”均指：南宁轨道交通</w:t>
      </w:r>
      <w:r>
        <w:rPr>
          <w:rFonts w:hint="eastAsia" w:ascii="宋体" w:hAnsi="宋体"/>
        </w:rPr>
        <w:t>运营有限公司</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系指响应比选、参加比选申请竞争的法人或其他组织</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3</w:t>
      </w:r>
      <w:r>
        <w:rPr>
          <w:rFonts w:ascii="宋体" w:hAnsi="宋体"/>
        </w:rPr>
        <w:t xml:space="preserve"> “货物”系指比选申请人按比选文件规定向比选人提供的</w:t>
      </w:r>
      <w:r>
        <w:rPr>
          <w:rFonts w:hint="eastAsia" w:ascii="宋体" w:hAnsi="宋体"/>
        </w:rPr>
        <w:t>设备、材料、机械、仪器仪表、备品备件、工具、软件、手册及其它有关技术文件和资料等</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2.6  </w:t>
      </w: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系指比选文件规定比选申请人须承担的与供货有关的辅助服务，包括但不限于采购、供货</w:t>
      </w:r>
      <w:r>
        <w:rPr>
          <w:rFonts w:hint="eastAsia" w:ascii="宋体" w:hAnsi="宋体" w:cs="宋体"/>
        </w:rPr>
        <w:t>、</w:t>
      </w:r>
      <w:r>
        <w:rPr>
          <w:rFonts w:hint="eastAsia" w:ascii="宋体" w:hAnsi="宋体" w:cs="Arial"/>
        </w:rPr>
        <w:t>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、安装、最终验收、提供技术援助、质量保证期服务、备品备件和专用工具及仪器仪表的提供、质量保证期内的缺陷的纠正和维护</w:t>
      </w:r>
      <w:r>
        <w:rPr>
          <w:rFonts w:hint="eastAsia" w:ascii="宋体" w:hAnsi="宋体" w:cs="宋体"/>
        </w:rPr>
        <w:t>、</w:t>
      </w:r>
      <w:r>
        <w:rPr>
          <w:rFonts w:hint="eastAsia" w:ascii="宋体" w:hAnsi="宋体"/>
        </w:rPr>
        <w:t>其他伴随服务和比选申请人应承担的其它义务。</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2.7 </w:t>
      </w:r>
      <w:r>
        <w:rPr>
          <w:rFonts w:ascii="宋体" w:hAnsi="宋体"/>
        </w:rPr>
        <w:t>“电子文件”系指将比选申请文件全部内容以</w:t>
      </w:r>
      <w:r>
        <w:rPr>
          <w:rFonts w:hint="eastAsia" w:ascii="宋体" w:hAnsi="宋体"/>
        </w:rPr>
        <w:t>OFFICE</w:t>
      </w:r>
      <w:r>
        <w:rPr>
          <w:rFonts w:ascii="宋体" w:hAnsi="宋体"/>
        </w:rPr>
        <w:t>的WORD、PROJECT、EXCEL等格式书写的可读电子介质</w:t>
      </w:r>
      <w:r>
        <w:rPr>
          <w:rFonts w:hint="eastAsia" w:ascii="宋体" w:hAnsi="宋体"/>
        </w:rPr>
        <w:t>及PDF扫描版本（盖章版）</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2.8 </w:t>
      </w:r>
      <w:r>
        <w:rPr>
          <w:rFonts w:ascii="宋体" w:hAnsi="宋体"/>
        </w:rPr>
        <w:t>“书面形式”系指打字或印刷的函件，包括传真、电报等。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2.9 </w:t>
      </w:r>
      <w:r>
        <w:rPr>
          <w:rFonts w:ascii="宋体" w:hAnsi="宋体"/>
        </w:rPr>
        <w:t>“日”、“天”系指日历天。</w:t>
      </w:r>
    </w:p>
    <w:p>
      <w:pPr>
        <w:tabs>
          <w:tab w:val="left" w:pos="8364"/>
        </w:tabs>
        <w:spacing w:before="0" w:after="0" w:afterAutospacing="0"/>
        <w:ind w:left="0" w:right="0" w:firstLine="420" w:firstLineChars="200"/>
        <w:rPr>
          <w:rFonts w:ascii="宋体" w:hAnsi="宋体"/>
        </w:rPr>
      </w:pPr>
      <w:r>
        <w:rPr>
          <w:rFonts w:hint="eastAsia" w:ascii="宋体" w:hAnsi="宋体"/>
        </w:rPr>
        <w:t>2.10“保质期”系指质量三包的期限。</w:t>
      </w:r>
    </w:p>
    <w:p>
      <w:pPr>
        <w:pStyle w:val="5"/>
        <w:spacing w:before="0" w:after="0" w:afterAutospacing="0"/>
        <w:ind w:left="0" w:right="0" w:firstLine="422" w:firstLineChars="200"/>
        <w:rPr>
          <w:rFonts w:ascii="宋体" w:hAnsi="宋体"/>
          <w:sz w:val="21"/>
          <w:szCs w:val="21"/>
        </w:rPr>
      </w:pPr>
      <w:bookmarkStart w:id="90" w:name="_Toc492478720"/>
      <w:bookmarkStart w:id="91" w:name="_Toc375039066"/>
      <w:bookmarkStart w:id="92" w:name="_Toc383891170"/>
      <w:bookmarkStart w:id="93" w:name="_Toc390098421"/>
      <w:bookmarkStart w:id="94" w:name="_Toc385427795"/>
      <w:bookmarkStart w:id="95" w:name="_Toc10653"/>
      <w:bookmarkStart w:id="96" w:name="_Toc75276791"/>
      <w:bookmarkStart w:id="97" w:name="_Toc31477"/>
      <w:bookmarkStart w:id="98" w:name="_Toc9929"/>
      <w:bookmarkStart w:id="99" w:name="_Toc12940"/>
      <w:bookmarkStart w:id="100" w:name="_Toc25786"/>
      <w:bookmarkStart w:id="101" w:name="_Toc29859"/>
      <w:bookmarkStart w:id="102" w:name="_Toc8288"/>
      <w:bookmarkStart w:id="103" w:name="_Toc30498"/>
      <w:bookmarkStart w:id="104" w:name="_Toc22115"/>
      <w:bookmarkStart w:id="105" w:name="_Toc12983507"/>
      <w:bookmarkStart w:id="106" w:name="_Toc25750593"/>
      <w:bookmarkStart w:id="107" w:name="_Toc307"/>
      <w:bookmarkStart w:id="108" w:name="_Toc24844"/>
      <w:bookmarkStart w:id="109" w:name="_Toc7797"/>
      <w:bookmarkStart w:id="110" w:name="_Toc29401"/>
      <w:bookmarkStart w:id="111" w:name="_Toc17075"/>
      <w:bookmarkStart w:id="112" w:name="_Toc7306"/>
      <w:bookmarkStart w:id="113" w:name="_Toc22845"/>
      <w:bookmarkStart w:id="114" w:name="_Toc17568"/>
      <w:r>
        <w:rPr>
          <w:rFonts w:ascii="宋体" w:hAnsi="宋体"/>
          <w:sz w:val="21"/>
          <w:szCs w:val="21"/>
        </w:rPr>
        <w:t>3. 比选申请人</w:t>
      </w:r>
      <w:bookmarkEnd w:id="90"/>
      <w:bookmarkEnd w:id="91"/>
      <w:bookmarkEnd w:id="92"/>
      <w:bookmarkEnd w:id="93"/>
      <w:bookmarkEnd w:id="94"/>
      <w:r>
        <w:rPr>
          <w:rFonts w:hint="eastAsia" w:ascii="宋体" w:hAnsi="宋体"/>
          <w:sz w:val="21"/>
          <w:szCs w:val="21"/>
        </w:rPr>
        <w:t>应具备的资格条件</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tabs>
          <w:tab w:val="left" w:pos="8364"/>
        </w:tabs>
        <w:spacing w:before="0" w:after="0" w:afterAutospacing="0"/>
        <w:ind w:left="0" w:right="0" w:firstLine="420" w:firstLineChars="200"/>
        <w:rPr>
          <w:rFonts w:ascii="宋体" w:hAnsi="宋体"/>
        </w:rPr>
      </w:pPr>
      <w:r>
        <w:rPr>
          <w:rFonts w:hint="eastAsia" w:ascii="宋体" w:hAnsi="宋体"/>
        </w:rPr>
        <w:t xml:space="preserve">3.1 </w:t>
      </w:r>
      <w:r>
        <w:rPr>
          <w:rFonts w:ascii="宋体" w:hAnsi="宋体"/>
        </w:rPr>
        <w:t>详见比选申请须知前附表。</w:t>
      </w:r>
    </w:p>
    <w:p>
      <w:pPr>
        <w:pStyle w:val="5"/>
        <w:spacing w:before="0" w:after="0" w:afterAutospacing="0"/>
        <w:ind w:left="0" w:right="0" w:firstLine="422" w:firstLineChars="200"/>
        <w:rPr>
          <w:rFonts w:ascii="宋体" w:hAnsi="宋体"/>
          <w:sz w:val="21"/>
          <w:szCs w:val="21"/>
        </w:rPr>
      </w:pPr>
      <w:bookmarkStart w:id="115" w:name="_Toc385427796"/>
      <w:bookmarkStart w:id="116" w:name="_Toc1125"/>
      <w:bookmarkStart w:id="117" w:name="_Toc1737"/>
      <w:bookmarkStart w:id="118" w:name="_Toc3292"/>
      <w:bookmarkStart w:id="119" w:name="_Toc21602"/>
      <w:bookmarkStart w:id="120" w:name="_Toc25914"/>
      <w:bookmarkStart w:id="121" w:name="_Toc616"/>
      <w:bookmarkStart w:id="122" w:name="_Toc375039067"/>
      <w:bookmarkStart w:id="123" w:name="_Toc4438"/>
      <w:bookmarkStart w:id="124" w:name="_Toc492478721"/>
      <w:bookmarkStart w:id="125" w:name="_Toc390098422"/>
      <w:bookmarkStart w:id="126" w:name="_Toc7103"/>
      <w:bookmarkStart w:id="127" w:name="_Toc19081"/>
      <w:bookmarkStart w:id="128" w:name="_Toc7832"/>
      <w:bookmarkStart w:id="129" w:name="_Toc12983508"/>
      <w:bookmarkStart w:id="130" w:name="_Toc24103"/>
      <w:bookmarkStart w:id="131" w:name="_Toc23146"/>
      <w:bookmarkStart w:id="132" w:name="_Toc21215"/>
      <w:bookmarkStart w:id="133" w:name="_Toc31789"/>
      <w:bookmarkStart w:id="134" w:name="_Toc25750594"/>
      <w:bookmarkStart w:id="135" w:name="_Toc19709"/>
      <w:bookmarkStart w:id="136" w:name="_Toc75276792"/>
      <w:bookmarkStart w:id="137" w:name="_Toc18668"/>
      <w:bookmarkStart w:id="138" w:name="_Toc30752"/>
      <w:bookmarkStart w:id="139" w:name="_Toc383891171"/>
      <w:r>
        <w:rPr>
          <w:rFonts w:hint="eastAsia" w:ascii="宋体" w:hAnsi="宋体"/>
          <w:sz w:val="21"/>
          <w:szCs w:val="21"/>
        </w:rPr>
        <w:t xml:space="preserve">4. </w:t>
      </w:r>
      <w:r>
        <w:rPr>
          <w:rFonts w:ascii="宋体" w:hAnsi="宋体"/>
          <w:sz w:val="21"/>
          <w:szCs w:val="21"/>
        </w:rPr>
        <w:t>比选申请费用</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140" w:name="_Toc28220"/>
      <w:bookmarkStart w:id="141" w:name="_Toc8562"/>
      <w:bookmarkStart w:id="142" w:name="_Toc18528"/>
      <w:bookmarkStart w:id="143" w:name="_Toc383891172"/>
      <w:bookmarkStart w:id="144" w:name="_Toc390098423"/>
      <w:bookmarkStart w:id="145" w:name="_Toc6528"/>
      <w:bookmarkStart w:id="146" w:name="_Toc16530"/>
      <w:bookmarkStart w:id="147" w:name="_Toc5487"/>
      <w:bookmarkStart w:id="148" w:name="_Toc15763"/>
      <w:bookmarkStart w:id="149" w:name="_Toc9677"/>
      <w:bookmarkStart w:id="150" w:name="_Toc19617"/>
      <w:bookmarkStart w:id="151" w:name="_Toc75276793"/>
      <w:bookmarkStart w:id="152" w:name="_Toc2609"/>
      <w:bookmarkStart w:id="153" w:name="_Toc385427797"/>
      <w:bookmarkStart w:id="154" w:name="_Toc16608"/>
      <w:bookmarkStart w:id="155" w:name="_Toc16131"/>
      <w:bookmarkStart w:id="156" w:name="_Toc7339"/>
      <w:bookmarkStart w:id="157" w:name="_Toc3854"/>
      <w:bookmarkStart w:id="158" w:name="_Toc29160"/>
      <w:bookmarkStart w:id="159" w:name="_Toc12983509"/>
      <w:bookmarkStart w:id="160" w:name="_Toc2986"/>
      <w:bookmarkStart w:id="161" w:name="_Toc492478722"/>
      <w:bookmarkStart w:id="162" w:name="_Toc5160"/>
      <w:bookmarkStart w:id="163" w:name="_Toc375039068"/>
      <w:r>
        <w:rPr>
          <w:rFonts w:hint="eastAsia" w:ascii="宋体" w:hAnsi="宋体" w:eastAsia="宋体"/>
          <w:sz w:val="24"/>
          <w:szCs w:val="24"/>
        </w:rPr>
        <w:t>二、</w:t>
      </w:r>
      <w:r>
        <w:rPr>
          <w:rFonts w:ascii="宋体" w:hAnsi="宋体" w:eastAsia="宋体"/>
          <w:sz w:val="24"/>
          <w:szCs w:val="24"/>
        </w:rPr>
        <w:t>比选文件</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spacing w:before="0" w:after="0" w:afterAutospacing="0"/>
        <w:ind w:left="0" w:right="0" w:firstLine="422" w:firstLineChars="200"/>
        <w:rPr>
          <w:rFonts w:ascii="宋体" w:hAnsi="宋体"/>
          <w:sz w:val="21"/>
          <w:szCs w:val="21"/>
        </w:rPr>
      </w:pPr>
      <w:bookmarkStart w:id="164" w:name="_Toc18436"/>
      <w:bookmarkStart w:id="165" w:name="_Toc6764"/>
      <w:bookmarkStart w:id="166" w:name="_Toc12983510"/>
      <w:bookmarkStart w:id="167" w:name="_Toc21811"/>
      <w:bookmarkStart w:id="168" w:name="_Toc6637"/>
      <w:bookmarkStart w:id="169" w:name="_Toc13114"/>
      <w:bookmarkStart w:id="170" w:name="_Toc29472"/>
      <w:bookmarkStart w:id="171" w:name="_Toc5877"/>
      <w:bookmarkStart w:id="172" w:name="_Toc25378"/>
      <w:bookmarkStart w:id="173" w:name="_Toc492478723"/>
      <w:bookmarkStart w:id="174" w:name="_Toc383891173"/>
      <w:bookmarkStart w:id="175" w:name="_Toc25750596"/>
      <w:bookmarkStart w:id="176" w:name="_Toc29225"/>
      <w:bookmarkStart w:id="177" w:name="_Toc839"/>
      <w:bookmarkStart w:id="178" w:name="_Toc75276794"/>
      <w:bookmarkStart w:id="179" w:name="_Toc390098424"/>
      <w:bookmarkStart w:id="180" w:name="_Toc4157"/>
      <w:bookmarkStart w:id="181" w:name="_Toc9756"/>
      <w:bookmarkStart w:id="182" w:name="_Toc26333"/>
      <w:bookmarkStart w:id="183" w:name="_Toc19561"/>
      <w:bookmarkStart w:id="184" w:name="_Toc32710"/>
      <w:bookmarkStart w:id="185" w:name="_Toc30401"/>
      <w:bookmarkStart w:id="186" w:name="_Toc27870"/>
      <w:bookmarkStart w:id="187" w:name="_Toc385427798"/>
      <w:bookmarkStart w:id="188" w:name="_Toc375039069"/>
      <w:bookmarkStart w:id="189" w:name="_Toc26909"/>
      <w:bookmarkStart w:id="190" w:name="_Toc11896"/>
      <w:bookmarkStart w:id="191" w:name="_Toc12983511"/>
      <w:bookmarkStart w:id="192" w:name="_Toc28270"/>
      <w:bookmarkStart w:id="193" w:name="_Toc18631"/>
      <w:bookmarkStart w:id="194" w:name="_Toc385427799"/>
      <w:bookmarkStart w:id="195" w:name="_Toc31386"/>
      <w:bookmarkStart w:id="196" w:name="_Toc383891174"/>
      <w:bookmarkStart w:id="197" w:name="_Toc492478724"/>
      <w:bookmarkStart w:id="198" w:name="_Toc75276795"/>
      <w:bookmarkStart w:id="199" w:name="_Toc20903"/>
      <w:bookmarkStart w:id="200" w:name="_Toc15154"/>
      <w:bookmarkStart w:id="201" w:name="_Toc14426"/>
      <w:bookmarkStart w:id="202" w:name="_Toc2664"/>
      <w:bookmarkStart w:id="203" w:name="_Toc29001"/>
      <w:bookmarkStart w:id="204" w:name="_Toc17279"/>
      <w:bookmarkStart w:id="205" w:name="_Toc31848"/>
      <w:bookmarkStart w:id="206" w:name="_Toc390098425"/>
      <w:bookmarkStart w:id="207" w:name="_Toc2489"/>
      <w:bookmarkStart w:id="208" w:name="_Toc375039070"/>
      <w:bookmarkStart w:id="209" w:name="_Toc21365"/>
      <w:bookmarkStart w:id="210" w:name="_Toc25750597"/>
      <w:bookmarkStart w:id="211" w:name="_Toc10162"/>
      <w:bookmarkStart w:id="212" w:name="_Toc26811"/>
      <w:bookmarkStart w:id="213" w:name="_Toc2789"/>
      <w:r>
        <w:rPr>
          <w:rFonts w:hint="eastAsia" w:ascii="宋体" w:hAnsi="宋体"/>
          <w:sz w:val="21"/>
          <w:szCs w:val="21"/>
        </w:rPr>
        <w:t xml:space="preserve">5. </w:t>
      </w:r>
      <w:r>
        <w:rPr>
          <w:rFonts w:ascii="宋体" w:hAnsi="宋体"/>
          <w:sz w:val="21"/>
          <w:szCs w:val="21"/>
        </w:rPr>
        <w:t>比选文件构成</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spacing w:before="0" w:after="0" w:afterAutospacing="0"/>
        <w:ind w:left="0" w:right="0" w:firstLine="420" w:firstLineChars="200"/>
        <w:rPr>
          <w:rFonts w:ascii="宋体" w:hAnsi="宋体"/>
        </w:rPr>
      </w:pPr>
      <w:r>
        <w:rPr>
          <w:rFonts w:hint="eastAsia" w:ascii="宋体" w:hAnsi="宋体"/>
        </w:rPr>
        <w:t xml:space="preserve">5.1 </w:t>
      </w:r>
      <w:r>
        <w:rPr>
          <w:rFonts w:ascii="宋体" w:hAnsi="宋体"/>
        </w:rPr>
        <w:t>比选文件包括下列内容：</w:t>
      </w:r>
    </w:p>
    <w:p>
      <w:pPr>
        <w:numPr>
          <w:ilvl w:val="0"/>
          <w:numId w:val="1"/>
        </w:numPr>
        <w:spacing w:before="0"/>
        <w:ind w:right="0" w:firstLine="200"/>
        <w:rPr>
          <w:rFonts w:ascii="宋体" w:hAnsi="宋体"/>
        </w:rPr>
      </w:pPr>
      <w:r>
        <w:rPr>
          <w:rFonts w:ascii="宋体" w:hAnsi="宋体"/>
        </w:rPr>
        <w:t>比选公告</w:t>
      </w:r>
    </w:p>
    <w:p>
      <w:pPr>
        <w:numPr>
          <w:ilvl w:val="0"/>
          <w:numId w:val="1"/>
        </w:numPr>
        <w:spacing w:before="0"/>
        <w:ind w:right="0" w:firstLine="200"/>
        <w:rPr>
          <w:rFonts w:ascii="宋体" w:hAnsi="宋体"/>
        </w:rPr>
      </w:pPr>
      <w:r>
        <w:rPr>
          <w:rFonts w:ascii="宋体" w:hAnsi="宋体"/>
        </w:rPr>
        <w:t>比选申请人须知</w:t>
      </w:r>
    </w:p>
    <w:p>
      <w:pPr>
        <w:numPr>
          <w:ilvl w:val="0"/>
          <w:numId w:val="1"/>
        </w:numPr>
        <w:spacing w:before="0"/>
        <w:ind w:right="0" w:firstLine="200"/>
        <w:rPr>
          <w:rFonts w:ascii="宋体" w:hAnsi="宋体"/>
        </w:rPr>
      </w:pPr>
      <w:r>
        <w:rPr>
          <w:rFonts w:ascii="宋体" w:hAnsi="宋体"/>
        </w:rPr>
        <w:t>比选申请文件格式</w:t>
      </w:r>
    </w:p>
    <w:p>
      <w:pPr>
        <w:numPr>
          <w:ilvl w:val="0"/>
          <w:numId w:val="1"/>
        </w:numPr>
        <w:spacing w:before="0"/>
        <w:ind w:right="0" w:firstLine="200"/>
        <w:rPr>
          <w:rFonts w:ascii="宋体" w:hAnsi="宋体"/>
        </w:rPr>
      </w:pPr>
      <w:r>
        <w:rPr>
          <w:rFonts w:ascii="宋体" w:hAnsi="宋体"/>
        </w:rPr>
        <w:t>用户需求书</w:t>
      </w:r>
    </w:p>
    <w:p>
      <w:pPr>
        <w:numPr>
          <w:ilvl w:val="0"/>
          <w:numId w:val="1"/>
        </w:numPr>
        <w:spacing w:before="0" w:after="0" w:afterAutospacing="0"/>
        <w:ind w:right="0" w:firstLine="198"/>
        <w:rPr>
          <w:rFonts w:ascii="宋体" w:hAnsi="宋体"/>
        </w:rPr>
      </w:pPr>
      <w:r>
        <w:rPr>
          <w:rFonts w:ascii="宋体" w:hAnsi="宋体"/>
        </w:rPr>
        <w:t>评</w:t>
      </w:r>
      <w:r>
        <w:rPr>
          <w:rFonts w:hint="eastAsia" w:ascii="宋体" w:hAnsi="宋体"/>
        </w:rPr>
        <w:t>分</w:t>
      </w:r>
      <w:r>
        <w:rPr>
          <w:rFonts w:ascii="宋体" w:hAnsi="宋体"/>
        </w:rPr>
        <w:t>办法</w:t>
      </w:r>
    </w:p>
    <w:p>
      <w:pPr>
        <w:numPr>
          <w:ilvl w:val="0"/>
          <w:numId w:val="1"/>
        </w:numPr>
        <w:spacing w:before="0" w:after="0" w:afterAutospacing="0"/>
        <w:ind w:right="0" w:firstLine="198"/>
        <w:rPr>
          <w:rFonts w:ascii="宋体" w:hAnsi="宋体"/>
        </w:rPr>
      </w:pPr>
      <w:r>
        <w:rPr>
          <w:rFonts w:hint="eastAsia" w:ascii="宋体" w:hAnsi="宋体"/>
        </w:rPr>
        <w:t>合同条款及格式</w:t>
      </w:r>
    </w:p>
    <w:p>
      <w:pPr>
        <w:spacing w:before="0" w:after="0" w:afterAutospacing="0"/>
        <w:ind w:left="0" w:right="0"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0"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5"/>
        <w:spacing w:before="0" w:after="0" w:afterAutospacing="0"/>
        <w:ind w:left="0" w:right="0" w:firstLine="422" w:firstLineChars="200"/>
        <w:rPr>
          <w:rFonts w:ascii="宋体" w:hAnsi="宋体"/>
          <w:sz w:val="21"/>
          <w:szCs w:val="21"/>
        </w:rPr>
      </w:pPr>
      <w:r>
        <w:rPr>
          <w:rFonts w:hint="eastAsia" w:ascii="宋体" w:hAnsi="宋体"/>
          <w:sz w:val="21"/>
          <w:szCs w:val="21"/>
        </w:rPr>
        <w:t>6.</w:t>
      </w:r>
      <w:r>
        <w:rPr>
          <w:rFonts w:ascii="宋体" w:hAnsi="宋体"/>
          <w:sz w:val="21"/>
          <w:szCs w:val="21"/>
        </w:rPr>
        <w:t>比选文件的澄清</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spacing w:before="0" w:after="0" w:afterAutospacing="0"/>
        <w:ind w:left="0" w:right="0"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0"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5"/>
        <w:spacing w:before="0" w:after="0" w:afterAutospacing="0"/>
        <w:ind w:left="0" w:right="0" w:firstLine="422" w:firstLineChars="200"/>
        <w:rPr>
          <w:rFonts w:ascii="宋体" w:hAnsi="宋体"/>
          <w:sz w:val="21"/>
          <w:szCs w:val="21"/>
        </w:rPr>
      </w:pPr>
      <w:bookmarkStart w:id="214" w:name="_Toc15137"/>
      <w:bookmarkStart w:id="215" w:name="_Toc383891175"/>
      <w:bookmarkStart w:id="216" w:name="_Toc75276796"/>
      <w:bookmarkStart w:id="217" w:name="_Toc492478725"/>
      <w:bookmarkStart w:id="218" w:name="_Toc24191"/>
      <w:bookmarkStart w:id="219" w:name="_Toc375039071"/>
      <w:bookmarkStart w:id="220" w:name="_Toc22529"/>
      <w:bookmarkStart w:id="221" w:name="_Toc29795"/>
      <w:bookmarkStart w:id="222" w:name="_Toc19345"/>
      <w:bookmarkStart w:id="223" w:name="_Toc24583"/>
      <w:bookmarkStart w:id="224" w:name="_Toc385427800"/>
      <w:bookmarkStart w:id="225" w:name="_Toc25750598"/>
      <w:bookmarkStart w:id="226" w:name="_Toc15498"/>
      <w:bookmarkStart w:id="227" w:name="_Toc26952"/>
      <w:bookmarkStart w:id="228" w:name="_Toc390098426"/>
      <w:bookmarkStart w:id="229" w:name="_Toc14181"/>
      <w:bookmarkStart w:id="230" w:name="_Toc27124"/>
      <w:bookmarkStart w:id="231" w:name="_Toc24128"/>
      <w:bookmarkStart w:id="232" w:name="_Toc2072"/>
      <w:bookmarkStart w:id="233" w:name="_Toc15674"/>
      <w:bookmarkStart w:id="234" w:name="_Toc5364"/>
      <w:bookmarkStart w:id="235" w:name="_Toc7063"/>
      <w:bookmarkStart w:id="236" w:name="_Toc30378"/>
      <w:bookmarkStart w:id="237" w:name="_Toc12983512"/>
      <w:bookmarkStart w:id="238" w:name="_Toc2976"/>
      <w:r>
        <w:rPr>
          <w:rFonts w:hint="eastAsia" w:ascii="宋体" w:hAnsi="宋体"/>
          <w:sz w:val="21"/>
          <w:szCs w:val="21"/>
        </w:rPr>
        <w:t xml:space="preserve">7. </w:t>
      </w:r>
      <w:r>
        <w:rPr>
          <w:rFonts w:ascii="宋体" w:hAnsi="宋体"/>
          <w:sz w:val="21"/>
          <w:szCs w:val="21"/>
        </w:rPr>
        <w:t>比选文件的补遗或修改</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spacing w:before="0" w:after="0" w:afterAutospacing="0"/>
        <w:ind w:left="0" w:right="0"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0"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比选文件的补遗或修改通知是比选文件的组成部分，补充比选文件在南宁轨道交通</w:t>
      </w:r>
      <w:r>
        <w:rPr>
          <w:rFonts w:hint="eastAsia" w:ascii="宋体" w:hAnsi="宋体"/>
        </w:rPr>
        <w:t>运营有限公司官网</w:t>
      </w:r>
      <w:r>
        <w:rPr>
          <w:rFonts w:ascii="宋体" w:hAnsi="宋体"/>
        </w:rPr>
        <w:t>上发布之日起，视为比选申请人已收到该补充比选文件。比选申请人未及时关注</w:t>
      </w:r>
      <w:r>
        <w:rPr>
          <w:rFonts w:hint="eastAsia" w:ascii="宋体" w:hAnsi="宋体"/>
        </w:rPr>
        <w:t>南宁轨道交通集团有限责任公司官网</w:t>
      </w:r>
      <w:r>
        <w:rPr>
          <w:rFonts w:ascii="宋体" w:hAnsi="宋体"/>
        </w:rPr>
        <w:t>上发布的补充比选文件造成的损失，由比选申请人自行负责。</w:t>
      </w:r>
    </w:p>
    <w:p>
      <w:pPr>
        <w:spacing w:before="0" w:after="0" w:afterAutospacing="0"/>
        <w:ind w:left="0" w:right="0"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239" w:name="_Toc18679"/>
      <w:bookmarkStart w:id="240" w:name="_Toc30363"/>
      <w:bookmarkStart w:id="241" w:name="_Toc17335"/>
      <w:bookmarkStart w:id="242" w:name="_Toc95"/>
      <w:bookmarkStart w:id="243" w:name="_Toc25361"/>
      <w:bookmarkStart w:id="244" w:name="_Toc75276797"/>
      <w:bookmarkStart w:id="245" w:name="_Toc17692"/>
      <w:bookmarkStart w:id="246" w:name="_Toc492478726"/>
      <w:bookmarkStart w:id="247" w:name="_Toc7604"/>
      <w:bookmarkStart w:id="248" w:name="_Toc10869"/>
      <w:bookmarkStart w:id="249" w:name="_Toc5805"/>
      <w:bookmarkStart w:id="250" w:name="_Toc383891176"/>
      <w:bookmarkStart w:id="251" w:name="_Toc28044"/>
      <w:bookmarkStart w:id="252" w:name="_Toc390098427"/>
      <w:bookmarkStart w:id="253" w:name="_Toc16406"/>
      <w:bookmarkStart w:id="254" w:name="_Toc24557"/>
      <w:bookmarkStart w:id="255" w:name="_Toc12983513"/>
      <w:bookmarkStart w:id="256" w:name="_Toc375039072"/>
      <w:bookmarkStart w:id="257" w:name="_Toc14185"/>
      <w:bookmarkStart w:id="258" w:name="_Toc4718"/>
      <w:bookmarkStart w:id="259" w:name="_Toc385427801"/>
      <w:bookmarkStart w:id="260" w:name="_Toc24759"/>
      <w:bookmarkStart w:id="261" w:name="_Toc2902"/>
      <w:bookmarkStart w:id="262" w:name="_Toc27913"/>
      <w:r>
        <w:rPr>
          <w:rFonts w:hint="eastAsia" w:ascii="宋体" w:hAnsi="宋体" w:eastAsia="宋体"/>
          <w:sz w:val="24"/>
          <w:szCs w:val="24"/>
        </w:rPr>
        <w:t>三、</w:t>
      </w:r>
      <w:r>
        <w:rPr>
          <w:rFonts w:ascii="宋体" w:hAnsi="宋体" w:eastAsia="宋体"/>
          <w:sz w:val="24"/>
          <w:szCs w:val="24"/>
        </w:rPr>
        <w:t>比选申请文件的编制</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5"/>
        <w:spacing w:before="0" w:after="0" w:afterAutospacing="0"/>
        <w:ind w:left="0" w:right="0" w:firstLine="422" w:firstLineChars="200"/>
        <w:rPr>
          <w:rFonts w:ascii="宋体" w:hAnsi="宋体"/>
          <w:sz w:val="21"/>
          <w:szCs w:val="21"/>
        </w:rPr>
      </w:pPr>
      <w:bookmarkStart w:id="263" w:name="_Toc18350"/>
      <w:bookmarkStart w:id="264" w:name="_Toc390098428"/>
      <w:bookmarkStart w:id="265" w:name="_Toc29862"/>
      <w:bookmarkStart w:id="266" w:name="_Toc12074"/>
      <w:bookmarkStart w:id="267" w:name="_Toc1733"/>
      <w:bookmarkStart w:id="268" w:name="_Toc383891177"/>
      <w:bookmarkStart w:id="269" w:name="_Toc23794"/>
      <w:bookmarkStart w:id="270" w:name="_Toc12983514"/>
      <w:bookmarkStart w:id="271" w:name="_Toc13418"/>
      <w:bookmarkStart w:id="272" w:name="_Toc21673"/>
      <w:bookmarkStart w:id="273" w:name="_Toc16186"/>
      <w:bookmarkStart w:id="274" w:name="_Toc385427802"/>
      <w:bookmarkStart w:id="275" w:name="_Toc20025"/>
      <w:bookmarkStart w:id="276" w:name="_Toc26150"/>
      <w:bookmarkStart w:id="277" w:name="_Toc2819"/>
      <w:bookmarkStart w:id="278" w:name="_Toc4384"/>
      <w:bookmarkStart w:id="279" w:name="_Toc25750600"/>
      <w:bookmarkStart w:id="280" w:name="_Toc12456"/>
      <w:bookmarkStart w:id="281" w:name="_Toc75276798"/>
      <w:bookmarkStart w:id="282" w:name="_Toc26680"/>
      <w:bookmarkStart w:id="283" w:name="_Toc16435"/>
      <w:bookmarkStart w:id="284" w:name="_Toc9592"/>
      <w:bookmarkStart w:id="285" w:name="_Toc492478727"/>
      <w:bookmarkStart w:id="286" w:name="_Toc375039073"/>
      <w:bookmarkStart w:id="287" w:name="_Toc11259"/>
      <w:r>
        <w:rPr>
          <w:rFonts w:hint="eastAsia" w:ascii="宋体" w:hAnsi="宋体"/>
          <w:sz w:val="21"/>
          <w:szCs w:val="21"/>
        </w:rPr>
        <w:t xml:space="preserve">8. </w:t>
      </w:r>
      <w:r>
        <w:rPr>
          <w:rFonts w:ascii="宋体" w:hAnsi="宋体"/>
          <w:sz w:val="21"/>
          <w:szCs w:val="21"/>
        </w:rPr>
        <w:t>编制要求</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tabs>
          <w:tab w:val="left" w:pos="1134"/>
          <w:tab w:val="left" w:pos="8364"/>
        </w:tabs>
        <w:spacing w:before="0" w:after="0" w:afterAutospacing="0"/>
        <w:ind w:left="0" w:right="0"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pStyle w:val="5"/>
        <w:numPr>
          <w:ilvl w:val="0"/>
          <w:numId w:val="2"/>
        </w:numPr>
        <w:spacing w:before="0" w:after="0" w:afterAutospacing="0"/>
        <w:ind w:left="0" w:right="0" w:firstLine="422" w:firstLineChars="200"/>
        <w:rPr>
          <w:rFonts w:ascii="宋体" w:hAnsi="宋体"/>
          <w:sz w:val="21"/>
          <w:szCs w:val="21"/>
        </w:rPr>
      </w:pPr>
      <w:bookmarkStart w:id="288" w:name="_Toc375039074"/>
      <w:bookmarkStart w:id="289" w:name="_Toc16237"/>
      <w:bookmarkStart w:id="290" w:name="_Toc24935"/>
      <w:bookmarkStart w:id="291" w:name="_Toc25750601"/>
      <w:bookmarkStart w:id="292" w:name="_Toc19885"/>
      <w:bookmarkStart w:id="293" w:name="_Toc385427803"/>
      <w:bookmarkStart w:id="294" w:name="_Toc75276799"/>
      <w:bookmarkStart w:id="295" w:name="_Toc3492"/>
      <w:bookmarkStart w:id="296" w:name="_Toc15570"/>
      <w:bookmarkStart w:id="297" w:name="_Toc24857"/>
      <w:bookmarkStart w:id="298" w:name="_Toc390098429"/>
      <w:bookmarkStart w:id="299" w:name="_Toc6261"/>
      <w:bookmarkStart w:id="300" w:name="_Toc25770"/>
      <w:bookmarkStart w:id="301" w:name="_Toc9887"/>
      <w:bookmarkStart w:id="302" w:name="_Toc1047"/>
      <w:bookmarkStart w:id="303" w:name="_Toc28296"/>
      <w:bookmarkStart w:id="304" w:name="_Toc12983515"/>
      <w:bookmarkStart w:id="305" w:name="_Toc12207"/>
      <w:bookmarkStart w:id="306" w:name="_Toc22026"/>
      <w:bookmarkStart w:id="307" w:name="_Toc26753"/>
      <w:bookmarkStart w:id="308" w:name="_Toc11040"/>
      <w:bookmarkStart w:id="309" w:name="_Toc11161"/>
      <w:bookmarkStart w:id="310" w:name="_Toc383891178"/>
      <w:bookmarkStart w:id="311" w:name="_Toc28065"/>
      <w:bookmarkStart w:id="312" w:name="_Toc492478728"/>
      <w:r>
        <w:rPr>
          <w:rFonts w:ascii="宋体" w:hAnsi="宋体"/>
          <w:sz w:val="21"/>
          <w:szCs w:val="21"/>
        </w:rPr>
        <w:t>比选申请语言及计量单位</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spacing w:before="0" w:after="0" w:afterAutospacing="0"/>
        <w:ind w:left="0" w:right="0"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pStyle w:val="5"/>
        <w:numPr>
          <w:ilvl w:val="0"/>
          <w:numId w:val="2"/>
        </w:numPr>
        <w:spacing w:before="0" w:after="0" w:afterAutospacing="0"/>
        <w:ind w:left="0" w:right="0" w:firstLine="422" w:firstLineChars="200"/>
        <w:rPr>
          <w:rFonts w:ascii="宋体" w:hAnsi="宋体"/>
          <w:sz w:val="21"/>
          <w:szCs w:val="21"/>
        </w:rPr>
      </w:pPr>
      <w:bookmarkStart w:id="313" w:name="_Toc30356"/>
      <w:bookmarkStart w:id="314" w:name="_Toc28164"/>
      <w:bookmarkStart w:id="315" w:name="_Toc75276800"/>
      <w:bookmarkStart w:id="316" w:name="_Toc14323"/>
      <w:bookmarkStart w:id="317" w:name="_Toc53"/>
      <w:bookmarkStart w:id="318" w:name="_Toc30991"/>
      <w:bookmarkStart w:id="319" w:name="_Toc3877"/>
      <w:bookmarkStart w:id="320" w:name="_Toc29881"/>
      <w:bookmarkStart w:id="321" w:name="_Toc383891179"/>
      <w:bookmarkStart w:id="322" w:name="_Toc15809"/>
      <w:bookmarkStart w:id="323" w:name="_Toc18149"/>
      <w:bookmarkStart w:id="324" w:name="_Toc375039075"/>
      <w:bookmarkStart w:id="325" w:name="_Toc24760"/>
      <w:bookmarkStart w:id="326" w:name="_Toc23364"/>
      <w:bookmarkStart w:id="327" w:name="_Toc19681"/>
      <w:bookmarkStart w:id="328" w:name="_Toc385427804"/>
      <w:bookmarkStart w:id="329" w:name="_Toc22476"/>
      <w:bookmarkStart w:id="330" w:name="_Toc3464"/>
      <w:bookmarkStart w:id="331" w:name="_Toc12983516"/>
      <w:bookmarkStart w:id="332" w:name="_Toc25750602"/>
      <w:bookmarkStart w:id="333" w:name="_Toc3411"/>
      <w:bookmarkStart w:id="334" w:name="_Toc492478729"/>
      <w:bookmarkStart w:id="335" w:name="_Toc16307"/>
      <w:bookmarkStart w:id="336" w:name="_Toc390098430"/>
      <w:bookmarkStart w:id="337" w:name="_Toc23229"/>
      <w:r>
        <w:rPr>
          <w:rFonts w:ascii="宋体" w:hAnsi="宋体"/>
          <w:sz w:val="21"/>
          <w:szCs w:val="21"/>
        </w:rPr>
        <w:t>比选申请文件组成</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0" w:firstLine="422" w:firstLineChars="200"/>
        <w:rPr>
          <w:rFonts w:ascii="宋体" w:hAnsi="宋体"/>
        </w:rPr>
      </w:pPr>
      <w:r>
        <w:rPr>
          <w:rFonts w:hint="eastAsia" w:ascii="宋体" w:hAnsi="宋体"/>
          <w:b/>
        </w:rPr>
        <w:t>10.2资格审查文件和技术文件不得透露有关报价的任何信息，否则导致其比选申请被否决。</w:t>
      </w:r>
    </w:p>
    <w:p>
      <w:pPr>
        <w:pStyle w:val="5"/>
        <w:spacing w:before="0" w:after="0" w:afterAutospacing="0"/>
        <w:ind w:left="0" w:right="0" w:firstLine="422" w:firstLineChars="200"/>
        <w:rPr>
          <w:rFonts w:ascii="宋体" w:hAnsi="宋体"/>
          <w:sz w:val="21"/>
          <w:szCs w:val="21"/>
        </w:rPr>
      </w:pPr>
      <w:bookmarkStart w:id="338" w:name="_Toc21144"/>
      <w:bookmarkStart w:id="339" w:name="_Toc20248"/>
      <w:bookmarkStart w:id="340" w:name="_Toc14630"/>
      <w:bookmarkStart w:id="341" w:name="_Toc75276801"/>
      <w:bookmarkStart w:id="342" w:name="_Toc7608"/>
      <w:bookmarkStart w:id="343" w:name="_Toc383891180"/>
      <w:bookmarkStart w:id="344" w:name="_Toc492478730"/>
      <w:bookmarkStart w:id="345" w:name="_Toc27019"/>
      <w:bookmarkStart w:id="346" w:name="_Toc15448"/>
      <w:bookmarkStart w:id="347" w:name="_Toc25750603"/>
      <w:bookmarkStart w:id="348" w:name="_Toc15919"/>
      <w:bookmarkStart w:id="349" w:name="_Toc23002"/>
      <w:bookmarkStart w:id="350" w:name="_Toc27194"/>
      <w:bookmarkStart w:id="351" w:name="_Toc20490"/>
      <w:bookmarkStart w:id="352" w:name="_Toc11211"/>
      <w:bookmarkStart w:id="353" w:name="_Toc385427805"/>
      <w:bookmarkStart w:id="354" w:name="_Toc12983517"/>
      <w:bookmarkStart w:id="355" w:name="_Toc2395"/>
      <w:bookmarkStart w:id="356" w:name="_Toc390098431"/>
      <w:bookmarkStart w:id="357" w:name="_Toc375039076"/>
      <w:bookmarkStart w:id="358" w:name="_Toc8151"/>
      <w:bookmarkStart w:id="359" w:name="_Toc675"/>
      <w:bookmarkStart w:id="360" w:name="_Toc3670"/>
      <w:bookmarkStart w:id="361" w:name="_Toc14308"/>
      <w:bookmarkStart w:id="362" w:name="_Toc16783"/>
      <w:r>
        <w:rPr>
          <w:rFonts w:hint="eastAsia" w:ascii="宋体" w:hAnsi="宋体"/>
          <w:sz w:val="21"/>
          <w:szCs w:val="21"/>
        </w:rPr>
        <w:t xml:space="preserve">11. </w:t>
      </w:r>
      <w:r>
        <w:rPr>
          <w:rFonts w:ascii="宋体" w:hAnsi="宋体"/>
          <w:sz w:val="21"/>
          <w:szCs w:val="21"/>
        </w:rPr>
        <w:t>比选申请文件格式</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tabs>
          <w:tab w:val="left" w:pos="8364"/>
        </w:tabs>
        <w:spacing w:before="0" w:after="0" w:afterAutospacing="0"/>
        <w:ind w:left="0" w:right="0" w:firstLine="420" w:firstLineChars="200"/>
        <w:rPr>
          <w:rFonts w:ascii="宋体" w:hAnsi="宋体"/>
        </w:rPr>
      </w:pPr>
      <w:r>
        <w:rPr>
          <w:rFonts w:hint="eastAsia" w:ascii="宋体" w:hAnsi="宋体"/>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0"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0"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pStyle w:val="5"/>
        <w:spacing w:before="0" w:after="0" w:afterAutospacing="0"/>
        <w:ind w:left="0" w:right="0" w:firstLine="422" w:firstLineChars="200"/>
        <w:rPr>
          <w:rFonts w:ascii="宋体" w:hAnsi="宋体"/>
          <w:sz w:val="21"/>
          <w:szCs w:val="21"/>
        </w:rPr>
      </w:pPr>
      <w:bookmarkStart w:id="363" w:name="_Toc17526"/>
      <w:bookmarkStart w:id="364" w:name="_Toc6671"/>
      <w:bookmarkStart w:id="365" w:name="_Toc25750604"/>
      <w:bookmarkStart w:id="366" w:name="_Toc385427806"/>
      <w:bookmarkStart w:id="367" w:name="_Toc7857"/>
      <w:bookmarkStart w:id="368" w:name="_Toc26974"/>
      <w:bookmarkStart w:id="369" w:name="_Toc21084"/>
      <w:bookmarkStart w:id="370" w:name="_Toc31743"/>
      <w:bookmarkStart w:id="371" w:name="_Toc17379"/>
      <w:bookmarkStart w:id="372" w:name="_Toc3799"/>
      <w:bookmarkStart w:id="373" w:name="_Toc24264"/>
      <w:bookmarkStart w:id="374" w:name="_Toc12983518"/>
      <w:bookmarkStart w:id="375" w:name="_Toc390098432"/>
      <w:bookmarkStart w:id="376" w:name="_Toc14123"/>
      <w:bookmarkStart w:id="377" w:name="_Toc16653"/>
      <w:bookmarkStart w:id="378" w:name="_Toc17338"/>
      <w:bookmarkStart w:id="379" w:name="_Toc383891181"/>
      <w:bookmarkStart w:id="380" w:name="_Toc26482"/>
      <w:bookmarkStart w:id="381" w:name="_Toc20685"/>
      <w:bookmarkStart w:id="382" w:name="_Toc9416"/>
      <w:bookmarkStart w:id="383" w:name="_Toc3813"/>
      <w:bookmarkStart w:id="384" w:name="_Toc492478731"/>
      <w:bookmarkStart w:id="385" w:name="_Toc75276802"/>
      <w:bookmarkStart w:id="386" w:name="_Toc22295"/>
      <w:bookmarkStart w:id="387" w:name="_Toc375039077"/>
      <w:r>
        <w:rPr>
          <w:rFonts w:hint="eastAsia" w:ascii="宋体" w:hAnsi="宋体"/>
          <w:sz w:val="21"/>
          <w:szCs w:val="21"/>
        </w:rPr>
        <w:t xml:space="preserve">12. </w:t>
      </w:r>
      <w:r>
        <w:rPr>
          <w:rFonts w:ascii="宋体" w:hAnsi="宋体"/>
          <w:sz w:val="21"/>
          <w:szCs w:val="21"/>
        </w:rPr>
        <w:t>比选申请报价</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tabs>
          <w:tab w:val="left" w:pos="8364"/>
        </w:tabs>
        <w:spacing w:before="0" w:after="0" w:afterAutospacing="0"/>
        <w:ind w:left="0" w:right="0" w:firstLine="420" w:firstLineChars="200"/>
        <w:rPr>
          <w:rFonts w:ascii="宋体" w:hAnsi="宋体"/>
        </w:rPr>
      </w:pPr>
      <w:r>
        <w:rPr>
          <w:rFonts w:ascii="宋体" w:hAnsi="宋体"/>
        </w:rPr>
        <w:t xml:space="preserve">12.1 </w:t>
      </w:r>
      <w:r>
        <w:rPr>
          <w:rFonts w:hint="eastAsia" w:ascii="宋体" w:hAnsi="宋体"/>
        </w:rPr>
        <w:t>本项目采用不含税报价。在签订本项目合同时，遵循国家现行税法的相关规定在中标人不含税单价和合价的基础上逐项增加税费，并明确相应税率和税金。本项目合同最终税金在结算阶段，按实际产生的税金进行核算。比选申请人须按第四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rPr>
      </w:pPr>
      <w:r>
        <w:rPr>
          <w:rFonts w:ascii="宋体" w:hAnsi="宋体"/>
        </w:rPr>
        <w:t xml:space="preserve">12.2 </w:t>
      </w:r>
      <w:r>
        <w:rPr>
          <w:rFonts w:hint="eastAsia" w:ascii="宋体" w:hAnsi="宋体"/>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rPr>
      </w:pPr>
      <w:r>
        <w:rPr>
          <w:rFonts w:hint="eastAsia" w:ascii="宋体" w:hAnsi="宋体"/>
        </w:rPr>
        <w:t>12.3 比选申请人应根据比选文件第四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rPr>
      </w:pPr>
      <w:r>
        <w:rPr>
          <w:rFonts w:hint="eastAsia" w:ascii="宋体" w:hAnsi="宋体"/>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rPr>
      </w:pPr>
      <w:r>
        <w:rPr>
          <w:rFonts w:hint="eastAsia" w:ascii="宋体" w:hAnsi="宋体"/>
        </w:rPr>
        <w:t>12.5 在现场开箱验收之前仓储、运输、装卸等相关费用由比选申请人负责。货物运抵现场后，应在比选人</w:t>
      </w:r>
      <w:r>
        <w:rPr>
          <w:rFonts w:ascii="宋体" w:hAnsi="宋体"/>
        </w:rPr>
        <w:t>/</w:t>
      </w:r>
      <w:r>
        <w:rPr>
          <w:rFonts w:hint="eastAsia" w:ascii="宋体" w:hAnsi="宋体"/>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rPr>
      </w:pPr>
      <w:r>
        <w:rPr>
          <w:rFonts w:hint="eastAsia" w:ascii="宋体" w:hAnsi="宋体"/>
        </w:rPr>
        <w:t>12.6 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tabs>
          <w:tab w:val="left" w:pos="8364"/>
        </w:tabs>
        <w:spacing w:before="0" w:after="0" w:afterAutospacing="0"/>
        <w:ind w:left="0" w:right="0" w:firstLine="420" w:firstLineChars="200"/>
        <w:rPr>
          <w:rFonts w:ascii="宋体" w:hAnsi="宋体"/>
        </w:rPr>
      </w:pPr>
      <w:r>
        <w:rPr>
          <w:rFonts w:ascii="宋体" w:hAnsi="宋体"/>
        </w:rPr>
        <w:t xml:space="preserve">12.7 </w:t>
      </w:r>
      <w:r>
        <w:rPr>
          <w:rFonts w:hint="eastAsia" w:ascii="宋体" w:hAnsi="宋体"/>
        </w:rPr>
        <w:t>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w:t>
      </w:r>
      <w:r>
        <w:rPr>
          <w:rFonts w:ascii="宋体" w:hAnsi="宋体"/>
        </w:rPr>
        <w:t>产品、部件</w:t>
      </w:r>
      <w:r>
        <w:rPr>
          <w:rFonts w:hint="eastAsia" w:ascii="宋体" w:hAnsi="宋体"/>
        </w:rPr>
        <w:t>和服务。</w:t>
      </w:r>
    </w:p>
    <w:p>
      <w:pPr>
        <w:spacing w:before="0" w:after="0" w:afterAutospacing="0"/>
        <w:ind w:left="0" w:right="0" w:firstLine="420" w:firstLineChars="200"/>
        <w:rPr>
          <w:rFonts w:ascii="宋体" w:hAnsi="宋体" w:cs="宋体"/>
        </w:rPr>
      </w:pPr>
      <w:r>
        <w:rPr>
          <w:rFonts w:ascii="宋体" w:hAnsi="宋体"/>
        </w:rPr>
        <w:t xml:space="preserve">12.8 </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rPr>
      </w:pPr>
      <w:r>
        <w:rPr>
          <w:rFonts w:ascii="宋体" w:hAnsi="宋体"/>
        </w:rPr>
        <w:t xml:space="preserve">12.9 </w:t>
      </w:r>
      <w:r>
        <w:rPr>
          <w:rFonts w:hint="eastAsia" w:ascii="宋体" w:hAnsi="宋体"/>
          <w:b/>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rPr>
      </w:pPr>
      <w:r>
        <w:rPr>
          <w:rFonts w:hint="eastAsia" w:ascii="宋体" w:hAnsi="宋体"/>
        </w:rPr>
        <w:t>12.11 比选申请人不得在价格文件之外的比选申请文件中出现任何有关本项目的报价信息。</w:t>
      </w:r>
    </w:p>
    <w:p>
      <w:pPr>
        <w:pStyle w:val="5"/>
        <w:numPr>
          <w:ilvl w:val="0"/>
          <w:numId w:val="3"/>
        </w:numPr>
        <w:spacing w:before="0" w:after="0" w:afterAutospacing="0"/>
        <w:ind w:left="0" w:right="0" w:firstLine="422" w:firstLineChars="200"/>
        <w:rPr>
          <w:rFonts w:ascii="宋体" w:hAnsi="宋体"/>
          <w:sz w:val="21"/>
          <w:szCs w:val="21"/>
        </w:rPr>
      </w:pPr>
      <w:bookmarkStart w:id="388" w:name="_Toc385427807"/>
      <w:bookmarkStart w:id="389" w:name="_Toc390098433"/>
      <w:bookmarkStart w:id="390" w:name="_Toc12762"/>
      <w:bookmarkStart w:id="391" w:name="_Toc28476"/>
      <w:bookmarkStart w:id="392" w:name="_Toc21430"/>
      <w:bookmarkStart w:id="393" w:name="_Toc21448"/>
      <w:bookmarkStart w:id="394" w:name="_Toc10220"/>
      <w:bookmarkStart w:id="395" w:name="_Toc12983519"/>
      <w:bookmarkStart w:id="396" w:name="_Toc492478732"/>
      <w:bookmarkStart w:id="397" w:name="_Toc20156"/>
      <w:bookmarkStart w:id="398" w:name="_Toc12947"/>
      <w:bookmarkStart w:id="399" w:name="_Toc7428"/>
      <w:bookmarkStart w:id="400" w:name="_Toc375039078"/>
      <w:bookmarkStart w:id="401" w:name="_Toc383891182"/>
      <w:bookmarkStart w:id="402" w:name="_Toc5836"/>
      <w:bookmarkStart w:id="403" w:name="_Toc25459"/>
      <w:bookmarkStart w:id="404" w:name="_Toc25750605"/>
      <w:bookmarkStart w:id="405" w:name="_Toc75276803"/>
      <w:bookmarkStart w:id="406" w:name="_Toc26064"/>
      <w:bookmarkStart w:id="407" w:name="_Toc1664"/>
      <w:bookmarkStart w:id="408" w:name="_Toc28880"/>
      <w:bookmarkStart w:id="409" w:name="_Toc18875"/>
      <w:bookmarkStart w:id="410" w:name="_Toc2710"/>
      <w:bookmarkStart w:id="411" w:name="_Toc21706"/>
      <w:bookmarkStart w:id="412" w:name="_Toc15940"/>
      <w:r>
        <w:rPr>
          <w:rFonts w:ascii="宋体" w:hAnsi="宋体"/>
          <w:sz w:val="21"/>
          <w:szCs w:val="21"/>
        </w:rPr>
        <w:t>比选申请货币</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spacing w:before="0" w:after="0" w:afterAutospacing="0"/>
        <w:ind w:left="0" w:right="0" w:firstLine="420" w:firstLineChars="200"/>
        <w:rPr>
          <w:rFonts w:ascii="宋体" w:hAnsi="宋体"/>
        </w:rPr>
      </w:pPr>
      <w:r>
        <w:rPr>
          <w:rFonts w:hint="eastAsia" w:ascii="宋体" w:hAnsi="宋体"/>
        </w:rPr>
        <w:t>13.1</w:t>
      </w:r>
      <w:r>
        <w:rPr>
          <w:rFonts w:ascii="宋体" w:hAnsi="宋体"/>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rPr>
      </w:pPr>
      <w:r>
        <w:rPr>
          <w:rFonts w:hint="eastAsia" w:ascii="宋体" w:hAnsi="宋体"/>
        </w:rPr>
        <w:t>13.2</w:t>
      </w:r>
      <w:r>
        <w:rPr>
          <w:rFonts w:ascii="宋体" w:hAnsi="宋体"/>
        </w:rPr>
        <w:t>比选人将以人民币与中选的比选申请人签订合同。</w:t>
      </w:r>
    </w:p>
    <w:p>
      <w:pPr>
        <w:pStyle w:val="5"/>
        <w:numPr>
          <w:ilvl w:val="0"/>
          <w:numId w:val="3"/>
        </w:numPr>
        <w:spacing w:before="0" w:after="0" w:afterAutospacing="0"/>
        <w:ind w:left="0" w:right="0" w:firstLine="422" w:firstLineChars="200"/>
        <w:rPr>
          <w:rFonts w:ascii="宋体" w:hAnsi="宋体"/>
          <w:sz w:val="21"/>
          <w:szCs w:val="21"/>
        </w:rPr>
      </w:pPr>
      <w:bookmarkStart w:id="413" w:name="_Toc9237"/>
      <w:bookmarkStart w:id="414" w:name="_Toc7417"/>
      <w:bookmarkStart w:id="415" w:name="_Toc30606"/>
      <w:bookmarkStart w:id="416" w:name="_Toc12983520"/>
      <w:bookmarkStart w:id="417" w:name="_Toc492478735"/>
      <w:bookmarkStart w:id="418" w:name="_Toc30040"/>
      <w:bookmarkStart w:id="419" w:name="_Toc27508"/>
      <w:bookmarkStart w:id="420" w:name="_Toc75276804"/>
      <w:bookmarkStart w:id="421" w:name="_Toc11690"/>
      <w:bookmarkStart w:id="422" w:name="_Toc390098436"/>
      <w:bookmarkStart w:id="423" w:name="_Toc14922"/>
      <w:bookmarkStart w:id="424" w:name="_Toc5974"/>
      <w:bookmarkStart w:id="425" w:name="_Toc383891185"/>
      <w:bookmarkStart w:id="426" w:name="_Toc1530"/>
      <w:bookmarkStart w:id="427" w:name="_Toc25750606"/>
      <w:bookmarkStart w:id="428" w:name="_Toc22051"/>
      <w:bookmarkStart w:id="429" w:name="_Toc12049"/>
      <w:bookmarkStart w:id="430" w:name="_Toc28665"/>
      <w:bookmarkStart w:id="431" w:name="_Toc30848"/>
      <w:bookmarkStart w:id="432" w:name="_Toc375039081"/>
      <w:bookmarkStart w:id="433" w:name="_Toc14309"/>
      <w:bookmarkStart w:id="434" w:name="_Toc385427810"/>
      <w:bookmarkStart w:id="435" w:name="_Toc24199"/>
      <w:bookmarkStart w:id="436" w:name="_Toc16314"/>
      <w:bookmarkStart w:id="437" w:name="_Toc1624"/>
      <w:r>
        <w:rPr>
          <w:rFonts w:ascii="宋体" w:hAnsi="宋体"/>
          <w:sz w:val="21"/>
          <w:szCs w:val="21"/>
        </w:rPr>
        <w:t>比选保证金</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2"/>
        <w:spacing w:before="0" w:after="0" w:afterAutospacing="0"/>
        <w:ind w:left="0" w:right="0"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pStyle w:val="5"/>
        <w:spacing w:before="0" w:after="0" w:afterAutospacing="0"/>
        <w:ind w:left="0" w:right="0" w:firstLine="422" w:firstLineChars="200"/>
        <w:rPr>
          <w:rFonts w:ascii="宋体" w:hAnsi="宋体"/>
          <w:sz w:val="21"/>
          <w:szCs w:val="21"/>
        </w:rPr>
      </w:pPr>
      <w:bookmarkStart w:id="438" w:name="_Toc10918"/>
      <w:bookmarkStart w:id="439" w:name="_Toc691"/>
      <w:bookmarkStart w:id="440" w:name="_Toc845"/>
      <w:bookmarkStart w:id="441" w:name="_Toc9117"/>
      <w:bookmarkStart w:id="442" w:name="_Toc375039082"/>
      <w:bookmarkStart w:id="443" w:name="_Toc12983521"/>
      <w:bookmarkStart w:id="444" w:name="_Toc30499"/>
      <w:bookmarkStart w:id="445" w:name="_Toc23114"/>
      <w:bookmarkStart w:id="446" w:name="_Toc2268"/>
      <w:bookmarkStart w:id="447" w:name="_Toc1604"/>
      <w:bookmarkStart w:id="448" w:name="_Toc5690"/>
      <w:bookmarkStart w:id="449" w:name="_Toc28997"/>
      <w:bookmarkStart w:id="450" w:name="_Toc24656"/>
      <w:bookmarkStart w:id="451" w:name="_Toc4433"/>
      <w:bookmarkStart w:id="452" w:name="_Toc492478736"/>
      <w:bookmarkStart w:id="453" w:name="_Toc383891186"/>
      <w:bookmarkStart w:id="454" w:name="_Toc390098437"/>
      <w:bookmarkStart w:id="455" w:name="_Toc385427811"/>
      <w:bookmarkStart w:id="456" w:name="_Toc28555"/>
      <w:bookmarkStart w:id="457" w:name="_Toc75276805"/>
      <w:bookmarkStart w:id="458" w:name="_Toc20643"/>
      <w:bookmarkStart w:id="459" w:name="_Toc20070"/>
      <w:bookmarkStart w:id="460" w:name="_Toc7808"/>
      <w:bookmarkStart w:id="461" w:name="_Toc20493"/>
      <w:bookmarkStart w:id="462" w:name="_Toc25750607"/>
      <w:r>
        <w:rPr>
          <w:rFonts w:hint="eastAsia" w:ascii="宋体" w:hAnsi="宋体"/>
          <w:sz w:val="21"/>
          <w:szCs w:val="21"/>
        </w:rPr>
        <w:t xml:space="preserve">15. </w:t>
      </w:r>
      <w:r>
        <w:rPr>
          <w:rFonts w:ascii="宋体" w:hAnsi="宋体"/>
          <w:sz w:val="21"/>
          <w:szCs w:val="21"/>
        </w:rPr>
        <w:t>比选申请有效期</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bookmarkStart w:id="463" w:name="_Toc12435"/>
      <w:bookmarkStart w:id="464" w:name="_Toc25468"/>
      <w:bookmarkStart w:id="465" w:name="_Toc4216"/>
      <w:bookmarkStart w:id="466" w:name="_Toc12983522"/>
      <w:bookmarkStart w:id="467" w:name="_Toc492478737"/>
      <w:bookmarkStart w:id="468" w:name="_Toc29108"/>
      <w:bookmarkStart w:id="469" w:name="_Toc385427812"/>
      <w:bookmarkStart w:id="470" w:name="_Toc3414"/>
      <w:bookmarkStart w:id="471" w:name="_Toc301"/>
      <w:bookmarkStart w:id="472" w:name="_Toc32020"/>
      <w:bookmarkStart w:id="473" w:name="_Toc14672"/>
      <w:bookmarkStart w:id="474" w:name="_Toc32525"/>
      <w:bookmarkStart w:id="475" w:name="_Toc6065"/>
      <w:bookmarkStart w:id="476" w:name="_Toc25684"/>
      <w:bookmarkStart w:id="477" w:name="_Toc383891187"/>
      <w:bookmarkStart w:id="478" w:name="_Toc12506"/>
      <w:bookmarkStart w:id="479" w:name="_Toc19044"/>
      <w:bookmarkStart w:id="480" w:name="_Toc27730"/>
      <w:bookmarkStart w:id="481" w:name="_Toc19603"/>
      <w:bookmarkStart w:id="482" w:name="_Toc375039083"/>
      <w:bookmarkStart w:id="483" w:name="_Toc24922"/>
      <w:bookmarkStart w:id="484" w:name="_Toc8100"/>
      <w:bookmarkStart w:id="485" w:name="_Toc390098438"/>
      <w:r>
        <w:rPr>
          <w:rFonts w:hint="eastAsia" w:ascii="宋体" w:hAnsi="宋体"/>
        </w:rPr>
        <w:t xml:space="preserve">16. </w:t>
      </w:r>
      <w:r>
        <w:rPr>
          <w:rFonts w:ascii="宋体" w:hAnsi="宋体"/>
        </w:rPr>
        <w:t>比选申请文件的制作和签署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16.2 </w:t>
      </w:r>
      <w:r>
        <w:rPr>
          <w:rFonts w:ascii="宋体" w:hAnsi="宋体"/>
          <w:b/>
        </w:rPr>
        <w:t>比选申请文件的正本需打印，并由比选申请人法定代表人或其授权委托人</w:t>
      </w:r>
      <w:r>
        <w:rPr>
          <w:rFonts w:hint="eastAsia" w:ascii="宋体" w:hAnsi="宋体"/>
          <w:b/>
        </w:rPr>
        <w:t>在比选文件规定的相关位置</w:t>
      </w:r>
      <w:r>
        <w:rPr>
          <w:rFonts w:ascii="宋体" w:hAnsi="宋体"/>
          <w:b/>
        </w:rPr>
        <w:t>签字并加盖公章。授权委托人应将以书面形式出具的“法定代表人授权书”附在比选申请文件中。</w:t>
      </w:r>
      <w:r>
        <w:rPr>
          <w:rFonts w:hint="eastAsia" w:ascii="宋体" w:hAnsi="宋体"/>
          <w:b/>
        </w:rPr>
        <w:t>比选申请文件正本需</w:t>
      </w:r>
      <w:r>
        <w:rPr>
          <w:rFonts w:ascii="宋体" w:hAnsi="宋体"/>
          <w:b/>
        </w:rPr>
        <w:t>骑缝加盖比选申请人单位公章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骑缝加盖比选申请人单位公章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16.4 </w:t>
      </w:r>
      <w:r>
        <w:rPr>
          <w:rFonts w:ascii="宋体" w:hAnsi="宋体"/>
        </w:rPr>
        <w:t>比选人拒绝接受以</w:t>
      </w:r>
      <w:r>
        <w:rPr>
          <w:rFonts w:hint="eastAsia" w:ascii="宋体" w:hAnsi="宋体"/>
        </w:rPr>
        <w:t>邮寄、</w:t>
      </w:r>
      <w:r>
        <w:rPr>
          <w:rFonts w:ascii="宋体" w:hAnsi="宋体"/>
        </w:rPr>
        <w:t>电报、电话、传真、电子邮件形式的比选申请。</w:t>
      </w:r>
    </w:p>
    <w:p>
      <w:pPr>
        <w:pStyle w:val="4"/>
        <w:spacing w:after="0" w:afterAutospacing="0" w:line="360" w:lineRule="auto"/>
        <w:ind w:left="0" w:right="0" w:firstLine="482" w:firstLineChars="200"/>
        <w:rPr>
          <w:rFonts w:ascii="宋体" w:hAnsi="宋体" w:eastAsia="宋体"/>
          <w:sz w:val="24"/>
          <w:szCs w:val="24"/>
        </w:rPr>
      </w:pPr>
      <w:bookmarkStart w:id="486" w:name="_Toc383891188"/>
      <w:bookmarkStart w:id="487" w:name="_Toc390098439"/>
      <w:bookmarkStart w:id="488" w:name="_Toc375039084"/>
      <w:bookmarkStart w:id="489" w:name="_Toc385427813"/>
      <w:bookmarkStart w:id="490" w:name="_Toc30187"/>
      <w:bookmarkStart w:id="491" w:name="_Toc10234"/>
      <w:bookmarkStart w:id="492" w:name="_Toc23177"/>
      <w:bookmarkStart w:id="493" w:name="_Toc18322"/>
      <w:bookmarkStart w:id="494" w:name="_Toc2113"/>
      <w:bookmarkStart w:id="495" w:name="_Toc26776"/>
      <w:bookmarkStart w:id="496" w:name="_Toc759"/>
      <w:bookmarkStart w:id="497" w:name="_Toc75276806"/>
      <w:bookmarkStart w:id="498" w:name="_Toc32054"/>
      <w:bookmarkStart w:id="499" w:name="_Toc492478738"/>
      <w:bookmarkStart w:id="500" w:name="_Toc1952"/>
      <w:bookmarkStart w:id="501" w:name="_Toc26551"/>
      <w:bookmarkStart w:id="502" w:name="_Toc16409"/>
      <w:bookmarkStart w:id="503" w:name="_Toc12983523"/>
      <w:bookmarkStart w:id="504" w:name="_Toc1315"/>
      <w:bookmarkStart w:id="505" w:name="_Toc30452"/>
      <w:bookmarkStart w:id="506" w:name="_Toc30962"/>
      <w:bookmarkStart w:id="507" w:name="_Toc6101"/>
      <w:bookmarkStart w:id="508" w:name="_Toc2975"/>
      <w:bookmarkStart w:id="509" w:name="_Toc15116"/>
      <w:r>
        <w:rPr>
          <w:rFonts w:hint="eastAsia" w:ascii="宋体" w:hAnsi="宋体" w:eastAsia="宋体"/>
          <w:sz w:val="24"/>
          <w:szCs w:val="24"/>
        </w:rPr>
        <w:t>四、</w:t>
      </w:r>
      <w:r>
        <w:rPr>
          <w:rFonts w:ascii="宋体" w:hAnsi="宋体" w:eastAsia="宋体"/>
          <w:sz w:val="24"/>
          <w:szCs w:val="24"/>
        </w:rPr>
        <w:t>比选申请文件</w:t>
      </w:r>
      <w:bookmarkEnd w:id="486"/>
      <w:bookmarkEnd w:id="487"/>
      <w:bookmarkEnd w:id="488"/>
      <w:bookmarkEnd w:id="489"/>
      <w:r>
        <w:rPr>
          <w:rFonts w:hint="eastAsia" w:ascii="宋体" w:hAnsi="宋体" w:eastAsia="宋体"/>
          <w:sz w:val="24"/>
          <w:szCs w:val="24"/>
        </w:rPr>
        <w:t>的密封和递交</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5"/>
        <w:spacing w:before="0" w:after="0" w:afterAutospacing="0"/>
        <w:ind w:left="0" w:right="0" w:firstLine="422" w:firstLineChars="200"/>
        <w:rPr>
          <w:rFonts w:ascii="宋体" w:hAnsi="宋体"/>
          <w:sz w:val="21"/>
          <w:szCs w:val="21"/>
        </w:rPr>
      </w:pPr>
      <w:bookmarkStart w:id="510" w:name="_Toc385427814"/>
      <w:bookmarkStart w:id="511" w:name="_Toc12983524"/>
      <w:bookmarkStart w:id="512" w:name="_Toc26249"/>
      <w:bookmarkStart w:id="513" w:name="_Toc383891189"/>
      <w:bookmarkStart w:id="514" w:name="_Toc492478739"/>
      <w:bookmarkStart w:id="515" w:name="_Toc9307"/>
      <w:bookmarkStart w:id="516" w:name="_Toc13621"/>
      <w:bookmarkStart w:id="517" w:name="_Toc13829"/>
      <w:bookmarkStart w:id="518" w:name="_Toc19495"/>
      <w:bookmarkStart w:id="519" w:name="_Toc75276807"/>
      <w:bookmarkStart w:id="520" w:name="_Toc15650"/>
      <w:bookmarkStart w:id="521" w:name="_Toc375039085"/>
      <w:bookmarkStart w:id="522" w:name="_Toc30196"/>
      <w:bookmarkStart w:id="523" w:name="_Toc15735"/>
      <w:bookmarkStart w:id="524" w:name="_Toc15071"/>
      <w:bookmarkStart w:id="525" w:name="_Toc15663"/>
      <w:bookmarkStart w:id="526" w:name="_Toc17200"/>
      <w:bookmarkStart w:id="527" w:name="_Toc18616"/>
      <w:bookmarkStart w:id="528" w:name="_Toc5922"/>
      <w:bookmarkStart w:id="529" w:name="_Toc12117"/>
      <w:bookmarkStart w:id="530" w:name="_Toc25750609"/>
      <w:bookmarkStart w:id="531" w:name="_Toc24648"/>
      <w:bookmarkStart w:id="532" w:name="_Toc13875"/>
      <w:bookmarkStart w:id="533" w:name="_Toc12329"/>
      <w:bookmarkStart w:id="534" w:name="_Toc390098440"/>
      <w:r>
        <w:rPr>
          <w:rFonts w:hint="eastAsia" w:ascii="宋体" w:hAnsi="宋体"/>
          <w:sz w:val="21"/>
          <w:szCs w:val="21"/>
        </w:rPr>
        <w:t xml:space="preserve">17. </w:t>
      </w:r>
      <w:r>
        <w:rPr>
          <w:rFonts w:ascii="宋体" w:hAnsi="宋体"/>
          <w:sz w:val="21"/>
          <w:szCs w:val="21"/>
        </w:rPr>
        <w:t>比选申请文件</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tabs>
          <w:tab w:val="left" w:pos="1134"/>
          <w:tab w:val="left" w:pos="8364"/>
        </w:tabs>
        <w:spacing w:before="0" w:after="0" w:afterAutospacing="0"/>
        <w:ind w:left="0" w:right="0" w:firstLine="420" w:firstLineChars="200"/>
        <w:rPr>
          <w:rFonts w:ascii="宋体" w:hAnsi="宋体"/>
        </w:rPr>
      </w:pPr>
      <w:bookmarkStart w:id="535" w:name="_Toc375039086"/>
      <w:bookmarkStart w:id="536" w:name="_Toc383891190"/>
      <w:bookmarkStart w:id="537" w:name="_Toc385427815"/>
      <w:bookmarkStart w:id="538" w:name="_Toc390098441"/>
      <w:r>
        <w:rPr>
          <w:rFonts w:hint="eastAsia" w:ascii="宋体" w:hAnsi="宋体"/>
        </w:rPr>
        <w:t xml:space="preserve">17.1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17.2 </w:t>
      </w:r>
      <w:r>
        <w:rPr>
          <w:rFonts w:ascii="宋体" w:hAnsi="宋体"/>
        </w:rPr>
        <w:t>所有密封箱/袋都应具有下列识别标志：</w:t>
      </w:r>
    </w:p>
    <w:p>
      <w:pPr>
        <w:tabs>
          <w:tab w:val="left" w:pos="1155"/>
        </w:tabs>
        <w:spacing w:before="0" w:after="0" w:afterAutospacing="0"/>
        <w:ind w:left="0" w:right="0" w:firstLine="420" w:firstLineChars="200"/>
        <w:rPr>
          <w:rFonts w:ascii="宋体" w:hAnsi="宋体"/>
        </w:rPr>
      </w:pPr>
      <w:r>
        <w:rPr>
          <w:rFonts w:hint="eastAsia" w:ascii="宋体" w:hAnsi="宋体"/>
        </w:rPr>
        <w:t>（1）</w:t>
      </w:r>
      <w:r>
        <w:rPr>
          <w:rFonts w:ascii="宋体" w:hAnsi="宋体"/>
        </w:rPr>
        <w:t>项目名称：</w:t>
      </w:r>
      <w:r>
        <w:rPr>
          <w:rFonts w:ascii="宋体" w:hAnsi="宋体"/>
          <w:u w:val="single"/>
        </w:rPr>
        <w:t>（填入项目名称）</w:t>
      </w:r>
      <w:r>
        <w:rPr>
          <w:rFonts w:ascii="宋体" w:hAnsi="宋体"/>
        </w:rPr>
        <w:t>；</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（2）</w:t>
      </w:r>
      <w:r>
        <w:rPr>
          <w:rFonts w:ascii="宋体" w:hAnsi="宋体"/>
        </w:rPr>
        <w:t>项目编号：</w:t>
      </w:r>
      <w:r>
        <w:rPr>
          <w:rFonts w:ascii="宋体" w:hAnsi="宋体"/>
          <w:u w:val="single"/>
        </w:rPr>
        <w:t>（填入项目编号）</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pStyle w:val="5"/>
        <w:numPr>
          <w:ilvl w:val="0"/>
          <w:numId w:val="4"/>
        </w:numPr>
        <w:spacing w:before="0" w:after="0" w:afterAutospacing="0"/>
        <w:ind w:left="0" w:right="0" w:firstLine="422" w:firstLineChars="200"/>
        <w:rPr>
          <w:rFonts w:ascii="宋体" w:hAnsi="宋体"/>
          <w:sz w:val="21"/>
          <w:szCs w:val="21"/>
        </w:rPr>
      </w:pPr>
      <w:bookmarkStart w:id="539" w:name="_Toc25750610"/>
      <w:bookmarkStart w:id="540" w:name="_Toc492478740"/>
      <w:bookmarkStart w:id="541" w:name="_Toc6339"/>
      <w:bookmarkStart w:id="542" w:name="_Toc6482"/>
      <w:bookmarkStart w:id="543" w:name="_Toc2337"/>
      <w:bookmarkStart w:id="544" w:name="_Toc22180"/>
      <w:bookmarkStart w:id="545" w:name="_Toc28071"/>
      <w:bookmarkStart w:id="546" w:name="_Toc16818"/>
      <w:bookmarkStart w:id="547" w:name="_Toc75276808"/>
      <w:bookmarkStart w:id="548" w:name="_Toc4735"/>
      <w:bookmarkStart w:id="549" w:name="_Toc13883"/>
      <w:bookmarkStart w:id="550" w:name="_Toc642"/>
      <w:bookmarkStart w:id="551" w:name="_Toc11039"/>
      <w:bookmarkStart w:id="552" w:name="_Toc32760"/>
      <w:bookmarkStart w:id="553" w:name="_Toc16266"/>
      <w:bookmarkStart w:id="554" w:name="_Toc11096"/>
      <w:bookmarkStart w:id="555" w:name="_Toc16755"/>
      <w:bookmarkStart w:id="556" w:name="_Toc11255"/>
      <w:bookmarkStart w:id="557" w:name="_Toc12983525"/>
      <w:bookmarkStart w:id="558" w:name="_Toc22445"/>
      <w:bookmarkStart w:id="559" w:name="_Toc23859"/>
      <w:r>
        <w:rPr>
          <w:rFonts w:ascii="宋体" w:hAnsi="宋体"/>
          <w:sz w:val="21"/>
          <w:szCs w:val="21"/>
        </w:rPr>
        <w:t>比选申请截止期</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5"/>
        <w:numPr>
          <w:ilvl w:val="0"/>
          <w:numId w:val="4"/>
        </w:numPr>
        <w:spacing w:before="0" w:after="0" w:afterAutospacing="0"/>
        <w:ind w:left="0" w:right="0" w:firstLine="422" w:firstLineChars="200"/>
        <w:rPr>
          <w:rFonts w:ascii="宋体" w:hAnsi="宋体"/>
          <w:sz w:val="21"/>
          <w:szCs w:val="21"/>
        </w:rPr>
      </w:pPr>
      <w:bookmarkStart w:id="560" w:name="_Toc22945"/>
      <w:bookmarkStart w:id="561" w:name="_Toc75276809"/>
      <w:bookmarkStart w:id="562" w:name="_Toc15252"/>
      <w:bookmarkStart w:id="563" w:name="_Toc3597"/>
      <w:bookmarkStart w:id="564" w:name="_Toc23404"/>
      <w:bookmarkStart w:id="565" w:name="_Toc385427816"/>
      <w:bookmarkStart w:id="566" w:name="_Toc26431"/>
      <w:bookmarkStart w:id="567" w:name="_Toc13581"/>
      <w:bookmarkStart w:id="568" w:name="_Toc9522"/>
      <w:bookmarkStart w:id="569" w:name="_Toc14239"/>
      <w:bookmarkStart w:id="570" w:name="_Toc12983526"/>
      <w:bookmarkStart w:id="571" w:name="_Toc383891191"/>
      <w:bookmarkStart w:id="572" w:name="_Toc29473"/>
      <w:bookmarkStart w:id="573" w:name="_Toc10818"/>
      <w:bookmarkStart w:id="574" w:name="_Toc32252"/>
      <w:bookmarkStart w:id="575" w:name="_Toc324"/>
      <w:bookmarkStart w:id="576" w:name="_Toc2226"/>
      <w:bookmarkStart w:id="577" w:name="_Toc29066"/>
      <w:bookmarkStart w:id="578" w:name="_Toc32621"/>
      <w:bookmarkStart w:id="579" w:name="_Toc25750611"/>
      <w:bookmarkStart w:id="580" w:name="_Toc492478741"/>
      <w:bookmarkStart w:id="581" w:name="_Toc21960"/>
      <w:bookmarkStart w:id="582" w:name="_Toc375039087"/>
      <w:bookmarkStart w:id="583" w:name="_Toc11373"/>
      <w:bookmarkStart w:id="584" w:name="_Toc390098442"/>
      <w:r>
        <w:rPr>
          <w:rFonts w:ascii="宋体" w:hAnsi="宋体"/>
          <w:sz w:val="21"/>
          <w:szCs w:val="21"/>
        </w:rPr>
        <w:t>迟交的比选申请文件</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19.1 比选人</w:t>
      </w:r>
      <w:r>
        <w:rPr>
          <w:rFonts w:ascii="宋体" w:hAnsi="宋体"/>
        </w:rPr>
        <w:t>将拒</w:t>
      </w:r>
      <w:r>
        <w:rPr>
          <w:rFonts w:hint="eastAsia" w:ascii="宋体" w:hAnsi="宋体"/>
        </w:rPr>
        <w:t>收</w:t>
      </w:r>
      <w:r>
        <w:rPr>
          <w:rFonts w:ascii="宋体" w:hAnsi="宋体"/>
        </w:rPr>
        <w:t>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pStyle w:val="5"/>
        <w:numPr>
          <w:ilvl w:val="0"/>
          <w:numId w:val="4"/>
        </w:numPr>
        <w:spacing w:before="0" w:after="0" w:afterAutospacing="0"/>
        <w:ind w:left="0" w:right="0" w:firstLine="422" w:firstLineChars="200"/>
        <w:rPr>
          <w:rFonts w:ascii="宋体" w:hAnsi="宋体"/>
          <w:sz w:val="21"/>
          <w:szCs w:val="21"/>
        </w:rPr>
      </w:pPr>
      <w:bookmarkStart w:id="585" w:name="_Toc75276810"/>
      <w:bookmarkStart w:id="586" w:name="_Toc17797"/>
      <w:bookmarkStart w:id="587" w:name="_Toc23449"/>
      <w:bookmarkStart w:id="588" w:name="_Toc8636"/>
      <w:bookmarkStart w:id="589" w:name="_Toc25427"/>
      <w:bookmarkStart w:id="590" w:name="_Toc9706"/>
      <w:bookmarkStart w:id="591" w:name="_Toc27195"/>
      <w:bookmarkStart w:id="592" w:name="_Toc26282"/>
      <w:bookmarkStart w:id="593" w:name="_Toc25750612"/>
      <w:bookmarkStart w:id="594" w:name="_Toc12983527"/>
      <w:bookmarkStart w:id="595" w:name="_Toc385427817"/>
      <w:bookmarkStart w:id="596" w:name="_Toc243"/>
      <w:bookmarkStart w:id="597" w:name="_Toc4605"/>
      <w:bookmarkStart w:id="598" w:name="_Toc390098443"/>
      <w:bookmarkStart w:id="599" w:name="_Toc14411"/>
      <w:bookmarkStart w:id="600" w:name="_Toc28452"/>
      <w:bookmarkStart w:id="601" w:name="_Toc375039088"/>
      <w:bookmarkStart w:id="602" w:name="_Toc383891192"/>
      <w:bookmarkStart w:id="603" w:name="_Toc31033"/>
      <w:bookmarkStart w:id="604" w:name="_Toc12682"/>
      <w:bookmarkStart w:id="605" w:name="_Toc492478742"/>
      <w:bookmarkStart w:id="606" w:name="_Toc14522"/>
      <w:bookmarkStart w:id="607" w:name="_Toc29208"/>
      <w:bookmarkStart w:id="608" w:name="_Toc24030"/>
      <w:bookmarkStart w:id="609" w:name="_Toc21796"/>
      <w:r>
        <w:rPr>
          <w:rFonts w:ascii="宋体" w:hAnsi="宋体"/>
          <w:sz w:val="21"/>
          <w:szCs w:val="21"/>
        </w:rPr>
        <w:t>比选申请文件的修改和撤回</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20.2 </w:t>
      </w:r>
      <w:r>
        <w:rPr>
          <w:rFonts w:ascii="宋体" w:hAnsi="宋体"/>
        </w:rPr>
        <w:t>比选申请人对比选申请文件修改的书面材料或撤回的通知应按本比选申请须知</w:t>
      </w:r>
      <w:r>
        <w:rPr>
          <w:rFonts w:hint="eastAsia" w:ascii="宋体" w:hAnsi="宋体"/>
        </w:rPr>
        <w:t>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20.3 </w:t>
      </w:r>
      <w:r>
        <w:rPr>
          <w:rFonts w:ascii="宋体" w:hAnsi="宋体"/>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4"/>
        <w:spacing w:after="0" w:afterAutospacing="0" w:line="360" w:lineRule="auto"/>
        <w:ind w:left="0" w:right="0" w:firstLine="482" w:firstLineChars="200"/>
        <w:rPr>
          <w:rFonts w:ascii="宋体" w:hAnsi="宋体" w:eastAsia="宋体"/>
          <w:sz w:val="24"/>
          <w:szCs w:val="24"/>
        </w:rPr>
      </w:pPr>
      <w:bookmarkStart w:id="610" w:name="_Toc9728"/>
      <w:bookmarkStart w:id="611" w:name="_Toc18076"/>
      <w:bookmarkStart w:id="612" w:name="_Toc24485"/>
      <w:bookmarkStart w:id="613" w:name="_Toc2306"/>
      <w:bookmarkStart w:id="614" w:name="_Toc390098444"/>
      <w:bookmarkStart w:id="615" w:name="_Toc4291"/>
      <w:bookmarkStart w:id="616" w:name="_Toc16856"/>
      <w:bookmarkStart w:id="617" w:name="_Toc29264"/>
      <w:bookmarkStart w:id="618" w:name="_Toc375039089"/>
      <w:bookmarkStart w:id="619" w:name="_Toc385427818"/>
      <w:bookmarkStart w:id="620" w:name="_Toc12182"/>
      <w:bookmarkStart w:id="621" w:name="_Toc5592"/>
      <w:bookmarkStart w:id="622" w:name="_Toc492478743"/>
      <w:bookmarkStart w:id="623" w:name="_Toc10325"/>
      <w:bookmarkStart w:id="624" w:name="_Toc9549"/>
      <w:bookmarkStart w:id="625" w:name="_Toc3006"/>
      <w:bookmarkStart w:id="626" w:name="_Toc12983528"/>
      <w:bookmarkStart w:id="627" w:name="_Toc11529"/>
      <w:bookmarkStart w:id="628" w:name="_Toc25433"/>
      <w:bookmarkStart w:id="629" w:name="_Toc31978"/>
      <w:bookmarkStart w:id="630" w:name="_Toc22587"/>
      <w:bookmarkStart w:id="631" w:name="_Toc383891193"/>
      <w:bookmarkStart w:id="632" w:name="_Toc28694"/>
      <w:bookmarkStart w:id="633" w:name="_Toc75276811"/>
      <w:r>
        <w:rPr>
          <w:rFonts w:hint="eastAsia" w:ascii="宋体" w:hAnsi="宋体" w:eastAsia="宋体"/>
          <w:sz w:val="24"/>
          <w:szCs w:val="24"/>
        </w:rPr>
        <w:t>五、</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Fonts w:hint="eastAsia" w:ascii="宋体" w:hAnsi="宋体" w:eastAsia="宋体"/>
          <w:sz w:val="24"/>
          <w:szCs w:val="24"/>
        </w:rPr>
        <w:t>比选申请文件递交与评审</w:t>
      </w:r>
      <w:bookmarkEnd w:id="633"/>
    </w:p>
    <w:p>
      <w:pPr>
        <w:pStyle w:val="5"/>
        <w:spacing w:before="0" w:after="0" w:afterAutospacing="0"/>
        <w:ind w:left="0" w:right="0" w:firstLine="422" w:firstLineChars="200"/>
        <w:rPr>
          <w:rFonts w:ascii="宋体" w:hAnsi="宋体"/>
          <w:sz w:val="21"/>
          <w:szCs w:val="21"/>
        </w:rPr>
      </w:pPr>
      <w:bookmarkStart w:id="634" w:name="_Toc12983529"/>
      <w:bookmarkStart w:id="635" w:name="_Toc10292"/>
      <w:bookmarkStart w:id="636" w:name="_Toc24196"/>
      <w:bookmarkStart w:id="637" w:name="_Toc385427819"/>
      <w:bookmarkStart w:id="638" w:name="_Toc9264"/>
      <w:bookmarkStart w:id="639" w:name="_Toc6974"/>
      <w:bookmarkStart w:id="640" w:name="_Toc10883"/>
      <w:bookmarkStart w:id="641" w:name="_Toc5182"/>
      <w:bookmarkStart w:id="642" w:name="_Toc23705"/>
      <w:bookmarkStart w:id="643" w:name="_Toc4674"/>
      <w:bookmarkStart w:id="644" w:name="_Toc390098445"/>
      <w:bookmarkStart w:id="645" w:name="_Toc25116"/>
      <w:bookmarkStart w:id="646" w:name="_Toc383891194"/>
      <w:bookmarkStart w:id="647" w:name="_Toc4365"/>
      <w:bookmarkStart w:id="648" w:name="_Toc895"/>
      <w:bookmarkStart w:id="649" w:name="_Toc4638"/>
      <w:bookmarkStart w:id="650" w:name="_Toc18919"/>
      <w:bookmarkStart w:id="651" w:name="_Toc492478744"/>
      <w:bookmarkStart w:id="652" w:name="_Toc9309"/>
      <w:bookmarkStart w:id="653" w:name="_Toc6839"/>
      <w:bookmarkStart w:id="654" w:name="_Toc4825"/>
      <w:bookmarkStart w:id="655" w:name="_Toc375039090"/>
      <w:bookmarkStart w:id="656" w:name="_Toc6377"/>
      <w:bookmarkStart w:id="657" w:name="_Toc75276812"/>
      <w:bookmarkStart w:id="658" w:name="_Toc25750614"/>
      <w:r>
        <w:rPr>
          <w:rFonts w:hint="eastAsia" w:ascii="宋体" w:hAnsi="宋体"/>
          <w:sz w:val="21"/>
          <w:szCs w:val="21"/>
        </w:rPr>
        <w:t xml:space="preserve">21. </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Fonts w:hint="eastAsia" w:ascii="宋体" w:hAnsi="宋体"/>
          <w:sz w:val="21"/>
          <w:szCs w:val="21"/>
        </w:rPr>
        <w:t>比选申请文件递交</w:t>
      </w:r>
      <w:bookmarkEnd w:id="657"/>
      <w:bookmarkEnd w:id="658"/>
    </w:p>
    <w:p>
      <w:pPr>
        <w:tabs>
          <w:tab w:val="left" w:pos="945"/>
          <w:tab w:val="left" w:pos="1134"/>
        </w:tabs>
        <w:spacing w:before="0" w:after="0" w:afterAutospacing="0"/>
        <w:ind w:left="0" w:right="0" w:firstLine="420" w:firstLineChars="200"/>
        <w:rPr>
          <w:rFonts w:ascii="宋体" w:hAnsi="宋体"/>
        </w:rPr>
      </w:pPr>
      <w:r>
        <w:rPr>
          <w:rFonts w:hint="eastAsia" w:ascii="宋体" w:hAnsi="宋体"/>
        </w:rPr>
        <w:t>21.1 比选人将按本须知</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.1.1逾期送达的或者未送达指定地点的比选申请文件</w:t>
      </w:r>
      <w:r>
        <w:rPr>
          <w:rFonts w:hint="eastAsia" w:ascii="宋体" w:hAnsi="宋体"/>
          <w:b/>
        </w:rPr>
        <w:t>；</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.1.2</w:t>
      </w:r>
      <w:r>
        <w:rPr>
          <w:rFonts w:hint="eastAsia" w:ascii="宋体" w:hAnsi="宋体"/>
          <w:b/>
        </w:rPr>
        <w:t xml:space="preserve"> 比选申请文件外包封</w:t>
      </w:r>
      <w:r>
        <w:rPr>
          <w:rFonts w:ascii="宋体" w:hAnsi="宋体"/>
          <w:b/>
        </w:rPr>
        <w:t>未按比选文件要求密封的</w:t>
      </w:r>
      <w:r>
        <w:rPr>
          <w:rFonts w:hint="eastAsia" w:ascii="宋体" w:hAnsi="宋体"/>
          <w:b/>
        </w:rPr>
        <w:t>。</w:t>
      </w:r>
    </w:p>
    <w:p>
      <w:pPr>
        <w:tabs>
          <w:tab w:val="left" w:pos="945"/>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21.2 </w:t>
      </w:r>
      <w:r>
        <w:rPr>
          <w:rFonts w:ascii="宋体" w:hAnsi="宋体"/>
          <w:b/>
        </w:rPr>
        <w:t>比选申请人的法定代表人或其授权代表（以下统称</w:t>
      </w:r>
      <w:r>
        <w:rPr>
          <w:rFonts w:hint="eastAsia" w:ascii="宋体" w:hAnsi="宋体"/>
          <w:b/>
        </w:rPr>
        <w:t>“</w:t>
      </w:r>
      <w:r>
        <w:rPr>
          <w:rFonts w:ascii="宋体" w:hAnsi="宋体"/>
          <w:b/>
        </w:rPr>
        <w:t>比选申请人代表</w:t>
      </w:r>
      <w:r>
        <w:rPr>
          <w:rFonts w:hint="eastAsia" w:ascii="宋体" w:hAnsi="宋体"/>
          <w:b/>
        </w:rPr>
        <w:t>”</w:t>
      </w:r>
      <w:r>
        <w:rPr>
          <w:rFonts w:ascii="宋体" w:hAnsi="宋体"/>
          <w:b/>
        </w:rPr>
        <w:t>）必须在出示本人有效身份证（</w:t>
      </w:r>
      <w:r>
        <w:rPr>
          <w:rFonts w:hint="eastAsia" w:ascii="宋体" w:hAnsi="宋体"/>
          <w:b/>
        </w:rPr>
        <w:t>限中国公民居民身份证、外籍有效护照</w:t>
      </w:r>
      <w:r>
        <w:rPr>
          <w:rFonts w:ascii="宋体" w:hAnsi="宋体"/>
          <w:b/>
        </w:rPr>
        <w:t>，下同）的原件，比选申请人授权代表还必须同时出示比选申请授权书原件，以证明授权代表的身份和被授权范围，并由比选人验证确认。</w:t>
      </w:r>
      <w:bookmarkStart w:id="659" w:name="_Toc251051540"/>
      <w:r>
        <w:rPr>
          <w:rFonts w:ascii="宋体" w:hAnsi="宋体"/>
          <w:b/>
        </w:rPr>
        <w:t>否则作无效</w:t>
      </w:r>
      <w:r>
        <w:rPr>
          <w:rFonts w:hint="eastAsia" w:ascii="宋体" w:hAnsi="宋体"/>
          <w:b/>
        </w:rPr>
        <w:t>比选文件处理</w:t>
      </w:r>
      <w:bookmarkEnd w:id="659"/>
      <w:r>
        <w:rPr>
          <w:rFonts w:hint="eastAsia" w:ascii="宋体" w:hAnsi="宋体"/>
          <w:b/>
        </w:rPr>
        <w:t>。</w:t>
      </w:r>
    </w:p>
    <w:p>
      <w:pPr>
        <w:snapToGrid w:val="0"/>
        <w:spacing w:before="0" w:after="0" w:afterAutospacing="0"/>
        <w:ind w:left="0" w:right="0" w:firstLine="422" w:firstLineChars="200"/>
        <w:jc w:val="left"/>
        <w:rPr>
          <w:rFonts w:hint="eastAsia" w:ascii="宋体" w:hAnsi="宋体"/>
          <w:b/>
          <w:color w:val="auto"/>
          <w:highlight w:val="none"/>
        </w:rPr>
      </w:pPr>
      <w:r>
        <w:rPr>
          <w:rFonts w:hint="default" w:ascii="宋体" w:hAnsi="宋体"/>
          <w:b/>
          <w:color w:val="auto"/>
          <w:highlight w:val="none"/>
        </w:rPr>
        <w:t>21.3样品的递交、评审和退还</w:t>
      </w:r>
    </w:p>
    <w:p>
      <w:pPr>
        <w:tabs>
          <w:tab w:val="left" w:pos="945"/>
          <w:tab w:val="left" w:pos="1134"/>
        </w:tabs>
        <w:spacing w:before="0" w:after="0" w:afterAutospacing="0"/>
        <w:ind w:left="0" w:right="0" w:firstLine="420" w:firstLineChars="200"/>
        <w:rPr>
          <w:rFonts w:hAnsi="宋体"/>
        </w:rPr>
      </w:pPr>
      <w:r>
        <w:rPr>
          <w:rFonts w:hint="eastAsia" w:ascii="宋体" w:hAnsi="宋体"/>
        </w:rPr>
        <w:t>（1）样品递交时间：与比选申请截止时间相同。</w:t>
      </w:r>
    </w:p>
    <w:p>
      <w:pPr>
        <w:tabs>
          <w:tab w:val="left" w:pos="945"/>
          <w:tab w:val="left" w:pos="1134"/>
        </w:tabs>
        <w:adjustRightInd/>
        <w:snapToGrid/>
        <w:spacing w:before="0" w:beforeAutospacing="0" w:after="0" w:afterAutospacing="0" w:line="360" w:lineRule="auto"/>
        <w:ind w:left="0" w:right="0" w:firstLine="420" w:firstLineChars="200"/>
        <w:rPr>
          <w:rFonts w:ascii="宋体" w:hAnsi="宋体"/>
        </w:rPr>
      </w:pPr>
      <w:r>
        <w:rPr>
          <w:rFonts w:hint="eastAsia" w:ascii="宋体" w:hAnsi="宋体"/>
        </w:rPr>
        <w:t>（2）样品递交地点：与递交比选申请文件地点相同。</w:t>
      </w:r>
    </w:p>
    <w:p>
      <w:pPr>
        <w:tabs>
          <w:tab w:val="left" w:pos="945"/>
          <w:tab w:val="left" w:pos="1134"/>
        </w:tabs>
        <w:adjustRightInd/>
        <w:snapToGrid/>
        <w:spacing w:before="0" w:beforeAutospacing="0" w:after="0" w:afterAutospacing="0" w:line="360" w:lineRule="auto"/>
        <w:ind w:left="0" w:right="0" w:firstLine="420" w:firstLineChars="200"/>
        <w:rPr>
          <w:rFonts w:ascii="宋体" w:hAnsi="宋体"/>
        </w:rPr>
      </w:pPr>
      <w:r>
        <w:rPr>
          <w:rFonts w:hint="eastAsia" w:ascii="宋体" w:hAnsi="宋体"/>
        </w:rPr>
        <w:t>（3）样品由比选申请人亲自送达样品递交地点，并办理样品接收登记手续。</w:t>
      </w:r>
      <w:r>
        <w:rPr>
          <w:rFonts w:hint="eastAsia" w:ascii="宋体" w:hAnsi="宋体"/>
          <w:b/>
        </w:rPr>
        <w:t>逾期递交的或者未送达指定地点的样品将被拒收。比选申请人未按本比选文件要求递交样品的，其比选申请将被否决。</w:t>
      </w:r>
    </w:p>
    <w:p>
      <w:pPr>
        <w:tabs>
          <w:tab w:val="left" w:pos="945"/>
          <w:tab w:val="left" w:pos="1134"/>
        </w:tabs>
        <w:adjustRightInd/>
        <w:snapToGrid/>
        <w:spacing w:before="0" w:beforeAutospacing="0" w:after="0" w:afterAutospacing="0" w:line="360" w:lineRule="auto"/>
        <w:ind w:left="0" w:right="0" w:firstLine="420" w:firstLineChars="200"/>
        <w:rPr>
          <w:rFonts w:hint="eastAsia" w:ascii="宋体" w:hAnsi="宋体"/>
          <w:b w:val="0"/>
          <w:lang w:val="en-US" w:eastAsia="zh-CN"/>
        </w:rPr>
      </w:pPr>
      <w:r>
        <w:rPr>
          <w:rFonts w:hint="eastAsia" w:ascii="宋体" w:hAnsi="宋体"/>
        </w:rPr>
        <w:t>（</w:t>
      </w:r>
      <w:r>
        <w:rPr>
          <w:rFonts w:hint="eastAsia" w:ascii="宋体" w:hAnsi="宋体"/>
          <w:lang w:val="en-US" w:eastAsia="zh-CN"/>
        </w:rPr>
        <w:t>4</w:t>
      </w:r>
      <w:r>
        <w:rPr>
          <w:rFonts w:hint="eastAsia" w:ascii="宋体" w:hAnsi="宋体"/>
        </w:rPr>
        <w:t>）</w:t>
      </w:r>
      <w:r>
        <w:rPr>
          <w:rFonts w:hint="eastAsia" w:ascii="宋体" w:hAnsi="宋体"/>
          <w:b w:val="0"/>
        </w:rPr>
        <w:t>比选申请人按照</w:t>
      </w:r>
      <w:r>
        <w:rPr>
          <w:rFonts w:hint="eastAsia" w:ascii="宋体" w:hAnsi="宋体"/>
          <w:b w:val="0"/>
          <w:lang w:eastAsia="zh-CN"/>
        </w:rPr>
        <w:t>比选</w:t>
      </w:r>
      <w:r>
        <w:rPr>
          <w:rFonts w:hint="eastAsia" w:ascii="宋体" w:hAnsi="宋体"/>
          <w:b w:val="0"/>
        </w:rPr>
        <w:t>公告中采购清单要求提供相应型号数量的样品，比选样品须密封装箱，且在密封包装外贴样品一览表（格式自拟），注明提供样品的比选申请人名称、生产厂家、品牌、名称、型号、数量等；每件样品上必须分别标明样品的比选申请人、生产厂家、品牌、名称、型号等（格式自拟），同比选申请文件一起提交、登记</w:t>
      </w:r>
      <w:r>
        <w:rPr>
          <w:rFonts w:hint="eastAsia" w:ascii="宋体" w:hAnsi="宋体"/>
          <w:b w:val="0"/>
          <w:lang w:eastAsia="zh-CN"/>
        </w:rPr>
        <w:t>。</w:t>
      </w:r>
      <w:r>
        <w:rPr>
          <w:rFonts w:hint="eastAsia" w:ascii="宋体" w:hAnsi="宋体"/>
          <w:b w:val="0"/>
          <w:lang w:val="en-US" w:eastAsia="zh-CN"/>
        </w:rPr>
        <w:t xml:space="preserve">  </w:t>
      </w:r>
    </w:p>
    <w:p>
      <w:pPr>
        <w:tabs>
          <w:tab w:val="left" w:pos="945"/>
          <w:tab w:val="left" w:pos="1134"/>
        </w:tabs>
        <w:adjustRightInd/>
        <w:snapToGrid/>
        <w:spacing w:before="0" w:beforeAutospacing="0" w:after="0" w:afterAutospacing="0" w:line="360" w:lineRule="auto"/>
        <w:ind w:left="0" w:right="0" w:firstLine="420" w:firstLineChars="200"/>
        <w:rPr>
          <w:rFonts w:ascii="宋体" w:hAnsi="宋体"/>
        </w:rPr>
      </w:pPr>
      <w:r>
        <w:rPr>
          <w:rFonts w:hint="eastAsia" w:ascii="宋体" w:hAnsi="宋体"/>
        </w:rPr>
        <w:t>（</w:t>
      </w:r>
      <w:r>
        <w:rPr>
          <w:rFonts w:hint="eastAsia" w:ascii="宋体" w:hAnsi="宋体"/>
          <w:lang w:val="en-US" w:eastAsia="zh-CN"/>
        </w:rPr>
        <w:t>5</w:t>
      </w:r>
      <w:r>
        <w:rPr>
          <w:rFonts w:hint="eastAsia" w:ascii="宋体" w:hAnsi="宋体"/>
        </w:rPr>
        <w:t>）比选人按比选申请人递交样品的时间顺序对样品进行</w:t>
      </w:r>
      <w:r>
        <w:rPr>
          <w:rFonts w:hint="eastAsia" w:ascii="宋体" w:hAnsi="宋体"/>
          <w:b w:val="0"/>
        </w:rPr>
        <w:t>编号。</w:t>
      </w:r>
      <w:r>
        <w:rPr>
          <w:rFonts w:hint="eastAsia" w:ascii="宋体" w:hAnsi="宋体" w:eastAsia="宋体" w:cs="Times New Roman"/>
          <w:b w:val="0"/>
          <w:i w:val="0"/>
          <w:iCs w:val="0"/>
          <w:caps w:val="0"/>
          <w:spacing w:val="0"/>
          <w:sz w:val="21"/>
          <w:szCs w:val="21"/>
          <w:shd w:val="clear"/>
        </w:rPr>
        <w:t>样品递交截止时间后，样品在比选人委派的监督人员监督下拆封，并对比选申请人的样品进行随机重新编号并做记录，对记录签字确认、密封保管，直至评标委员会完成样品评审后拆封核对比选申请人信息。</w:t>
      </w:r>
    </w:p>
    <w:p>
      <w:pPr>
        <w:tabs>
          <w:tab w:val="left" w:pos="945"/>
          <w:tab w:val="left" w:pos="1134"/>
        </w:tabs>
        <w:spacing w:before="0" w:after="0" w:afterAutospacing="0"/>
        <w:ind w:left="0" w:right="0" w:firstLine="420" w:firstLineChars="200"/>
        <w:rPr>
          <w:rFonts w:ascii="宋体" w:hAnsi="宋体"/>
          <w:b/>
        </w:rPr>
      </w:pPr>
      <w:r>
        <w:rPr>
          <w:rFonts w:hint="eastAsia" w:ascii="宋体" w:hAnsi="宋体"/>
        </w:rPr>
        <w:t>（</w:t>
      </w:r>
      <w:r>
        <w:rPr>
          <w:rFonts w:hint="eastAsia" w:ascii="宋体" w:hAnsi="宋体"/>
          <w:lang w:val="en-US" w:eastAsia="zh-CN"/>
        </w:rPr>
        <w:t>6</w:t>
      </w:r>
      <w:r>
        <w:rPr>
          <w:rFonts w:hint="eastAsia" w:ascii="宋体" w:hAnsi="宋体"/>
        </w:rPr>
        <w:t>）</w:t>
      </w:r>
      <w:r>
        <w:rPr>
          <w:rFonts w:hint="eastAsia" w:ascii="宋体" w:hAnsi="宋体"/>
          <w:b/>
        </w:rPr>
        <w:t>中选人的样品不退换，非中选人的样品在中选通知书发出后</w:t>
      </w:r>
      <w:r>
        <w:rPr>
          <w:rFonts w:ascii="宋体" w:hAnsi="宋体"/>
          <w:b/>
        </w:rPr>
        <w:t>3个日内</w:t>
      </w:r>
      <w:r>
        <w:rPr>
          <w:rFonts w:hint="eastAsia" w:ascii="宋体" w:hAnsi="宋体"/>
          <w:b/>
        </w:rPr>
        <w:t>退还并办理样品退还手续。</w:t>
      </w:r>
      <w:r>
        <w:rPr>
          <w:rFonts w:hint="eastAsia" w:ascii="宋体" w:hAnsi="宋体"/>
          <w:b w:val="0"/>
        </w:rPr>
        <w:t>非中选人</w:t>
      </w:r>
      <w:r>
        <w:rPr>
          <w:rFonts w:hint="eastAsia" w:ascii="宋体" w:hAnsi="宋体"/>
        </w:rPr>
        <w:t>逾期不取回样品、办理样品退还手续的，视为其放弃样品所有权，比选人有权对该样品作出任何处置，损毁、丢失责任由其自行承担。为防冒领，领取人须出示原递交样品人身份证原件或原递交样品单位的授权书原件。</w:t>
      </w:r>
    </w:p>
    <w:p>
      <w:pPr>
        <w:pStyle w:val="5"/>
        <w:spacing w:before="0" w:after="0" w:afterAutospacing="0"/>
        <w:ind w:left="0" w:right="0" w:firstLine="422" w:firstLineChars="200"/>
        <w:rPr>
          <w:rFonts w:ascii="宋体" w:hAnsi="宋体"/>
          <w:sz w:val="21"/>
          <w:szCs w:val="21"/>
        </w:rPr>
      </w:pPr>
      <w:bookmarkStart w:id="660" w:name="_Toc383891195"/>
      <w:bookmarkStart w:id="661" w:name="_Toc375039091"/>
      <w:bookmarkStart w:id="662" w:name="_Toc385427820"/>
      <w:bookmarkStart w:id="663" w:name="_Toc390098446"/>
      <w:bookmarkStart w:id="664" w:name="_Toc25750615"/>
      <w:bookmarkStart w:id="665" w:name="_Toc492478745"/>
      <w:bookmarkStart w:id="666" w:name="_Toc16068"/>
      <w:bookmarkStart w:id="667" w:name="_Toc1920"/>
      <w:bookmarkStart w:id="668" w:name="_Toc13202"/>
      <w:bookmarkStart w:id="669" w:name="_Toc9391"/>
      <w:bookmarkStart w:id="670" w:name="_Toc30671"/>
      <w:bookmarkStart w:id="671" w:name="_Toc17785"/>
      <w:bookmarkStart w:id="672" w:name="_Toc12983530"/>
      <w:bookmarkStart w:id="673" w:name="_Toc15466"/>
      <w:bookmarkStart w:id="674" w:name="_Toc27636"/>
      <w:bookmarkStart w:id="675" w:name="_Toc21819"/>
      <w:bookmarkStart w:id="676" w:name="_Toc24687"/>
      <w:bookmarkStart w:id="677" w:name="_Toc16601"/>
      <w:bookmarkStart w:id="678" w:name="_Toc11263"/>
      <w:bookmarkStart w:id="679" w:name="_Toc5267"/>
      <w:bookmarkStart w:id="680" w:name="_Toc75276813"/>
      <w:bookmarkStart w:id="681" w:name="_Toc11013"/>
      <w:bookmarkStart w:id="682" w:name="_Toc25270"/>
      <w:bookmarkStart w:id="683" w:name="_Toc23699"/>
      <w:bookmarkStart w:id="684" w:name="_Toc24630"/>
      <w:r>
        <w:rPr>
          <w:rFonts w:hint="eastAsia" w:ascii="宋体" w:hAnsi="宋体"/>
          <w:sz w:val="21"/>
          <w:szCs w:val="21"/>
        </w:rPr>
        <w:t>22.</w:t>
      </w:r>
      <w:r>
        <w:rPr>
          <w:rFonts w:ascii="宋体" w:hAnsi="宋体"/>
          <w:sz w:val="21"/>
          <w:szCs w:val="21"/>
        </w:rPr>
        <w:t>评审</w:t>
      </w:r>
      <w:bookmarkEnd w:id="660"/>
      <w:bookmarkEnd w:id="661"/>
      <w:bookmarkEnd w:id="662"/>
      <w:bookmarkEnd w:id="663"/>
      <w:r>
        <w:rPr>
          <w:rFonts w:ascii="宋体" w:hAnsi="宋体"/>
          <w:sz w:val="21"/>
          <w:szCs w:val="21"/>
        </w:rPr>
        <w:t>程序</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tabs>
          <w:tab w:val="left" w:pos="8364"/>
        </w:tabs>
        <w:spacing w:before="0" w:after="0" w:afterAutospacing="0"/>
        <w:ind w:left="0" w:right="0" w:firstLine="420" w:firstLineChars="200"/>
        <w:rPr>
          <w:rFonts w:ascii="宋体" w:hAnsi="宋体"/>
          <w:b/>
        </w:rPr>
      </w:pPr>
      <w:bookmarkStart w:id="685" w:name="_Toc375039092"/>
      <w:r>
        <w:rPr>
          <w:rFonts w:hint="eastAsia" w:ascii="宋体" w:hAnsi="宋体"/>
        </w:rPr>
        <w:t>详见第五章《评分办法》。</w:t>
      </w:r>
      <w:bookmarkEnd w:id="685"/>
    </w:p>
    <w:p>
      <w:pPr>
        <w:pStyle w:val="5"/>
        <w:numPr>
          <w:ilvl w:val="0"/>
          <w:numId w:val="5"/>
        </w:numPr>
        <w:spacing w:before="0" w:after="0" w:afterAutospacing="0"/>
        <w:ind w:left="0" w:right="0" w:firstLine="422" w:firstLineChars="200"/>
        <w:rPr>
          <w:rFonts w:ascii="宋体" w:hAnsi="宋体"/>
          <w:sz w:val="21"/>
          <w:szCs w:val="21"/>
        </w:rPr>
      </w:pPr>
      <w:bookmarkStart w:id="686" w:name="_Toc5386"/>
      <w:bookmarkStart w:id="687" w:name="_Toc17980"/>
      <w:bookmarkStart w:id="688" w:name="_Toc833"/>
      <w:bookmarkStart w:id="689" w:name="_Toc385427821"/>
      <w:bookmarkStart w:id="690" w:name="_Toc14719"/>
      <w:bookmarkStart w:id="691" w:name="_Toc8295"/>
      <w:bookmarkStart w:id="692" w:name="_Toc75276814"/>
      <w:bookmarkStart w:id="693" w:name="_Toc383891196"/>
      <w:bookmarkStart w:id="694" w:name="_Toc18063"/>
      <w:bookmarkStart w:id="695" w:name="_Toc29929"/>
      <w:bookmarkStart w:id="696" w:name="_Toc25750616"/>
      <w:bookmarkStart w:id="697" w:name="_Toc24755"/>
      <w:bookmarkStart w:id="698" w:name="_Toc390098447"/>
      <w:bookmarkStart w:id="699" w:name="_Toc13421"/>
      <w:bookmarkStart w:id="700" w:name="_Toc27570"/>
      <w:bookmarkStart w:id="701" w:name="_Toc18803"/>
      <w:bookmarkStart w:id="702" w:name="_Toc12983531"/>
      <w:bookmarkStart w:id="703" w:name="_Toc492478746"/>
      <w:bookmarkStart w:id="704" w:name="_Toc16072"/>
      <w:bookmarkStart w:id="705" w:name="_Toc1456"/>
      <w:bookmarkStart w:id="706" w:name="_Toc26137"/>
      <w:bookmarkStart w:id="707" w:name="_Toc375039093"/>
      <w:bookmarkStart w:id="708" w:name="_Toc15"/>
      <w:bookmarkStart w:id="709" w:name="_Toc11716"/>
      <w:bookmarkStart w:id="710" w:name="_Toc25047"/>
      <w:r>
        <w:rPr>
          <w:rFonts w:ascii="宋体" w:hAnsi="宋体"/>
          <w:sz w:val="21"/>
          <w:szCs w:val="21"/>
        </w:rPr>
        <w:t>与比选人和评审委员会的接触</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从比选申请截止日起至授予合同期间，未经书面要求，比选申请人不得就与其比选申请文件有关的事项与评审委员会、比选人接触（包括直接接触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有关比选申请文件的审查、澄清、评估和比较以及有关授予合同的意向的一切情况都不得透露给任一比选申请人。</w:t>
      </w:r>
    </w:p>
    <w:p>
      <w:pPr>
        <w:pStyle w:val="5"/>
        <w:numPr>
          <w:ilvl w:val="0"/>
          <w:numId w:val="5"/>
        </w:numPr>
        <w:spacing w:before="0" w:after="0" w:afterAutospacing="0"/>
        <w:ind w:left="0" w:right="0" w:firstLine="422" w:firstLineChars="200"/>
        <w:rPr>
          <w:rFonts w:ascii="宋体" w:hAnsi="宋体"/>
          <w:sz w:val="21"/>
          <w:szCs w:val="21"/>
        </w:rPr>
      </w:pPr>
      <w:bookmarkStart w:id="711" w:name="_Toc30207"/>
      <w:bookmarkStart w:id="712" w:name="_Toc25750617"/>
      <w:bookmarkStart w:id="713" w:name="_Toc19810"/>
      <w:bookmarkStart w:id="714" w:name="_Toc385427822"/>
      <w:bookmarkStart w:id="715" w:name="_Toc492478747"/>
      <w:bookmarkStart w:id="716" w:name="_Toc7858"/>
      <w:bookmarkStart w:id="717" w:name="_Toc12909"/>
      <w:bookmarkStart w:id="718" w:name="_Toc390098448"/>
      <w:bookmarkStart w:id="719" w:name="_Toc12671"/>
      <w:bookmarkStart w:id="720" w:name="_Toc20523"/>
      <w:bookmarkStart w:id="721" w:name="_Toc654"/>
      <w:bookmarkStart w:id="722" w:name="_Toc21167"/>
      <w:bookmarkStart w:id="723" w:name="_Toc75276815"/>
      <w:bookmarkStart w:id="724" w:name="_Toc12555"/>
      <w:bookmarkStart w:id="725" w:name="_Toc12983532"/>
      <w:bookmarkStart w:id="726" w:name="_Toc29504"/>
      <w:bookmarkStart w:id="727" w:name="_Toc9941"/>
      <w:bookmarkStart w:id="728" w:name="_Toc383891197"/>
      <w:bookmarkStart w:id="729" w:name="_Toc9602"/>
      <w:bookmarkStart w:id="730" w:name="_Toc16963"/>
      <w:bookmarkStart w:id="731" w:name="_Toc18515"/>
      <w:bookmarkStart w:id="732" w:name="_Toc15988"/>
      <w:bookmarkStart w:id="733" w:name="_Toc25734"/>
      <w:bookmarkStart w:id="734" w:name="_Toc12960"/>
      <w:bookmarkStart w:id="735" w:name="_Toc378514937"/>
      <w:bookmarkStart w:id="736" w:name="_Toc294723156"/>
      <w:bookmarkStart w:id="737" w:name="_Toc375039094"/>
      <w:r>
        <w:rPr>
          <w:rFonts w:hint="eastAsia" w:ascii="宋体" w:hAnsi="宋体"/>
          <w:sz w:val="21"/>
          <w:szCs w:val="21"/>
        </w:rPr>
        <w:t>评审过程保密</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24.2 比选申请人在比选申请文件的审查、澄清、评价和比较以及授予合同的过程中，对比选人和评审专家施加影响的任何行为，都将导致取消比选申请资格。</w:t>
      </w:r>
    </w:p>
    <w:p>
      <w:pPr>
        <w:pStyle w:val="5"/>
        <w:numPr>
          <w:ilvl w:val="0"/>
          <w:numId w:val="5"/>
        </w:numPr>
        <w:spacing w:before="0" w:after="0" w:afterAutospacing="0"/>
        <w:ind w:left="0" w:right="0" w:firstLine="422" w:firstLineChars="200"/>
        <w:rPr>
          <w:rFonts w:ascii="宋体" w:hAnsi="宋体"/>
          <w:sz w:val="21"/>
          <w:szCs w:val="21"/>
        </w:rPr>
      </w:pPr>
      <w:bookmarkStart w:id="738" w:name="_Toc25750618"/>
      <w:bookmarkStart w:id="739" w:name="_Toc6624"/>
      <w:bookmarkStart w:id="740" w:name="_Toc27670"/>
      <w:bookmarkStart w:id="741" w:name="_Toc28701"/>
      <w:bookmarkStart w:id="742" w:name="_Toc385427823"/>
      <w:bookmarkStart w:id="743" w:name="_Toc13768"/>
      <w:bookmarkStart w:id="744" w:name="_Toc11077"/>
      <w:bookmarkStart w:id="745" w:name="_Toc8827"/>
      <w:bookmarkStart w:id="746" w:name="_Toc390098449"/>
      <w:bookmarkStart w:id="747" w:name="_Toc24327"/>
      <w:bookmarkStart w:id="748" w:name="_Toc23267"/>
      <w:bookmarkStart w:id="749" w:name="_Toc13743"/>
      <w:bookmarkStart w:id="750" w:name="_Toc5983"/>
      <w:bookmarkStart w:id="751" w:name="_Toc28898"/>
      <w:bookmarkStart w:id="752" w:name="_Toc30429"/>
      <w:bookmarkStart w:id="753" w:name="_Toc22510"/>
      <w:bookmarkStart w:id="754" w:name="_Toc383891198"/>
      <w:bookmarkStart w:id="755" w:name="_Toc75276816"/>
      <w:bookmarkStart w:id="756" w:name="_Toc14860"/>
      <w:bookmarkStart w:id="757" w:name="_Toc14799"/>
      <w:bookmarkStart w:id="758" w:name="_Toc12983533"/>
      <w:bookmarkStart w:id="759" w:name="_Toc28843"/>
      <w:bookmarkStart w:id="760" w:name="_Toc492478748"/>
      <w:bookmarkStart w:id="761" w:name="_Toc1983"/>
      <w:r>
        <w:rPr>
          <w:rFonts w:hint="eastAsia" w:ascii="宋体" w:hAnsi="宋体"/>
          <w:sz w:val="21"/>
          <w:szCs w:val="21"/>
        </w:rPr>
        <w:t>比选申请文件的澄清</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25.1  </w:t>
      </w:r>
      <w:r>
        <w:rPr>
          <w:rFonts w:hint="eastAsia" w:ascii="宋体" w:hAnsi="宋体"/>
          <w:shd w:val="clear" w:color="auto" w:fill="FFFFFF"/>
        </w:rPr>
        <w:t>为了有助于比选申请文件的审查、评价和比较，评审委员会可以用微信、电话或者QQ等</w:t>
      </w:r>
      <w:r>
        <w:rPr>
          <w:rStyle w:val="32"/>
          <w:rFonts w:hint="eastAsia"/>
        </w:rPr>
        <w:t>语音通话</w:t>
      </w:r>
      <w:r>
        <w:rPr>
          <w:rFonts w:hint="eastAsia" w:ascii="宋体" w:hAnsi="宋体"/>
          <w:shd w:val="clear" w:color="auto" w:fill="FFFFFF"/>
        </w:rPr>
        <w:t>方式要求比选申请人对比选申请文件含义不明确的内容作必要的澄清或者说明</w:t>
      </w:r>
      <w:r>
        <w:rPr>
          <w:rStyle w:val="32"/>
          <w:rFonts w:hint="eastAsia"/>
        </w:rPr>
        <w:t>，</w:t>
      </w:r>
      <w:r>
        <w:rPr>
          <w:rFonts w:hint="eastAsia" w:ascii="宋体" w:hAnsi="宋体"/>
          <w:shd w:val="clear" w:color="auto" w:fill="FFFFFF"/>
        </w:rPr>
        <w:t>澄清说明扫描件在指定时间内发至评审委员会指定的邮箱、微信或者QQ等。有关澄清说明与答复、评标完成后比选申请人将纸质澄清文件通过邮寄的方式予比选人存档备查。但对比选申请报价和实质性的内容不得更改</w:t>
      </w:r>
      <w:r>
        <w:rPr>
          <w:rFonts w:hint="eastAsia" w:ascii="宋体" w:hAnsi="宋体" w:cs="Arial"/>
        </w:rPr>
        <w:t>。</w:t>
      </w:r>
    </w:p>
    <w:p>
      <w:pPr>
        <w:pStyle w:val="5"/>
        <w:numPr>
          <w:ilvl w:val="0"/>
          <w:numId w:val="5"/>
        </w:numPr>
        <w:spacing w:before="0" w:after="0" w:afterAutospacing="0"/>
        <w:ind w:left="0" w:right="0" w:firstLine="422" w:firstLineChars="200"/>
        <w:rPr>
          <w:rFonts w:ascii="宋体" w:hAnsi="宋体"/>
          <w:sz w:val="21"/>
          <w:szCs w:val="21"/>
        </w:rPr>
      </w:pPr>
      <w:bookmarkStart w:id="762" w:name="_Toc6908"/>
      <w:bookmarkStart w:id="763" w:name="_Toc20519"/>
      <w:bookmarkStart w:id="764" w:name="_Toc75276817"/>
      <w:bookmarkStart w:id="765" w:name="_Toc5437"/>
      <w:bookmarkStart w:id="766" w:name="_Toc390098450"/>
      <w:bookmarkStart w:id="767" w:name="_Toc383891199"/>
      <w:bookmarkStart w:id="768" w:name="_Toc25750619"/>
      <w:bookmarkStart w:id="769" w:name="_Toc16884"/>
      <w:bookmarkStart w:id="770" w:name="_Toc492478749"/>
      <w:bookmarkStart w:id="771" w:name="_Toc4397"/>
      <w:bookmarkStart w:id="772" w:name="_Toc26318"/>
      <w:bookmarkStart w:id="773" w:name="_Toc18093"/>
      <w:bookmarkStart w:id="774" w:name="_Toc26070"/>
      <w:bookmarkStart w:id="775" w:name="_Toc29146"/>
      <w:bookmarkStart w:id="776" w:name="_Toc12983534"/>
      <w:bookmarkStart w:id="777" w:name="_Toc22681"/>
      <w:bookmarkStart w:id="778" w:name="_Toc12795"/>
      <w:bookmarkStart w:id="779" w:name="_Toc28992"/>
      <w:bookmarkStart w:id="780" w:name="_Toc9040"/>
      <w:bookmarkStart w:id="781" w:name="_Toc5607"/>
      <w:bookmarkStart w:id="782" w:name="_Toc1915"/>
      <w:bookmarkStart w:id="783" w:name="_Toc5926"/>
      <w:bookmarkStart w:id="784" w:name="_Toc30017"/>
      <w:bookmarkStart w:id="785" w:name="_Toc385427824"/>
      <w:r>
        <w:rPr>
          <w:rFonts w:hint="eastAsia" w:ascii="宋体" w:hAnsi="宋体"/>
          <w:sz w:val="21"/>
          <w:szCs w:val="21"/>
        </w:rPr>
        <w:t>比选申请文件响应性的确定</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26.3 如果比选申请文件实质上不响应比选文件的要求，比选人将予以拒绝，并且不允许比选申请人通过修正或撤销其不符要求的差异或保留使之成为具有响应性的比选申请。</w:t>
      </w:r>
    </w:p>
    <w:p>
      <w:pPr>
        <w:pStyle w:val="5"/>
        <w:numPr>
          <w:ilvl w:val="0"/>
          <w:numId w:val="5"/>
        </w:numPr>
        <w:spacing w:before="0" w:after="0" w:afterAutospacing="0"/>
        <w:ind w:left="0" w:right="0" w:firstLine="422" w:firstLineChars="200"/>
        <w:rPr>
          <w:rFonts w:ascii="宋体" w:hAnsi="宋体"/>
          <w:sz w:val="21"/>
          <w:szCs w:val="21"/>
        </w:rPr>
      </w:pPr>
      <w:bookmarkStart w:id="786" w:name="_Toc20874"/>
      <w:bookmarkStart w:id="787" w:name="_Toc390098451"/>
      <w:bookmarkStart w:id="788" w:name="_Toc492478750"/>
      <w:bookmarkStart w:id="789" w:name="_Toc383891200"/>
      <w:bookmarkStart w:id="790" w:name="_Toc25750620"/>
      <w:bookmarkStart w:id="791" w:name="_Toc23956"/>
      <w:bookmarkStart w:id="792" w:name="_Toc17236"/>
      <w:bookmarkStart w:id="793" w:name="_Toc20810"/>
      <w:bookmarkStart w:id="794" w:name="_Toc12167"/>
      <w:bookmarkStart w:id="795" w:name="_Toc15051"/>
      <w:bookmarkStart w:id="796" w:name="_Toc21468"/>
      <w:bookmarkStart w:id="797" w:name="_Toc20912"/>
      <w:bookmarkStart w:id="798" w:name="_Toc23999"/>
      <w:bookmarkStart w:id="799" w:name="_Toc1027"/>
      <w:bookmarkStart w:id="800" w:name="_Toc31646"/>
      <w:bookmarkStart w:id="801" w:name="_Toc22146"/>
      <w:bookmarkStart w:id="802" w:name="_Toc75276818"/>
      <w:bookmarkStart w:id="803" w:name="_Toc23808"/>
      <w:bookmarkStart w:id="804" w:name="_Toc29398"/>
      <w:bookmarkStart w:id="805" w:name="_Toc22063"/>
      <w:bookmarkStart w:id="806" w:name="_Toc19477"/>
      <w:bookmarkStart w:id="807" w:name="_Toc26239"/>
      <w:bookmarkStart w:id="808" w:name="_Toc12983535"/>
      <w:bookmarkStart w:id="809" w:name="_Toc385427825"/>
      <w:r>
        <w:rPr>
          <w:rFonts w:hint="eastAsia" w:ascii="宋体" w:hAnsi="宋体"/>
          <w:sz w:val="21"/>
          <w:szCs w:val="21"/>
        </w:rPr>
        <w:t>比选申请文件计算错误的修正</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27.2 按上述修正错误的原则及方法修正后的总价经比选申请人书面确认后作为评审价，比选申请人不接受修正价格的，其比选申请</w:t>
      </w:r>
      <w:r>
        <w:rPr>
          <w:rFonts w:hint="eastAsia" w:ascii="宋体" w:hAnsi="宋体"/>
        </w:rPr>
        <w:t>将按否决比选申请处理</w:t>
      </w:r>
      <w:r>
        <w:rPr>
          <w:rFonts w:hint="eastAsia" w:ascii="宋体" w:hAnsi="宋体" w:cs="Arial"/>
        </w:rPr>
        <w:t>。</w:t>
      </w:r>
      <w:r>
        <w:rPr>
          <w:rFonts w:hint="eastAsia" w:ascii="宋体" w:hAnsi="宋体"/>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rPr>
        <w:t>，但并不减免中选人应承担的工作。</w:t>
      </w:r>
    </w:p>
    <w:p>
      <w:pPr>
        <w:pStyle w:val="5"/>
        <w:numPr>
          <w:ilvl w:val="0"/>
          <w:numId w:val="5"/>
        </w:numPr>
        <w:spacing w:before="0" w:after="0" w:afterAutospacing="0"/>
        <w:ind w:left="0" w:right="0" w:firstLine="422" w:firstLineChars="200"/>
        <w:rPr>
          <w:rFonts w:ascii="宋体" w:hAnsi="宋体"/>
          <w:sz w:val="21"/>
          <w:szCs w:val="21"/>
        </w:rPr>
      </w:pPr>
      <w:bookmarkStart w:id="810" w:name="_Toc16418"/>
      <w:bookmarkStart w:id="811" w:name="_Toc5319"/>
      <w:bookmarkStart w:id="812" w:name="_Toc22994"/>
      <w:bookmarkStart w:id="813" w:name="_Toc24176"/>
      <w:bookmarkStart w:id="814" w:name="_Toc9812"/>
      <w:bookmarkStart w:id="815" w:name="_Toc8959"/>
      <w:bookmarkStart w:id="816" w:name="_Toc3258"/>
      <w:bookmarkStart w:id="817" w:name="_Toc27112"/>
      <w:bookmarkStart w:id="818" w:name="_Toc390098452"/>
      <w:bookmarkStart w:id="819" w:name="_Toc385427826"/>
      <w:bookmarkStart w:id="820" w:name="_Toc1004"/>
      <w:bookmarkStart w:id="821" w:name="_Toc12983536"/>
      <w:bookmarkStart w:id="822" w:name="_Toc75276819"/>
      <w:bookmarkStart w:id="823" w:name="_Toc23907"/>
      <w:bookmarkStart w:id="824" w:name="_Toc9737"/>
      <w:bookmarkStart w:id="825" w:name="_Toc20881"/>
      <w:bookmarkStart w:id="826" w:name="_Toc20444"/>
      <w:bookmarkStart w:id="827" w:name="_Toc29276"/>
      <w:bookmarkStart w:id="828" w:name="_Toc383891201"/>
      <w:bookmarkStart w:id="829" w:name="_Toc20854"/>
      <w:bookmarkStart w:id="830" w:name="_Toc25750621"/>
      <w:bookmarkStart w:id="831" w:name="_Toc19936"/>
      <w:bookmarkStart w:id="832" w:name="_Toc492478751"/>
      <w:bookmarkStart w:id="833" w:name="_Toc4958"/>
      <w:r>
        <w:rPr>
          <w:rFonts w:hint="eastAsia" w:ascii="宋体" w:hAnsi="宋体"/>
          <w:sz w:val="21"/>
          <w:szCs w:val="21"/>
        </w:rPr>
        <w:t>比选申请文件的评价与比较</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28.1 《评分办法》详见比选文件第五章，比选人将按照《评分办法》对本须知第26条确定为实质上响应比选文件要求的比选申请文件进行评价与比较。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28.2 评审将按《评分办法》规定执行。</w:t>
      </w:r>
      <w:bookmarkEnd w:id="735"/>
    </w:p>
    <w:p>
      <w:pPr>
        <w:pStyle w:val="5"/>
        <w:numPr>
          <w:ilvl w:val="0"/>
          <w:numId w:val="5"/>
        </w:numPr>
        <w:spacing w:before="0" w:after="0" w:afterAutospacing="0"/>
        <w:ind w:left="0" w:right="0" w:firstLine="422" w:firstLineChars="200"/>
        <w:rPr>
          <w:rFonts w:ascii="宋体" w:hAnsi="宋体"/>
          <w:sz w:val="21"/>
          <w:szCs w:val="21"/>
        </w:rPr>
      </w:pPr>
      <w:bookmarkStart w:id="834" w:name="_Toc8845"/>
      <w:bookmarkStart w:id="835" w:name="_Toc25750622"/>
      <w:bookmarkStart w:id="836" w:name="_Toc3358"/>
      <w:bookmarkStart w:id="837" w:name="_Toc32344"/>
      <w:bookmarkStart w:id="838" w:name="_Toc507"/>
      <w:bookmarkStart w:id="839" w:name="_Toc27803"/>
      <w:bookmarkStart w:id="840" w:name="_Toc14300"/>
      <w:bookmarkStart w:id="841" w:name="_Toc15146"/>
      <w:bookmarkStart w:id="842" w:name="_Toc31774"/>
      <w:bookmarkStart w:id="843" w:name="_Toc1450"/>
      <w:bookmarkStart w:id="844" w:name="_Toc75276820"/>
      <w:bookmarkStart w:id="845" w:name="_Toc390098453"/>
      <w:bookmarkStart w:id="846" w:name="_Toc12983537"/>
      <w:bookmarkStart w:id="847" w:name="_Toc27289"/>
      <w:bookmarkStart w:id="848" w:name="_Toc383891202"/>
      <w:bookmarkStart w:id="849" w:name="_Toc19322"/>
      <w:bookmarkStart w:id="850" w:name="_Toc22500"/>
      <w:bookmarkStart w:id="851" w:name="_Toc492478752"/>
      <w:bookmarkStart w:id="852" w:name="_Toc385427827"/>
      <w:bookmarkStart w:id="853" w:name="_Toc11657"/>
      <w:bookmarkStart w:id="854" w:name="_Toc8074"/>
      <w:bookmarkStart w:id="855" w:name="_Toc11010"/>
      <w:bookmarkStart w:id="856" w:name="_Toc28489"/>
      <w:bookmarkStart w:id="857" w:name="_Toc17460"/>
      <w:r>
        <w:rPr>
          <w:rFonts w:hint="eastAsia" w:ascii="宋体" w:hAnsi="宋体"/>
          <w:sz w:val="21"/>
          <w:szCs w:val="21"/>
        </w:rPr>
        <w:t>定标</w:t>
      </w:r>
      <w:bookmarkEnd w:id="736"/>
      <w:bookmarkEnd w:id="737"/>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spacing w:before="0" w:after="0" w:afterAutospacing="0"/>
        <w:ind w:left="0" w:right="0" w:firstLine="420" w:firstLineChars="200"/>
        <w:rPr>
          <w:rFonts w:ascii="宋体" w:hAnsi="宋体" w:cs="Arial"/>
          <w:color w:val="auto"/>
        </w:rPr>
      </w:pPr>
      <w:r>
        <w:rPr>
          <w:rFonts w:hint="eastAsia" w:ascii="宋体" w:hAnsi="宋体" w:cs="Arial"/>
          <w:b w:val="0"/>
          <w:bCs w:val="0"/>
          <w:color w:val="auto"/>
        </w:rPr>
        <w:t>29.1经</w:t>
      </w:r>
      <w:r>
        <w:rPr>
          <w:rFonts w:hint="default" w:ascii="宋体" w:hAnsi="宋体" w:cs="Arial"/>
          <w:b w:val="0"/>
          <w:bCs w:val="0"/>
          <w:color w:val="auto"/>
        </w:rPr>
        <w:t>评审后，评审委员会按照总分（综合得分）由高到低的顺序向比选人推荐1-3名中选候选人。</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29.2</w:t>
      </w:r>
      <w:r>
        <w:rPr>
          <w:rFonts w:hint="eastAsia" w:ascii="宋体" w:hAnsi="宋体" w:cs="Arial"/>
        </w:rPr>
        <w:t xml:space="preserve"> 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29.3</w:t>
      </w:r>
      <w:r>
        <w:rPr>
          <w:rFonts w:hint="eastAsia" w:ascii="宋体" w:hAnsi="宋体" w:cs="Arial"/>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29.4</w:t>
      </w:r>
      <w:r>
        <w:rPr>
          <w:rFonts w:hint="eastAsia" w:ascii="宋体" w:hAnsi="宋体" w:cs="Arial"/>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rPr>
      </w:pPr>
      <w:r>
        <w:rPr>
          <w:rFonts w:ascii="宋体" w:hAnsi="宋体" w:cs="Arial"/>
        </w:rPr>
        <w:t>29.5</w:t>
      </w:r>
      <w:r>
        <w:rPr>
          <w:rFonts w:hint="eastAsia" w:ascii="宋体" w:hAnsi="宋体" w:cs="Arial"/>
        </w:rPr>
        <w:t xml:space="preserve"> 评审委员会评审结束后，比选人经审查发现评审过程中有明显错误，可以组织原评审委员会进行复评。</w:t>
      </w:r>
    </w:p>
    <w:p>
      <w:pPr>
        <w:pStyle w:val="5"/>
        <w:numPr>
          <w:ilvl w:val="0"/>
          <w:numId w:val="5"/>
        </w:numPr>
        <w:spacing w:before="0" w:after="0" w:afterAutospacing="0"/>
        <w:ind w:left="0" w:right="0" w:firstLine="422" w:firstLineChars="200"/>
        <w:rPr>
          <w:rFonts w:ascii="宋体" w:hAnsi="宋体"/>
          <w:sz w:val="21"/>
          <w:szCs w:val="21"/>
        </w:rPr>
      </w:pPr>
      <w:bookmarkStart w:id="858" w:name="_Toc14042"/>
      <w:bookmarkStart w:id="859" w:name="_Toc16732"/>
      <w:bookmarkStart w:id="860" w:name="_Toc383891203"/>
      <w:bookmarkStart w:id="861" w:name="_Toc18192"/>
      <w:bookmarkStart w:id="862" w:name="_Toc492478753"/>
      <w:bookmarkStart w:id="863" w:name="_Toc390098454"/>
      <w:bookmarkStart w:id="864" w:name="_Toc26470"/>
      <w:bookmarkStart w:id="865" w:name="_Toc12983538"/>
      <w:bookmarkStart w:id="866" w:name="_Toc3761"/>
      <w:bookmarkStart w:id="867" w:name="_Toc15932"/>
      <w:bookmarkStart w:id="868" w:name="_Toc13986"/>
      <w:bookmarkStart w:id="869" w:name="_Toc375039095"/>
      <w:bookmarkStart w:id="870" w:name="_Toc1215"/>
      <w:bookmarkStart w:id="871" w:name="_Toc22182"/>
      <w:bookmarkStart w:id="872" w:name="_Toc37"/>
      <w:bookmarkStart w:id="873" w:name="_Toc385427828"/>
      <w:bookmarkStart w:id="874" w:name="_Toc21947"/>
      <w:bookmarkStart w:id="875" w:name="_Toc27664"/>
      <w:bookmarkStart w:id="876" w:name="_Toc21142"/>
      <w:bookmarkStart w:id="877" w:name="_Toc17823"/>
      <w:bookmarkStart w:id="878" w:name="_Toc5257"/>
      <w:bookmarkStart w:id="879" w:name="_Toc19634"/>
      <w:bookmarkStart w:id="880" w:name="_Toc5172"/>
      <w:bookmarkStart w:id="881" w:name="_Toc25750623"/>
      <w:bookmarkStart w:id="882" w:name="_Toc75276821"/>
      <w:r>
        <w:rPr>
          <w:rFonts w:hint="eastAsia" w:ascii="宋体" w:hAnsi="宋体"/>
          <w:sz w:val="21"/>
          <w:szCs w:val="21"/>
        </w:rPr>
        <w:t>重新</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Fonts w:hint="eastAsia" w:ascii="宋体" w:hAnsi="宋体"/>
          <w:sz w:val="21"/>
          <w:szCs w:val="21"/>
        </w:rPr>
        <w:t>比选</w:t>
      </w:r>
      <w:bookmarkEnd w:id="881"/>
      <w:bookmarkEnd w:id="882"/>
    </w:p>
    <w:p>
      <w:pPr>
        <w:tabs>
          <w:tab w:val="left" w:pos="1134"/>
          <w:tab w:val="left" w:pos="8364"/>
        </w:tabs>
        <w:spacing w:before="0" w:after="0" w:afterAutospacing="0"/>
        <w:ind w:left="0" w:right="0"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30.1 </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30.2 </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w:t>
      </w:r>
      <w:r>
        <w:rPr>
          <w:rFonts w:hint="default" w:ascii="宋体" w:hAnsi="宋体"/>
          <w:color w:val="auto"/>
        </w:rPr>
        <w:t>当有效比选申请仅剩两家时，评审委员会认为仍具有竞争性的，应继续评审</w:t>
      </w:r>
      <w:r>
        <w:rPr>
          <w:rFonts w:ascii="宋体" w:hAnsi="宋体"/>
        </w:rPr>
        <w:t>）</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r>
        <w:rPr>
          <w:rFonts w:ascii="宋体" w:hAnsi="宋体"/>
        </w:rPr>
        <w:t>30.</w:t>
      </w:r>
      <w:r>
        <w:rPr>
          <w:rFonts w:hint="eastAsia" w:ascii="宋体" w:hAnsi="宋体"/>
        </w:rPr>
        <w:t>3</w:t>
      </w:r>
      <w:r>
        <w:rPr>
          <w:rFonts w:ascii="宋体" w:hAnsi="宋体"/>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30.4 </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30.5 </w:t>
      </w:r>
      <w:r>
        <w:rPr>
          <w:rFonts w:ascii="宋体" w:hAnsi="宋体"/>
        </w:rPr>
        <w:t>根据本须知15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30.6 比选文件中规定的其他情况。</w:t>
      </w:r>
    </w:p>
    <w:p>
      <w:pPr>
        <w:pStyle w:val="5"/>
        <w:numPr>
          <w:ilvl w:val="0"/>
          <w:numId w:val="5"/>
        </w:numPr>
        <w:spacing w:before="0" w:after="0" w:afterAutospacing="0"/>
        <w:ind w:left="0" w:right="0" w:firstLine="422" w:firstLineChars="200"/>
        <w:rPr>
          <w:rFonts w:ascii="宋体" w:hAnsi="宋体"/>
          <w:sz w:val="21"/>
          <w:szCs w:val="21"/>
        </w:rPr>
      </w:pPr>
      <w:bookmarkStart w:id="883" w:name="_Toc26919"/>
      <w:bookmarkStart w:id="884" w:name="_Toc17042"/>
      <w:bookmarkStart w:id="885" w:name="_Toc1945"/>
      <w:bookmarkStart w:id="886" w:name="_Toc375039096"/>
      <w:bookmarkStart w:id="887" w:name="_Toc383891204"/>
      <w:bookmarkStart w:id="888" w:name="_Toc390098455"/>
      <w:bookmarkStart w:id="889" w:name="_Toc26954"/>
      <w:bookmarkStart w:id="890" w:name="_Toc20979"/>
      <w:bookmarkStart w:id="891" w:name="_Toc5959"/>
      <w:bookmarkStart w:id="892" w:name="_Toc2422"/>
      <w:bookmarkStart w:id="893" w:name="_Toc11126"/>
      <w:bookmarkStart w:id="894" w:name="_Toc3769"/>
      <w:bookmarkStart w:id="895" w:name="_Toc14454"/>
      <w:bookmarkStart w:id="896" w:name="_Toc1116"/>
      <w:bookmarkStart w:id="897" w:name="_Toc492478754"/>
      <w:bookmarkStart w:id="898" w:name="_Toc385427829"/>
      <w:bookmarkStart w:id="899" w:name="_Toc6886"/>
      <w:bookmarkStart w:id="900" w:name="_Toc25257"/>
      <w:bookmarkStart w:id="901" w:name="_Toc12031"/>
      <w:bookmarkStart w:id="902" w:name="_Toc10962"/>
      <w:bookmarkStart w:id="903" w:name="_Toc14235"/>
      <w:bookmarkStart w:id="904" w:name="_Toc12983539"/>
      <w:bookmarkStart w:id="905" w:name="_Toc31757"/>
      <w:bookmarkStart w:id="906" w:name="_Toc25750624"/>
      <w:bookmarkStart w:id="907" w:name="_Toc75276822"/>
      <w:r>
        <w:rPr>
          <w:rFonts w:hint="eastAsia" w:ascii="宋体" w:hAnsi="宋体"/>
          <w:sz w:val="21"/>
          <w:szCs w:val="21"/>
        </w:rPr>
        <w:t>不再</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Fonts w:hint="eastAsia" w:ascii="宋体" w:hAnsi="宋体"/>
          <w:sz w:val="21"/>
          <w:szCs w:val="21"/>
        </w:rPr>
        <w:t>比选</w:t>
      </w:r>
      <w:bookmarkEnd w:id="906"/>
      <w:bookmarkEnd w:id="907"/>
    </w:p>
    <w:p>
      <w:pPr>
        <w:tabs>
          <w:tab w:val="left" w:pos="1155"/>
          <w:tab w:val="left" w:pos="8364"/>
        </w:tabs>
        <w:spacing w:before="0" w:after="0" w:afterAutospacing="0"/>
        <w:ind w:left="0" w:right="0" w:firstLine="420" w:firstLineChars="200"/>
        <w:rPr>
          <w:rFonts w:ascii="宋体" w:hAnsi="宋体"/>
        </w:rPr>
      </w:pP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908" w:name="_Toc27839"/>
      <w:bookmarkStart w:id="909" w:name="_Toc390098456"/>
      <w:bookmarkStart w:id="910" w:name="_Toc6000"/>
      <w:bookmarkStart w:id="911" w:name="_Toc12983540"/>
      <w:bookmarkStart w:id="912" w:name="_Toc24681"/>
      <w:bookmarkStart w:id="913" w:name="_Toc75276823"/>
      <w:bookmarkStart w:id="914" w:name="_Toc385427830"/>
      <w:bookmarkStart w:id="915" w:name="_Toc21516"/>
      <w:bookmarkStart w:id="916" w:name="_Toc2326"/>
      <w:bookmarkStart w:id="917" w:name="_Toc25431"/>
      <w:bookmarkStart w:id="918" w:name="_Toc12421"/>
      <w:bookmarkStart w:id="919" w:name="_Toc24580"/>
      <w:bookmarkStart w:id="920" w:name="_Toc375039097"/>
      <w:bookmarkStart w:id="921" w:name="_Toc22975"/>
      <w:bookmarkStart w:id="922" w:name="_Toc9113"/>
      <w:bookmarkStart w:id="923" w:name="_Toc30278"/>
      <w:bookmarkStart w:id="924" w:name="_Toc31958"/>
      <w:bookmarkStart w:id="925" w:name="_Toc18800"/>
      <w:bookmarkStart w:id="926" w:name="_Toc492478755"/>
      <w:bookmarkStart w:id="927" w:name="_Toc19952"/>
      <w:bookmarkStart w:id="928" w:name="_Toc8834"/>
      <w:bookmarkStart w:id="929" w:name="_Toc26653"/>
      <w:bookmarkStart w:id="930" w:name="_Toc383891205"/>
      <w:bookmarkStart w:id="931" w:name="_Toc4743"/>
      <w:r>
        <w:rPr>
          <w:rFonts w:hint="eastAsia" w:ascii="宋体" w:hAnsi="宋体" w:eastAsia="宋体"/>
          <w:sz w:val="24"/>
          <w:szCs w:val="24"/>
        </w:rPr>
        <w:t>六、</w:t>
      </w:r>
      <w:r>
        <w:rPr>
          <w:rFonts w:ascii="宋体" w:hAnsi="宋体" w:eastAsia="宋体"/>
          <w:sz w:val="24"/>
          <w:szCs w:val="24"/>
        </w:rPr>
        <w:t>授予合同</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5"/>
        <w:spacing w:before="0" w:after="0" w:afterAutospacing="0"/>
        <w:ind w:left="0" w:right="0" w:firstLine="422" w:firstLineChars="200"/>
        <w:rPr>
          <w:rFonts w:ascii="宋体" w:hAnsi="宋体"/>
          <w:sz w:val="21"/>
          <w:szCs w:val="21"/>
        </w:rPr>
      </w:pPr>
      <w:bookmarkStart w:id="932" w:name="_Toc10522"/>
      <w:bookmarkStart w:id="933" w:name="_Toc8938"/>
      <w:bookmarkStart w:id="934" w:name="_Toc383891206"/>
      <w:bookmarkStart w:id="935" w:name="_Toc22323"/>
      <w:bookmarkStart w:id="936" w:name="_Toc28661"/>
      <w:bookmarkStart w:id="937" w:name="_Toc26525"/>
      <w:bookmarkStart w:id="938" w:name="_Toc31011"/>
      <w:bookmarkStart w:id="939" w:name="_Toc20642"/>
      <w:bookmarkStart w:id="940" w:name="_Toc26143"/>
      <w:bookmarkStart w:id="941" w:name="_Toc492478756"/>
      <w:bookmarkStart w:id="942" w:name="_Toc390098457"/>
      <w:bookmarkStart w:id="943" w:name="_Toc21728"/>
      <w:bookmarkStart w:id="944" w:name="_Toc75276824"/>
      <w:bookmarkStart w:id="945" w:name="_Toc25750626"/>
      <w:bookmarkStart w:id="946" w:name="_Toc385427831"/>
      <w:bookmarkStart w:id="947" w:name="_Toc13914"/>
      <w:bookmarkStart w:id="948" w:name="_Toc22688"/>
      <w:bookmarkStart w:id="949" w:name="_Toc11795"/>
      <w:bookmarkStart w:id="950" w:name="_Toc30026"/>
      <w:bookmarkStart w:id="951" w:name="_Toc375039098"/>
      <w:bookmarkStart w:id="952" w:name="_Toc1269"/>
      <w:bookmarkStart w:id="953" w:name="_Toc18878"/>
      <w:bookmarkStart w:id="954" w:name="_Toc21975"/>
      <w:bookmarkStart w:id="955" w:name="_Toc12983541"/>
      <w:bookmarkStart w:id="956" w:name="_Toc30743"/>
      <w:r>
        <w:rPr>
          <w:rFonts w:hint="eastAsia" w:ascii="宋体" w:hAnsi="宋体"/>
          <w:sz w:val="21"/>
          <w:szCs w:val="21"/>
        </w:rPr>
        <w:t>32. 合同授予标准</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32.1 </w:t>
      </w:r>
      <w:r>
        <w:rPr>
          <w:rFonts w:ascii="宋体" w:hAnsi="宋体"/>
        </w:rPr>
        <w:t>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32.2 </w:t>
      </w:r>
      <w:r>
        <w:rPr>
          <w:rFonts w:ascii="宋体" w:hAnsi="宋体"/>
        </w:rPr>
        <w:t>如果</w:t>
      </w:r>
      <w:r>
        <w:rPr>
          <w:rFonts w:hint="eastAsia" w:ascii="宋体" w:hAnsi="宋体"/>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5"/>
        <w:spacing w:before="0" w:after="0" w:afterAutospacing="0"/>
        <w:ind w:left="0" w:right="0" w:firstLine="422" w:firstLineChars="200"/>
        <w:rPr>
          <w:rFonts w:ascii="宋体" w:hAnsi="宋体"/>
          <w:sz w:val="21"/>
          <w:szCs w:val="21"/>
        </w:rPr>
      </w:pPr>
      <w:bookmarkStart w:id="957" w:name="_Toc75276825"/>
      <w:bookmarkStart w:id="958" w:name="_Toc19128"/>
      <w:bookmarkStart w:id="959" w:name="_Toc25797"/>
      <w:bookmarkStart w:id="960" w:name="_Toc23649"/>
      <w:bookmarkStart w:id="961" w:name="_Toc16111"/>
      <w:bookmarkStart w:id="962" w:name="_Toc31336"/>
      <w:bookmarkStart w:id="963" w:name="_Toc492478757"/>
      <w:bookmarkStart w:id="964" w:name="_Toc390098458"/>
      <w:bookmarkStart w:id="965" w:name="_Toc377"/>
      <w:bookmarkStart w:id="966" w:name="_Toc17153"/>
      <w:bookmarkStart w:id="967" w:name="_Toc18977"/>
      <w:bookmarkStart w:id="968" w:name="_Toc375039099"/>
      <w:bookmarkStart w:id="969" w:name="_Toc24183"/>
      <w:bookmarkStart w:id="970" w:name="_Toc385427832"/>
      <w:bookmarkStart w:id="971" w:name="_Toc17818"/>
      <w:bookmarkStart w:id="972" w:name="_Toc12983542"/>
      <w:bookmarkStart w:id="973" w:name="_Toc383891207"/>
      <w:bookmarkStart w:id="974" w:name="_Toc25750627"/>
      <w:bookmarkStart w:id="975" w:name="_Toc19774"/>
      <w:bookmarkStart w:id="976" w:name="_Toc11913"/>
      <w:bookmarkStart w:id="977" w:name="_Toc13417"/>
      <w:bookmarkStart w:id="978" w:name="_Toc14325"/>
      <w:bookmarkStart w:id="979" w:name="_Toc14301"/>
      <w:bookmarkStart w:id="980" w:name="_Toc14832"/>
      <w:bookmarkStart w:id="981" w:name="_Toc1873"/>
      <w:r>
        <w:rPr>
          <w:rFonts w:hint="eastAsia" w:ascii="宋体" w:hAnsi="宋体"/>
          <w:sz w:val="21"/>
          <w:szCs w:val="21"/>
        </w:rPr>
        <w:t>33. 接受和否决任何或所有比选申请的权力</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5"/>
        <w:numPr>
          <w:ilvl w:val="0"/>
          <w:numId w:val="6"/>
        </w:numPr>
        <w:spacing w:before="0" w:after="0" w:afterAutospacing="0"/>
        <w:ind w:left="0" w:right="0" w:firstLine="422" w:firstLineChars="200"/>
        <w:rPr>
          <w:rFonts w:ascii="宋体" w:hAnsi="宋体"/>
          <w:sz w:val="21"/>
          <w:szCs w:val="21"/>
        </w:rPr>
      </w:pPr>
      <w:bookmarkStart w:id="982" w:name="_Toc75276826"/>
      <w:bookmarkStart w:id="983" w:name="_Toc22657"/>
      <w:bookmarkStart w:id="984" w:name="_Toc27683"/>
      <w:bookmarkStart w:id="985" w:name="_Toc390098459"/>
      <w:bookmarkStart w:id="986" w:name="_Toc492478758"/>
      <w:bookmarkStart w:id="987" w:name="_Toc383891208"/>
      <w:bookmarkStart w:id="988" w:name="_Toc25750628"/>
      <w:bookmarkStart w:id="989" w:name="_Toc19943"/>
      <w:bookmarkStart w:id="990" w:name="_Toc12983543"/>
      <w:bookmarkStart w:id="991" w:name="_Toc19556"/>
      <w:bookmarkStart w:id="992" w:name="_Toc20680"/>
      <w:bookmarkStart w:id="993" w:name="_Toc9636"/>
      <w:bookmarkStart w:id="994" w:name="_Toc12065"/>
      <w:bookmarkStart w:id="995" w:name="_Toc385427833"/>
      <w:bookmarkStart w:id="996" w:name="_Toc921"/>
      <w:bookmarkStart w:id="997" w:name="_Toc10348"/>
      <w:bookmarkStart w:id="998" w:name="_Toc673"/>
      <w:bookmarkStart w:id="999" w:name="_Toc5061"/>
      <w:bookmarkStart w:id="1000" w:name="_Toc2061"/>
      <w:bookmarkStart w:id="1001" w:name="_Toc375039100"/>
      <w:bookmarkStart w:id="1002" w:name="_Toc13605"/>
      <w:bookmarkStart w:id="1003" w:name="_Toc13596"/>
      <w:bookmarkStart w:id="1004" w:name="_Toc32424"/>
      <w:bookmarkStart w:id="1005" w:name="_Toc21798"/>
      <w:bookmarkStart w:id="1006" w:name="_Toc17953"/>
      <w:r>
        <w:rPr>
          <w:rFonts w:hint="eastAsia" w:ascii="宋体" w:hAnsi="宋体"/>
          <w:sz w:val="21"/>
          <w:szCs w:val="21"/>
        </w:rPr>
        <w:t>中选通知书</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34.3 </w:t>
      </w:r>
      <w:r>
        <w:rPr>
          <w:rFonts w:ascii="宋体" w:hAnsi="宋体"/>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34.4放弃中选人资格的处罚详见前附表。</w:t>
      </w:r>
    </w:p>
    <w:p>
      <w:pPr>
        <w:pStyle w:val="5"/>
        <w:numPr>
          <w:ilvl w:val="0"/>
          <w:numId w:val="6"/>
        </w:numPr>
        <w:spacing w:before="0" w:after="0" w:afterAutospacing="0"/>
        <w:ind w:left="0" w:right="0" w:firstLine="422" w:firstLineChars="200"/>
        <w:rPr>
          <w:rFonts w:ascii="宋体" w:hAnsi="宋体"/>
          <w:sz w:val="21"/>
          <w:szCs w:val="21"/>
        </w:rPr>
      </w:pPr>
      <w:bookmarkStart w:id="1007" w:name="_Toc385427834"/>
      <w:bookmarkStart w:id="1008" w:name="_Toc21217"/>
      <w:bookmarkStart w:id="1009" w:name="_Toc1780"/>
      <w:bookmarkStart w:id="1010" w:name="_Toc492478759"/>
      <w:bookmarkStart w:id="1011" w:name="_Toc5767"/>
      <w:bookmarkStart w:id="1012" w:name="_Toc25208"/>
      <w:bookmarkStart w:id="1013" w:name="_Toc75276827"/>
      <w:bookmarkStart w:id="1014" w:name="_Toc375039101"/>
      <w:bookmarkStart w:id="1015" w:name="_Toc25750629"/>
      <w:bookmarkStart w:id="1016" w:name="_Toc12983544"/>
      <w:bookmarkStart w:id="1017" w:name="_Toc390098460"/>
      <w:bookmarkStart w:id="1018" w:name="_Toc30862"/>
      <w:bookmarkStart w:id="1019" w:name="_Toc24885"/>
      <w:bookmarkStart w:id="1020" w:name="_Toc383891209"/>
      <w:bookmarkStart w:id="1021" w:name="_Toc21570"/>
      <w:bookmarkStart w:id="1022" w:name="_Toc24240"/>
      <w:bookmarkStart w:id="1023" w:name="_Toc1862"/>
      <w:bookmarkStart w:id="1024" w:name="_Toc22442"/>
      <w:bookmarkStart w:id="1025" w:name="_Toc4190"/>
      <w:bookmarkStart w:id="1026" w:name="_Toc29993"/>
      <w:bookmarkStart w:id="1027" w:name="_Toc5617"/>
      <w:bookmarkStart w:id="1028" w:name="_Toc28815"/>
      <w:bookmarkStart w:id="1029" w:name="_Toc15048"/>
      <w:bookmarkStart w:id="1030" w:name="_Toc18694"/>
      <w:bookmarkStart w:id="1031" w:name="_Toc8628"/>
      <w:r>
        <w:rPr>
          <w:rFonts w:hint="eastAsia" w:ascii="宋体" w:hAnsi="宋体"/>
          <w:sz w:val="21"/>
          <w:szCs w:val="21"/>
        </w:rPr>
        <w:t>签订合同</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35.1 中选人在收到中选通知书后，按比选文件的要求与比选人签订合同</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35.3 </w:t>
      </w:r>
      <w:r>
        <w:rPr>
          <w:rFonts w:ascii="宋体" w:hAnsi="宋体"/>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5"/>
        <w:numPr>
          <w:ilvl w:val="0"/>
          <w:numId w:val="6"/>
        </w:numPr>
        <w:spacing w:before="0" w:after="0" w:afterAutospacing="0"/>
        <w:ind w:left="0" w:right="0" w:firstLine="422" w:firstLineChars="200"/>
        <w:rPr>
          <w:rFonts w:ascii="宋体" w:hAnsi="宋体"/>
          <w:sz w:val="21"/>
          <w:szCs w:val="21"/>
        </w:rPr>
      </w:pPr>
      <w:bookmarkStart w:id="1032" w:name="_Toc385427836"/>
      <w:bookmarkStart w:id="1033" w:name="_Toc492478761"/>
      <w:bookmarkStart w:id="1034" w:name="_Toc13615"/>
      <w:bookmarkStart w:id="1035" w:name="_Toc375039103"/>
      <w:bookmarkStart w:id="1036" w:name="_Toc21294"/>
      <w:bookmarkStart w:id="1037" w:name="_Toc12983546"/>
      <w:bookmarkStart w:id="1038" w:name="_Toc11354"/>
      <w:bookmarkStart w:id="1039" w:name="_Toc26808"/>
      <w:bookmarkStart w:id="1040" w:name="_Toc75276828"/>
      <w:bookmarkStart w:id="1041" w:name="_Toc8178"/>
      <w:bookmarkStart w:id="1042" w:name="_Toc25988"/>
      <w:bookmarkStart w:id="1043" w:name="_Toc16584"/>
      <w:bookmarkStart w:id="1044" w:name="_Toc19122"/>
      <w:bookmarkStart w:id="1045" w:name="_Toc16212"/>
      <w:bookmarkStart w:id="1046" w:name="_Toc30169"/>
      <w:bookmarkStart w:id="1047" w:name="_Toc23115"/>
      <w:bookmarkStart w:id="1048" w:name="_Toc10399"/>
      <w:bookmarkStart w:id="1049" w:name="_Toc390098462"/>
      <w:bookmarkStart w:id="1050" w:name="_Toc383891211"/>
      <w:bookmarkStart w:id="1051" w:name="_Toc25990"/>
      <w:bookmarkStart w:id="1052" w:name="_Toc25750631"/>
      <w:bookmarkStart w:id="1053" w:name="_Toc20351"/>
      <w:bookmarkStart w:id="1054" w:name="_Toc2637"/>
      <w:bookmarkStart w:id="1055" w:name="_Toc10480"/>
      <w:bookmarkStart w:id="1056" w:name="_Toc24400"/>
      <w:r>
        <w:rPr>
          <w:rFonts w:hint="eastAsia" w:ascii="宋体" w:hAnsi="宋体"/>
          <w:sz w:val="21"/>
          <w:szCs w:val="21"/>
        </w:rPr>
        <w:t>其他</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 </w:t>
      </w:r>
      <w:r>
        <w:rPr>
          <w:rFonts w:ascii="宋体" w:hAnsi="宋体"/>
        </w:rPr>
        <w:t>知识产权和专利权</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36.1.1 </w:t>
      </w:r>
      <w:r>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 </w:t>
      </w:r>
      <w:r>
        <w:rPr>
          <w:rFonts w:ascii="宋体" w:hAnsi="宋体"/>
        </w:rPr>
        <w:t>保密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 </w:t>
      </w:r>
      <w:r>
        <w:rPr>
          <w:rFonts w:ascii="宋体" w:hAnsi="宋体"/>
        </w:rPr>
        <w:t>比选申请人知悉</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36.3.2 </w:t>
      </w:r>
      <w:r>
        <w:rPr>
          <w:rFonts w:ascii="宋体" w:hAnsi="宋体"/>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36.4 分包：本项目不允许分包、禁止转包。</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36.5 需要补充的其他内容：详见比选申请须知前附表</w:t>
      </w:r>
    </w:p>
    <w:p>
      <w:pPr>
        <w:pStyle w:val="2"/>
        <w:spacing w:before="0" w:after="0" w:afterAutospacing="0" w:line="240" w:lineRule="auto"/>
        <w:ind w:left="0" w:right="0" w:firstLine="0"/>
        <w:jc w:val="left"/>
      </w:pPr>
      <w:r>
        <w:br w:type="page"/>
      </w:r>
    </w:p>
    <w:p>
      <w:pPr>
        <w:tabs>
          <w:tab w:val="left" w:pos="425"/>
          <w:tab w:val="left" w:pos="1134"/>
          <w:tab w:val="left" w:pos="8364"/>
        </w:tabs>
        <w:spacing w:before="0" w:after="0" w:afterAutospacing="0"/>
        <w:ind w:left="0" w:right="0" w:firstLine="420" w:firstLineChars="200"/>
        <w:rPr>
          <w:rFonts w:ascii="宋体" w:hAnsi="宋体"/>
        </w:rPr>
      </w:pPr>
    </w:p>
    <w:p>
      <w:pPr>
        <w:ind w:left="0" w:firstLine="2570" w:firstLineChars="800"/>
        <w:outlineLvl w:val="0"/>
        <w:rPr>
          <w:rStyle w:val="39"/>
          <w:rFonts w:ascii="宋体" w:hAnsi="宋体"/>
          <w:color w:val="000000" w:themeColor="text1"/>
        </w:rPr>
      </w:pPr>
      <w:bookmarkStart w:id="1057" w:name="_Toc18229"/>
      <w:bookmarkStart w:id="1058" w:name="_Toc6139"/>
      <w:bookmarkStart w:id="1059" w:name="_Toc75276829"/>
      <w:bookmarkStart w:id="1060" w:name="_Toc26125"/>
      <w:bookmarkStart w:id="1061" w:name="_Toc24797"/>
      <w:r>
        <w:rPr>
          <w:rStyle w:val="39"/>
          <w:rFonts w:hint="eastAsia" w:ascii="宋体" w:hAnsi="宋体"/>
          <w:color w:val="000000" w:themeColor="text1"/>
        </w:rPr>
        <w:t>第三章比选申请文件格式</w:t>
      </w:r>
      <w:bookmarkEnd w:id="1057"/>
      <w:bookmarkEnd w:id="1058"/>
      <w:bookmarkEnd w:id="1059"/>
      <w:bookmarkEnd w:id="1060"/>
      <w:bookmarkEnd w:id="1061"/>
    </w:p>
    <w:p>
      <w:pPr>
        <w:jc w:val="center"/>
        <w:rPr>
          <w:rFonts w:ascii="宋体" w:hAnsi="宋体"/>
          <w:color w:val="000000" w:themeColor="text1"/>
          <w:sz w:val="48"/>
          <w:szCs w:val="48"/>
          <w:u w:val="single"/>
        </w:rPr>
      </w:pPr>
    </w:p>
    <w:p>
      <w:pPr>
        <w:jc w:val="center"/>
        <w:rPr>
          <w:rFonts w:ascii="宋体" w:hAnsi="宋体"/>
          <w:color w:val="000000" w:themeColor="text1"/>
          <w:sz w:val="48"/>
          <w:szCs w:val="48"/>
        </w:rPr>
      </w:pPr>
      <w:r>
        <w:rPr>
          <w:rFonts w:hint="eastAsia" w:ascii="宋体" w:hAnsi="宋体"/>
          <w:color w:val="000000" w:themeColor="text1"/>
          <w:sz w:val="48"/>
          <w:szCs w:val="48"/>
        </w:rPr>
        <w:t>xxx项目比选申请文件</w:t>
      </w:r>
    </w:p>
    <w:p>
      <w:pPr>
        <w:autoSpaceDE w:val="0"/>
        <w:autoSpaceDN w:val="0"/>
        <w:adjustRightInd w:val="0"/>
        <w:jc w:val="center"/>
        <w:rPr>
          <w:rFonts w:ascii="华文中宋" w:eastAsia="华文中宋"/>
          <w:color w:val="000000" w:themeColor="text1"/>
          <w:sz w:val="48"/>
          <w:szCs w:val="48"/>
        </w:rPr>
      </w:pPr>
      <w:r>
        <w:rPr>
          <w:rFonts w:hint="eastAsia" w:ascii="华文中宋" w:eastAsia="华文中宋"/>
          <w:color w:val="000000" w:themeColor="text1"/>
          <w:sz w:val="48"/>
          <w:szCs w:val="48"/>
        </w:rPr>
        <w:t>资格审查文件</w:t>
      </w:r>
    </w:p>
    <w:p>
      <w:pPr>
        <w:autoSpaceDE w:val="0"/>
        <w:autoSpaceDN w:val="0"/>
        <w:adjustRightInd w:val="0"/>
        <w:jc w:val="center"/>
        <w:rPr>
          <w:rFonts w:ascii="楷体_GB2312" w:eastAsia="楷体_GB2312"/>
          <w:color w:val="000000" w:themeColor="text1"/>
          <w:sz w:val="36"/>
          <w:szCs w:val="36"/>
        </w:rPr>
      </w:pPr>
      <w:r>
        <w:rPr>
          <w:rFonts w:hint="eastAsia" w:ascii="楷体_GB2312" w:eastAsia="楷体_GB2312"/>
          <w:color w:val="000000" w:themeColor="text1"/>
          <w:sz w:val="36"/>
          <w:szCs w:val="36"/>
        </w:rPr>
        <w:t>（＊本）</w:t>
      </w:r>
    </w:p>
    <w:p>
      <w:pPr>
        <w:autoSpaceDE w:val="0"/>
        <w:autoSpaceDN w:val="0"/>
        <w:adjustRightInd w:val="0"/>
        <w:jc w:val="left"/>
        <w:rPr>
          <w:rFonts w:ascii="楷体_GB2312" w:eastAsia="楷体_GB2312"/>
          <w:color w:val="000000" w:themeColor="text1"/>
          <w:sz w:val="24"/>
        </w:rPr>
      </w:pPr>
    </w:p>
    <w:p>
      <w:pPr>
        <w:autoSpaceDE w:val="0"/>
        <w:autoSpaceDN w:val="0"/>
        <w:adjustRightInd w:val="0"/>
        <w:ind w:left="0" w:firstLine="0"/>
        <w:jc w:val="left"/>
        <w:rPr>
          <w:rFonts w:ascii="楷体_GB2312" w:eastAsia="楷体_GB2312"/>
          <w:color w:val="000000" w:themeColor="text1"/>
          <w:sz w:val="24"/>
        </w:rPr>
      </w:pPr>
    </w:p>
    <w:p>
      <w:pPr>
        <w:autoSpaceDE w:val="0"/>
        <w:autoSpaceDN w:val="0"/>
        <w:adjustRightInd w:val="0"/>
        <w:rPr>
          <w:rFonts w:ascii="楷体_GB2312" w:eastAsia="楷体_GB2312"/>
          <w:color w:val="000000" w:themeColor="text1"/>
          <w:sz w:val="24"/>
        </w:rPr>
      </w:pP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比选申请人：（ 加盖单位公章）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法定代表人或授权委托代理人：（签字或盖章）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电话/传真：</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地址：</w:t>
      </w:r>
    </w:p>
    <w:p>
      <w:pPr>
        <w:autoSpaceDE w:val="0"/>
        <w:autoSpaceDN w:val="0"/>
        <w:adjustRightInd w:val="0"/>
        <w:ind w:left="0" w:firstLine="0"/>
        <w:rPr>
          <w:rFonts w:ascii="宋体" w:hAnsi="宋体"/>
          <w:color w:val="000000" w:themeColor="text1"/>
          <w:sz w:val="28"/>
          <w:szCs w:val="28"/>
        </w:rPr>
      </w:pPr>
    </w:p>
    <w:p>
      <w:pPr>
        <w:pStyle w:val="3"/>
        <w:spacing w:after="100"/>
        <w:ind w:left="0" w:right="-57" w:firstLine="0"/>
        <w:rPr>
          <w:color w:val="000000" w:themeColor="text1"/>
          <w:sz w:val="24"/>
          <w:szCs w:val="24"/>
        </w:rPr>
      </w:pPr>
    </w:p>
    <w:p>
      <w:pPr>
        <w:pStyle w:val="2"/>
        <w:pageBreakBefore/>
        <w:ind w:right="-57" w:firstLine="0"/>
        <w:jc w:val="center"/>
        <w:outlineLvl w:val="0"/>
        <w:rPr>
          <w:rStyle w:val="39"/>
          <w:rFonts w:ascii="宋体" w:hAnsi="宋体" w:eastAsia="宋体"/>
        </w:rPr>
      </w:pPr>
    </w:p>
    <w:p>
      <w:pPr>
        <w:pStyle w:val="3"/>
        <w:spacing w:after="100"/>
        <w:ind w:right="-57" w:firstLine="0"/>
        <w:jc w:val="center"/>
        <w:rPr>
          <w:sz w:val="24"/>
          <w:szCs w:val="24"/>
        </w:rPr>
      </w:pPr>
      <w:bookmarkStart w:id="1062" w:name="_Toc75276830"/>
      <w:bookmarkStart w:id="1063" w:name="_Toc30705"/>
      <w:bookmarkStart w:id="1064" w:name="_Toc12983549"/>
      <w:bookmarkStart w:id="1065" w:name="_Toc361"/>
      <w:bookmarkStart w:id="1066" w:name="_Toc23261"/>
      <w:bookmarkStart w:id="1067" w:name="_Toc25325"/>
      <w:bookmarkStart w:id="1068" w:name="_Toc492478802"/>
      <w:bookmarkStart w:id="1069" w:name="_Toc12984805"/>
      <w:bookmarkStart w:id="1070" w:name="_Toc22709"/>
      <w:bookmarkStart w:id="1071" w:name="_Toc4873"/>
      <w:bookmarkStart w:id="1072" w:name="_Toc19412"/>
      <w:bookmarkStart w:id="1073" w:name="_Toc24453"/>
      <w:bookmarkStart w:id="1074" w:name="_Toc414290520"/>
      <w:bookmarkStart w:id="1075" w:name="_Toc31535"/>
      <w:bookmarkStart w:id="1076" w:name="_Toc6941"/>
      <w:bookmarkStart w:id="1077" w:name="_Toc3396"/>
      <w:bookmarkStart w:id="1078" w:name="_Toc4027"/>
      <w:bookmarkStart w:id="1079" w:name="_Toc21274"/>
      <w:bookmarkStart w:id="1080" w:name="_Toc24824"/>
      <w:bookmarkStart w:id="1081" w:name="_Toc16671"/>
      <w:bookmarkStart w:id="1082" w:name="_Toc31624"/>
      <w:bookmarkStart w:id="1083" w:name="_Toc32185"/>
      <w:r>
        <w:rPr>
          <w:sz w:val="24"/>
          <w:szCs w:val="24"/>
        </w:rPr>
        <w:t>A  资格审查</w:t>
      </w:r>
      <w:r>
        <w:rPr>
          <w:rFonts w:hint="eastAsia"/>
          <w:sz w:val="24"/>
          <w:szCs w:val="24"/>
        </w:rPr>
        <w:t>文件</w:t>
      </w:r>
      <w:bookmarkEnd w:id="1062"/>
    </w:p>
    <w:p>
      <w:pPr>
        <w:spacing w:before="0" w:after="0" w:afterAutospacing="0"/>
        <w:ind w:left="0" w:right="0" w:firstLine="422" w:firstLineChars="200"/>
        <w:jc w:val="left"/>
        <w:rPr>
          <w:rFonts w:ascii="宋体" w:hAnsi="宋体"/>
          <w:b/>
        </w:rPr>
      </w:pPr>
      <w:r>
        <w:rPr>
          <w:rFonts w:ascii="宋体" w:hAnsi="宋体"/>
          <w:b/>
        </w:rPr>
        <w:t>资格审查文件格式</w:t>
      </w:r>
    </w:p>
    <w:p>
      <w:pPr>
        <w:tabs>
          <w:tab w:val="left" w:pos="1134"/>
        </w:tabs>
        <w:spacing w:before="0" w:after="0" w:afterAutospacing="0"/>
        <w:ind w:left="0" w:right="0" w:firstLine="420" w:firstLineChars="200"/>
      </w:pPr>
      <w:r>
        <w:rPr>
          <w:rFonts w:hint="eastAsia" w:hAnsi="宋体"/>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pPr>
      <w:r>
        <w:rPr>
          <w:rFonts w:hint="eastAsia" w:hAnsi="宋体"/>
        </w:rPr>
        <w:t>（2）比选申请人有效的营业执照副本复印件；</w:t>
      </w:r>
    </w:p>
    <w:p>
      <w:pPr>
        <w:tabs>
          <w:tab w:val="left" w:pos="1134"/>
        </w:tabs>
        <w:spacing w:before="0" w:after="0" w:afterAutospacing="0"/>
        <w:ind w:left="0" w:right="0" w:firstLine="420" w:firstLineChars="200"/>
        <w:rPr>
          <w:rFonts w:hAnsi="宋体"/>
        </w:rPr>
      </w:pPr>
      <w:r>
        <w:rPr>
          <w:rFonts w:hint="eastAsia" w:hAnsi="宋体"/>
        </w:rPr>
        <w:t>（3）</w:t>
      </w:r>
      <w:r>
        <w:rPr>
          <w:rFonts w:hAnsi="宋体"/>
        </w:rPr>
        <w:t>承诺书（格式见</w:t>
      </w:r>
      <w:r>
        <w:rPr>
          <w:rFonts w:hint="eastAsia" w:hAnsi="宋体"/>
        </w:rPr>
        <w:t>A3</w:t>
      </w:r>
      <w:r>
        <w:rPr>
          <w:rFonts w:hAnsi="宋体"/>
        </w:rPr>
        <w:t>）；</w:t>
      </w:r>
    </w:p>
    <w:p>
      <w:pPr>
        <w:tabs>
          <w:tab w:val="left" w:pos="1134"/>
        </w:tabs>
        <w:spacing w:before="0" w:after="0" w:afterAutospacing="0"/>
        <w:ind w:left="0" w:right="0" w:firstLine="420" w:firstLineChars="200"/>
        <w:rPr>
          <w:rFonts w:hint="eastAsia" w:hAnsi="宋体"/>
        </w:rPr>
      </w:pPr>
      <w:r>
        <w:rPr>
          <w:rFonts w:hint="eastAsia" w:hAnsi="宋体"/>
        </w:rPr>
        <w:t>（4）</w:t>
      </w:r>
      <w:r>
        <w:rPr>
          <w:rFonts w:hint="eastAsia" w:hAnsi="宋体"/>
          <w:color w:val="auto"/>
        </w:rPr>
        <w:t>类似项目业绩表（A4）（如有）</w:t>
      </w:r>
      <w:r>
        <w:rPr>
          <w:rFonts w:hint="eastAsia" w:hAnsi="宋体"/>
        </w:rPr>
        <w:t>；</w:t>
      </w:r>
    </w:p>
    <w:p>
      <w:pPr>
        <w:tabs>
          <w:tab w:val="left" w:pos="1134"/>
        </w:tabs>
        <w:spacing w:before="0" w:after="0" w:afterAutospacing="0"/>
        <w:ind w:left="0" w:right="0" w:firstLine="420" w:firstLineChars="200"/>
        <w:rPr>
          <w:rFonts w:hint="eastAsia" w:hAnsi="宋体"/>
        </w:rPr>
      </w:pPr>
      <w:r>
        <w:rPr>
          <w:rFonts w:hint="eastAsia" w:hAnsi="宋体"/>
        </w:rPr>
        <w:t>（5）</w:t>
      </w:r>
      <w:r>
        <w:rPr>
          <w:rFonts w:hint="eastAsia" w:hAnsi="宋体"/>
          <w:color w:val="auto"/>
        </w:rPr>
        <w:t>比选申请人认为应提交的其他比选申请资料（如有</w:t>
      </w:r>
      <w:r>
        <w:rPr>
          <w:rFonts w:hint="eastAsia" w:hAnsi="宋体"/>
        </w:rPr>
        <w:t>）。</w:t>
      </w:r>
    </w:p>
    <w:p>
      <w:pPr>
        <w:spacing w:before="0" w:after="0" w:afterAutospacing="0"/>
        <w:ind w:left="0" w:right="0" w:firstLine="420" w:firstLineChars="200"/>
        <w:rPr>
          <w:rFonts w:hAnsi="宋体"/>
        </w:rPr>
      </w:pPr>
      <w:r>
        <w:rPr>
          <w:rFonts w:hint="eastAsia" w:hAnsi="宋体"/>
        </w:rPr>
        <w:t>注：</w:t>
      </w:r>
      <w:r>
        <w:rPr>
          <w:rFonts w:hAnsi="宋体"/>
        </w:rPr>
        <w:t>以上提供的复印件必须加盖比选申请人公章。</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spacing w:before="0" w:after="0" w:afterAutospacing="0"/>
        <w:ind w:left="0" w:right="0" w:firstLine="420" w:firstLineChars="200"/>
        <w:rPr>
          <w:rFonts w:hAnsi="宋体"/>
        </w:rPr>
        <w:sectPr>
          <w:footerReference r:id="rId6" w:type="default"/>
          <w:pgSz w:w="11905" w:h="16838"/>
          <w:pgMar w:top="1417" w:right="1417" w:bottom="1417" w:left="1417" w:header="454" w:footer="567" w:gutter="0"/>
          <w:cols w:space="720" w:num="1"/>
          <w:docGrid w:linePitch="312" w:charSpace="0"/>
        </w:sectPr>
      </w:pPr>
    </w:p>
    <w:p>
      <w:pPr>
        <w:numPr>
          <w:ilvl w:val="1"/>
          <w:numId w:val="7"/>
        </w:numPr>
        <w:snapToGrid w:val="0"/>
        <w:spacing w:before="0" w:line="240" w:lineRule="auto"/>
        <w:ind w:right="0" w:firstLine="0"/>
        <w:jc w:val="left"/>
        <w:outlineLvl w:val="0"/>
        <w:rPr>
          <w:rFonts w:ascii="宋体" w:hAnsi="宋体"/>
          <w:b/>
        </w:rPr>
      </w:pPr>
      <w:bookmarkStart w:id="1084" w:name="_Toc16089"/>
      <w:bookmarkStart w:id="1085" w:name="_Toc10433"/>
      <w:bookmarkStart w:id="1086" w:name="_Toc24436"/>
      <w:bookmarkStart w:id="1087" w:name="_Toc15696"/>
      <w:bookmarkStart w:id="1088" w:name="_Toc10789"/>
      <w:bookmarkStart w:id="1089" w:name="_Toc9658"/>
      <w:bookmarkStart w:id="1090" w:name="_Toc25750675"/>
      <w:bookmarkStart w:id="1091" w:name="_Toc12984807"/>
      <w:bookmarkStart w:id="1092" w:name="_Toc32455"/>
      <w:bookmarkStart w:id="1093" w:name="_Toc375564351"/>
      <w:bookmarkStart w:id="1094" w:name="_Toc7057"/>
      <w:bookmarkStart w:id="1095" w:name="_Toc13389"/>
      <w:bookmarkStart w:id="1096" w:name="_Toc22533"/>
      <w:bookmarkStart w:id="1097" w:name="_Toc414290522"/>
      <w:bookmarkStart w:id="1098" w:name="_Toc20283"/>
      <w:bookmarkStart w:id="1099" w:name="_Toc20671"/>
      <w:bookmarkStart w:id="1100" w:name="_Toc492478804"/>
      <w:bookmarkStart w:id="1101" w:name="_Toc75276831"/>
      <w:bookmarkStart w:id="1102" w:name="_Toc3499"/>
      <w:bookmarkStart w:id="1103" w:name="_Toc10238"/>
      <w:bookmarkStart w:id="1104" w:name="_Toc20029"/>
      <w:bookmarkStart w:id="1105" w:name="_Toc8868"/>
      <w:bookmarkStart w:id="1106" w:name="_Toc4125"/>
      <w:bookmarkStart w:id="1107" w:name="_Toc956"/>
      <w:r>
        <w:rPr>
          <w:rFonts w:ascii="宋体" w:hAnsi="宋体"/>
          <w:b/>
        </w:rPr>
        <w:t>法定代表人授权书格式</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spacing w:before="240" w:after="240"/>
        <w:ind w:right="0" w:firstLine="0"/>
        <w:jc w:val="center"/>
        <w:rPr>
          <w:rFonts w:ascii="宋体" w:hAnsi="宋体"/>
          <w:b/>
          <w:sz w:val="32"/>
          <w:szCs w:val="32"/>
        </w:rPr>
      </w:pPr>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ind w:left="500" w:right="0" w:hanging="499"/>
        <w:rPr>
          <w:rFonts w:ascii="宋体" w:hAnsi="宋体"/>
        </w:rPr>
      </w:pPr>
      <w:r>
        <w:rPr>
          <w:rFonts w:ascii="宋体" w:hAnsi="宋体"/>
        </w:rPr>
        <w:t>致：南宁轨道交通</w:t>
      </w:r>
      <w:r>
        <w:rPr>
          <w:rFonts w:hint="eastAsia" w:ascii="宋体" w:hAnsi="宋体"/>
        </w:rPr>
        <w:t>运营有限公司</w:t>
      </w:r>
    </w:p>
    <w:p>
      <w:pPr>
        <w:tabs>
          <w:tab w:val="left" w:pos="8364"/>
        </w:tabs>
        <w:snapToGrid w:val="0"/>
        <w:ind w:left="1" w:right="0" w:firstLine="420" w:firstLineChars="20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w:t>
      </w:r>
      <w:r>
        <w:rPr>
          <w:rFonts w:hint="eastAsia" w:ascii="宋体" w:hAnsi="宋体"/>
          <w:color w:val="000000" w:themeColor="text1"/>
          <w:u w:val="single"/>
        </w:rPr>
        <w:t>南宁轨道交通运营有限公司2022年办公家具采购项目(</w:t>
      </w:r>
      <w:r>
        <w:rPr>
          <w:rFonts w:ascii="宋体" w:hAnsi="宋体"/>
          <w:color w:val="000000" w:themeColor="text1"/>
          <w:u w:val="single"/>
        </w:rPr>
        <w:t>项目编号</w:t>
      </w:r>
      <w:r>
        <w:rPr>
          <w:rFonts w:hint="eastAsia" w:ascii="宋体" w:hAnsi="宋体"/>
          <w:color w:val="000000" w:themeColor="text1"/>
          <w:u w:val="single"/>
        </w:rPr>
        <w:t>:</w:t>
      </w:r>
      <w:r>
        <w:rPr>
          <w:rFonts w:hint="eastAsia" w:ascii="宋体" w:hAnsi="宋体"/>
          <w:b w:val="0"/>
          <w:bCs/>
          <w:color w:val="000000" w:themeColor="text1"/>
          <w:sz w:val="21"/>
          <w:szCs w:val="21"/>
          <w:u w:val="single"/>
        </w:rPr>
        <w:t xml:space="preserve">202208260004 </w:t>
      </w:r>
      <w:r>
        <w:rPr>
          <w:rFonts w:hint="eastAsia" w:ascii="宋体" w:hAnsi="宋体"/>
          <w:color w:val="000000" w:themeColor="text1"/>
          <w:u w:val="single"/>
        </w:rPr>
        <w:t>)</w:t>
      </w:r>
      <w:r>
        <w:rPr>
          <w:rFonts w:ascii="宋体" w:hAnsi="宋体"/>
        </w:rPr>
        <w:t>为的项目的货物和服务的比选申请和合同执行，作为比选申请人代表以本公司的名义处理一切与之有关的事宜。</w:t>
      </w:r>
    </w:p>
    <w:p>
      <w:pPr>
        <w:tabs>
          <w:tab w:val="left" w:pos="8364"/>
        </w:tabs>
        <w:snapToGrid w:val="0"/>
        <w:ind w:right="0" w:firstLine="200"/>
        <w:rPr>
          <w:rFonts w:ascii="宋体" w:hAnsi="宋体"/>
        </w:rPr>
      </w:pPr>
      <w:r>
        <w:rPr>
          <w:rFonts w:ascii="宋体" w:hAnsi="宋体"/>
          <w:u w:val="single"/>
        </w:rPr>
        <w:t>本授权书于    年  月  日签字生效</w:t>
      </w:r>
      <w:r>
        <w:rPr>
          <w:rFonts w:ascii="宋体" w:hAnsi="宋体"/>
        </w:rPr>
        <w:t>，特此声明。</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法定代表人签字或盖章：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比选申请人代表（被授权人）签字或盖章：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spacing w:before="0"/>
        <w:ind w:right="0" w:firstLine="135"/>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numPr>
          <w:ilvl w:val="1"/>
          <w:numId w:val="7"/>
        </w:numPr>
        <w:snapToGrid w:val="0"/>
        <w:spacing w:before="0" w:line="240" w:lineRule="auto"/>
        <w:ind w:right="0" w:firstLine="0"/>
        <w:jc w:val="left"/>
        <w:outlineLvl w:val="0"/>
        <w:rPr>
          <w:rFonts w:ascii="宋体" w:hAnsi="宋体"/>
          <w:b/>
        </w:rPr>
      </w:pPr>
      <w:bookmarkStart w:id="1108" w:name="_Toc375564352"/>
      <w:bookmarkStart w:id="1109" w:name="_Toc75276832"/>
      <w:bookmarkStart w:id="1110" w:name="_Toc13634"/>
      <w:bookmarkStart w:id="1111" w:name="_Toc15980"/>
      <w:bookmarkStart w:id="1112" w:name="_Toc7273"/>
      <w:bookmarkStart w:id="1113" w:name="_Toc15572"/>
      <w:bookmarkStart w:id="1114" w:name="_Toc13606"/>
      <w:bookmarkStart w:id="1115" w:name="_Toc12984808"/>
      <w:bookmarkStart w:id="1116" w:name="_Toc31808"/>
      <w:bookmarkStart w:id="1117" w:name="_Toc17964"/>
      <w:bookmarkStart w:id="1118" w:name="_Toc9757"/>
      <w:bookmarkStart w:id="1119" w:name="_Toc492478805"/>
      <w:bookmarkStart w:id="1120" w:name="_Toc13798"/>
      <w:bookmarkStart w:id="1121" w:name="_Toc26713"/>
      <w:bookmarkStart w:id="1122" w:name="_Toc9583"/>
      <w:bookmarkStart w:id="1123" w:name="_Toc414290523"/>
      <w:bookmarkStart w:id="1124" w:name="_Toc25750676"/>
      <w:bookmarkStart w:id="1125" w:name="_Toc24322"/>
      <w:bookmarkStart w:id="1126" w:name="_Toc7753"/>
      <w:bookmarkStart w:id="1127" w:name="_Toc8654"/>
      <w:bookmarkStart w:id="1128" w:name="_Toc27657"/>
      <w:bookmarkStart w:id="1129" w:name="_Toc19744"/>
      <w:bookmarkStart w:id="1130" w:name="_Toc27722"/>
      <w:bookmarkStart w:id="1131" w:name="_Toc20436"/>
      <w:r>
        <w:rPr>
          <w:rFonts w:ascii="宋体" w:hAnsi="宋体"/>
          <w:b/>
        </w:rPr>
        <w:t>法定代表人资格证明书格式</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ind w:right="0" w:firstLine="200"/>
        <w:rPr>
          <w:rFonts w:ascii="宋体"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姓名：性别：年龄：职务：</w:t>
      </w:r>
    </w:p>
    <w:p>
      <w:pPr>
        <w:ind w:right="0" w:firstLine="200"/>
        <w:rPr>
          <w:rFonts w:ascii="宋体" w:hAnsi="宋体"/>
        </w:rPr>
      </w:pPr>
      <w:r>
        <w:rPr>
          <w:rFonts w:ascii="宋体" w:hAnsi="宋体"/>
        </w:rPr>
        <w:t>系的法定代表人。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比选申请人：（盖章）</w:t>
      </w:r>
    </w:p>
    <w:p>
      <w:pPr>
        <w:ind w:right="0" w:firstLine="200"/>
        <w:rPr>
          <w:rFonts w:ascii="宋体" w:hAnsi="宋体"/>
        </w:rPr>
      </w:pPr>
      <w:r>
        <w:rPr>
          <w:rFonts w:ascii="宋体" w:hAnsi="宋体"/>
        </w:rPr>
        <w:t>日期：</w:t>
      </w:r>
      <w:r>
        <w:rPr>
          <w:rFonts w:ascii="宋体" w:hAnsi="宋体"/>
          <w:u w:val="single"/>
        </w:rPr>
        <w:t xml:space="preserve">          年   月   日</w:t>
      </w:r>
    </w:p>
    <w:p>
      <w:pPr>
        <w:rPr>
          <w:rFonts w:ascii="宋体" w:hAnsi="宋体"/>
          <w:b/>
        </w:rPr>
      </w:pPr>
      <w:bookmarkStart w:id="1132" w:name="_Toc12984809"/>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right="0" w:firstLine="0"/>
        <w:jc w:val="left"/>
        <w:outlineLvl w:val="0"/>
        <w:rPr>
          <w:rFonts w:ascii="宋体" w:hAnsi="宋体"/>
          <w:b/>
        </w:rPr>
      </w:pPr>
      <w:bookmarkStart w:id="1133" w:name="_Toc16467"/>
      <w:bookmarkStart w:id="1134" w:name="_Toc25750677"/>
      <w:bookmarkStart w:id="1135" w:name="_Toc6033"/>
      <w:bookmarkStart w:id="1136" w:name="_Toc75276833"/>
      <w:bookmarkStart w:id="1137" w:name="_Toc414290524"/>
      <w:bookmarkStart w:id="1138" w:name="_Toc32062"/>
      <w:bookmarkStart w:id="1139" w:name="_Toc15609"/>
      <w:bookmarkStart w:id="1140" w:name="_Toc21307"/>
      <w:bookmarkStart w:id="1141" w:name="_Toc19721"/>
      <w:bookmarkStart w:id="1142" w:name="_Toc11425"/>
      <w:bookmarkStart w:id="1143" w:name="_Toc492478806"/>
      <w:bookmarkStart w:id="1144" w:name="_Toc1932"/>
      <w:bookmarkStart w:id="1145" w:name="_Toc4894"/>
      <w:bookmarkStart w:id="1146" w:name="_Toc29246"/>
      <w:bookmarkStart w:id="1147" w:name="_Toc15394"/>
      <w:bookmarkStart w:id="1148" w:name="_Toc24848"/>
      <w:bookmarkStart w:id="1149" w:name="_Toc17745"/>
      <w:bookmarkStart w:id="1150" w:name="_Toc7712"/>
      <w:bookmarkStart w:id="1151" w:name="_Toc375564353"/>
      <w:bookmarkStart w:id="1152" w:name="_Toc26097"/>
      <w:bookmarkStart w:id="1153" w:name="_Toc3426"/>
      <w:bookmarkStart w:id="1154" w:name="_Toc26907"/>
      <w:bookmarkStart w:id="1155" w:name="_Toc31448"/>
      <w:r>
        <w:rPr>
          <w:rFonts w:hint="eastAsia" w:ascii="宋体" w:hAnsi="宋体"/>
          <w:b/>
        </w:rPr>
        <w:t xml:space="preserve">A3 </w:t>
      </w:r>
      <w:r>
        <w:rPr>
          <w:rFonts w:ascii="宋体" w:hAnsi="宋体"/>
          <w:b/>
        </w:rPr>
        <w:t>承诺书格式</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spacing w:before="240" w:after="240" w:line="360" w:lineRule="exact"/>
        <w:ind w:right="0" w:firstLine="0"/>
        <w:jc w:val="center"/>
        <w:rPr>
          <w:rFonts w:ascii="宋体" w:hAnsi="宋体"/>
          <w:b/>
          <w:sz w:val="32"/>
          <w:szCs w:val="32"/>
        </w:rPr>
      </w:pPr>
      <w:r>
        <w:rPr>
          <w:rFonts w:ascii="宋体" w:hAnsi="宋体"/>
          <w:b/>
          <w:sz w:val="32"/>
          <w:szCs w:val="32"/>
        </w:rPr>
        <w:t>承诺书</w:t>
      </w:r>
    </w:p>
    <w:p>
      <w:pPr>
        <w:spacing w:before="0" w:after="0" w:afterAutospacing="0"/>
        <w:ind w:left="0" w:right="0" w:firstLine="420" w:firstLineChars="200"/>
        <w:jc w:val="left"/>
        <w:rPr>
          <w:rFonts w:ascii="宋体" w:hAnsi="宋体"/>
        </w:rPr>
      </w:pPr>
      <w:r>
        <w:rPr>
          <w:rFonts w:ascii="宋体" w:hAnsi="宋体"/>
        </w:rPr>
        <w:t>致：</w:t>
      </w:r>
      <w:r>
        <w:rPr>
          <w:rFonts w:ascii="宋体" w:hAnsi="宋体"/>
          <w:u w:val="single"/>
        </w:rPr>
        <w:t>南宁轨道交通</w:t>
      </w:r>
      <w:r>
        <w:rPr>
          <w:rFonts w:hint="eastAsia" w:ascii="宋体" w:hAnsi="宋体"/>
          <w:u w:val="single"/>
        </w:rPr>
        <w:t>运营</w:t>
      </w:r>
      <w:r>
        <w:rPr>
          <w:rFonts w:ascii="宋体" w:hAnsi="宋体"/>
          <w:u w:val="single"/>
        </w:rPr>
        <w:t>有限公司</w:t>
      </w:r>
    </w:p>
    <w:p>
      <w:pPr>
        <w:spacing w:before="0" w:after="0" w:afterAutospacing="0"/>
        <w:ind w:left="0" w:right="0" w:firstLine="420" w:firstLineChars="200"/>
        <w:jc w:val="left"/>
        <w:rPr>
          <w:rFonts w:ascii="宋体" w:hAnsi="宋体"/>
        </w:rPr>
      </w:pPr>
      <w:r>
        <w:rPr>
          <w:rFonts w:ascii="宋体" w:hAnsi="宋体"/>
        </w:rPr>
        <w:t>1、在认真研读南宁轨道交通</w:t>
      </w:r>
      <w:r>
        <w:rPr>
          <w:rFonts w:hint="eastAsia" w:ascii="宋体" w:hAnsi="宋体"/>
        </w:rPr>
        <w:t>运营</w:t>
      </w:r>
      <w:r>
        <w:rPr>
          <w:rFonts w:ascii="宋体" w:hAnsi="宋体"/>
        </w:rPr>
        <w:t>有限公司</w:t>
      </w:r>
      <w:r>
        <w:rPr>
          <w:rFonts w:hint="eastAsia" w:ascii="宋体" w:hAnsi="宋体"/>
        </w:rPr>
        <w:t>的比选文件</w:t>
      </w:r>
      <w:r>
        <w:rPr>
          <w:rFonts w:ascii="宋体" w:hAnsi="宋体"/>
        </w:rPr>
        <w:t>后，我方经慎重考虑，郑重承诺参加</w:t>
      </w:r>
      <w:r>
        <w:rPr>
          <w:rFonts w:hint="eastAsia" w:ascii="宋体" w:hAnsi="宋体"/>
        </w:rPr>
        <w:t>项目的比选申请</w:t>
      </w:r>
      <w:r>
        <w:rPr>
          <w:rFonts w:ascii="宋体" w:hAnsi="宋体"/>
        </w:rPr>
        <w:t>活动。</w:t>
      </w:r>
    </w:p>
    <w:p>
      <w:pPr>
        <w:spacing w:before="0" w:after="0" w:afterAutospacing="0"/>
        <w:ind w:left="0" w:right="0" w:firstLine="420" w:firstLineChars="200"/>
        <w:jc w:val="left"/>
        <w:rPr>
          <w:rFonts w:ascii="宋体" w:hAnsi="宋体"/>
        </w:rPr>
      </w:pPr>
      <w:r>
        <w:rPr>
          <w:rFonts w:ascii="宋体" w:hAnsi="宋体"/>
        </w:rPr>
        <w:t>2、我方按照贵方</w:t>
      </w:r>
      <w:r>
        <w:rPr>
          <w:rFonts w:hint="eastAsia" w:ascii="宋体" w:hAnsi="宋体"/>
        </w:rPr>
        <w:t>比选文件</w:t>
      </w:r>
      <w:r>
        <w:rPr>
          <w:rFonts w:ascii="宋体" w:hAnsi="宋体"/>
        </w:rPr>
        <w:t>要求的内容与格式，已编制完成</w:t>
      </w:r>
      <w:r>
        <w:rPr>
          <w:rFonts w:hint="eastAsia" w:ascii="宋体" w:hAnsi="宋体"/>
        </w:rPr>
        <w:t>比选申请文件</w:t>
      </w:r>
      <w:r>
        <w:rPr>
          <w:rFonts w:ascii="宋体" w:hAnsi="宋体"/>
        </w:rPr>
        <w:t>，现报上。</w:t>
      </w:r>
    </w:p>
    <w:p>
      <w:pPr>
        <w:spacing w:before="0" w:after="0" w:afterAutospacing="0"/>
        <w:ind w:left="0" w:right="0" w:firstLine="420" w:firstLineChars="200"/>
        <w:jc w:val="left"/>
        <w:rPr>
          <w:rFonts w:ascii="宋体" w:hAnsi="宋体"/>
        </w:rPr>
      </w:pPr>
      <w:r>
        <w:rPr>
          <w:rFonts w:hint="eastAsia" w:ascii="宋体" w:hAnsi="宋体"/>
        </w:rPr>
        <w:t>3</w:t>
      </w:r>
      <w:r>
        <w:rPr>
          <w:rFonts w:ascii="宋体" w:hAnsi="宋体"/>
        </w:rPr>
        <w:t>、</w:t>
      </w:r>
      <w:r>
        <w:rPr>
          <w:rFonts w:hint="eastAsia" w:ascii="宋体" w:hAnsi="宋体"/>
        </w:rPr>
        <w:t>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rPr>
      </w:pPr>
      <w:r>
        <w:rPr>
          <w:rFonts w:hint="eastAsia" w:ascii="宋体" w:hAnsi="宋体"/>
        </w:rPr>
        <w:t>4</w:t>
      </w:r>
      <w:r>
        <w:rPr>
          <w:rFonts w:ascii="宋体" w:hAnsi="宋体"/>
        </w:rPr>
        <w:t>、</w:t>
      </w:r>
      <w:r>
        <w:rPr>
          <w:rFonts w:hint="eastAsia" w:ascii="宋体" w:hAnsi="宋体"/>
        </w:rPr>
        <w:t>我方</w:t>
      </w:r>
      <w:r>
        <w:rPr>
          <w:rFonts w:ascii="宋体" w:hAnsi="宋体"/>
        </w:rPr>
        <w:t>郑重承诺：</w:t>
      </w:r>
      <w:r>
        <w:rPr>
          <w:rFonts w:ascii="宋体" w:hAnsi="宋体"/>
          <w:b/>
        </w:rPr>
        <w:t>我方保证</w:t>
      </w:r>
      <w:r>
        <w:rPr>
          <w:rFonts w:hint="eastAsia" w:ascii="宋体" w:hAnsi="宋体"/>
          <w:b/>
        </w:rPr>
        <w:t>没有处于被责令停业，或比选申请资格被住建部、国家安监总局、广西区或南宁市建设行政主管部门取消，或财产被接管、冻结、破产状态</w:t>
      </w:r>
      <w:r>
        <w:rPr>
          <w:rFonts w:ascii="宋体" w:hAnsi="宋体"/>
          <w:b/>
        </w:rPr>
        <w:t>；在</w:t>
      </w:r>
      <w:r>
        <w:rPr>
          <w:rFonts w:hint="eastAsia" w:ascii="宋体" w:hAnsi="宋体"/>
          <w:b/>
        </w:rPr>
        <w:t>比选申请截止时间前</w:t>
      </w:r>
      <w:r>
        <w:rPr>
          <w:rFonts w:ascii="宋体" w:hAnsi="宋体"/>
          <w:b/>
        </w:rPr>
        <w:t>3年内没有骗取中选</w:t>
      </w:r>
      <w:r>
        <w:rPr>
          <w:rFonts w:hint="eastAsia" w:ascii="宋体" w:hAnsi="宋体"/>
          <w:b/>
        </w:rPr>
        <w:t>、严重违约或重大质量安全责任事故。</w:t>
      </w:r>
    </w:p>
    <w:p>
      <w:pPr>
        <w:spacing w:before="0" w:after="0" w:afterAutospacing="0"/>
        <w:ind w:left="0" w:right="0" w:firstLine="420" w:firstLineChars="200"/>
        <w:jc w:val="left"/>
        <w:rPr>
          <w:rFonts w:ascii="宋体" w:hAnsi="宋体"/>
        </w:rPr>
      </w:pPr>
      <w:r>
        <w:rPr>
          <w:rFonts w:hint="eastAsia" w:ascii="宋体" w:hAnsi="宋体"/>
        </w:rPr>
        <w:t>5、如</w:t>
      </w:r>
      <w:r>
        <w:rPr>
          <w:rFonts w:ascii="宋体" w:hAnsi="宋体"/>
        </w:rPr>
        <w:t>果</w:t>
      </w:r>
      <w:r>
        <w:rPr>
          <w:rFonts w:hint="eastAsia" w:ascii="宋体" w:hAnsi="宋体"/>
        </w:rPr>
        <w:t>我公司</w:t>
      </w:r>
      <w:r>
        <w:rPr>
          <w:rFonts w:ascii="宋体" w:hAnsi="宋体"/>
        </w:rPr>
        <w:t>在该项目</w:t>
      </w:r>
      <w:r>
        <w:rPr>
          <w:rFonts w:hint="eastAsia" w:ascii="宋体" w:hAnsi="宋体"/>
        </w:rPr>
        <w:t>报名、</w:t>
      </w:r>
      <w:r>
        <w:rPr>
          <w:rFonts w:ascii="宋体" w:hAnsi="宋体"/>
        </w:rPr>
        <w:t>比选申请过程中或者在中选后，比选人或者有管辖权的行政监管机构发现并查实我公司在所填报的该项目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w:t>
      </w:r>
      <w:r>
        <w:rPr>
          <w:rFonts w:ascii="宋体" w:hAnsi="宋体"/>
        </w:rPr>
        <w:t>比选人或有管辖权的监管机构的处罚；如果我公司已</w:t>
      </w:r>
      <w:r>
        <w:rPr>
          <w:rFonts w:hint="eastAsia" w:ascii="宋体" w:hAnsi="宋体"/>
        </w:rPr>
        <w:t>与比选人签订合同，则视为我公司违约</w:t>
      </w:r>
      <w:r>
        <w:rPr>
          <w:rFonts w:ascii="宋体" w:hAnsi="宋体"/>
        </w:rPr>
        <w:t>；由此造成的任何后果和损失均由我公司承担。本段承诺既是我公司</w:t>
      </w:r>
      <w:r>
        <w:rPr>
          <w:rFonts w:hint="eastAsia" w:ascii="宋体" w:hAnsi="宋体"/>
        </w:rPr>
        <w:t>比选申请文件</w:t>
      </w:r>
      <w:r>
        <w:rPr>
          <w:rFonts w:ascii="宋体" w:hAnsi="宋体"/>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、我方了解：无论</w:t>
      </w:r>
      <w:r>
        <w:rPr>
          <w:rFonts w:hint="eastAsia" w:ascii="宋体" w:hAnsi="宋体"/>
        </w:rPr>
        <w:t>是否中选</w:t>
      </w:r>
      <w:r>
        <w:rPr>
          <w:rFonts w:ascii="宋体" w:hAnsi="宋体"/>
        </w:rPr>
        <w:t>，我方将自行承担与</w:t>
      </w:r>
      <w:r>
        <w:rPr>
          <w:rFonts w:hint="eastAsia" w:ascii="宋体" w:hAnsi="宋体"/>
        </w:rPr>
        <w:t>招比选申请</w:t>
      </w:r>
      <w:r>
        <w:rPr>
          <w:rFonts w:ascii="宋体" w:hAnsi="宋体"/>
        </w:rPr>
        <w:t>活动所需的一切费用。</w:t>
      </w:r>
    </w:p>
    <w:p>
      <w:pPr>
        <w:spacing w:before="0" w:after="0" w:afterAutospacing="0"/>
        <w:ind w:left="0" w:right="0" w:firstLine="420" w:firstLineChars="200"/>
        <w:rPr>
          <w:rFonts w:ascii="宋体" w:hAnsi="宋体"/>
        </w:rPr>
      </w:pPr>
      <w:r>
        <w:rPr>
          <w:rFonts w:hint="eastAsia" w:ascii="宋体" w:hAnsi="宋体"/>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line="240" w:lineRule="auto"/>
        <w:ind w:left="0" w:right="0" w:firstLine="420" w:firstLineChars="200"/>
        <w:rPr>
          <w:rFonts w:ascii="宋体" w:hAnsi="宋体" w:cstheme="minorBidi"/>
        </w:rPr>
      </w:pPr>
      <w:r>
        <w:rPr>
          <w:rFonts w:hint="eastAsia" w:ascii="宋体" w:hAnsi="宋体"/>
        </w:rPr>
        <w:t>8、我方承诺</w:t>
      </w:r>
      <w:r>
        <w:rPr>
          <w:rFonts w:hint="eastAsia" w:ascii="宋体" w:hAnsi="宋体" w:cstheme="minorBidi"/>
        </w:rPr>
        <w:t>在供货时提供省级（含省级）以上相关家具质量监督检验中心检测报告。</w:t>
      </w:r>
    </w:p>
    <w:p>
      <w:pPr>
        <w:spacing w:before="0" w:after="0" w:afterAutospacing="0" w:line="240" w:lineRule="auto"/>
        <w:ind w:left="0" w:right="0" w:firstLine="420" w:firstLineChars="200"/>
        <w:rPr>
          <w:rFonts w:hint="default" w:ascii="宋体" w:hAnsi="宋体" w:eastAsia="宋体" w:cs="Times New Roman"/>
          <w:color w:val="000000" w:themeColor="text1"/>
          <w:lang w:val="en-US" w:eastAsia="zh-CN"/>
        </w:rPr>
      </w:pPr>
      <w:r>
        <w:rPr>
          <w:rStyle w:val="27"/>
          <w:rFonts w:hint="eastAsia" w:ascii="宋体" w:hAnsi="宋体" w:cs="Times New Roman"/>
          <w:color w:val="000000" w:themeColor="text1"/>
          <w:lang w:val="en-US" w:eastAsia="zh-CN"/>
        </w:rPr>
        <w:t>9</w:t>
      </w:r>
      <w:r>
        <w:rPr>
          <w:rFonts w:hint="eastAsia" w:ascii="宋体" w:hAnsi="宋体" w:cs="Times New Roman"/>
          <w:color w:val="000000" w:themeColor="text1"/>
        </w:rPr>
        <w:t>、我方承诺所有货物承重符合比选文件要求及相关行业标准，</w:t>
      </w:r>
      <w:r>
        <w:rPr>
          <w:rFonts w:hint="eastAsia" w:ascii="宋体" w:hAnsi="宋体" w:cs="Times New Roman"/>
          <w:color w:val="000000" w:themeColor="text1"/>
          <w:lang w:eastAsia="zh-CN"/>
        </w:rPr>
        <w:t>以下货物承重要求：</w:t>
      </w:r>
      <w:r>
        <w:rPr>
          <w:rFonts w:hint="eastAsia" w:ascii="宋体" w:hAnsi="宋体" w:cs="Times New Roman"/>
          <w:color w:val="000000" w:themeColor="text1"/>
        </w:rPr>
        <w:t>钢制文件柜每层</w:t>
      </w:r>
      <w:r>
        <w:rPr>
          <w:rFonts w:hint="eastAsia" w:ascii="宋体" w:hAnsi="宋体" w:cs="Times New Roman"/>
          <w:color w:val="000000" w:themeColor="text1"/>
          <w:lang w:eastAsia="zh-CN"/>
        </w:rPr>
        <w:t>≥</w:t>
      </w:r>
      <w:r>
        <w:rPr>
          <w:rFonts w:hint="eastAsia" w:ascii="宋体" w:hAnsi="宋体" w:cs="Times New Roman"/>
          <w:color w:val="000000" w:themeColor="text1"/>
        </w:rPr>
        <w:t>35kg、折叠椅子</w:t>
      </w:r>
      <w:r>
        <w:rPr>
          <w:rFonts w:hint="eastAsia" w:ascii="宋体" w:hAnsi="宋体" w:cs="Times New Roman"/>
          <w:color w:val="000000" w:themeColor="text1"/>
          <w:lang w:eastAsia="zh-CN"/>
        </w:rPr>
        <w:t>≥</w:t>
      </w:r>
      <w:r>
        <w:rPr>
          <w:rFonts w:hint="eastAsia" w:ascii="宋体" w:hAnsi="宋体" w:cs="Times New Roman"/>
          <w:color w:val="000000" w:themeColor="text1"/>
        </w:rPr>
        <w:t>100kg</w:t>
      </w:r>
      <w:r>
        <w:rPr>
          <w:rFonts w:hint="eastAsia" w:ascii="宋体" w:hAnsi="宋体" w:cs="Times New Roman"/>
          <w:color w:val="000000" w:themeColor="text1"/>
          <w:lang w:eastAsia="zh-CN"/>
        </w:rPr>
        <w:t>、</w:t>
      </w:r>
      <w:r>
        <w:rPr>
          <w:rFonts w:hint="eastAsia" w:ascii="宋体" w:hAnsi="宋体" w:cs="Times New Roman"/>
          <w:color w:val="000000" w:themeColor="text1"/>
        </w:rPr>
        <w:t>中层椅子</w:t>
      </w:r>
      <w:r>
        <w:rPr>
          <w:rFonts w:hint="eastAsia" w:ascii="宋体" w:hAnsi="宋体" w:cs="Times New Roman"/>
          <w:color w:val="000000" w:themeColor="text1"/>
          <w:lang w:eastAsia="zh-CN"/>
        </w:rPr>
        <w:t>≥</w:t>
      </w:r>
      <w:r>
        <w:rPr>
          <w:rFonts w:hint="eastAsia" w:ascii="宋体" w:hAnsi="宋体" w:cs="Times New Roman"/>
          <w:color w:val="000000" w:themeColor="text1"/>
          <w:lang w:val="en-US" w:eastAsia="zh-CN"/>
        </w:rPr>
        <w:t>250kg</w:t>
      </w:r>
      <w:r>
        <w:rPr>
          <w:rFonts w:hint="eastAsia" w:ascii="宋体" w:hAnsi="宋体" w:cs="Times New Roman"/>
          <w:color w:val="000000" w:themeColor="text1"/>
          <w:lang w:eastAsia="zh-CN"/>
        </w:rPr>
        <w:t>、职员椅子≥</w:t>
      </w:r>
      <w:r>
        <w:rPr>
          <w:rFonts w:hint="eastAsia" w:ascii="宋体" w:hAnsi="宋体" w:cs="Times New Roman"/>
          <w:color w:val="000000" w:themeColor="text1"/>
          <w:lang w:val="en-US" w:eastAsia="zh-CN"/>
        </w:rPr>
        <w:t>220kg</w:t>
      </w:r>
      <w:r>
        <w:rPr>
          <w:rFonts w:hint="eastAsia" w:ascii="宋体" w:hAnsi="宋体" w:cs="Times New Roman"/>
          <w:color w:val="000000" w:themeColor="text1"/>
          <w:lang w:eastAsia="zh-CN"/>
        </w:rPr>
        <w:t>、工班椅子≥</w:t>
      </w:r>
      <w:r>
        <w:rPr>
          <w:rFonts w:hint="eastAsia" w:ascii="宋体" w:hAnsi="宋体" w:cs="Times New Roman"/>
          <w:color w:val="000000" w:themeColor="text1"/>
          <w:lang w:val="en-US" w:eastAsia="zh-CN"/>
        </w:rPr>
        <w:t>450kg</w:t>
      </w:r>
      <w:r>
        <w:rPr>
          <w:rFonts w:hint="eastAsia" w:ascii="宋体" w:hAnsi="宋体" w:cs="Times New Roman"/>
          <w:color w:val="000000" w:themeColor="text1"/>
          <w:lang w:eastAsia="zh-CN"/>
        </w:rPr>
        <w:t>、调度椅子≥</w:t>
      </w:r>
      <w:r>
        <w:rPr>
          <w:rFonts w:hint="eastAsia" w:ascii="宋体" w:hAnsi="宋体" w:cs="Times New Roman"/>
          <w:color w:val="000000" w:themeColor="text1"/>
          <w:lang w:val="en-US" w:eastAsia="zh-CN"/>
        </w:rPr>
        <w:t>250kg</w:t>
      </w:r>
      <w:r>
        <w:rPr>
          <w:rFonts w:hint="eastAsia" w:ascii="宋体" w:hAnsi="宋体" w:cs="Times New Roman"/>
          <w:color w:val="000000" w:themeColor="text1"/>
          <w:lang w:eastAsia="zh-CN"/>
        </w:rPr>
        <w:t>、培训椅子≥</w:t>
      </w:r>
      <w:r>
        <w:rPr>
          <w:rFonts w:hint="eastAsia" w:ascii="宋体" w:hAnsi="宋体" w:cs="Times New Roman"/>
          <w:color w:val="000000" w:themeColor="text1"/>
          <w:lang w:val="en-US" w:eastAsia="zh-CN"/>
        </w:rPr>
        <w:t>250kg</w:t>
      </w:r>
      <w:r>
        <w:rPr>
          <w:rFonts w:hint="eastAsia" w:ascii="宋体" w:hAnsi="宋体" w:cs="Times New Roman"/>
          <w:color w:val="000000" w:themeColor="text1"/>
          <w:lang w:eastAsia="zh-CN"/>
        </w:rPr>
        <w:t>、长条凳≥</w:t>
      </w:r>
      <w:r>
        <w:rPr>
          <w:rFonts w:hint="eastAsia" w:ascii="宋体" w:hAnsi="宋体" w:cs="Times New Roman"/>
          <w:color w:val="000000" w:themeColor="text1"/>
          <w:lang w:val="en-US" w:eastAsia="zh-CN"/>
        </w:rPr>
        <w:t>500kg</w:t>
      </w:r>
      <w:r>
        <w:rPr>
          <w:rFonts w:hint="eastAsia" w:ascii="宋体" w:hAnsi="宋体" w:cs="Times New Roman"/>
          <w:color w:val="000000" w:themeColor="text1"/>
          <w:lang w:eastAsia="zh-CN"/>
        </w:rPr>
        <w:t>、折叠床≥</w:t>
      </w:r>
      <w:r>
        <w:rPr>
          <w:rFonts w:hint="eastAsia" w:ascii="宋体" w:hAnsi="宋体" w:cs="Times New Roman"/>
          <w:color w:val="000000" w:themeColor="text1"/>
          <w:lang w:val="en-US" w:eastAsia="zh-CN"/>
        </w:rPr>
        <w:t>190kg</w:t>
      </w:r>
      <w:r>
        <w:rPr>
          <w:rFonts w:hint="eastAsia" w:ascii="宋体" w:hAnsi="宋体" w:cs="Times New Roman"/>
          <w:color w:val="000000" w:themeColor="text1"/>
          <w:lang w:eastAsia="zh-CN"/>
        </w:rPr>
        <w:t>、塑料凳≥</w:t>
      </w:r>
      <w:r>
        <w:rPr>
          <w:rFonts w:hint="eastAsia" w:ascii="宋体" w:hAnsi="宋体" w:cs="Times New Roman"/>
          <w:color w:val="000000" w:themeColor="text1"/>
          <w:lang w:val="en-US" w:eastAsia="zh-CN"/>
        </w:rPr>
        <w:t>150kg</w:t>
      </w:r>
      <w:r>
        <w:rPr>
          <w:rFonts w:hint="eastAsia" w:ascii="宋体" w:hAnsi="宋体" w:cs="Times New Roman"/>
          <w:color w:val="000000" w:themeColor="text1"/>
          <w:lang w:eastAsia="zh-CN"/>
        </w:rPr>
        <w:t>、司机公寓床铺≥</w:t>
      </w:r>
      <w:r>
        <w:rPr>
          <w:rFonts w:hint="eastAsia" w:ascii="宋体" w:hAnsi="宋体" w:cs="Times New Roman"/>
          <w:color w:val="000000" w:themeColor="text1"/>
          <w:lang w:val="en-US" w:eastAsia="zh-CN"/>
        </w:rPr>
        <w:t>400kg</w:t>
      </w:r>
      <w:r>
        <w:rPr>
          <w:rFonts w:hint="eastAsia" w:ascii="宋体" w:hAnsi="宋体" w:cs="Times New Roman"/>
          <w:color w:val="000000" w:themeColor="text1"/>
          <w:lang w:eastAsia="zh-CN"/>
        </w:rPr>
        <w:t>、不锈钢长条凳≥</w:t>
      </w:r>
      <w:r>
        <w:rPr>
          <w:rFonts w:hint="eastAsia" w:ascii="宋体" w:hAnsi="宋体" w:cs="Times New Roman"/>
          <w:color w:val="000000" w:themeColor="text1"/>
          <w:lang w:val="en-US" w:eastAsia="zh-CN"/>
        </w:rPr>
        <w:t>420</w:t>
      </w:r>
      <w:r>
        <w:rPr>
          <w:rFonts w:hint="eastAsia" w:ascii="宋体" w:hAnsi="宋体" w:cs="Times New Roman"/>
          <w:color w:val="000000" w:themeColor="text1"/>
          <w:lang w:eastAsia="zh-CN"/>
        </w:rPr>
        <w:t>、铁面凉凳≥</w:t>
      </w:r>
      <w:r>
        <w:rPr>
          <w:rFonts w:hint="eastAsia" w:ascii="宋体" w:hAnsi="宋体" w:cs="Times New Roman"/>
          <w:color w:val="000000" w:themeColor="text1"/>
          <w:lang w:val="en-US" w:eastAsia="zh-CN"/>
        </w:rPr>
        <w:t>250kg</w:t>
      </w:r>
      <w:r>
        <w:rPr>
          <w:rFonts w:hint="eastAsia" w:ascii="宋体" w:hAnsi="宋体" w:cs="Times New Roman"/>
          <w:color w:val="000000" w:themeColor="text1"/>
          <w:lang w:eastAsia="zh-CN"/>
        </w:rPr>
        <w:t>、储物凳≥</w:t>
      </w:r>
      <w:r>
        <w:rPr>
          <w:rFonts w:hint="eastAsia" w:ascii="宋体" w:hAnsi="宋体" w:cs="Times New Roman"/>
          <w:color w:val="000000" w:themeColor="text1"/>
          <w:lang w:val="en-US" w:eastAsia="zh-CN"/>
        </w:rPr>
        <w:t>450kg。</w:t>
      </w:r>
    </w:p>
    <w:p>
      <w:pPr>
        <w:spacing w:before="0" w:after="0" w:afterAutospacing="0" w:line="240" w:lineRule="auto"/>
        <w:ind w:left="0" w:right="0"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pacing w:before="0" w:after="0" w:afterAutospacing="0" w:line="240" w:lineRule="auto"/>
        <w:ind w:left="0" w:right="0" w:firstLine="200"/>
        <w:rPr>
          <w:rFonts w:ascii="宋体" w:hAnsi="宋体"/>
          <w:u w:val="single"/>
        </w:rPr>
      </w:pPr>
      <w:r>
        <w:rPr>
          <w:rFonts w:hint="eastAsia" w:ascii="宋体" w:hAnsi="宋体"/>
        </w:rPr>
        <w:t>比选申请人</w:t>
      </w:r>
      <w:r>
        <w:rPr>
          <w:rFonts w:ascii="宋体" w:hAnsi="宋体"/>
        </w:rPr>
        <w:t>地址：</w:t>
      </w:r>
    </w:p>
    <w:p>
      <w:pPr>
        <w:spacing w:before="0" w:after="0" w:afterAutospacing="0" w:line="240" w:lineRule="auto"/>
        <w:ind w:left="0" w:right="0" w:firstLine="200"/>
        <w:rPr>
          <w:rFonts w:ascii="宋体" w:hAnsi="宋体"/>
        </w:rPr>
      </w:pPr>
      <w:r>
        <w:rPr>
          <w:rFonts w:hint="eastAsia" w:ascii="宋体" w:hAnsi="宋体"/>
        </w:rPr>
        <w:t>比选申请人</w:t>
      </w:r>
      <w:r>
        <w:rPr>
          <w:rFonts w:ascii="宋体" w:hAnsi="宋体"/>
          <w:u w:val="single"/>
        </w:rPr>
        <w:t xml:space="preserve">    (</w:t>
      </w:r>
      <w:r>
        <w:rPr>
          <w:rFonts w:hint="eastAsia" w:ascii="宋体" w:hAnsi="宋体"/>
          <w:u w:val="single"/>
        </w:rPr>
        <w:t>盖单位公章</w:t>
      </w:r>
      <w:r>
        <w:rPr>
          <w:rFonts w:ascii="宋体" w:hAnsi="宋体"/>
          <w:u w:val="single"/>
        </w:rPr>
        <w:t>)</w:t>
      </w:r>
    </w:p>
    <w:p>
      <w:pPr>
        <w:spacing w:before="0" w:after="0" w:afterAutospacing="0" w:line="240" w:lineRule="auto"/>
        <w:ind w:left="0" w:right="0" w:firstLine="200"/>
        <w:rPr>
          <w:rFonts w:ascii="宋体" w:hAnsi="宋体"/>
          <w:u w:val="single"/>
        </w:rPr>
      </w:pPr>
      <w:r>
        <w:rPr>
          <w:rFonts w:ascii="宋体" w:hAnsi="宋体"/>
        </w:rPr>
        <w:t>邮政编码：</w:t>
      </w:r>
    </w:p>
    <w:p>
      <w:pPr>
        <w:spacing w:before="0" w:after="0" w:afterAutospacing="0" w:line="240" w:lineRule="auto"/>
        <w:ind w:left="0" w:right="0" w:firstLine="200"/>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pacing w:before="0" w:after="0" w:afterAutospacing="0" w:line="240" w:lineRule="auto"/>
        <w:ind w:left="0" w:right="0" w:firstLine="200"/>
        <w:rPr>
          <w:rFonts w:ascii="宋体" w:hAnsi="宋体"/>
          <w:u w:val="single"/>
        </w:rPr>
      </w:pPr>
      <w:r>
        <w:rPr>
          <w:rFonts w:ascii="宋体" w:hAnsi="宋体"/>
        </w:rPr>
        <w:t>电话：</w:t>
      </w:r>
      <w:r>
        <w:rPr>
          <w:rFonts w:ascii="宋体" w:hAnsi="宋体"/>
          <w:u w:val="single"/>
        </w:rPr>
        <w:t>　　</w:t>
      </w:r>
    </w:p>
    <w:p>
      <w:pPr>
        <w:spacing w:before="0" w:after="0" w:afterAutospacing="0" w:line="240" w:lineRule="auto"/>
        <w:ind w:left="0" w:right="0" w:firstLine="200"/>
        <w:rPr>
          <w:rFonts w:ascii="宋体" w:hAnsi="宋体"/>
        </w:rPr>
      </w:pPr>
      <w:r>
        <w:rPr>
          <w:rFonts w:ascii="宋体" w:hAnsi="宋体"/>
        </w:rPr>
        <w:t>传真：</w:t>
      </w:r>
      <w:r>
        <w:rPr>
          <w:rFonts w:hint="eastAsia" w:ascii="宋体" w:hAnsi="宋体"/>
        </w:rPr>
        <w:t xml:space="preserve">                         </w:t>
      </w:r>
      <w:r>
        <w:rPr>
          <w:rFonts w:ascii="宋体" w:hAnsi="宋体"/>
        </w:rPr>
        <w:t>日期：</w:t>
      </w:r>
      <w:r>
        <w:rPr>
          <w:rFonts w:hint="eastAsia" w:ascii="宋体" w:hAnsi="宋体"/>
        </w:rPr>
        <w:t xml:space="preserve">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pageBreakBefore/>
        <w:snapToGrid w:val="0"/>
        <w:ind w:right="0" w:firstLine="0"/>
        <w:jc w:val="left"/>
        <w:outlineLvl w:val="0"/>
        <w:rPr>
          <w:rFonts w:ascii="宋体" w:hAnsi="宋体"/>
          <w:b/>
          <w:color w:val="000000" w:themeColor="text1"/>
        </w:rPr>
      </w:pPr>
      <w:bookmarkStart w:id="1156" w:name="_Toc75276834"/>
      <w:bookmarkStart w:id="1157" w:name="_Toc25750678"/>
      <w:r>
        <w:rPr>
          <w:rFonts w:ascii="宋体" w:hAnsi="宋体"/>
          <w:b/>
          <w:color w:val="000000" w:themeColor="text1"/>
        </w:rPr>
        <w:t>A</w:t>
      </w:r>
      <w:r>
        <w:rPr>
          <w:rFonts w:hint="eastAsia" w:ascii="宋体" w:hAnsi="宋体"/>
          <w:b/>
          <w:color w:val="000000" w:themeColor="text1"/>
        </w:rPr>
        <w:t>4  类似项目</w:t>
      </w:r>
      <w:r>
        <w:rPr>
          <w:rFonts w:ascii="宋体" w:hAnsi="宋体"/>
          <w:b/>
          <w:color w:val="000000" w:themeColor="text1"/>
        </w:rPr>
        <w:t>业绩表格式</w:t>
      </w:r>
      <w:bookmarkEnd w:id="1156"/>
      <w:bookmarkEnd w:id="1157"/>
    </w:p>
    <w:p>
      <w:pPr>
        <w:spacing w:before="0"/>
        <w:ind w:right="-57" w:firstLine="0"/>
        <w:jc w:val="center"/>
        <w:rPr>
          <w:rFonts w:ascii="宋体" w:hAnsi="宋体"/>
          <w:b/>
          <w:color w:val="000000" w:themeColor="text1"/>
          <w:spacing w:val="20"/>
        </w:rPr>
      </w:pPr>
      <w:r>
        <w:rPr>
          <w:rFonts w:hint="eastAsia" w:ascii="宋体" w:hAnsi="宋体"/>
          <w:b/>
          <w:color w:val="000000" w:themeColor="text1"/>
          <w:spacing w:val="20"/>
        </w:rPr>
        <w:t>类似项目</w:t>
      </w:r>
      <w:r>
        <w:rPr>
          <w:rFonts w:ascii="宋体" w:hAnsi="宋体"/>
          <w:b/>
          <w:color w:val="000000" w:themeColor="text1"/>
          <w:spacing w:val="20"/>
        </w:rPr>
        <w:t>业绩表</w:t>
      </w:r>
      <w:r>
        <w:rPr>
          <w:rFonts w:hint="eastAsia" w:ascii="宋体" w:hAnsi="宋体"/>
          <w:b/>
          <w:color w:val="000000" w:themeColor="text1"/>
        </w:rPr>
        <w:t>（如有）</w:t>
      </w:r>
    </w:p>
    <w:tbl>
      <w:tblPr>
        <w:tblStyle w:val="26"/>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rPr>
            </w:pPr>
            <w:r>
              <w:rPr>
                <w:rFonts w:hint="eastAsia" w:ascii="宋体" w:hAnsi="宋体"/>
              </w:rPr>
              <w:t>序号</w:t>
            </w:r>
          </w:p>
        </w:tc>
        <w:tc>
          <w:tcPr>
            <w:tcW w:w="1092" w:type="dxa"/>
            <w:tcBorders>
              <w:top w:val="double" w:color="auto" w:sz="4" w:space="0"/>
            </w:tcBorders>
            <w:vAlign w:val="center"/>
          </w:tcPr>
          <w:p>
            <w:pPr>
              <w:ind w:left="0" w:firstLine="0"/>
              <w:jc w:val="center"/>
              <w:rPr>
                <w:rFonts w:ascii="宋体" w:hAnsi="宋体"/>
              </w:rPr>
            </w:pPr>
            <w:r>
              <w:rPr>
                <w:rFonts w:hint="eastAsia" w:ascii="宋体" w:hAnsi="宋体"/>
              </w:rPr>
              <w:t>项目名称</w:t>
            </w:r>
          </w:p>
        </w:tc>
        <w:tc>
          <w:tcPr>
            <w:tcW w:w="1695" w:type="dxa"/>
            <w:tcBorders>
              <w:top w:val="double" w:color="auto" w:sz="4" w:space="0"/>
            </w:tcBorders>
            <w:vAlign w:val="center"/>
          </w:tcPr>
          <w:p>
            <w:pPr>
              <w:ind w:left="0" w:firstLine="0"/>
              <w:jc w:val="center"/>
              <w:rPr>
                <w:rFonts w:ascii="宋体" w:hAnsi="宋体"/>
              </w:rPr>
            </w:pPr>
            <w:r>
              <w:rPr>
                <w:rFonts w:hint="eastAsia" w:ascii="宋体" w:hAnsi="宋体"/>
              </w:rPr>
              <w:t>项目主要采购内容</w:t>
            </w:r>
          </w:p>
        </w:tc>
        <w:tc>
          <w:tcPr>
            <w:tcW w:w="1252" w:type="dxa"/>
            <w:tcBorders>
              <w:top w:val="double" w:color="auto" w:sz="4" w:space="0"/>
            </w:tcBorders>
            <w:vAlign w:val="center"/>
          </w:tcPr>
          <w:p>
            <w:pPr>
              <w:ind w:left="0" w:firstLine="0"/>
              <w:jc w:val="center"/>
              <w:rPr>
                <w:rFonts w:ascii="宋体" w:hAnsi="宋体"/>
              </w:rPr>
            </w:pPr>
            <w:r>
              <w:rPr>
                <w:rFonts w:hint="eastAsia" w:ascii="宋体" w:hAnsi="宋体"/>
              </w:rPr>
              <w:t>合同金额（元）</w:t>
            </w:r>
          </w:p>
        </w:tc>
        <w:tc>
          <w:tcPr>
            <w:tcW w:w="1040" w:type="dxa"/>
            <w:tcBorders>
              <w:top w:val="double" w:color="auto" w:sz="4" w:space="0"/>
            </w:tcBorders>
            <w:vAlign w:val="center"/>
          </w:tcPr>
          <w:p>
            <w:pPr>
              <w:ind w:left="0" w:firstLine="0"/>
              <w:jc w:val="center"/>
              <w:rPr>
                <w:rFonts w:ascii="宋体" w:hAnsi="宋体"/>
              </w:rPr>
            </w:pPr>
            <w:r>
              <w:rPr>
                <w:rFonts w:hint="eastAsia" w:ascii="宋体" w:hAnsi="宋体"/>
              </w:rPr>
              <w:t>签订时间</w:t>
            </w:r>
          </w:p>
        </w:tc>
        <w:tc>
          <w:tcPr>
            <w:tcW w:w="1175" w:type="dxa"/>
            <w:tcBorders>
              <w:top w:val="double" w:color="auto" w:sz="4" w:space="0"/>
            </w:tcBorders>
            <w:vAlign w:val="center"/>
          </w:tcPr>
          <w:p>
            <w:pPr>
              <w:ind w:left="0" w:firstLine="0"/>
              <w:jc w:val="center"/>
              <w:rPr>
                <w:rFonts w:ascii="宋体" w:hAnsi="宋体"/>
              </w:rPr>
            </w:pPr>
            <w:r>
              <w:rPr>
                <w:rFonts w:hint="eastAsia" w:ascii="宋体" w:hAnsi="宋体"/>
              </w:rPr>
              <w:t>供货时间</w:t>
            </w:r>
          </w:p>
        </w:tc>
        <w:tc>
          <w:tcPr>
            <w:tcW w:w="1044" w:type="dxa"/>
            <w:tcBorders>
              <w:top w:val="double" w:color="auto" w:sz="4" w:space="0"/>
            </w:tcBorders>
            <w:vAlign w:val="center"/>
          </w:tcPr>
          <w:p>
            <w:pPr>
              <w:ind w:left="0" w:firstLine="0"/>
              <w:jc w:val="center"/>
              <w:rPr>
                <w:rFonts w:ascii="宋体" w:hAnsi="宋体"/>
              </w:rPr>
            </w:pPr>
            <w:r>
              <w:rPr>
                <w:rFonts w:hint="eastAsia" w:ascii="宋体" w:hAnsi="宋体"/>
              </w:rPr>
              <w:t>业主单位</w:t>
            </w:r>
          </w:p>
        </w:tc>
        <w:tc>
          <w:tcPr>
            <w:tcW w:w="1043" w:type="dxa"/>
            <w:tcBorders>
              <w:top w:val="double" w:color="auto" w:sz="4" w:space="0"/>
            </w:tcBorders>
            <w:vAlign w:val="center"/>
          </w:tcPr>
          <w:p>
            <w:pPr>
              <w:ind w:left="0" w:firstLine="0"/>
              <w:jc w:val="center"/>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rPr>
            </w:pPr>
          </w:p>
        </w:tc>
        <w:tc>
          <w:tcPr>
            <w:tcW w:w="1092" w:type="dxa"/>
          </w:tcPr>
          <w:p>
            <w:pPr>
              <w:ind w:left="0" w:firstLine="0"/>
              <w:rPr>
                <w:rFonts w:ascii="宋体" w:hAnsi="宋体"/>
              </w:rPr>
            </w:pPr>
          </w:p>
        </w:tc>
        <w:tc>
          <w:tcPr>
            <w:tcW w:w="1695" w:type="dxa"/>
          </w:tcPr>
          <w:p>
            <w:pPr>
              <w:ind w:left="0" w:firstLine="0"/>
              <w:rPr>
                <w:rFonts w:ascii="宋体" w:hAnsi="宋体"/>
              </w:rPr>
            </w:pPr>
          </w:p>
        </w:tc>
        <w:tc>
          <w:tcPr>
            <w:tcW w:w="1252" w:type="dxa"/>
          </w:tcPr>
          <w:p>
            <w:pPr>
              <w:ind w:left="0" w:firstLine="0"/>
              <w:rPr>
                <w:rFonts w:ascii="宋体" w:hAnsi="宋体"/>
              </w:rPr>
            </w:pPr>
          </w:p>
        </w:tc>
        <w:tc>
          <w:tcPr>
            <w:tcW w:w="1040" w:type="dxa"/>
          </w:tcPr>
          <w:p>
            <w:pPr>
              <w:ind w:left="0" w:firstLine="0"/>
              <w:rPr>
                <w:rFonts w:ascii="宋体" w:hAnsi="宋体"/>
              </w:rPr>
            </w:pPr>
          </w:p>
        </w:tc>
        <w:tc>
          <w:tcPr>
            <w:tcW w:w="1175" w:type="dxa"/>
          </w:tcPr>
          <w:p>
            <w:pPr>
              <w:ind w:left="0" w:firstLine="0"/>
              <w:rPr>
                <w:rFonts w:ascii="宋体" w:hAnsi="宋体"/>
              </w:rPr>
            </w:pPr>
          </w:p>
        </w:tc>
        <w:tc>
          <w:tcPr>
            <w:tcW w:w="1044" w:type="dxa"/>
          </w:tcPr>
          <w:p>
            <w:pPr>
              <w:ind w:left="0" w:firstLine="0"/>
              <w:rPr>
                <w:rFonts w:ascii="宋体" w:hAnsi="宋体"/>
              </w:rPr>
            </w:pPr>
          </w:p>
        </w:tc>
        <w:tc>
          <w:tcPr>
            <w:tcW w:w="1043" w:type="dxa"/>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left="0" w:right="0" w:firstLine="0"/>
        <w:rPr>
          <w:rFonts w:ascii="宋体" w:hAnsi="宋体"/>
        </w:rPr>
      </w:pPr>
      <w:r>
        <w:rPr>
          <w:rFonts w:ascii="宋体" w:hAnsi="宋体"/>
        </w:rPr>
        <w:t>注：1.</w:t>
      </w:r>
      <w:r>
        <w:rPr>
          <w:rFonts w:hint="eastAsia" w:ascii="宋体" w:hAnsi="宋体"/>
        </w:rPr>
        <w:t>类似项目业绩：</w:t>
      </w:r>
      <w:r>
        <w:rPr>
          <w:rFonts w:hint="eastAsia" w:ascii="宋体" w:hAnsi="宋体"/>
          <w:u w:val="single"/>
        </w:rPr>
        <w:t>（与比选公告描述一致）</w:t>
      </w:r>
      <w:r>
        <w:rPr>
          <w:rFonts w:hint="eastAsia" w:ascii="宋体" w:hAnsi="宋体"/>
        </w:rPr>
        <w:t>。</w:t>
      </w:r>
    </w:p>
    <w:p>
      <w:pPr>
        <w:spacing w:before="0" w:after="0" w:afterAutospacing="0"/>
        <w:ind w:left="0" w:right="0" w:firstLine="0"/>
        <w:rPr>
          <w:rFonts w:ascii="宋体" w:hAnsi="宋体"/>
        </w:rPr>
      </w:pPr>
      <w:r>
        <w:rPr>
          <w:rFonts w:ascii="宋体" w:hAnsi="宋体"/>
        </w:rPr>
        <w:t>2.</w:t>
      </w:r>
      <w:r>
        <w:rPr>
          <w:rFonts w:hint="eastAsia" w:ascii="宋体" w:hAnsi="宋体"/>
        </w:rPr>
        <w:t>项目按照时间顺序排列，时间以合同签订时间为准。</w:t>
      </w:r>
    </w:p>
    <w:p>
      <w:pPr>
        <w:spacing w:before="0" w:after="0" w:afterAutospacing="0"/>
        <w:ind w:left="0" w:right="0" w:firstLine="0"/>
        <w:rPr>
          <w:rFonts w:ascii="宋体" w:hAnsi="宋体"/>
        </w:rPr>
      </w:pPr>
      <w:r>
        <w:rPr>
          <w:rFonts w:ascii="宋体" w:hAnsi="宋体"/>
        </w:rPr>
        <w:t>3.</w:t>
      </w:r>
      <w:r>
        <w:rPr>
          <w:rFonts w:hint="eastAsia" w:ascii="宋体" w:hAnsi="宋体"/>
        </w:rPr>
        <w:t>比选申请人须提供相应的业绩证明材料：提供下述材料之一即可：①合同文件；②业主（采购方）开具的证明材料，但所提供的材料须能明确反映类似项目特征，</w:t>
      </w:r>
      <w:r>
        <w:rPr>
          <w:rFonts w:ascii="宋体" w:hAnsi="宋体"/>
        </w:rPr>
        <w:t>复印件加盖比选申请人公章</w:t>
      </w:r>
      <w:r>
        <w:rPr>
          <w:rFonts w:hint="eastAsia" w:ascii="宋体" w:hAnsi="宋体"/>
        </w:rPr>
        <w:t>。</w:t>
      </w:r>
    </w:p>
    <w:p>
      <w:pPr>
        <w:spacing w:before="0"/>
        <w:ind w:left="479" w:right="-57" w:hanging="17"/>
        <w:rPr>
          <w:rFonts w:ascii="宋体" w:hAnsi="宋体"/>
        </w:rPr>
      </w:pPr>
    </w:p>
    <w:p>
      <w:pPr>
        <w:spacing w:before="0"/>
        <w:ind w:left="479" w:right="-57" w:hanging="17"/>
        <w:rPr>
          <w:rFonts w:ascii="宋体" w:hAnsi="宋体"/>
        </w:rPr>
      </w:pPr>
    </w:p>
    <w:p>
      <w:pPr>
        <w:snapToGrid w:val="0"/>
        <w:spacing w:after="50" w:line="280" w:lineRule="exact"/>
        <w:ind w:left="955" w:right="-817" w:firstLine="2520" w:firstLineChars="1200"/>
        <w:rPr>
          <w:rFonts w:ascii="宋体" w:hAnsi="宋体"/>
          <w:u w:val="single"/>
        </w:rPr>
      </w:pPr>
      <w:r>
        <w:rPr>
          <w:rFonts w:hint="eastAsia" w:ascii="宋体" w:hAnsi="宋体"/>
        </w:rPr>
        <w:t>比选申请人名称（盖章）：</w:t>
      </w:r>
    </w:p>
    <w:p>
      <w:pPr>
        <w:snapToGrid w:val="0"/>
        <w:spacing w:after="50" w:line="280" w:lineRule="exact"/>
        <w:ind w:right="-817" w:firstLine="2625" w:firstLineChars="1250"/>
        <w:rPr>
          <w:rFonts w:ascii="宋体" w:hAnsi="宋体"/>
          <w:u w:val="single"/>
        </w:rPr>
      </w:pPr>
      <w:r>
        <w:rPr>
          <w:rFonts w:hint="eastAsia" w:ascii="宋体" w:hAnsi="宋体"/>
        </w:rPr>
        <w:t xml:space="preserve"> 法定代表人或被授权人（签字或盖章）：</w:t>
      </w:r>
    </w:p>
    <w:p>
      <w:pPr>
        <w:ind w:left="710" w:leftChars="338" w:right="-57" w:firstLine="3234" w:firstLineChars="1540"/>
        <w:jc w:val="left"/>
        <w:rPr>
          <w:rFonts w:ascii="宋体" w:hAnsi="宋体"/>
          <w:u w:val="single"/>
        </w:rPr>
      </w:pPr>
      <w:r>
        <w:rPr>
          <w:rFonts w:hint="eastAsia" w:ascii="宋体" w:hAnsi="宋体"/>
        </w:rPr>
        <w:t>日  期：</w:t>
      </w:r>
      <w:r>
        <w:rPr>
          <w:rFonts w:hint="eastAsia" w:ascii="宋体" w:hAnsi="宋体"/>
          <w:u w:val="single"/>
        </w:rPr>
        <w:t>年</w:t>
      </w:r>
      <w:r>
        <w:rPr>
          <w:rFonts w:hint="eastAsia" w:ascii="宋体" w:hAnsi="宋体"/>
          <w:u w:val="single"/>
          <w:lang w:val="en-US" w:eastAsia="zh-CN"/>
        </w:rPr>
        <w:t xml:space="preserve"> </w:t>
      </w:r>
      <w:r>
        <w:rPr>
          <w:rFonts w:hint="eastAsia" w:ascii="宋体" w:hAnsi="宋体"/>
          <w:u w:val="single"/>
        </w:rPr>
        <w:t>月</w:t>
      </w:r>
      <w:r>
        <w:rPr>
          <w:rFonts w:hint="eastAsia" w:ascii="宋体" w:hAnsi="宋体"/>
          <w:u w:val="single"/>
          <w:lang w:val="en-US" w:eastAsia="zh-CN"/>
        </w:rPr>
        <w:t xml:space="preserve"> </w:t>
      </w:r>
      <w:r>
        <w:rPr>
          <w:rFonts w:hint="eastAsia" w:ascii="宋体" w:hAnsi="宋体"/>
          <w:u w:val="single"/>
        </w:rPr>
        <w:t>日</w:t>
      </w:r>
    </w:p>
    <w:p>
      <w:pPr>
        <w:pStyle w:val="3"/>
        <w:pageBreakBefore/>
        <w:spacing w:after="100"/>
        <w:ind w:left="0" w:right="-57" w:firstLine="0"/>
        <w:jc w:val="center"/>
        <w:rPr>
          <w:rFonts w:ascii="宋体" w:hAnsi="宋体"/>
          <w:sz w:val="24"/>
          <w:szCs w:val="24"/>
        </w:rPr>
      </w:pPr>
      <w:bookmarkStart w:id="1158" w:name="_Toc24971"/>
      <w:bookmarkStart w:id="1159" w:name="_Toc8914"/>
      <w:bookmarkStart w:id="1160" w:name="_Toc28662"/>
      <w:bookmarkStart w:id="1161" w:name="_Toc13328"/>
      <w:bookmarkStart w:id="1162" w:name="_Toc23770"/>
      <w:bookmarkStart w:id="1163" w:name="_Toc12677"/>
      <w:bookmarkStart w:id="1164" w:name="_Toc414290525"/>
      <w:bookmarkStart w:id="1165" w:name="_Toc27820"/>
      <w:bookmarkStart w:id="1166" w:name="_Toc492478807"/>
      <w:bookmarkStart w:id="1167" w:name="_Toc18876"/>
      <w:bookmarkStart w:id="1168" w:name="_Toc14586"/>
      <w:bookmarkStart w:id="1169" w:name="_Toc29358"/>
      <w:bookmarkStart w:id="1170" w:name="_Toc16676"/>
      <w:bookmarkStart w:id="1171" w:name="_Toc11582"/>
      <w:bookmarkStart w:id="1172" w:name="_Toc12983551"/>
      <w:bookmarkStart w:id="1173" w:name="_Toc10812"/>
      <w:bookmarkStart w:id="1174" w:name="_Toc17687"/>
      <w:bookmarkStart w:id="1175" w:name="_Toc8451"/>
      <w:bookmarkStart w:id="1176" w:name="_Toc8874"/>
      <w:bookmarkStart w:id="1177" w:name="_Toc12984811"/>
      <w:bookmarkStart w:id="1178" w:name="_Toc14988"/>
      <w:bookmarkStart w:id="1179" w:name="_Toc75276835"/>
      <w:r>
        <w:rPr>
          <w:rFonts w:ascii="宋体" w:hAnsi="宋体"/>
          <w:sz w:val="24"/>
          <w:szCs w:val="24"/>
        </w:rPr>
        <w:t xml:space="preserve">B </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Fonts w:hint="eastAsia" w:ascii="宋体" w:hAnsi="宋体"/>
          <w:sz w:val="24"/>
          <w:szCs w:val="24"/>
        </w:rPr>
        <w:t>价格文件</w:t>
      </w:r>
      <w:bookmarkEnd w:id="1179"/>
    </w:p>
    <w:p>
      <w:pPr>
        <w:jc w:val="center"/>
        <w:rPr>
          <w:rFonts w:ascii="宋体" w:hAnsi="宋体"/>
          <w:color w:val="000000" w:themeColor="text1"/>
          <w:sz w:val="48"/>
          <w:szCs w:val="48"/>
        </w:rPr>
      </w:pPr>
      <w:r>
        <w:rPr>
          <w:rFonts w:hint="eastAsia" w:ascii="宋体" w:hAnsi="宋体"/>
          <w:color w:val="000000" w:themeColor="text1"/>
          <w:sz w:val="48"/>
          <w:szCs w:val="48"/>
        </w:rPr>
        <w:t>项目比选申请文件</w:t>
      </w:r>
    </w:p>
    <w:p>
      <w:pPr>
        <w:autoSpaceDE w:val="0"/>
        <w:autoSpaceDN w:val="0"/>
        <w:adjustRightInd w:val="0"/>
        <w:jc w:val="center"/>
        <w:rPr>
          <w:rFonts w:ascii="宋体" w:hAnsi="宋体"/>
          <w:color w:val="000000" w:themeColor="text1"/>
          <w:sz w:val="48"/>
          <w:szCs w:val="48"/>
        </w:rPr>
      </w:pPr>
      <w:r>
        <w:rPr>
          <w:rFonts w:hint="eastAsia" w:ascii="宋体" w:hAnsi="宋体"/>
          <w:color w:val="000000" w:themeColor="text1"/>
          <w:sz w:val="48"/>
          <w:szCs w:val="48"/>
        </w:rPr>
        <w:t>价格文件</w:t>
      </w:r>
    </w:p>
    <w:p>
      <w:pPr>
        <w:autoSpaceDE w:val="0"/>
        <w:autoSpaceDN w:val="0"/>
        <w:adjustRightInd w:val="0"/>
        <w:jc w:val="center"/>
        <w:rPr>
          <w:rFonts w:ascii="宋体" w:hAnsi="宋体"/>
          <w:color w:val="000000" w:themeColor="text1"/>
          <w:sz w:val="32"/>
          <w:szCs w:val="32"/>
        </w:rPr>
      </w:pPr>
      <w:r>
        <w:rPr>
          <w:rFonts w:hint="eastAsia" w:ascii="宋体" w:hAnsi="宋体"/>
          <w:color w:val="000000" w:themeColor="text1"/>
          <w:sz w:val="32"/>
          <w:szCs w:val="32"/>
        </w:rPr>
        <w:t>（＊本）</w:t>
      </w:r>
    </w:p>
    <w:p>
      <w:pPr>
        <w:autoSpaceDE w:val="0"/>
        <w:autoSpaceDN w:val="0"/>
        <w:adjustRightInd w:val="0"/>
        <w:jc w:val="left"/>
        <w:rPr>
          <w:rFonts w:ascii="楷体_GB2312" w:eastAsia="楷体_GB2312"/>
          <w:color w:val="000000" w:themeColor="text1"/>
          <w:sz w:val="24"/>
        </w:rPr>
      </w:pPr>
    </w:p>
    <w:p>
      <w:pPr>
        <w:autoSpaceDE w:val="0"/>
        <w:autoSpaceDN w:val="0"/>
        <w:adjustRightInd w:val="0"/>
        <w:jc w:val="left"/>
        <w:rPr>
          <w:rFonts w:ascii="楷体_GB2312" w:eastAsia="楷体_GB2312"/>
          <w:color w:val="000000" w:themeColor="text1"/>
          <w:sz w:val="24"/>
        </w:rPr>
      </w:pPr>
    </w:p>
    <w:p>
      <w:pPr>
        <w:autoSpaceDE w:val="0"/>
        <w:autoSpaceDN w:val="0"/>
        <w:adjustRightInd w:val="0"/>
        <w:ind w:left="0" w:firstLine="0"/>
        <w:jc w:val="left"/>
        <w:rPr>
          <w:rFonts w:ascii="楷体_GB2312" w:eastAsia="楷体_GB2312"/>
          <w:color w:val="000000" w:themeColor="text1"/>
          <w:sz w:val="24"/>
        </w:rPr>
      </w:pPr>
    </w:p>
    <w:p>
      <w:pPr>
        <w:autoSpaceDE w:val="0"/>
        <w:autoSpaceDN w:val="0"/>
        <w:adjustRightInd w:val="0"/>
        <w:jc w:val="left"/>
        <w:rPr>
          <w:rFonts w:ascii="楷体_GB2312" w:eastAsia="楷体_GB2312"/>
          <w:color w:val="000000" w:themeColor="text1"/>
          <w:sz w:val="24"/>
        </w:rPr>
      </w:pP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比选申请人：（ 加盖单位公章）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法定代表人或授权委托代理人：（签字或盖章）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电话/传真：</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地址：</w:t>
      </w:r>
    </w:p>
    <w:p>
      <w:pPr>
        <w:autoSpaceDE w:val="0"/>
        <w:autoSpaceDN w:val="0"/>
        <w:adjustRightInd w:val="0"/>
        <w:rPr>
          <w:rFonts w:ascii="宋体" w:hAnsi="宋体"/>
          <w:color w:val="000000" w:themeColor="text1"/>
          <w:sz w:val="28"/>
          <w:szCs w:val="28"/>
        </w:rPr>
      </w:pPr>
    </w:p>
    <w:p>
      <w:pPr>
        <w:autoSpaceDE w:val="0"/>
        <w:autoSpaceDN w:val="0"/>
        <w:adjustRightInd w:val="0"/>
        <w:jc w:val="right"/>
        <w:rPr>
          <w:rFonts w:ascii="宋体" w:hAnsi="宋体"/>
          <w:color w:val="000000" w:themeColor="text1"/>
          <w:sz w:val="28"/>
          <w:szCs w:val="28"/>
        </w:rPr>
      </w:pPr>
    </w:p>
    <w:p/>
    <w:p/>
    <w:p/>
    <w:p>
      <w:pPr>
        <w:spacing w:before="0" w:after="0" w:afterAutospacing="0"/>
        <w:ind w:left="0" w:right="0" w:firstLine="422" w:firstLineChars="200"/>
        <w:jc w:val="left"/>
        <w:rPr>
          <w:rFonts w:ascii="宋体" w:hAnsi="宋体"/>
          <w:b/>
        </w:rPr>
      </w:pPr>
      <w:r>
        <w:rPr>
          <w:rFonts w:hint="eastAsia" w:ascii="宋体" w:hAnsi="宋体"/>
          <w:b/>
        </w:rPr>
        <w:t>价格文件格式</w:t>
      </w:r>
    </w:p>
    <w:p>
      <w:pPr>
        <w:spacing w:before="0" w:after="0" w:afterAutospacing="0" w:line="276" w:lineRule="auto"/>
        <w:ind w:left="0" w:right="0" w:firstLine="420" w:firstLineChars="200"/>
      </w:pPr>
      <w:r>
        <w:rPr>
          <w:rFonts w:hint="eastAsia"/>
        </w:rPr>
        <w:t>（</w:t>
      </w:r>
      <w:r>
        <w:t>1</w:t>
      </w:r>
      <w:r>
        <w:rPr>
          <w:rFonts w:hint="eastAsia"/>
        </w:rPr>
        <w:t>）比选申请报价一览表（格式见B1）；</w:t>
      </w:r>
    </w:p>
    <w:p>
      <w:pPr>
        <w:spacing w:before="0" w:after="0" w:afterAutospacing="0" w:line="276" w:lineRule="auto"/>
        <w:ind w:left="0" w:right="0" w:firstLine="420" w:firstLineChars="200"/>
      </w:pPr>
      <w:r>
        <w:rPr>
          <w:rFonts w:hint="eastAsia"/>
        </w:rPr>
        <w:t>（</w:t>
      </w:r>
      <w:r>
        <w:t>2</w:t>
      </w:r>
      <w:r>
        <w:rPr>
          <w:rFonts w:hint="eastAsia"/>
        </w:rPr>
        <w:t>）比选申请函（格式见B2）；</w:t>
      </w:r>
    </w:p>
    <w:p>
      <w:pPr>
        <w:spacing w:before="0" w:after="0" w:afterAutospacing="0" w:line="276" w:lineRule="auto"/>
        <w:ind w:left="0" w:right="0" w:firstLine="420" w:firstLineChars="200"/>
      </w:pPr>
      <w:r>
        <w:rPr>
          <w:rFonts w:hint="eastAsia"/>
        </w:rPr>
        <w:t>（</w:t>
      </w:r>
      <w:r>
        <w:t>3</w:t>
      </w:r>
      <w:r>
        <w:rPr>
          <w:rFonts w:hint="eastAsia"/>
        </w:rPr>
        <w:t>）比选申请报价表（格式见B3）；</w:t>
      </w:r>
    </w:p>
    <w:p>
      <w:pPr>
        <w:spacing w:before="0" w:after="0" w:afterAutospacing="0"/>
        <w:ind w:left="0" w:right="0" w:firstLine="420" w:firstLineChars="200"/>
        <w:rPr>
          <w:rFonts w:ascii="宋体" w:hAnsi="宋体" w:cs="Arial"/>
          <w:color w:val="000000" w:themeColor="text1"/>
        </w:rPr>
      </w:pPr>
      <w:r>
        <w:rPr>
          <w:rFonts w:hint="eastAsia"/>
          <w:color w:val="000000" w:themeColor="text1"/>
        </w:rPr>
        <w:t>（4）比选申请人认为应提交的其他比选申请资料（如有）。</w:t>
      </w:r>
    </w:p>
    <w:p>
      <w:pPr>
        <w:pStyle w:val="4"/>
        <w:tabs>
          <w:tab w:val="left" w:pos="567"/>
          <w:tab w:val="left" w:pos="720"/>
        </w:tabs>
        <w:snapToGrid w:val="0"/>
        <w:spacing w:after="0" w:line="360" w:lineRule="auto"/>
        <w:ind w:right="-57" w:firstLine="0"/>
        <w:jc w:val="left"/>
        <w:rPr>
          <w:rFonts w:ascii="宋体" w:hAnsi="宋体" w:eastAsia="宋体"/>
          <w:sz w:val="21"/>
          <w:szCs w:val="21"/>
        </w:rPr>
      </w:pPr>
      <w:r>
        <w:rPr>
          <w:rFonts w:ascii="宋体" w:hAnsi="宋体" w:eastAsia="宋体"/>
        </w:rPr>
        <w:br w:type="page"/>
      </w:r>
      <w:bookmarkStart w:id="1180" w:name="_Toc13980"/>
      <w:bookmarkStart w:id="1181" w:name="_Toc29688"/>
      <w:bookmarkStart w:id="1182" w:name="_Toc12983552"/>
      <w:bookmarkStart w:id="1183" w:name="_Toc9560"/>
      <w:bookmarkStart w:id="1184" w:name="_Toc18516"/>
      <w:bookmarkStart w:id="1185" w:name="_Toc12951"/>
      <w:bookmarkStart w:id="1186" w:name="_Toc75276836"/>
      <w:bookmarkStart w:id="1187" w:name="_Toc25750680"/>
      <w:bookmarkStart w:id="1188" w:name="_Toc7004"/>
      <w:bookmarkStart w:id="1189" w:name="_Toc25419"/>
      <w:bookmarkStart w:id="1190" w:name="_Toc9861"/>
      <w:bookmarkStart w:id="1191" w:name="_Toc1158"/>
      <w:bookmarkStart w:id="1192" w:name="_Toc24326"/>
      <w:bookmarkStart w:id="1193" w:name="_Toc10991"/>
      <w:bookmarkStart w:id="1194" w:name="_Toc12984812"/>
      <w:bookmarkStart w:id="1195" w:name="_Toc18340"/>
      <w:bookmarkStart w:id="1196" w:name="_Toc414290526"/>
      <w:bookmarkStart w:id="1197" w:name="_Toc375564355"/>
      <w:bookmarkStart w:id="1198" w:name="_Toc16489"/>
      <w:bookmarkStart w:id="1199" w:name="_Toc492478808"/>
      <w:bookmarkStart w:id="1200" w:name="_Toc24487"/>
      <w:bookmarkStart w:id="1201" w:name="_Toc23615"/>
      <w:bookmarkStart w:id="1202" w:name="_Toc6992"/>
      <w:bookmarkStart w:id="1203" w:name="_Toc29231"/>
      <w:bookmarkStart w:id="1204" w:name="_Toc27610"/>
      <w:r>
        <w:rPr>
          <w:rFonts w:ascii="宋体" w:hAnsi="宋体" w:eastAsia="宋体"/>
          <w:sz w:val="21"/>
          <w:szCs w:val="21"/>
        </w:rPr>
        <w:t>B1比选申请报价一览表</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snapToGrid w:val="0"/>
        <w:spacing w:after="50"/>
        <w:ind w:right="-57" w:firstLine="0"/>
        <w:jc w:val="center"/>
        <w:rPr>
          <w:rFonts w:ascii="宋体" w:hAnsi="宋体"/>
          <w:b/>
          <w:sz w:val="24"/>
          <w:szCs w:val="24"/>
        </w:rPr>
      </w:pPr>
      <w:r>
        <w:rPr>
          <w:rFonts w:hint="eastAsia" w:ascii="宋体" w:hAnsi="宋体"/>
          <w:b/>
          <w:sz w:val="24"/>
          <w:szCs w:val="24"/>
        </w:rPr>
        <w:t>比选申请报价一览表</w:t>
      </w:r>
    </w:p>
    <w:p>
      <w:pPr>
        <w:widowControl w:val="0"/>
        <w:snapToGrid w:val="0"/>
        <w:spacing w:before="0" w:after="0" w:afterAutospacing="0"/>
        <w:ind w:left="0" w:right="-57" w:rightChars="-27" w:firstLine="0"/>
        <w:rPr>
          <w:rFonts w:ascii="宋体" w:hAnsi="宋体"/>
          <w:color w:val="000000" w:themeColor="text1"/>
          <w:kern w:val="2"/>
          <w:u w:val="single"/>
        </w:rPr>
      </w:pPr>
      <w:r>
        <w:rPr>
          <w:rFonts w:hint="eastAsia" w:ascii="宋体" w:hAnsi="宋体"/>
          <w:kern w:val="2"/>
        </w:rPr>
        <w:t>项目名称：</w:t>
      </w:r>
      <w:r>
        <w:rPr>
          <w:rFonts w:hint="eastAsia" w:ascii="宋体" w:hAnsi="宋体"/>
          <w:color w:val="000000" w:themeColor="text1"/>
          <w:kern w:val="2"/>
        </w:rPr>
        <w:t>南宁轨道交通运营有限公司2022年办公家具采购项目</w:t>
      </w:r>
    </w:p>
    <w:p>
      <w:pPr>
        <w:widowControl w:val="0"/>
        <w:snapToGrid w:val="0"/>
        <w:spacing w:before="0" w:after="0" w:afterAutospacing="0"/>
        <w:ind w:left="0" w:right="-57" w:rightChars="-27" w:firstLine="0"/>
        <w:rPr>
          <w:rFonts w:ascii="宋体" w:hAnsi="宋体"/>
          <w:color w:val="FF0000"/>
          <w:kern w:val="2"/>
        </w:rPr>
      </w:pPr>
      <w:r>
        <w:rPr>
          <w:rFonts w:hint="eastAsia" w:ascii="宋体" w:hAnsi="宋体"/>
          <w:kern w:val="2"/>
        </w:rPr>
        <w:t xml:space="preserve">项目编号：202208260004   </w:t>
      </w:r>
    </w:p>
    <w:p>
      <w:pPr>
        <w:widowControl w:val="0"/>
        <w:snapToGrid w:val="0"/>
        <w:spacing w:before="0" w:after="0" w:afterAutospacing="0"/>
        <w:ind w:right="-57" w:rightChars="-27"/>
        <w:rPr>
          <w:rFonts w:ascii="宋体" w:hAnsi="宋体"/>
          <w:kern w:val="2"/>
        </w:rPr>
      </w:pPr>
      <w:r>
        <w:rPr>
          <w:rFonts w:hint="eastAsia" w:ascii="宋体" w:hAnsi="宋体"/>
          <w:kern w:val="2"/>
        </w:rPr>
        <w:t>比选申请人名称：                   单位：元</w:t>
      </w:r>
    </w:p>
    <w:tbl>
      <w:tblPr>
        <w:tblStyle w:val="26"/>
        <w:tblW w:w="6840" w:type="dxa"/>
        <w:tblInd w:w="91" w:type="dxa"/>
        <w:tblLayout w:type="autofit"/>
        <w:tblCellMar>
          <w:top w:w="0" w:type="dxa"/>
          <w:left w:w="108" w:type="dxa"/>
          <w:bottom w:w="0" w:type="dxa"/>
          <w:right w:w="108" w:type="dxa"/>
        </w:tblCellMar>
      </w:tblPr>
      <w:tblGrid>
        <w:gridCol w:w="1554"/>
        <w:gridCol w:w="1300"/>
        <w:gridCol w:w="2506"/>
        <w:gridCol w:w="1480"/>
      </w:tblGrid>
      <w:tr>
        <w:tblPrEx>
          <w:tblCellMar>
            <w:top w:w="0" w:type="dxa"/>
            <w:left w:w="108" w:type="dxa"/>
            <w:bottom w:w="0" w:type="dxa"/>
            <w:right w:w="108" w:type="dxa"/>
          </w:tblCellMar>
        </w:tblPrEx>
        <w:trPr>
          <w:trHeight w:val="645" w:hRule="atLeast"/>
        </w:trPr>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比选申请报价</w:t>
            </w:r>
          </w:p>
        </w:tc>
        <w:tc>
          <w:tcPr>
            <w:tcW w:w="378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不含增值税价格</w:t>
            </w:r>
          </w:p>
        </w:tc>
        <w:tc>
          <w:tcPr>
            <w:tcW w:w="148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b/>
                <w:bCs/>
                <w:color w:val="000000"/>
                <w:sz w:val="20"/>
                <w:szCs w:val="20"/>
              </w:rPr>
              <w:t>增值税税率</w:t>
            </w:r>
          </w:p>
        </w:tc>
      </w:tr>
      <w:tr>
        <w:tblPrEx>
          <w:tblCellMar>
            <w:top w:w="0" w:type="dxa"/>
            <w:left w:w="108" w:type="dxa"/>
            <w:bottom w:w="0" w:type="dxa"/>
            <w:right w:w="108" w:type="dxa"/>
          </w:tblCellMar>
        </w:tblPrEx>
        <w:trPr>
          <w:trHeight w:val="285" w:hRule="atLeast"/>
        </w:trPr>
        <w:tc>
          <w:tcPr>
            <w:tcW w:w="15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0"/>
                <w:szCs w:val="20"/>
              </w:rPr>
            </w:pPr>
          </w:p>
        </w:tc>
        <w:tc>
          <w:tcPr>
            <w:tcW w:w="116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b/>
                <w:bCs/>
                <w:color w:val="000000"/>
                <w:sz w:val="20"/>
                <w:szCs w:val="20"/>
              </w:rPr>
              <w:t>小写：</w:t>
            </w:r>
          </w:p>
        </w:tc>
        <w:tc>
          <w:tcPr>
            <w:tcW w:w="26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c>
          <w:tcPr>
            <w:tcW w:w="1480" w:type="dxa"/>
            <w:vMerge w:val="restart"/>
            <w:tcBorders>
              <w:top w:val="nil"/>
              <w:left w:val="nil"/>
              <w:right w:val="single" w:color="auto" w:sz="4" w:space="0"/>
            </w:tcBorders>
            <w:shd w:val="clear" w:color="auto" w:fill="auto"/>
            <w:noWrap/>
            <w:vAlign w:val="center"/>
          </w:tcPr>
          <w:p>
            <w:pPr>
              <w:jc w:val="center"/>
              <w:rPr>
                <w:rFonts w:ascii="宋体" w:hAnsi="宋体" w:cs="宋体"/>
                <w:b/>
                <w:bCs/>
                <w:color w:val="000000"/>
                <w:sz w:val="20"/>
                <w:szCs w:val="20"/>
              </w:rPr>
            </w:pPr>
          </w:p>
        </w:tc>
      </w:tr>
      <w:tr>
        <w:tblPrEx>
          <w:tblCellMar>
            <w:top w:w="0" w:type="dxa"/>
            <w:left w:w="108" w:type="dxa"/>
            <w:bottom w:w="0" w:type="dxa"/>
            <w:right w:w="108" w:type="dxa"/>
          </w:tblCellMar>
        </w:tblPrEx>
        <w:trPr>
          <w:trHeight w:val="270" w:hRule="atLeast"/>
        </w:trPr>
        <w:tc>
          <w:tcPr>
            <w:tcW w:w="15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0"/>
                <w:szCs w:val="20"/>
              </w:rPr>
            </w:pPr>
          </w:p>
        </w:tc>
        <w:tc>
          <w:tcPr>
            <w:tcW w:w="1163"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大写：</w:t>
            </w:r>
          </w:p>
        </w:tc>
        <w:tc>
          <w:tcPr>
            <w:tcW w:w="26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c>
          <w:tcPr>
            <w:tcW w:w="1480" w:type="dxa"/>
            <w:vMerge w:val="continue"/>
            <w:tcBorders>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p>
        </w:tc>
      </w:tr>
      <w:tr>
        <w:tblPrEx>
          <w:tblCellMar>
            <w:top w:w="0" w:type="dxa"/>
            <w:left w:w="108" w:type="dxa"/>
            <w:bottom w:w="0" w:type="dxa"/>
            <w:right w:w="108" w:type="dxa"/>
          </w:tblCellMar>
        </w:tblPrEx>
        <w:trPr>
          <w:trHeight w:val="495" w:hRule="atLeast"/>
        </w:trPr>
        <w:tc>
          <w:tcPr>
            <w:tcW w:w="157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交货期</w:t>
            </w:r>
          </w:p>
        </w:tc>
        <w:tc>
          <w:tcPr>
            <w:tcW w:w="378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b/>
                <w:bCs/>
                <w:color w:val="000000"/>
                <w:sz w:val="20"/>
                <w:szCs w:val="20"/>
              </w:rPr>
              <w:t>　</w:t>
            </w:r>
          </w:p>
        </w:tc>
      </w:tr>
    </w:tbl>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w:t>
      </w:r>
      <w:r>
        <w:rPr>
          <w:rFonts w:hint="eastAsia" w:ascii="宋体" w:hAnsi="宋体"/>
        </w:rPr>
        <w:t>比选申请报价应包括货物价款、包装、运输、装卸、计量检定报告</w:t>
      </w:r>
      <w:r>
        <w:rPr>
          <w:rFonts w:ascii="宋体" w:hAnsi="宋体"/>
        </w:rPr>
        <w:t>/</w:t>
      </w:r>
      <w:r>
        <w:rPr>
          <w:rFonts w:hint="eastAsia" w:ascii="宋体" w:hAnsi="宋体"/>
        </w:rPr>
        <w:t>校准报告检测费、质量保证期服务、培训、人工工资、管理费、利润、保险等一切履行合同标的全过程产生的所有费用（不含增值税）。</w:t>
      </w:r>
    </w:p>
    <w:p>
      <w:pPr>
        <w:ind w:right="-57" w:firstLine="420"/>
        <w:rPr>
          <w:rFonts w:ascii="宋体" w:hAnsi="宋体"/>
          <w:sz w:val="24"/>
          <w:szCs w:val="24"/>
        </w:rPr>
      </w:pPr>
    </w:p>
    <w:p>
      <w:pPr>
        <w:snapToGrid w:val="0"/>
        <w:spacing w:after="50" w:line="280" w:lineRule="exact"/>
        <w:ind w:left="953" w:right="-817" w:firstLine="1443"/>
        <w:rPr>
          <w:rFonts w:ascii="宋体" w:hAnsi="宋体"/>
        </w:rPr>
      </w:pPr>
    </w:p>
    <w:p>
      <w:pPr>
        <w:snapToGrid w:val="0"/>
        <w:spacing w:after="50" w:line="280" w:lineRule="exact"/>
        <w:ind w:left="955" w:right="-817" w:firstLine="2625" w:firstLineChars="1250"/>
        <w:rPr>
          <w:rFonts w:ascii="宋体" w:hAnsi="宋体"/>
          <w:u w:val="single"/>
        </w:rPr>
      </w:pPr>
      <w:r>
        <w:rPr>
          <w:rFonts w:hint="eastAsia" w:ascii="宋体" w:hAnsi="宋体"/>
        </w:rPr>
        <w:t>比选申请人名称（盖章）：</w:t>
      </w:r>
    </w:p>
    <w:p>
      <w:pPr>
        <w:snapToGrid w:val="0"/>
        <w:spacing w:after="50" w:line="280" w:lineRule="exact"/>
        <w:ind w:left="707" w:right="-817" w:firstLine="2835" w:firstLineChars="1350"/>
        <w:rPr>
          <w:rFonts w:ascii="宋体" w:hAnsi="宋体"/>
          <w:u w:val="single"/>
        </w:rPr>
      </w:pPr>
      <w:r>
        <w:rPr>
          <w:rFonts w:hint="eastAsia" w:ascii="宋体" w:hAnsi="宋体"/>
        </w:rPr>
        <w:t>法定代表人或被授权人（签字或盖章）：</w:t>
      </w:r>
    </w:p>
    <w:p>
      <w:pPr>
        <w:spacing w:before="0"/>
        <w:ind w:right="-57" w:firstLine="0"/>
        <w:jc w:val="center"/>
        <w:rPr>
          <w:rFonts w:ascii="宋体" w:hAnsi="宋体"/>
        </w:rPr>
      </w:pPr>
      <w:r>
        <w:rPr>
          <w:rFonts w:hint="eastAsia" w:ascii="宋体" w:hAnsi="宋体"/>
        </w:rPr>
        <w:t xml:space="preserve">日  期： </w:t>
      </w:r>
      <w:r>
        <w:rPr>
          <w:rFonts w:ascii="宋体" w:hAnsi="宋体"/>
        </w:rPr>
        <w:t xml:space="preserve">   </w:t>
      </w:r>
      <w:r>
        <w:rPr>
          <w:rFonts w:hint="eastAsia" w:ascii="宋体" w:hAnsi="宋体"/>
          <w:u w:val="single"/>
        </w:rPr>
        <w:t xml:space="preserve">年 </w:t>
      </w:r>
      <w:r>
        <w:rPr>
          <w:rFonts w:ascii="宋体" w:hAnsi="宋体"/>
          <w:u w:val="single"/>
        </w:rPr>
        <w:t xml:space="preserve"> </w:t>
      </w:r>
      <w:r>
        <w:rPr>
          <w:rFonts w:hint="eastAsia" w:ascii="宋体" w:hAnsi="宋体"/>
          <w:u w:val="single"/>
        </w:rPr>
        <w:t xml:space="preserve">月 </w:t>
      </w:r>
      <w:r>
        <w:rPr>
          <w:rFonts w:ascii="宋体" w:hAnsi="宋体"/>
          <w:u w:val="single"/>
        </w:rPr>
        <w:t xml:space="preserve"> </w:t>
      </w:r>
      <w:r>
        <w:rPr>
          <w:rFonts w:hint="eastAsia" w:ascii="宋体" w:hAnsi="宋体"/>
          <w:u w:val="single"/>
        </w:rPr>
        <w:t>日</w:t>
      </w:r>
    </w:p>
    <w:p>
      <w:pPr>
        <w:pStyle w:val="4"/>
        <w:tabs>
          <w:tab w:val="left" w:pos="567"/>
          <w:tab w:val="left" w:pos="720"/>
        </w:tabs>
        <w:snapToGrid w:val="0"/>
        <w:spacing w:after="0" w:line="360" w:lineRule="auto"/>
        <w:ind w:right="0" w:firstLine="0"/>
        <w:jc w:val="left"/>
        <w:rPr>
          <w:rFonts w:ascii="宋体" w:hAnsi="宋体" w:eastAsia="宋体" w:cs="Arial"/>
        </w:rPr>
      </w:pPr>
      <w:r>
        <w:rPr>
          <w:rFonts w:ascii="宋体" w:hAnsi="宋体" w:eastAsia="宋体"/>
        </w:rPr>
        <w:br w:type="page"/>
      </w:r>
      <w:bookmarkStart w:id="1205" w:name="_Toc68859063"/>
      <w:bookmarkStart w:id="1206" w:name="_Toc58124833"/>
      <w:bookmarkStart w:id="1207" w:name="_Toc61680485"/>
      <w:bookmarkStart w:id="1208" w:name="_Toc110413986"/>
      <w:bookmarkStart w:id="1209" w:name="_Toc32224"/>
      <w:bookmarkStart w:id="1210" w:name="_Toc6833"/>
      <w:bookmarkStart w:id="1211" w:name="_Toc75276837"/>
      <w:bookmarkStart w:id="1212" w:name="_Toc25750681"/>
      <w:bookmarkStart w:id="1213" w:name="_Toc375564356"/>
      <w:bookmarkStart w:id="1214" w:name="_Toc4976"/>
      <w:bookmarkStart w:id="1215" w:name="_Toc2257"/>
      <w:bookmarkStart w:id="1216" w:name="_Toc414290527"/>
      <w:bookmarkStart w:id="1217" w:name="_Toc29702"/>
      <w:bookmarkStart w:id="1218" w:name="_Toc14503"/>
      <w:bookmarkStart w:id="1219" w:name="_Toc20737"/>
      <w:bookmarkStart w:id="1220" w:name="_Toc12984813"/>
      <w:bookmarkStart w:id="1221" w:name="_Toc8713"/>
      <w:bookmarkStart w:id="1222" w:name="_Toc6270"/>
      <w:bookmarkStart w:id="1223" w:name="_Toc492478809"/>
      <w:bookmarkStart w:id="1224" w:name="_Toc2585"/>
      <w:bookmarkStart w:id="1225" w:name="_Toc17112"/>
      <w:bookmarkStart w:id="1226" w:name="_Toc10260"/>
      <w:bookmarkStart w:id="1227" w:name="_Toc21109"/>
      <w:bookmarkStart w:id="1228" w:name="_Toc14859"/>
      <w:bookmarkStart w:id="1229" w:name="_Toc25869"/>
      <w:bookmarkStart w:id="1230" w:name="_Toc11065"/>
      <w:bookmarkStart w:id="1231" w:name="_Toc12983553"/>
      <w:bookmarkStart w:id="1232" w:name="_Toc241920153"/>
      <w:bookmarkStart w:id="1233" w:name="_Toc15419"/>
      <w:bookmarkStart w:id="1234" w:name="_Toc20864"/>
      <w:r>
        <w:rPr>
          <w:rFonts w:ascii="宋体" w:hAnsi="宋体" w:eastAsia="宋体"/>
          <w:sz w:val="21"/>
          <w:szCs w:val="21"/>
        </w:rPr>
        <w:t>B2比选申请</w:t>
      </w:r>
      <w:bookmarkEnd w:id="1205"/>
      <w:bookmarkEnd w:id="1206"/>
      <w:bookmarkEnd w:id="1207"/>
      <w:bookmarkEnd w:id="1208"/>
      <w:r>
        <w:rPr>
          <w:rFonts w:ascii="宋体" w:hAnsi="宋体" w:eastAsia="宋体"/>
          <w:sz w:val="21"/>
          <w:szCs w:val="21"/>
        </w:rPr>
        <w:t>函格式</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spacing w:before="0" w:after="0" w:afterAutospacing="0"/>
        <w:ind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致：南宁轨道交通</w:t>
      </w:r>
      <w:r>
        <w:rPr>
          <w:rFonts w:hint="eastAsia" w:ascii="宋体" w:hAnsi="宋体"/>
        </w:rPr>
        <w:t>运营有限</w:t>
      </w:r>
      <w:r>
        <w:rPr>
          <w:rFonts w:ascii="宋体" w:hAnsi="宋体"/>
        </w:rPr>
        <w:t>公司</w:t>
      </w:r>
    </w:p>
    <w:p>
      <w:pPr>
        <w:spacing w:before="0" w:after="0" w:afterAutospacing="0"/>
        <w:ind w:left="0" w:right="0" w:firstLine="420" w:firstLineChars="200"/>
        <w:rPr>
          <w:rFonts w:ascii="宋体" w:hAnsi="宋体"/>
        </w:rPr>
      </w:pPr>
      <w:r>
        <w:rPr>
          <w:rFonts w:ascii="宋体" w:hAnsi="宋体"/>
        </w:rPr>
        <w:t>根据贵方为</w:t>
      </w:r>
      <w:r>
        <w:rPr>
          <w:rFonts w:hint="eastAsia" w:ascii="宋体" w:hAnsi="宋体"/>
        </w:rPr>
        <w:t>采购项目比选</w:t>
      </w:r>
      <w:r>
        <w:rPr>
          <w:rFonts w:ascii="宋体" w:hAnsi="宋体"/>
        </w:rPr>
        <w:t>采购货物及服务的比选申请邀请(项目编号：)，签字人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1 </w:t>
      </w:r>
      <w:r>
        <w:rPr>
          <w:rFonts w:ascii="宋体" w:hAnsi="宋体"/>
        </w:rPr>
        <w:t>份（U盘）。</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rPr>
      </w:pPr>
      <w:bookmarkStart w:id="1235" w:name="_Toc375564357"/>
      <w:r>
        <w:rPr>
          <w:rFonts w:ascii="宋体" w:hAnsi="宋体"/>
        </w:rPr>
        <w:t>1. 按比选文件要求规定的应提交和交付的货物和服务并履行全部合同义务的比选申请总价如本比选申请文件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bookmarkEnd w:id="1235"/>
    </w:p>
    <w:p>
      <w:pPr>
        <w:spacing w:before="0" w:after="0" w:afterAutospacing="0"/>
        <w:ind w:left="0" w:right="0"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rPr>
      </w:pPr>
      <w:r>
        <w:rPr>
          <w:rFonts w:hint="eastAsia" w:ascii="宋体" w:hAnsi="宋体"/>
        </w:rPr>
        <w:t>4</w:t>
      </w:r>
      <w:r>
        <w:rPr>
          <w:rFonts w:ascii="宋体" w:hAnsi="宋体"/>
        </w:rPr>
        <w:t>.本比选申请有效期为比选申请截止日起</w:t>
      </w:r>
      <w:r>
        <w:rPr>
          <w:rFonts w:hint="eastAsia" w:ascii="宋体" w:hAnsi="宋体"/>
        </w:rPr>
        <w:t>自比选申请截止时间起90</w:t>
      </w:r>
      <w:r>
        <w:rPr>
          <w:rFonts w:ascii="宋体" w:hAnsi="宋体"/>
        </w:rPr>
        <w:t>日历天内。</w:t>
      </w:r>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rPr>
      </w:pPr>
      <w:r>
        <w:rPr>
          <w:rFonts w:hint="eastAsia" w:ascii="宋体" w:hAnsi="宋体"/>
        </w:rPr>
        <w:t>7</w:t>
      </w:r>
      <w:r>
        <w:rPr>
          <w:rFonts w:ascii="宋体" w:hAnsi="宋体"/>
        </w:rPr>
        <w:t>.</w:t>
      </w:r>
      <w:r>
        <w:rPr>
          <w:rFonts w:ascii="宋体" w:hAnsi="宋体"/>
          <w:color w:val="000000" w:themeColor="text1"/>
        </w:rPr>
        <w:t xml:space="preserve"> </w:t>
      </w:r>
      <w:r>
        <w:rPr>
          <w:rFonts w:ascii="宋体" w:hAnsi="宋体"/>
          <w:b/>
          <w:color w:val="000000" w:themeColor="text1"/>
        </w:rPr>
        <w:t>本项目采用</w:t>
      </w:r>
      <w:r>
        <w:rPr>
          <w:rFonts w:hint="eastAsia" w:ascii="宋体" w:hAnsi="宋体"/>
          <w:b/>
          <w:color w:val="000000" w:themeColor="text1"/>
        </w:rPr>
        <w:t>不</w:t>
      </w:r>
      <w:r>
        <w:rPr>
          <w:rFonts w:ascii="宋体" w:hAnsi="宋体"/>
          <w:b/>
          <w:color w:val="000000" w:themeColor="text1"/>
        </w:rPr>
        <w:t>含税报价</w:t>
      </w:r>
      <w:r>
        <w:rPr>
          <w:rFonts w:hint="eastAsia" w:ascii="宋体" w:hAnsi="宋体"/>
          <w:b/>
          <w:color w:val="000000" w:themeColor="text1"/>
        </w:rPr>
        <w:t>。在签订本项目合同时，遵循国家现行税法的相关规定在中标人不含税单价和合价的基础上逐项增加税费，并明确相应税率和税金。合同的最</w:t>
      </w:r>
      <w:r>
        <w:rPr>
          <w:rFonts w:hint="eastAsia" w:ascii="宋体" w:hAnsi="宋体"/>
          <w:b/>
        </w:rPr>
        <w:t>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8</w:t>
      </w:r>
      <w:r>
        <w:rPr>
          <w:rFonts w:ascii="宋体" w:hAnsi="宋体"/>
        </w:rPr>
        <w:t>.与本比选申请有关的一切正式往来通讯请发往：</w:t>
      </w:r>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邮编：传真：</w:t>
      </w:r>
    </w:p>
    <w:p>
      <w:pPr>
        <w:spacing w:before="0" w:after="0" w:afterAutospacing="0"/>
        <w:ind w:left="0" w:right="0" w:firstLine="420" w:firstLineChars="200"/>
        <w:rPr>
          <w:rFonts w:ascii="宋体" w:hAnsi="宋体"/>
        </w:rPr>
      </w:pPr>
      <w:r>
        <w:rPr>
          <w:rFonts w:ascii="宋体" w:hAnsi="宋体"/>
        </w:rPr>
        <w:t>电话：电子邮件：</w:t>
      </w:r>
    </w:p>
    <w:p>
      <w:pPr>
        <w:spacing w:before="0" w:after="0" w:afterAutospacing="0"/>
        <w:ind w:left="0" w:right="0" w:firstLine="420" w:firstLineChars="200"/>
        <w:rPr>
          <w:rFonts w:ascii="宋体" w:hAnsi="宋体"/>
          <w:u w:val="single"/>
        </w:rPr>
      </w:pPr>
      <w:r>
        <w:rPr>
          <w:rFonts w:ascii="宋体" w:hAnsi="宋体"/>
        </w:rPr>
        <w:t>比选申请人名称：</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tabs>
          <w:tab w:val="left" w:pos="6000"/>
        </w:tabs>
        <w:spacing w:before="0" w:after="0" w:afterAutospacing="0"/>
        <w:ind w:left="0" w:right="0" w:firstLine="420" w:firstLineChars="200"/>
        <w:rPr>
          <w:rFonts w:ascii="宋体" w:hAnsi="宋体"/>
        </w:rPr>
      </w:pPr>
      <w:r>
        <w:rPr>
          <w:rFonts w:hint="eastAsia" w:ascii="宋体" w:hAnsi="宋体" w:cs="Arial"/>
        </w:rPr>
        <w:t>日期：</w:t>
      </w:r>
      <w:r>
        <w:rPr>
          <w:rFonts w:ascii="宋体" w:hAnsi="宋体"/>
        </w:rPr>
        <w:t>年月日</w:t>
      </w:r>
      <w:r>
        <w:rPr>
          <w:rFonts w:ascii="宋体" w:hAnsi="宋体"/>
        </w:rPr>
        <w:tab/>
      </w:r>
    </w:p>
    <w:p>
      <w:pPr>
        <w:rPr>
          <w:rFonts w:ascii="宋体" w:hAnsi="宋体"/>
        </w:rPr>
      </w:pPr>
    </w:p>
    <w:p>
      <w:pPr>
        <w:rPr>
          <w:rFonts w:ascii="宋体" w:hAnsi="宋体"/>
        </w:rPr>
        <w:sectPr>
          <w:headerReference r:id="rId8" w:type="first"/>
          <w:headerReference r:id="rId7" w:type="default"/>
          <w:pgSz w:w="11905" w:h="16838"/>
          <w:pgMar w:top="1418" w:right="1418" w:bottom="1304" w:left="1418" w:header="454" w:footer="567" w:gutter="0"/>
          <w:cols w:space="720" w:num="1"/>
          <w:docGrid w:linePitch="312" w:charSpace="0"/>
        </w:sectPr>
      </w:pPr>
    </w:p>
    <w:p>
      <w:pPr>
        <w:pStyle w:val="4"/>
        <w:tabs>
          <w:tab w:val="left" w:pos="567"/>
          <w:tab w:val="left" w:pos="720"/>
        </w:tabs>
        <w:snapToGrid w:val="0"/>
        <w:spacing w:after="100" w:line="360" w:lineRule="auto"/>
        <w:ind w:right="0" w:firstLine="0"/>
        <w:jc w:val="left"/>
        <w:rPr>
          <w:rFonts w:ascii="宋体" w:hAnsi="宋体" w:eastAsia="宋体"/>
          <w:sz w:val="21"/>
          <w:szCs w:val="21"/>
        </w:rPr>
      </w:pPr>
      <w:bookmarkStart w:id="1236" w:name="_Toc25750682"/>
      <w:bookmarkStart w:id="1237" w:name="_Toc13611"/>
      <w:bookmarkStart w:id="1238" w:name="_Toc14488"/>
      <w:bookmarkStart w:id="1239" w:name="_Toc6910"/>
      <w:bookmarkStart w:id="1240" w:name="_Toc3968"/>
      <w:bookmarkStart w:id="1241" w:name="_Toc492478810"/>
      <w:bookmarkStart w:id="1242" w:name="_Toc28944"/>
      <w:bookmarkStart w:id="1243" w:name="_Toc23071"/>
      <w:bookmarkStart w:id="1244" w:name="_Toc75276838"/>
      <w:bookmarkStart w:id="1245" w:name="_Toc20116"/>
      <w:bookmarkStart w:id="1246" w:name="_Toc12983554"/>
      <w:bookmarkStart w:id="1247" w:name="_Toc414290528"/>
      <w:bookmarkStart w:id="1248" w:name="_Toc15469"/>
      <w:bookmarkStart w:id="1249" w:name="_Toc14478"/>
      <w:bookmarkStart w:id="1250" w:name="_Toc4583"/>
      <w:bookmarkStart w:id="1251" w:name="_Toc24000"/>
      <w:bookmarkStart w:id="1252" w:name="_Toc30121"/>
      <w:bookmarkStart w:id="1253" w:name="_Toc27821"/>
      <w:bookmarkStart w:id="1254" w:name="_Toc17092"/>
      <w:bookmarkStart w:id="1255" w:name="_Toc12984814"/>
      <w:bookmarkStart w:id="1256" w:name="_Toc26731"/>
      <w:bookmarkStart w:id="1257" w:name="_Toc8101"/>
      <w:bookmarkStart w:id="1258" w:name="_Toc15276"/>
      <w:bookmarkStart w:id="1259" w:name="_Toc27284"/>
      <w:r>
        <w:rPr>
          <w:rFonts w:ascii="宋体" w:hAnsi="宋体" w:eastAsia="宋体"/>
          <w:sz w:val="21"/>
          <w:szCs w:val="21"/>
        </w:rPr>
        <w:t>B3比选申请报价表格式</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snapToGrid w:val="0"/>
        <w:spacing w:before="0" w:after="0" w:afterAutospacing="0"/>
        <w:ind w:left="706" w:leftChars="336" w:right="-57" w:firstLine="1653" w:firstLineChars="784"/>
        <w:rPr>
          <w:rFonts w:ascii="宋体" w:hAnsi="宋体"/>
          <w:b/>
        </w:rPr>
      </w:pPr>
      <w:r>
        <w:rPr>
          <w:rFonts w:hint="eastAsia" w:ascii="宋体" w:hAnsi="宋体"/>
          <w:b/>
        </w:rPr>
        <w:t>比选申请报价表</w:t>
      </w:r>
    </w:p>
    <w:p>
      <w:pPr>
        <w:snapToGrid w:val="0"/>
        <w:spacing w:before="0" w:after="0" w:afterAutospacing="0"/>
        <w:ind w:left="706" w:leftChars="336" w:right="-57" w:firstLine="1653" w:firstLineChars="784"/>
        <w:rPr>
          <w:rFonts w:ascii="宋体" w:hAnsi="宋体"/>
          <w:b/>
        </w:rPr>
      </w:pPr>
    </w:p>
    <w:p>
      <w:pPr>
        <w:snapToGrid w:val="0"/>
        <w:spacing w:before="0" w:after="0" w:afterAutospacing="0"/>
        <w:ind w:left="706" w:leftChars="336" w:right="-57" w:firstLine="2204" w:firstLineChars="784"/>
        <w:rPr>
          <w:rFonts w:ascii="宋体" w:hAnsi="宋体"/>
          <w:b/>
        </w:rPr>
      </w:pPr>
      <w:r>
        <w:rPr>
          <w:rFonts w:hint="eastAsia" w:asciiTheme="minorEastAsia" w:hAnsiTheme="minorEastAsia" w:eastAsiaTheme="minorEastAsia"/>
          <w:b/>
          <w:bCs/>
          <w:color w:val="000000"/>
          <w:sz w:val="28"/>
          <w:szCs w:val="28"/>
        </w:rPr>
        <w:t>南宁轨道交通运营有限公司2022年办公家具采购</w:t>
      </w:r>
    </w:p>
    <w:p>
      <w:pPr>
        <w:snapToGrid w:val="0"/>
        <w:spacing w:before="0" w:after="0" w:afterAutospacing="0"/>
        <w:ind w:left="0" w:right="363" w:firstLine="13230" w:firstLineChars="6300"/>
        <w:rPr>
          <w:rStyle w:val="32"/>
        </w:rPr>
      </w:pPr>
      <w:r>
        <w:rPr>
          <w:rFonts w:ascii="宋体" w:hAnsi="宋体"/>
        </w:rPr>
        <w:t>单位：元</w:t>
      </w:r>
    </w:p>
    <w:tbl>
      <w:tblPr>
        <w:tblStyle w:val="26"/>
        <w:tblW w:w="14108" w:type="dxa"/>
        <w:tblInd w:w="93" w:type="dxa"/>
        <w:tblLayout w:type="fixed"/>
        <w:tblCellMar>
          <w:top w:w="0" w:type="dxa"/>
          <w:left w:w="108" w:type="dxa"/>
          <w:bottom w:w="0" w:type="dxa"/>
          <w:right w:w="108" w:type="dxa"/>
        </w:tblCellMar>
      </w:tblPr>
      <w:tblGrid>
        <w:gridCol w:w="901"/>
        <w:gridCol w:w="3322"/>
        <w:gridCol w:w="1095"/>
        <w:gridCol w:w="1455"/>
        <w:gridCol w:w="2700"/>
        <w:gridCol w:w="2505"/>
        <w:gridCol w:w="2130"/>
      </w:tblGrid>
      <w:tr>
        <w:tblPrEx>
          <w:tblCellMar>
            <w:top w:w="0" w:type="dxa"/>
            <w:left w:w="108" w:type="dxa"/>
            <w:bottom w:w="0" w:type="dxa"/>
            <w:right w:w="108" w:type="dxa"/>
          </w:tblCellMar>
        </w:tblPrEx>
        <w:trPr>
          <w:trHeight w:val="705"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ascii="宋体" w:hAnsi="宋体" w:cs="宋体"/>
                <w:b/>
                <w:bCs/>
                <w:color w:val="000000"/>
                <w:sz w:val="24"/>
                <w:szCs w:val="24"/>
              </w:rPr>
            </w:pPr>
            <w:r>
              <w:rPr>
                <w:rFonts w:hint="eastAsia" w:ascii="宋体" w:hAnsi="宋体" w:cs="宋体"/>
                <w:b/>
                <w:bCs/>
                <w:color w:val="000000"/>
                <w:sz w:val="24"/>
                <w:szCs w:val="24"/>
                <w:lang w:bidi="ar"/>
              </w:rPr>
              <w:t>序号</w:t>
            </w:r>
          </w:p>
        </w:tc>
        <w:tc>
          <w:tcPr>
            <w:tcW w:w="332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货物名称</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单位</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hint="eastAsia" w:ascii="宋体" w:hAnsi="宋体" w:eastAsia="宋体" w:cs="宋体"/>
                <w:b/>
                <w:bCs/>
                <w:color w:val="000000"/>
                <w:sz w:val="24"/>
                <w:szCs w:val="24"/>
                <w:lang w:eastAsia="zh-CN" w:bidi="ar"/>
              </w:rPr>
            </w:pPr>
            <w:r>
              <w:rPr>
                <w:rFonts w:hint="eastAsia" w:ascii="宋体" w:hAnsi="宋体" w:cs="宋体"/>
                <w:b/>
                <w:bCs/>
                <w:color w:val="000000"/>
                <w:sz w:val="24"/>
                <w:szCs w:val="24"/>
                <w:lang w:eastAsia="zh-CN" w:bidi="ar"/>
              </w:rPr>
              <w:t>数量</w:t>
            </w:r>
          </w:p>
        </w:tc>
        <w:tc>
          <w:tcPr>
            <w:tcW w:w="27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不含税单价</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hint="eastAsia" w:ascii="宋体" w:hAnsi="宋体" w:eastAsia="宋体" w:cs="宋体"/>
                <w:b/>
                <w:bCs/>
                <w:color w:val="000000"/>
                <w:sz w:val="24"/>
                <w:szCs w:val="24"/>
                <w:lang w:eastAsia="zh-CN" w:bidi="ar"/>
              </w:rPr>
            </w:pPr>
            <w:r>
              <w:rPr>
                <w:rFonts w:hint="eastAsia" w:ascii="宋体" w:hAnsi="宋体" w:cs="宋体"/>
                <w:b/>
                <w:bCs/>
                <w:color w:val="000000"/>
                <w:sz w:val="24"/>
                <w:szCs w:val="24"/>
                <w:lang w:eastAsia="zh-CN" w:bidi="ar"/>
              </w:rPr>
              <w:t>不含税合价</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hint="eastAsia" w:ascii="宋体" w:hAnsi="宋体" w:cs="宋体"/>
                <w:b/>
                <w:bCs/>
                <w:color w:val="000000"/>
                <w:sz w:val="24"/>
                <w:szCs w:val="24"/>
                <w:lang w:eastAsia="zh-CN" w:bidi="ar"/>
              </w:rPr>
            </w:pPr>
            <w:r>
              <w:rPr>
                <w:rFonts w:hint="eastAsia" w:ascii="宋体" w:hAnsi="宋体" w:cs="宋体"/>
                <w:b/>
                <w:bCs/>
                <w:color w:val="000000"/>
                <w:sz w:val="24"/>
                <w:szCs w:val="24"/>
                <w:lang w:eastAsia="zh-CN" w:bidi="ar"/>
              </w:rPr>
              <w:t>报价品牌</w:t>
            </w:r>
          </w:p>
        </w:tc>
      </w:tr>
      <w:tr>
        <w:tblPrEx>
          <w:tblCellMar>
            <w:top w:w="0" w:type="dxa"/>
            <w:left w:w="108" w:type="dxa"/>
            <w:bottom w:w="0" w:type="dxa"/>
            <w:right w:w="108" w:type="dxa"/>
          </w:tblCellMar>
        </w:tblPrEx>
        <w:trPr>
          <w:trHeight w:val="1665"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w:t>
            </w:r>
          </w:p>
        </w:tc>
        <w:tc>
          <w:tcPr>
            <w:tcW w:w="3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jc w:val="left"/>
              <w:textAlignment w:val="top"/>
              <w:rPr>
                <w:rFonts w:ascii="宋体" w:hAnsi="宋体" w:cs="宋体"/>
                <w:color w:val="000000"/>
                <w:sz w:val="20"/>
                <w:szCs w:val="20"/>
              </w:rPr>
            </w:pPr>
          </w:p>
        </w:tc>
        <w:tc>
          <w:tcPr>
            <w:tcW w:w="2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c>
          <w:tcPr>
            <w:tcW w:w="213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72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2</w:t>
            </w:r>
          </w:p>
        </w:tc>
        <w:tc>
          <w:tcPr>
            <w:tcW w:w="3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jc w:val="center"/>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p>
        </w:tc>
        <w:tc>
          <w:tcPr>
            <w:tcW w:w="2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c>
          <w:tcPr>
            <w:tcW w:w="213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bl>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1、</w:t>
      </w:r>
      <w:r>
        <w:rPr>
          <w:rFonts w:hint="eastAsia" w:ascii="宋体" w:hAnsi="宋体"/>
        </w:rPr>
        <w:t>比选申请人须按第四章《用户需求书》中的技术需求及数量表的顺序进行明细报价，不允许打乱顺序，不含税单价、不含税合价均精确到小数点后两位。</w:t>
      </w:r>
    </w:p>
    <w:p>
      <w:pPr>
        <w:numPr>
          <w:ilvl w:val="0"/>
          <w:numId w:val="8"/>
        </w:numPr>
        <w:spacing w:before="0" w:after="0" w:afterAutospacing="0"/>
        <w:ind w:left="0" w:right="0" w:firstLine="0"/>
        <w:rPr>
          <w:rFonts w:ascii="宋体" w:hAnsi="宋体"/>
        </w:rPr>
      </w:pPr>
      <w:r>
        <w:rPr>
          <w:rFonts w:ascii="宋体" w:hAnsi="宋体"/>
        </w:rPr>
        <w:t>比选申请人提供的比选申请报价表中货物的品牌及厂家应写明</w:t>
      </w:r>
      <w:r>
        <w:rPr>
          <w:rFonts w:hint="eastAsia" w:ascii="宋体" w:hAnsi="宋体"/>
        </w:rPr>
        <w:t>。</w:t>
      </w:r>
    </w:p>
    <w:p>
      <w:pPr>
        <w:numPr>
          <w:ilvl w:val="0"/>
          <w:numId w:val="8"/>
        </w:numPr>
        <w:spacing w:before="0" w:after="0" w:afterAutospacing="0"/>
        <w:ind w:left="0" w:right="0" w:firstLine="0"/>
        <w:rPr>
          <w:rFonts w:ascii="宋体" w:hAnsi="宋体"/>
        </w:rPr>
      </w:pPr>
      <w:r>
        <w:rPr>
          <w:rFonts w:hint="eastAsia" w:ascii="宋体" w:hAnsi="宋体"/>
        </w:rPr>
        <w:t>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snapToGrid w:val="0"/>
        <w:spacing w:after="0" w:afterAutospacing="0"/>
        <w:ind w:right="-816" w:firstLine="0"/>
        <w:jc w:val="center"/>
        <w:rPr>
          <w:rFonts w:ascii="宋体" w:hAnsi="宋体"/>
          <w:u w:val="single"/>
        </w:rPr>
      </w:pPr>
      <w:r>
        <w:rPr>
          <w:rFonts w:hint="eastAsia" w:ascii="宋体" w:hAnsi="宋体"/>
        </w:rPr>
        <w:t>比选申请人名称（盖章）：</w:t>
      </w:r>
    </w:p>
    <w:p>
      <w:pPr>
        <w:snapToGrid w:val="0"/>
        <w:spacing w:after="0" w:afterAutospacing="0"/>
        <w:ind w:right="-816" w:firstLine="0"/>
        <w:jc w:val="center"/>
        <w:rPr>
          <w:rFonts w:ascii="宋体" w:hAnsi="宋体"/>
        </w:rPr>
      </w:pPr>
      <w:r>
        <w:rPr>
          <w:rFonts w:hint="eastAsia" w:ascii="宋体" w:hAnsi="宋体"/>
        </w:rPr>
        <w:t xml:space="preserve">  日期：年 月  日</w:t>
      </w:r>
    </w:p>
    <w:p>
      <w:pPr>
        <w:pStyle w:val="3"/>
        <w:pageBreakBefore/>
        <w:spacing w:after="100"/>
        <w:ind w:right="-57" w:firstLine="0"/>
        <w:jc w:val="center"/>
        <w:rPr>
          <w:sz w:val="24"/>
          <w:szCs w:val="24"/>
        </w:rPr>
        <w:sectPr>
          <w:pgSz w:w="16838" w:h="11905" w:orient="landscape"/>
          <w:pgMar w:top="851" w:right="851" w:bottom="851" w:left="851" w:header="454" w:footer="567" w:gutter="0"/>
          <w:cols w:space="720" w:num="1"/>
          <w:docGrid w:linePitch="312" w:charSpace="0"/>
        </w:sectPr>
      </w:pPr>
      <w:bookmarkStart w:id="1260" w:name="_Toc19107"/>
      <w:bookmarkStart w:id="1261" w:name="_Toc492478827"/>
      <w:bookmarkStart w:id="1262" w:name="_Toc414290562"/>
      <w:bookmarkStart w:id="1263" w:name="_Toc22423"/>
      <w:bookmarkStart w:id="1264" w:name="_Toc32381"/>
      <w:bookmarkStart w:id="1265" w:name="_Toc8563"/>
      <w:bookmarkStart w:id="1266" w:name="_Toc30812"/>
      <w:bookmarkStart w:id="1267" w:name="_Toc25220"/>
      <w:bookmarkStart w:id="1268" w:name="_Toc17664"/>
      <w:bookmarkStart w:id="1269" w:name="_Toc25635"/>
      <w:bookmarkStart w:id="1270" w:name="_Toc3307"/>
      <w:bookmarkStart w:id="1271" w:name="_Toc6034"/>
      <w:bookmarkStart w:id="1272" w:name="_Toc15451"/>
      <w:bookmarkStart w:id="1273" w:name="_Toc2327"/>
      <w:bookmarkStart w:id="1274" w:name="_Toc14091"/>
      <w:bookmarkStart w:id="1275" w:name="_Toc13870"/>
      <w:bookmarkStart w:id="1276" w:name="_Toc9876"/>
      <w:bookmarkStart w:id="1277" w:name="_Toc19413"/>
      <w:bookmarkStart w:id="1278" w:name="_Toc29577"/>
    </w:p>
    <w:p>
      <w:pPr>
        <w:pStyle w:val="3"/>
        <w:pageBreakBefore/>
        <w:spacing w:after="100"/>
        <w:ind w:right="-57" w:firstLine="0"/>
        <w:jc w:val="center"/>
        <w:rPr>
          <w:rFonts w:hAnsi="宋体"/>
          <w:sz w:val="24"/>
          <w:szCs w:val="24"/>
        </w:rPr>
      </w:pPr>
      <w:bookmarkStart w:id="1279" w:name="_Toc75276839"/>
      <w:r>
        <w:rPr>
          <w:rFonts w:hint="eastAsia"/>
          <w:sz w:val="24"/>
          <w:szCs w:val="24"/>
        </w:rPr>
        <w:t>C</w:t>
      </w:r>
      <w:r>
        <w:rPr>
          <w:rFonts w:hAnsi="宋体"/>
          <w:sz w:val="24"/>
          <w:szCs w:val="24"/>
        </w:rPr>
        <w:t>技术</w:t>
      </w:r>
      <w:bookmarkEnd w:id="1260"/>
      <w:bookmarkEnd w:id="1261"/>
      <w:bookmarkEnd w:id="1262"/>
      <w:bookmarkStart w:id="1280" w:name="_Toc18770050"/>
      <w:bookmarkStart w:id="1281" w:name="_Toc74938308"/>
      <w:bookmarkStart w:id="1282" w:name="_Toc99697927"/>
      <w:bookmarkStart w:id="1283" w:name="_Toc17887241"/>
      <w:bookmarkStart w:id="1284" w:name="_Toc224010320"/>
      <w:r>
        <w:rPr>
          <w:rFonts w:hint="eastAsia" w:hAnsi="宋体"/>
          <w:sz w:val="24"/>
          <w:szCs w:val="24"/>
        </w:rPr>
        <w:t>文件</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jc w:val="center"/>
        <w:rPr>
          <w:rFonts w:ascii="宋体" w:hAnsi="宋体"/>
          <w:color w:val="000000" w:themeColor="text1"/>
          <w:sz w:val="48"/>
          <w:szCs w:val="48"/>
        </w:rPr>
      </w:pPr>
      <w:r>
        <w:rPr>
          <w:rFonts w:hint="eastAsia" w:ascii="宋体" w:hAnsi="宋体"/>
          <w:color w:val="000000" w:themeColor="text1"/>
          <w:sz w:val="48"/>
          <w:szCs w:val="48"/>
        </w:rPr>
        <w:t>项目比选申请文件</w:t>
      </w:r>
    </w:p>
    <w:p>
      <w:pPr>
        <w:autoSpaceDE w:val="0"/>
        <w:autoSpaceDN w:val="0"/>
        <w:adjustRightInd w:val="0"/>
        <w:jc w:val="center"/>
        <w:rPr>
          <w:rFonts w:ascii="华文中宋" w:eastAsia="华文中宋"/>
          <w:color w:val="000000" w:themeColor="text1"/>
          <w:sz w:val="48"/>
          <w:szCs w:val="48"/>
        </w:rPr>
      </w:pPr>
      <w:r>
        <w:rPr>
          <w:rFonts w:hint="eastAsia" w:ascii="华文中宋" w:eastAsia="华文中宋"/>
          <w:color w:val="000000" w:themeColor="text1"/>
          <w:sz w:val="48"/>
          <w:szCs w:val="48"/>
        </w:rPr>
        <w:t>技术文件</w:t>
      </w:r>
    </w:p>
    <w:p>
      <w:pPr>
        <w:autoSpaceDE w:val="0"/>
        <w:autoSpaceDN w:val="0"/>
        <w:adjustRightInd w:val="0"/>
        <w:jc w:val="center"/>
        <w:rPr>
          <w:rFonts w:ascii="宋体" w:hAnsi="宋体"/>
          <w:color w:val="000000" w:themeColor="text1"/>
          <w:sz w:val="44"/>
          <w:szCs w:val="44"/>
        </w:rPr>
      </w:pPr>
      <w:r>
        <w:rPr>
          <w:rFonts w:hint="eastAsia" w:ascii="宋体" w:hAnsi="宋体"/>
          <w:color w:val="000000" w:themeColor="text1"/>
          <w:sz w:val="44"/>
          <w:szCs w:val="44"/>
        </w:rPr>
        <w:t>（＊本）</w:t>
      </w:r>
    </w:p>
    <w:p>
      <w:pPr>
        <w:autoSpaceDE w:val="0"/>
        <w:autoSpaceDN w:val="0"/>
        <w:adjustRightInd w:val="0"/>
        <w:jc w:val="left"/>
        <w:rPr>
          <w:rFonts w:ascii="楷体_GB2312" w:eastAsia="楷体_GB2312"/>
          <w:color w:val="000000" w:themeColor="text1"/>
          <w:sz w:val="24"/>
        </w:rPr>
      </w:pPr>
    </w:p>
    <w:p>
      <w:pPr>
        <w:autoSpaceDE w:val="0"/>
        <w:autoSpaceDN w:val="0"/>
        <w:adjustRightInd w:val="0"/>
        <w:rPr>
          <w:rFonts w:ascii="楷体_GB2312" w:eastAsia="楷体_GB2312"/>
          <w:color w:val="000000" w:themeColor="text1"/>
          <w:sz w:val="24"/>
        </w:rPr>
      </w:pP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比选申请人：（ 加盖单位公章）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法定代表人或授权委托代理人：（签字或盖章）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电话/传真：</w:t>
      </w:r>
    </w:p>
    <w:p>
      <w:pPr>
        <w:autoSpaceDE w:val="0"/>
        <w:autoSpaceDN w:val="0"/>
        <w:adjustRightInd w:val="0"/>
        <w:rPr>
          <w:rFonts w:ascii="楷体_GB2312" w:eastAsia="楷体_GB2312"/>
          <w:color w:val="000000" w:themeColor="text1"/>
          <w:sz w:val="32"/>
        </w:rPr>
      </w:pPr>
      <w:r>
        <w:rPr>
          <w:rFonts w:hint="eastAsia" w:ascii="宋体" w:hAnsi="宋体"/>
          <w:color w:val="000000" w:themeColor="text1"/>
          <w:sz w:val="28"/>
          <w:szCs w:val="28"/>
        </w:rPr>
        <w:t>地址：</w:t>
      </w:r>
    </w:p>
    <w:p>
      <w:pPr>
        <w:tabs>
          <w:tab w:val="left" w:pos="1531"/>
        </w:tabs>
        <w:autoSpaceDE w:val="0"/>
        <w:autoSpaceDN w:val="0"/>
        <w:adjustRightInd w:val="0"/>
        <w:ind w:firstLine="980" w:firstLineChars="350"/>
        <w:jc w:val="right"/>
        <w:rPr>
          <w:rFonts w:ascii="宋体" w:hAnsi="宋体"/>
          <w:color w:val="000000" w:themeColor="text1"/>
          <w:sz w:val="28"/>
          <w:szCs w:val="28"/>
        </w:rPr>
      </w:pPr>
      <w:r>
        <w:rPr>
          <w:rFonts w:hint="eastAsia" w:ascii="宋体" w:hAnsi="宋体"/>
          <w:color w:val="000000" w:themeColor="text1"/>
          <w:sz w:val="28"/>
          <w:szCs w:val="28"/>
        </w:rPr>
        <w:tab/>
      </w:r>
    </w:p>
    <w:p>
      <w:pPr>
        <w:pStyle w:val="2"/>
        <w:autoSpaceDE w:val="0"/>
        <w:autoSpaceDN w:val="0"/>
        <w:adjustRightInd w:val="0"/>
        <w:ind w:firstLine="980" w:firstLineChars="350"/>
        <w:jc w:val="right"/>
        <w:rPr>
          <w:rFonts w:ascii="宋体" w:hAnsi="宋体"/>
          <w:color w:val="000000" w:themeColor="text1"/>
          <w:sz w:val="28"/>
          <w:szCs w:val="28"/>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
    <w:p/>
    <w:p>
      <w:pPr>
        <w:pStyle w:val="2"/>
      </w:pPr>
    </w:p>
    <w:p/>
    <w:p>
      <w:pPr>
        <w:spacing w:before="0" w:after="0" w:afterAutospacing="0"/>
        <w:ind w:left="0" w:right="0" w:firstLine="422" w:firstLineChars="200"/>
        <w:jc w:val="left"/>
        <w:rPr>
          <w:rFonts w:hAnsi="宋体"/>
          <w:b/>
          <w:sz w:val="44"/>
          <w:szCs w:val="44"/>
        </w:rPr>
      </w:pPr>
      <w:r>
        <w:rPr>
          <w:rFonts w:hint="eastAsia" w:hAnsi="宋体"/>
          <w:b/>
        </w:rPr>
        <w:t>技术文件格式</w:t>
      </w:r>
    </w:p>
    <w:p>
      <w:pPr>
        <w:spacing w:before="0" w:after="0" w:afterAutospacing="0"/>
        <w:ind w:left="0" w:right="0" w:firstLine="315" w:firstLineChars="150"/>
      </w:pPr>
      <w:r>
        <w:rPr>
          <w:rFonts w:hint="eastAsia"/>
        </w:rPr>
        <w:t>（</w:t>
      </w:r>
      <w:r>
        <w:t>1</w:t>
      </w:r>
      <w:r>
        <w:rPr>
          <w:rFonts w:hint="eastAsia"/>
        </w:rPr>
        <w:t>）技术响应表（格式见</w:t>
      </w:r>
      <w:r>
        <w:t>C1</w:t>
      </w:r>
      <w:r>
        <w:rPr>
          <w:rFonts w:hint="eastAsia"/>
        </w:rPr>
        <w:t>）；</w:t>
      </w:r>
    </w:p>
    <w:p>
      <w:pPr>
        <w:spacing w:before="0" w:after="0" w:afterAutospacing="0"/>
        <w:ind w:left="0" w:right="0" w:firstLine="315" w:firstLineChars="150"/>
      </w:pPr>
      <w:r>
        <w:rPr>
          <w:rFonts w:hint="eastAsia"/>
        </w:rPr>
        <w:t>（2）按期交货承诺书（格式见</w:t>
      </w:r>
      <w:r>
        <w:t>C2</w:t>
      </w:r>
      <w:r>
        <w:rPr>
          <w:rFonts w:hint="eastAsia"/>
        </w:rPr>
        <w:t>）；</w:t>
      </w:r>
    </w:p>
    <w:p>
      <w:pPr>
        <w:spacing w:before="0" w:after="0" w:afterAutospacing="0"/>
        <w:ind w:left="0" w:right="0" w:firstLine="315" w:firstLineChars="150"/>
      </w:pPr>
      <w:r>
        <w:rPr>
          <w:rFonts w:hint="eastAsia"/>
        </w:rPr>
        <w:t>（3）售后服务承诺书（格式见</w:t>
      </w:r>
      <w:r>
        <w:t>C3</w:t>
      </w:r>
      <w:r>
        <w:rPr>
          <w:rFonts w:hint="eastAsia"/>
        </w:rPr>
        <w:t>）</w:t>
      </w:r>
    </w:p>
    <w:p>
      <w:pPr>
        <w:spacing w:before="0" w:after="0" w:afterAutospacing="0"/>
        <w:ind w:left="0" w:right="0" w:firstLine="315" w:firstLineChars="150"/>
      </w:pPr>
      <w:r>
        <w:rPr>
          <w:rFonts w:hint="eastAsia"/>
        </w:rPr>
        <w:t>（4）商务响应表（格式见C4）</w:t>
      </w:r>
    </w:p>
    <w:p>
      <w:pPr>
        <w:spacing w:before="0" w:after="0" w:afterAutospacing="0"/>
        <w:ind w:left="0" w:right="0" w:firstLine="315" w:firstLineChars="150"/>
      </w:pPr>
      <w:r>
        <w:rPr>
          <w:rFonts w:hint="eastAsia"/>
        </w:rPr>
        <w:t>（</w:t>
      </w:r>
      <w:r>
        <w:t>4</w:t>
      </w:r>
      <w:r>
        <w:rPr>
          <w:rFonts w:hint="eastAsia"/>
        </w:rPr>
        <w:t>）比选申请人认为应提交的其他比选申请资料（如有）。</w:t>
      </w:r>
      <w:bookmarkEnd w:id="1280"/>
      <w:bookmarkEnd w:id="1281"/>
      <w:bookmarkEnd w:id="1282"/>
      <w:bookmarkEnd w:id="1283"/>
      <w:bookmarkEnd w:id="1284"/>
    </w:p>
    <w:p>
      <w:pPr>
        <w:pStyle w:val="4"/>
        <w:tabs>
          <w:tab w:val="left" w:pos="567"/>
          <w:tab w:val="left" w:pos="720"/>
        </w:tabs>
        <w:snapToGrid w:val="0"/>
        <w:spacing w:after="100" w:line="360" w:lineRule="auto"/>
        <w:ind w:right="-57" w:firstLine="0"/>
        <w:jc w:val="left"/>
        <w:rPr>
          <w:rFonts w:ascii="宋体" w:hAnsi="宋体" w:eastAsia="宋体"/>
          <w:sz w:val="21"/>
          <w:szCs w:val="21"/>
        </w:rPr>
        <w:sectPr>
          <w:pgSz w:w="11905" w:h="16838"/>
          <w:pgMar w:top="851" w:right="851" w:bottom="851" w:left="851" w:header="454" w:footer="567" w:gutter="0"/>
          <w:cols w:space="720" w:num="1"/>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sz w:val="21"/>
          <w:szCs w:val="21"/>
        </w:rPr>
      </w:pPr>
      <w:bookmarkStart w:id="1285" w:name="_Toc75276840"/>
      <w:bookmarkStart w:id="1286" w:name="_Toc25750684"/>
      <w:r>
        <w:rPr>
          <w:rFonts w:hint="eastAsia" w:ascii="宋体" w:hAnsi="宋体" w:eastAsia="宋体"/>
          <w:sz w:val="21"/>
          <w:szCs w:val="21"/>
        </w:rPr>
        <w:t xml:space="preserve">C1 </w:t>
      </w:r>
      <w:r>
        <w:rPr>
          <w:rFonts w:ascii="宋体" w:hAnsi="宋体" w:eastAsia="宋体"/>
          <w:sz w:val="21"/>
          <w:szCs w:val="21"/>
        </w:rPr>
        <w:t>技术响应表</w:t>
      </w:r>
      <w:r>
        <w:rPr>
          <w:rFonts w:hint="eastAsia" w:ascii="宋体" w:hAnsi="宋体" w:eastAsia="宋体"/>
          <w:sz w:val="21"/>
          <w:szCs w:val="21"/>
        </w:rPr>
        <w:t>格式</w:t>
      </w:r>
      <w:bookmarkEnd w:id="1285"/>
      <w:bookmarkEnd w:id="1286"/>
    </w:p>
    <w:p>
      <w:pPr>
        <w:spacing w:before="0"/>
        <w:ind w:right="-57" w:firstLine="0"/>
        <w:jc w:val="center"/>
        <w:rPr>
          <w:rFonts w:ascii="宋体" w:hAnsi="宋体"/>
          <w:b/>
          <w:sz w:val="28"/>
          <w:szCs w:val="28"/>
        </w:rPr>
      </w:pPr>
      <w:r>
        <w:rPr>
          <w:rFonts w:hint="eastAsia" w:ascii="宋体" w:hAnsi="宋体"/>
          <w:b/>
        </w:rPr>
        <w:t>技术响应表</w:t>
      </w:r>
      <w:r>
        <w:rPr>
          <w:rFonts w:hint="eastAsia" w:ascii="宋体" w:hAnsi="宋体" w:cs="宋体"/>
          <w:sz w:val="16"/>
          <w:szCs w:val="16"/>
        </w:rPr>
        <w:t>（不论有无偏离，均须逐项填写偏离情况）</w:t>
      </w:r>
    </w:p>
    <w:p>
      <w:pPr>
        <w:spacing w:before="0" w:after="0" w:afterAutospacing="0"/>
        <w:ind w:right="0"/>
        <w:rPr>
          <w:rFonts w:ascii="宋体" w:hAnsi="宋体"/>
        </w:rPr>
      </w:pPr>
      <w:r>
        <w:rPr>
          <w:rFonts w:ascii="宋体" w:hAnsi="宋体"/>
        </w:rPr>
        <w:t>比选申请人名称：</w:t>
      </w:r>
    </w:p>
    <w:p>
      <w:pPr>
        <w:jc w:val="center"/>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2022年运营公司办公家具采购</w:t>
      </w:r>
    </w:p>
    <w:tbl>
      <w:tblPr>
        <w:tblStyle w:val="26"/>
        <w:tblW w:w="15757" w:type="dxa"/>
        <w:tblInd w:w="93" w:type="dxa"/>
        <w:tblLayout w:type="fixed"/>
        <w:tblCellMar>
          <w:top w:w="0" w:type="dxa"/>
          <w:left w:w="108" w:type="dxa"/>
          <w:bottom w:w="0" w:type="dxa"/>
          <w:right w:w="108" w:type="dxa"/>
        </w:tblCellMar>
      </w:tblPr>
      <w:tblGrid>
        <w:gridCol w:w="901"/>
        <w:gridCol w:w="1455"/>
        <w:gridCol w:w="7301"/>
        <w:gridCol w:w="1834"/>
        <w:gridCol w:w="1834"/>
        <w:gridCol w:w="2432"/>
      </w:tblGrid>
      <w:tr>
        <w:tblPrEx>
          <w:tblCellMar>
            <w:top w:w="0" w:type="dxa"/>
            <w:left w:w="108" w:type="dxa"/>
            <w:bottom w:w="0" w:type="dxa"/>
            <w:right w:w="108" w:type="dxa"/>
          </w:tblCellMar>
        </w:tblPrEx>
        <w:trPr>
          <w:trHeight w:val="705"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ascii="宋体" w:hAnsi="宋体" w:cs="宋体"/>
                <w:b/>
                <w:bCs/>
                <w:color w:val="000000"/>
                <w:sz w:val="24"/>
                <w:szCs w:val="24"/>
              </w:rPr>
            </w:pPr>
            <w:r>
              <w:rPr>
                <w:rFonts w:hint="eastAsia" w:ascii="宋体" w:hAnsi="宋体" w:cs="宋体"/>
                <w:b/>
                <w:bCs/>
                <w:color w:val="000000"/>
                <w:sz w:val="24"/>
                <w:szCs w:val="24"/>
                <w:lang w:bidi="ar"/>
              </w:rPr>
              <w:t>序号</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bidi="ar"/>
              </w:rPr>
              <w:t>货物名称</w:t>
            </w:r>
          </w:p>
        </w:tc>
        <w:tc>
          <w:tcPr>
            <w:tcW w:w="730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ascii="宋体" w:hAnsi="宋体" w:cs="宋体"/>
                <w:b/>
                <w:bCs/>
                <w:color w:val="000000"/>
                <w:sz w:val="24"/>
                <w:szCs w:val="24"/>
              </w:rPr>
            </w:pPr>
            <w:r>
              <w:rPr>
                <w:rFonts w:hint="eastAsia" w:ascii="宋体" w:hAnsi="宋体" w:cs="宋体"/>
                <w:b/>
                <w:bCs/>
                <w:color w:val="000000"/>
                <w:sz w:val="24"/>
                <w:szCs w:val="24"/>
                <w:lang w:bidi="ar"/>
              </w:rPr>
              <w:t>型号、技术规格</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ascii="宋体" w:hAnsi="宋体" w:cs="宋体"/>
                <w:b/>
                <w:bCs/>
                <w:color w:val="000000"/>
                <w:sz w:val="24"/>
                <w:szCs w:val="24"/>
                <w:lang w:bidi="ar"/>
              </w:rPr>
            </w:pPr>
            <w:r>
              <w:rPr>
                <w:rFonts w:hint="eastAsia" w:ascii="宋体" w:hAnsi="宋体" w:cs="宋体"/>
                <w:b/>
                <w:bCs/>
                <w:color w:val="000000"/>
                <w:sz w:val="24"/>
                <w:szCs w:val="24"/>
                <w:lang w:bidi="ar"/>
              </w:rPr>
              <w:t>参考品牌</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ascii="宋体" w:hAnsi="宋体" w:cs="宋体"/>
                <w:b/>
                <w:bCs/>
                <w:color w:val="000000"/>
                <w:sz w:val="24"/>
                <w:szCs w:val="24"/>
              </w:rPr>
            </w:pPr>
            <w:r>
              <w:rPr>
                <w:rFonts w:hint="eastAsia" w:ascii="宋体" w:hAnsi="宋体" w:cs="宋体"/>
                <w:b/>
                <w:bCs/>
                <w:color w:val="000000"/>
                <w:sz w:val="24"/>
                <w:szCs w:val="24"/>
                <w:lang w:bidi="ar"/>
              </w:rPr>
              <w:t>偏离情况</w:t>
            </w:r>
          </w:p>
        </w:tc>
        <w:tc>
          <w:tcPr>
            <w:tcW w:w="243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textAlignment w:val="center"/>
              <w:rPr>
                <w:rFonts w:ascii="宋体" w:hAnsi="宋体" w:cs="宋体"/>
                <w:b/>
                <w:bCs/>
                <w:color w:val="000000"/>
                <w:sz w:val="24"/>
                <w:szCs w:val="24"/>
                <w:lang w:bidi="ar"/>
              </w:rPr>
            </w:pPr>
            <w:r>
              <w:rPr>
                <w:rFonts w:hint="eastAsia" w:ascii="宋体" w:hAnsi="宋体" w:cs="宋体"/>
                <w:b/>
                <w:bCs/>
                <w:color w:val="000000"/>
                <w:sz w:val="24"/>
                <w:szCs w:val="24"/>
                <w:lang w:bidi="ar"/>
              </w:rPr>
              <w:t>供货型号、技术规格</w:t>
            </w:r>
          </w:p>
        </w:tc>
      </w:tr>
      <w:tr>
        <w:tblPrEx>
          <w:tblCellMar>
            <w:top w:w="0" w:type="dxa"/>
            <w:left w:w="108" w:type="dxa"/>
            <w:bottom w:w="0" w:type="dxa"/>
            <w:right w:w="108" w:type="dxa"/>
          </w:tblCellMar>
        </w:tblPrEx>
        <w:trPr>
          <w:trHeight w:val="260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沙发套装</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规格：3+2+1,含长茶几一个。沙发长宽高规格：2150*840*900（mm），长茶几长宽高规格：1200*600*450（mm）；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面料：优质环保PU皮覆面，皮质光泽度好，透气性强；</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曲木板：靠背、坐垫采用多层曲木板热压成型，根据人体工程学原理设计，板材承受压力达300KG，经防潮、防腐、防虫蛀等工艺处理，保证环保；</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泡棉：高弹性聚胺脂定型海棉(模具一次成型)，采用颜色均匀的阻燃定型海绵，其中色泽颜色应均匀、不含氟氨化合物，无甲醛及二甲苯等异味，使用无苯胶粘剂粘接，圆润厚实，软硬适中，回弹性好，表面涂有防止老化变形的保护膜；</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框架：采用实木制内框架，木材经六面刨光处理；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颜色：木材红棕色，面料黑色。</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jc w:val="left"/>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72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中层班台</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长宽高规格：1600*900*760（mm)；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面材：一级优质天然木皮饰面；</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基材：采用E1级环保中密度纤维板,游离甲醛释放量优于国家E1级环保标准；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贴面胶：环保贴面胶和包边胶；</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油漆：环保优质油漆，使用最新的无苯天那水，表面先进喷涂工艺；两面均衡油饰，漆膜附着力1级，加附柜，附柜长1200*宽470*高560（mm），抽屉3个，带轮子。推拉轨道带缓冲功能、采用不锈钢优质五金。</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jc w:val="center"/>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98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中层椅子</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椅背黒薄网布，座采用布绒覆面，耐磨，透气性强，坐垫：黑色；</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泡棉：高弹性聚胺脂定型海棉(模具一次成型)，泡棉密度≥30kg/m3，回弹力≥41%，不含氟氨化合物，无甲醛及二甲苯等异味，使用无苯胶粘剂粘接，圆润厚实，软硬适中，回弹性好，表面涂有防止老化变形的保护膜；</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优质气压棒，回旋次数30万次，性能良好；</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选用优质尼龙五星脚及优质高强度尼龙万向轮，承重不低于250kg,活动自如，滑动时无噪音，带头靠、腰靠。</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50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4</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卡座</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1、长宽高规格：1400*1400*1250(mm)；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框架：30mm厚结合框架，结构型材截面厚度为1.0mm；铝合金和钢板表面静电粉末喷涂处理，满足上下走线，走线槽之间相通，实现强弱电分离；带三抽活动柜，木制主机架；</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屏风饰面板：桌下MFC板，桌上为扪布+磨条玻；</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桌面板：板材E1级MFC板，游离甲醛释放量符合或优于国家E1级环保标准；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 xml:space="preserve">封边：台面封边采用新型抗老化性PVC封边，封边工艺采用全自动化机器封边技术，防潮、防晒、耐腐蚀、耐氧化、不易脱落、经久耐用、表面光滑平整，无皱褶无波浪形，防水性能经水滴试验无渗透，经磨边处理；                                                                                       </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台面颜色：业主可选，隔板：磨砂玻璃；</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推拉轨道带缓冲功能、采用不锈钢优质五金。</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90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5</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职员椅子</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采用皮质光泽度好,透气性强,优质环保PU皮覆面；钢管壁厚1.8mm；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泡棉：采用高弹性聚胺脂定型海棉(模具一次成型)，采用颜色均匀的阻燃定型海绵，其中色泽颜色应均匀，允许轻微杂色、黄芯。不允许有尺寸大于6mm对穿孔和大于10mm的气孔,不允许重污染,无刺激性气味。泡棉密度≥30kg/m3，回弹力≥41%，不含氟氨化合物，无甲醛及二甲苯等异味，使用无苯胶粘剂粘接，圆润厚实，软硬适中，回弹性好，表面涂有防止老化变形的保护膜；</w:t>
            </w:r>
          </w:p>
          <w:p>
            <w:pPr>
              <w:spacing w:before="0" w:after="0" w:afterAutospacing="0" w:line="240" w:lineRule="auto"/>
              <w:ind w:left="0" w:right="0" w:firstLine="0"/>
              <w:jc w:val="left"/>
              <w:rPr>
                <w:rFonts w:hint="eastAsia" w:ascii="宋体" w:hAnsi="宋体" w:eastAsia="宋体" w:cs="宋体"/>
                <w:color w:val="000000" w:themeColor="text1"/>
                <w:sz w:val="20"/>
                <w:szCs w:val="20"/>
                <w:lang w:eastAsia="zh-CN"/>
              </w:rPr>
            </w:pPr>
            <w:r>
              <w:rPr>
                <w:rFonts w:hint="eastAsia" w:ascii="宋体" w:hAnsi="宋体" w:cs="宋体"/>
                <w:color w:val="000000" w:themeColor="text1"/>
                <w:sz w:val="20"/>
                <w:szCs w:val="20"/>
              </w:rPr>
              <w:t>尺寸：总高950mm、坐垫离地高400mm，背靠椅与坐垫拐弯连接处：使用钢质材料。</w:t>
            </w:r>
            <w:r>
              <w:rPr>
                <w:rFonts w:hint="eastAsia" w:ascii="宋体" w:hAnsi="宋体" w:cs="宋体"/>
                <w:color w:val="000000" w:themeColor="text1"/>
                <w:sz w:val="20"/>
                <w:szCs w:val="20"/>
                <w:lang w:eastAsia="zh-CN"/>
              </w:rPr>
              <w:t>承重要求：</w:t>
            </w:r>
            <w:r>
              <w:rPr>
                <w:rFonts w:hint="eastAsia" w:ascii="宋体" w:hAnsi="宋体" w:cs="宋体"/>
                <w:color w:val="000000" w:themeColor="text1"/>
                <w:sz w:val="20"/>
                <w:szCs w:val="20"/>
                <w:lang w:val="en-US" w:eastAsia="zh-CN"/>
              </w:rPr>
              <w:t>≥220kg。</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74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6</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工班条形桌</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1、长宽高规格：1400*700*760（mm）；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2、台面板采用厚度为1.2mm的201不锈钢磨砂板，桌面内部采用15mm优质多层板结合环保粘合剂与面板不锈钢无间隙粘贴，多层板下部采用增加承受力及表面平整度，桌面上部无焊点，无渣点</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3、不锈钢、柜体背板离地面高度400mm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4、抽屉：3个小抽屉，1个带锁柜子，推拉轨道带缓冲功能、采用不锈钢优质五金。</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50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7</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工班椅子</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1、长宽高规格：1400*450*450（mm）；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2、架子是40mm边长的方管焊接，厚度≥1.5mm，承重≥200kg,质量保证；</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3、坐面基材采用E1级优质环保型中密度纤维板，厚度25mm，实心，不得中空，游离甲醛释放量符合国家标准；</w:t>
            </w:r>
          </w:p>
          <w:p>
            <w:pPr>
              <w:spacing w:before="0" w:after="0" w:afterAutospacing="0" w:line="240" w:lineRule="auto"/>
              <w:ind w:left="0" w:right="0" w:firstLine="0"/>
              <w:jc w:val="left"/>
              <w:rPr>
                <w:rFonts w:hint="eastAsia" w:ascii="宋体" w:hAnsi="宋体" w:cs="宋体"/>
                <w:color w:val="000000" w:themeColor="text1"/>
                <w:sz w:val="20"/>
                <w:szCs w:val="20"/>
              </w:rPr>
            </w:pPr>
            <w:r>
              <w:rPr>
                <w:rFonts w:hint="eastAsia" w:ascii="宋体" w:hAnsi="宋体" w:cs="宋体"/>
                <w:color w:val="000000" w:themeColor="text1"/>
                <w:sz w:val="20"/>
                <w:szCs w:val="20"/>
              </w:rPr>
              <w:t>4、坐板外贴具有耐磨耐高温的防火板面料，具有耐磨、耐刮花、耐光、耐热等特点。</w:t>
            </w:r>
          </w:p>
          <w:p>
            <w:pPr>
              <w:spacing w:before="0" w:after="0" w:afterAutospacing="0" w:line="240" w:lineRule="auto"/>
              <w:ind w:left="0" w:right="0" w:firstLine="0"/>
              <w:jc w:val="left"/>
              <w:rPr>
                <w:rFonts w:hint="eastAsia" w:ascii="宋体" w:hAnsi="宋体" w:eastAsia="宋体" w:cs="宋体"/>
                <w:color w:val="000000" w:themeColor="text1"/>
                <w:sz w:val="20"/>
                <w:szCs w:val="20"/>
                <w:lang w:val="en-US" w:eastAsia="zh-CN"/>
              </w:rPr>
            </w:pPr>
            <w:r>
              <w:rPr>
                <w:rFonts w:hint="eastAsia" w:ascii="宋体" w:hAnsi="宋体" w:cs="宋体"/>
                <w:color w:val="000000" w:themeColor="text1"/>
                <w:sz w:val="20"/>
                <w:szCs w:val="20"/>
                <w:lang w:val="en-US" w:eastAsia="zh-CN"/>
              </w:rPr>
              <w:t>5、承重要求：</w:t>
            </w:r>
            <w:r>
              <w:rPr>
                <w:rFonts w:hint="eastAsia" w:ascii="宋体" w:hAnsi="宋体" w:eastAsia="宋体" w:cs="宋体"/>
                <w:color w:val="000000" w:themeColor="text1"/>
                <w:sz w:val="20"/>
                <w:szCs w:val="20"/>
                <w:lang w:val="en-US" w:eastAsia="zh-CN"/>
              </w:rPr>
              <w:t>≥450kg</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270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调度椅子</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面料：采用一级优质真皮覆面，皮面柔软舒适、经久耐用、耐磨性强；</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曲木板：靠背、坐垫采用15mmE1级多层曲木板热压成型，根据人体工程学原理设计，板材承受压力达300kg，经防潮、防腐、防虫蛀等工艺处理，保证环保；</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泡棉：高弹性聚胺脂定型海棉(模具一次成型)，泡棉密度≥35kg/m³，回弹力高，不含氟氨化合物，无甲醛及二甲苯等异味，使用无苯胶粘剂粘接，圆润厚实，软硬适中，回弹性好，表面涂有防止老化变形的保护膜；</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气压棒：选用优质气压棒，质量标准符合国际及行业要求；</w:t>
            </w:r>
          </w:p>
          <w:p>
            <w:pPr>
              <w:spacing w:before="0" w:after="0" w:afterAutospacing="0" w:line="240" w:lineRule="auto"/>
              <w:ind w:left="0" w:right="0" w:firstLine="0"/>
              <w:jc w:val="left"/>
              <w:rPr>
                <w:rFonts w:hint="eastAsia" w:ascii="宋体" w:hAnsi="宋体" w:cs="宋体"/>
                <w:color w:val="000000" w:themeColor="text1"/>
                <w:sz w:val="20"/>
                <w:szCs w:val="20"/>
              </w:rPr>
            </w:pPr>
            <w:r>
              <w:rPr>
                <w:rFonts w:hint="eastAsia" w:ascii="宋体" w:hAnsi="宋体" w:cs="宋体"/>
                <w:color w:val="000000" w:themeColor="text1"/>
                <w:sz w:val="20"/>
                <w:szCs w:val="20"/>
              </w:rPr>
              <w:t>五星脚：采用优质铝合金五星脚及优质尼龙万向轮，承重不低于250kg,滑动无噪音。</w:t>
            </w:r>
          </w:p>
          <w:p>
            <w:pPr>
              <w:spacing w:before="0" w:after="0" w:afterAutospacing="0" w:line="240" w:lineRule="auto"/>
              <w:ind w:left="0" w:right="0" w:firstLine="0"/>
              <w:jc w:val="left"/>
              <w:rPr>
                <w:rFonts w:hint="eastAsia" w:ascii="宋体" w:hAnsi="宋体" w:eastAsia="宋体" w:cs="宋体"/>
                <w:color w:val="000000" w:themeColor="text1"/>
                <w:sz w:val="20"/>
                <w:szCs w:val="20"/>
                <w:lang w:eastAsia="zh-CN"/>
              </w:rPr>
            </w:pPr>
            <w:r>
              <w:rPr>
                <w:rFonts w:hint="eastAsia" w:ascii="宋体" w:hAnsi="宋体" w:cs="宋体"/>
                <w:color w:val="000000" w:themeColor="text1"/>
                <w:sz w:val="20"/>
                <w:szCs w:val="20"/>
                <w:lang w:eastAsia="zh-CN"/>
              </w:rPr>
              <w:t>承重要求：</w:t>
            </w:r>
            <w:r>
              <w:rPr>
                <w:rFonts w:hint="eastAsia" w:ascii="宋体" w:hAnsi="宋体" w:cs="宋体"/>
                <w:color w:val="000000" w:themeColor="text1"/>
                <w:sz w:val="20"/>
                <w:szCs w:val="20"/>
                <w:lang w:val="en-US" w:eastAsia="zh-CN"/>
              </w:rPr>
              <w:t>≥250kg</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63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9</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培训桌子</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长宽高规格：1400*450*750(mm)；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基材：25mm厚MFC标准板，优质刨花板基材,游离甲醛释放量符合或优于国家E1级标准；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封边：同色2mm厚PVC直封边；</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五金配件：优质国产五金配件；</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强度：静电强度&gt;15Mpa,内结合强度&gt;0.35Mpa；</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MFC板握螺钉力：板面&gt;1100N,板边&gt;700N。</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90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培训椅子</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1、颜色：框架为木制胡桃色。</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2 面材：采用优质黑色PU皮，皮质细滑，弹性好，柔韧性强；</w:t>
            </w:r>
          </w:p>
          <w:p>
            <w:pPr>
              <w:spacing w:before="0" w:after="0" w:afterAutospacing="0" w:line="240" w:lineRule="auto"/>
              <w:ind w:left="0" w:right="0" w:firstLine="0"/>
              <w:jc w:val="left"/>
              <w:rPr>
                <w:rFonts w:hint="eastAsia" w:ascii="宋体" w:hAnsi="宋体" w:eastAsia="宋体" w:cs="宋体"/>
                <w:color w:val="000000" w:themeColor="text1"/>
                <w:sz w:val="20"/>
                <w:szCs w:val="20"/>
                <w:lang w:eastAsia="zh-CN"/>
              </w:rPr>
            </w:pPr>
            <w:r>
              <w:rPr>
                <w:rFonts w:hint="eastAsia" w:ascii="宋体" w:hAnsi="宋体" w:cs="宋体"/>
                <w:color w:val="000000" w:themeColor="text1"/>
                <w:sz w:val="20"/>
                <w:szCs w:val="20"/>
              </w:rPr>
              <w:t>3 海棉：采用高回弹阻燃聚胺脂定型海棉(模具一次成型)，采用颜色均匀的阻燃定型海绵，其中色泽颜色应均匀、黄芯，不允许有尺寸大于6mm对穿孔和大于10mm的气孔,不允许重污染,无刺激性气味。泡棉密度座≥40kg/ m3，背≥32kg/ m3，不含氟氨化合物，无甲醛及二甲苯等异味，使用无苯胶粘剂粘接，圆润厚实，软硬适中，回弹性好。</w:t>
            </w:r>
            <w:r>
              <w:rPr>
                <w:rFonts w:hint="eastAsia" w:ascii="宋体" w:hAnsi="宋体" w:cs="宋体"/>
                <w:color w:val="000000" w:themeColor="text1"/>
                <w:sz w:val="20"/>
                <w:szCs w:val="20"/>
                <w:lang w:eastAsia="zh-CN"/>
              </w:rPr>
              <w:t>承重要求：</w:t>
            </w:r>
            <w:r>
              <w:rPr>
                <w:rFonts w:hint="eastAsia" w:ascii="宋体" w:hAnsi="宋体" w:cs="宋体"/>
                <w:color w:val="000000" w:themeColor="text1"/>
                <w:sz w:val="20"/>
                <w:szCs w:val="20"/>
                <w:lang w:val="en-US" w:eastAsia="zh-CN"/>
              </w:rPr>
              <w:t>≥250kg</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614"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五节钢制文件柜</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每节长宽高规格：850*390*405（mm）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钢板采用优质冷轧钢，侧板、门板、承载部件的钢板厚度为0.8mm；产品外观光滑平整，无划伤，开裂和变形，整柜外表涂层色泽一致，无涂层脱落或露底；冲压件平整，无毛刺，无裂缝，焊接牢固，外表光滑、平整；表面光滑平整，无划伤，色泽均匀，无露底，流挂，起泡，皱皮等缺陷。优质五金配件，单柜带锁</w:t>
            </w:r>
            <w:r>
              <w:rPr>
                <w:rFonts w:hint="eastAsia" w:ascii="宋体" w:hAnsi="宋体" w:cs="宋体"/>
                <w:color w:val="000000" w:themeColor="text1"/>
                <w:sz w:val="20"/>
                <w:szCs w:val="20"/>
                <w:lang w:eastAsia="zh-CN"/>
              </w:rPr>
              <w:t>，承重要求：</w:t>
            </w:r>
            <w:r>
              <w:rPr>
                <w:rFonts w:hint="eastAsia" w:ascii="宋体" w:hAnsi="宋体" w:cs="宋体"/>
                <w:color w:val="000000" w:themeColor="text1"/>
                <w:sz w:val="20"/>
                <w:szCs w:val="20"/>
                <w:lang w:val="en-US" w:eastAsia="zh-CN"/>
              </w:rPr>
              <w:t>钢制文件柜每层≥35kg</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38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12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更衣柜</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长宽高规格：900*420*1800（mm）。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钢板采用优质冷轧钢，侧板、门板、承载部件的钢板厚度为0.8mm；产品外观光滑平整，无划伤，开裂和变形，整柜外表涂层色泽一致，无涂层脱落或露底；冲压件平整，无毛刺，无裂缝，焊接牢固，外表光滑、平整；表面光滑平整，无划伤，色泽均匀，无露底，流挂，起泡，皱皮等缺陷，两个对开门，共4扇门，4把锁具，柜内带挂衣功能。</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925"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13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折叠椅子</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材质：采用皮质光泽度好,透气性强,优质环保皮覆面+优质静电喷涂钢管，展开尺寸长宽高470*460*780（mm）,颜色：黑色</w:t>
            </w:r>
            <w:r>
              <w:rPr>
                <w:rFonts w:hint="eastAsia" w:ascii="宋体" w:hAnsi="宋体" w:cs="宋体"/>
                <w:color w:val="000000" w:themeColor="text1"/>
                <w:sz w:val="20"/>
                <w:szCs w:val="20"/>
                <w:lang w:eastAsia="zh-CN"/>
              </w:rPr>
              <w:t>，承重要求：</w:t>
            </w:r>
            <w:r>
              <w:rPr>
                <w:rFonts w:hint="eastAsia" w:ascii="宋体" w:hAnsi="宋体" w:cs="宋体"/>
                <w:color w:val="000000" w:themeColor="text1"/>
                <w:sz w:val="20"/>
                <w:szCs w:val="20"/>
                <w:lang w:val="en-US" w:eastAsia="zh-CN"/>
              </w:rPr>
              <w:t>≥100kg。</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3076"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14</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茶水柜</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长宽高规格：800*400*800（mm）；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面材：一级优质天然木皮饰面；</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基材：板材厚度18mm,采用E1级环保中密度纤维板,游离甲醛释放量符合或优于国家E1级环保标准；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封边：四周采用同色封四边处理,物理性能佳，严密平整，线条均匀，转角过渡自然，不易变形及开裂；</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贴面胶：环保贴面胶和包边胶；</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油漆：环保优质油漆，使用最新的无苯天那水，表面先进喷涂工艺；两面均衡油饰，漆膜附着力1级；</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79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cs="宋体"/>
                <w:color w:val="000000"/>
                <w:sz w:val="20"/>
                <w:szCs w:val="20"/>
                <w:lang w:val="en-US"/>
              </w:rPr>
            </w:pPr>
            <w:r>
              <w:rPr>
                <w:rFonts w:hint="eastAsia" w:ascii="宋体" w:hAnsi="宋体" w:cs="宋体"/>
                <w:color w:val="000000"/>
                <w:sz w:val="20"/>
                <w:szCs w:val="20"/>
                <w:lang w:val="en-US" w:eastAsia="zh-CN" w:bidi="ar"/>
              </w:rPr>
              <w:t>15</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钥匙柜</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120位铝合金五排钥匙柜。尺寸长宽高：400*55*780（mm） 壁挂式、包安装。</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66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val="en-US" w:eastAsia="zh-CN" w:bidi="ar"/>
              </w:rPr>
              <w:t>16</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长条凳</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1、长宽高规格：1100*300*450（mm）；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2、架子是40mm边长的方管焊接 厚度为 1.5mm，质量保证；</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3、坐面基材采用国家健康标准E1级优质环保型胶合板，厚度25mm，实心，不得中空，游离甲醛释放量符合或优于国家E1级环保标准；</w:t>
            </w:r>
          </w:p>
          <w:p>
            <w:pPr>
              <w:spacing w:before="0" w:after="0" w:afterAutospacing="0" w:line="240" w:lineRule="auto"/>
              <w:ind w:left="0" w:right="0" w:firstLine="0"/>
              <w:jc w:val="left"/>
              <w:rPr>
                <w:rFonts w:hint="eastAsia" w:ascii="宋体" w:hAnsi="宋体" w:cs="宋体"/>
                <w:color w:val="000000" w:themeColor="text1"/>
                <w:sz w:val="20"/>
                <w:szCs w:val="20"/>
              </w:rPr>
            </w:pPr>
            <w:r>
              <w:rPr>
                <w:rFonts w:hint="eastAsia" w:ascii="宋体" w:hAnsi="宋体" w:cs="宋体"/>
                <w:color w:val="000000" w:themeColor="text1"/>
                <w:sz w:val="20"/>
                <w:szCs w:val="20"/>
              </w:rPr>
              <w:t>4、坐板外贴具有耐磨耐高温的防火板面料，具有耐磨、耐刮花、耐光、耐热等特点。</w:t>
            </w:r>
          </w:p>
          <w:p>
            <w:pPr>
              <w:spacing w:before="0" w:after="0" w:afterAutospacing="0" w:line="240" w:lineRule="auto"/>
              <w:ind w:left="0" w:right="0" w:firstLine="0"/>
              <w:jc w:val="left"/>
              <w:rPr>
                <w:rFonts w:hint="eastAsia" w:ascii="宋体" w:hAnsi="宋体" w:eastAsia="宋体" w:cs="宋体"/>
                <w:color w:val="000000" w:themeColor="text1"/>
                <w:sz w:val="20"/>
                <w:szCs w:val="20"/>
                <w:lang w:eastAsia="zh-CN"/>
              </w:rPr>
            </w:pPr>
            <w:r>
              <w:rPr>
                <w:rFonts w:hint="eastAsia" w:ascii="宋体" w:hAnsi="宋体" w:cs="宋体"/>
                <w:color w:val="000000" w:themeColor="text1"/>
                <w:sz w:val="20"/>
                <w:szCs w:val="20"/>
                <w:lang w:val="en-US" w:eastAsia="zh-CN"/>
              </w:rPr>
              <w:t>5、</w:t>
            </w:r>
            <w:r>
              <w:rPr>
                <w:rFonts w:hint="eastAsia" w:ascii="宋体" w:hAnsi="宋体" w:cs="宋体"/>
                <w:color w:val="000000" w:themeColor="text1"/>
                <w:sz w:val="20"/>
                <w:szCs w:val="20"/>
                <w:lang w:eastAsia="zh-CN"/>
              </w:rPr>
              <w:t>承重要求：</w:t>
            </w:r>
            <w:r>
              <w:rPr>
                <w:rFonts w:hint="eastAsia" w:ascii="宋体" w:hAnsi="宋体" w:cs="宋体"/>
                <w:color w:val="000000" w:themeColor="text1"/>
                <w:sz w:val="20"/>
                <w:szCs w:val="20"/>
                <w:lang w:val="en-US" w:eastAsia="zh-CN"/>
              </w:rPr>
              <w:t>≥500kg</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24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17</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站厅传单展示架</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长宽高规格：630*380*1470（mm）；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 xml:space="preserve">材料采用优质0.6MM厚冷轧钢板，经剪板、冲压、折弯、点焊成型，外表经除锈、水洗、酸洗、磷化、再水洗、烘干处理。 表面处理：表面经过脱脂→酸洗→表调→磷化→水洗→烘干→静电喷塑→烘干等九工位处理，底座带滑轮。共9层，带网格挡板。  </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785"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val="en-US" w:eastAsia="zh-CN" w:bidi="ar"/>
              </w:rPr>
              <w:t>18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更衣镜</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更衣镜:立式,宽高390*1550（mm），形状:长方形 边框：铝合金，镜面材质: 银；壁挂式免打孔（包安装)。</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01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val="en-US" w:eastAsia="zh-CN" w:bidi="ar"/>
              </w:rPr>
              <w:t>19</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折叠床</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长宽1900*900（mm），优质架厚钢架，海绵：采用高密度定型海绵，为阻燃泡棉</w:t>
            </w:r>
            <w:r>
              <w:rPr>
                <w:rFonts w:hint="eastAsia" w:ascii="宋体" w:hAnsi="宋体" w:cs="宋体"/>
                <w:color w:val="000000" w:themeColor="text1"/>
                <w:sz w:val="20"/>
                <w:szCs w:val="20"/>
                <w:lang w:eastAsia="zh-CN"/>
              </w:rPr>
              <w:t>，承重要求</w:t>
            </w:r>
            <w:r>
              <w:rPr>
                <w:rFonts w:hint="eastAsia" w:ascii="宋体" w:hAnsi="宋体" w:cs="宋体"/>
                <w:color w:val="000000" w:themeColor="text1"/>
                <w:sz w:val="20"/>
                <w:szCs w:val="20"/>
              </w:rPr>
              <w:t xml:space="preserve"> </w:t>
            </w:r>
            <w:r>
              <w:rPr>
                <w:rFonts w:hint="eastAsia" w:ascii="宋体" w:hAnsi="宋体" w:cs="宋体"/>
                <w:color w:val="000000" w:themeColor="text1"/>
                <w:sz w:val="20"/>
                <w:szCs w:val="20"/>
                <w:lang w:val="en-US" w:eastAsia="zh-CN"/>
              </w:rPr>
              <w:t>≥190kg。</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53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大型会议桌</w:t>
            </w:r>
          </w:p>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（6米）</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长宽高规格：6000*1800*750(mm)；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面材：一级优质天然木皮饰面,台面厚度80mm;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基材：采用E1级环保中密度纤维板,游离甲醛释放量符合或优于国家E1级环保标准；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封边：四周采用同色封四边处理,物理性能佳，严密平整，线条均匀，转角过渡自然，不易变形及开裂；</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贴面胶：环保贴面胶和包边胶；</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油漆：环保PU油漆，使用优质的无苯天那水，表面先进喷涂工艺；两面均衡油饰，漆膜附着力1级；颜色：红棕色。</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244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2</w:t>
            </w:r>
            <w:r>
              <w:rPr>
                <w:rFonts w:hint="eastAsia" w:ascii="宋体" w:hAnsi="宋体" w:cs="宋体"/>
                <w:color w:val="000000"/>
                <w:sz w:val="20"/>
                <w:szCs w:val="20"/>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中型会议桌</w:t>
            </w:r>
          </w:p>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（4.8米）</w:t>
            </w:r>
          </w:p>
        </w:tc>
        <w:tc>
          <w:tcPr>
            <w:tcW w:w="73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长宽高规格：4800*1800*750(mm)；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面材：一级优质天然木皮饰面,台面厚度80mm;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基材：采用E1级环保中密度纤维板,游离甲醛释放量符合或优于国家E1级环保标准；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封边：四周采用同色封四边处理,物理性能佳，严密平整，线条均匀，转角过渡自然，不易变形及开裂；</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贴面胶：环保贴面胶和包边胶；</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油漆：环保PU油漆，使用优质的无苯天那水，表面先进喷涂工艺；两面均衡油饰，漆膜附着力1级；</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颜色：红棕色。</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234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小型会议桌</w:t>
            </w:r>
          </w:p>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（3.8米）</w:t>
            </w:r>
          </w:p>
        </w:tc>
        <w:tc>
          <w:tcPr>
            <w:tcW w:w="73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长宽高规格：3800*1600*750(mm)；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面材：一级优质天然木皮饰面,台面厚度80mm;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基材：采用E1级环保中密度纤维板,游离甲醛释放量符合或优于国家E1级环保标准；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封边：四周采用同色封四边处理,物理性能佳，严密平整，线条均匀，转角过渡自然，不易变形及开裂；</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贴面胶：环保贴面胶和包边胶；</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油漆：环保PU油漆，使用优质的无苯天那水，表面先进喷涂工艺；两面均衡油饰，漆膜附着力1级；</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颜色：红棕色。</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254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小型会议桌</w:t>
            </w:r>
          </w:p>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（3.2米）</w:t>
            </w:r>
          </w:p>
        </w:tc>
        <w:tc>
          <w:tcPr>
            <w:tcW w:w="73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长宽高规格：3200*1600*750(mm)；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面材：一级优质天然木皮饰面,台面厚度80mm;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基材：采用E1级环保中密度纤维板,游离甲醛释放量符合或优于国家E1级环保标准；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封边：四周采用同色封四边处理,物理性能佳，严密平整，线条均匀，转角过渡自然，不易变形及开裂；</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贴面胶：环保贴面胶和包边胶；</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油漆：环保PU油漆，使用优质的无苯天那水，表面先进喷涂工艺；两面均衡油饰，漆膜附着力1级；</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颜色：红棕色。</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32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cs="宋体"/>
                <w:color w:val="000000"/>
                <w:sz w:val="20"/>
                <w:szCs w:val="20"/>
                <w:lang w:val="en-US"/>
              </w:rPr>
            </w:pPr>
            <w:r>
              <w:rPr>
                <w:rFonts w:hint="eastAsia" w:ascii="宋体" w:hAnsi="宋体" w:cs="宋体"/>
                <w:color w:val="000000"/>
                <w:sz w:val="20"/>
                <w:szCs w:val="20"/>
                <w:lang w:val="en-US" w:eastAsia="zh-CN" w:bidi="ar"/>
              </w:rPr>
              <w:t>24</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小型会议桌</w:t>
            </w:r>
          </w:p>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（3.2米）</w:t>
            </w:r>
          </w:p>
        </w:tc>
        <w:tc>
          <w:tcPr>
            <w:tcW w:w="73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长宽高规格：3200*1300*760(mm)；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1、基材：台面采用20mm人造石台面，四周包边80厚，底座采用1.5mm厚304不锈钢管焊接，支撑脚钢管尺寸不小于50*50mm，台面与桌架用优质耐腐蚀五金件连接；                                                                              2、石头面颜色：米白色。</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975"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25</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塑料凳</w:t>
            </w:r>
          </w:p>
        </w:tc>
        <w:tc>
          <w:tcPr>
            <w:tcW w:w="73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PP材质 加厚好质量 安全耐摔</w:t>
            </w:r>
            <w:r>
              <w:rPr>
                <w:rFonts w:hint="eastAsia" w:ascii="宋体" w:hAnsi="宋体" w:cs="宋体"/>
                <w:color w:val="000000" w:themeColor="text1"/>
                <w:sz w:val="20"/>
                <w:szCs w:val="20"/>
                <w:lang w:eastAsia="zh-CN"/>
              </w:rPr>
              <w:t>，承重要求：</w:t>
            </w:r>
            <w:r>
              <w:rPr>
                <w:rFonts w:hint="eastAsia" w:ascii="宋体" w:hAnsi="宋体" w:cs="宋体"/>
                <w:color w:val="000000" w:themeColor="text1"/>
                <w:sz w:val="20"/>
                <w:szCs w:val="20"/>
                <w:lang w:val="en-US" w:eastAsia="zh-CN"/>
              </w:rPr>
              <w:t>≥150kg。</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颜色:红色。</w:t>
            </w:r>
          </w:p>
        </w:tc>
        <w:tc>
          <w:tcPr>
            <w:tcW w:w="1834" w:type="dxa"/>
            <w:tcBorders>
              <w:top w:val="single" w:color="000000" w:sz="4" w:space="0"/>
              <w:left w:val="single" w:color="000000" w:sz="4" w:space="0"/>
              <w:bottom w:val="single" w:color="000000" w:sz="4" w:space="0"/>
              <w:right w:val="single" w:color="000000" w:sz="4" w:space="0"/>
            </w:tcBorders>
            <w:shd w:val="clear" w:color="auto" w:fill="auto"/>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0"/>
                <w:szCs w:val="20"/>
                <w:bdr w:val="single" w:color="000000" w:sz="4" w:space="0"/>
                <w:lang w:bidi="ar"/>
              </w:rPr>
            </w:pPr>
          </w:p>
        </w:tc>
      </w:tr>
      <w:tr>
        <w:tblPrEx>
          <w:tblCellMar>
            <w:top w:w="0" w:type="dxa"/>
            <w:left w:w="108" w:type="dxa"/>
            <w:bottom w:w="0" w:type="dxa"/>
            <w:right w:w="108" w:type="dxa"/>
          </w:tblCellMar>
        </w:tblPrEx>
        <w:trPr>
          <w:trHeight w:val="208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26</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不锈钢茶水柜</w:t>
            </w:r>
          </w:p>
        </w:tc>
        <w:tc>
          <w:tcPr>
            <w:tcW w:w="73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1、长宽高规格：900*400*1200（mm）；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2、参数：采用优质不锈钢板制作，板材厚度1.0mm，拉手采用嵌入式铝合金拉手，锁具采用优质转舌锁。焊接全部采用氩弧焊焊接，接口满焊，精细打磨，整体表面无渣点，无空洞，桌面内部采用12mm优质理化板结合环保粘合剂与面板不锈钢无间隙粘贴，理化板下部采用增加承受力及表面平整度，桌面上部无焊点，无渣点；</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3、焊点：工艺精美、焊点不明显；</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4、柜体为三个对开门，柜内三格。</w:t>
            </w:r>
          </w:p>
        </w:tc>
        <w:tc>
          <w:tcPr>
            <w:tcW w:w="1834" w:type="dxa"/>
            <w:tcBorders>
              <w:top w:val="single" w:color="000000" w:sz="4" w:space="0"/>
              <w:left w:val="single" w:color="000000" w:sz="4" w:space="0"/>
              <w:bottom w:val="single" w:color="000000" w:sz="4" w:space="0"/>
              <w:right w:val="single" w:color="000000" w:sz="4" w:space="0"/>
            </w:tcBorders>
            <w:shd w:val="clear" w:color="auto" w:fill="auto"/>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0"/>
                <w:szCs w:val="20"/>
                <w:bdr w:val="single" w:color="000000" w:sz="4" w:space="0"/>
                <w:lang w:bidi="ar"/>
              </w:rPr>
            </w:pPr>
          </w:p>
        </w:tc>
      </w:tr>
      <w:tr>
        <w:tblPrEx>
          <w:tblCellMar>
            <w:top w:w="0" w:type="dxa"/>
            <w:left w:w="108" w:type="dxa"/>
            <w:bottom w:w="0" w:type="dxa"/>
            <w:right w:w="108" w:type="dxa"/>
          </w:tblCellMar>
        </w:tblPrEx>
        <w:trPr>
          <w:trHeight w:val="156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27</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玻璃文件柜</w:t>
            </w:r>
          </w:p>
        </w:tc>
        <w:tc>
          <w:tcPr>
            <w:tcW w:w="73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长宽高规格：850*390*1800（mm）；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钢板采用优质冷轧钢，侧板、门板、承载部件的钢板厚度为0.8mm；产品外观光滑平整，无划伤，开裂和变形，整柜外表涂层色泽一致，无涂层脱落或露底；冲压件平整，无毛刺，无裂缝，焊接牢固，外表光滑、平整；表面光滑平整，无划伤，色泽均匀，无露底，流挂，起泡，皱皮等缺陷。</w:t>
            </w:r>
          </w:p>
        </w:tc>
        <w:tc>
          <w:tcPr>
            <w:tcW w:w="1834" w:type="dxa"/>
            <w:tcBorders>
              <w:top w:val="single" w:color="000000" w:sz="4" w:space="0"/>
              <w:left w:val="single" w:color="000000" w:sz="4" w:space="0"/>
              <w:bottom w:val="single" w:color="000000" w:sz="4" w:space="0"/>
              <w:right w:val="single" w:color="000000" w:sz="4" w:space="0"/>
            </w:tcBorders>
            <w:shd w:val="clear" w:color="auto" w:fill="auto"/>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宋体" w:hAnsi="宋体" w:cs="宋体"/>
                <w:color w:val="000000"/>
                <w:sz w:val="20"/>
                <w:szCs w:val="20"/>
                <w:bdr w:val="single" w:color="000000" w:sz="4" w:space="0"/>
                <w:lang w:bidi="ar"/>
              </w:rPr>
            </w:pPr>
          </w:p>
        </w:tc>
      </w:tr>
      <w:tr>
        <w:tblPrEx>
          <w:tblCellMar>
            <w:top w:w="0" w:type="dxa"/>
            <w:left w:w="108" w:type="dxa"/>
            <w:bottom w:w="0" w:type="dxa"/>
            <w:right w:w="108" w:type="dxa"/>
          </w:tblCellMar>
        </w:tblPrEx>
        <w:trPr>
          <w:trHeight w:val="168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司机公寓床铺</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1、长宽高规格：20000*1200*500（mm）；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2、材质：采用100%橡木结构，天然环保，木纹自然纹理清晰，经久耐用，稳固合理设计，国标一级环保漆，床体各部件精心打磨、圆滑处理，防止刮伤、碰伤；</w:t>
            </w:r>
          </w:p>
          <w:p>
            <w:pPr>
              <w:spacing w:before="0" w:after="0" w:afterAutospacing="0" w:line="240" w:lineRule="auto"/>
              <w:ind w:left="0" w:right="0" w:firstLine="0"/>
              <w:jc w:val="left"/>
              <w:rPr>
                <w:rFonts w:hint="eastAsia" w:ascii="宋体" w:hAnsi="宋体" w:eastAsia="宋体" w:cs="宋体"/>
                <w:color w:val="000000" w:themeColor="text1"/>
                <w:sz w:val="20"/>
                <w:szCs w:val="20"/>
                <w:lang w:eastAsia="zh-CN"/>
              </w:rPr>
            </w:pPr>
            <w:r>
              <w:rPr>
                <w:rFonts w:hint="eastAsia" w:ascii="宋体" w:hAnsi="宋体" w:cs="宋体"/>
                <w:color w:val="000000" w:themeColor="text1"/>
                <w:sz w:val="20"/>
                <w:szCs w:val="20"/>
              </w:rPr>
              <w:t>3、工艺：木材经过脱脂、烘干、裁剪、制作、打磨等多道程序，保证产品的完美度。床头一体式设计，增加床的稳固性。</w:t>
            </w:r>
            <w:r>
              <w:rPr>
                <w:rFonts w:hint="eastAsia" w:ascii="宋体" w:hAnsi="宋体" w:cs="宋体"/>
                <w:color w:val="000000" w:themeColor="text1"/>
                <w:sz w:val="20"/>
                <w:szCs w:val="20"/>
                <w:lang w:eastAsia="zh-CN"/>
              </w:rPr>
              <w:t>承重要求：</w:t>
            </w:r>
            <w:r>
              <w:rPr>
                <w:rFonts w:hint="eastAsia" w:ascii="宋体" w:hAnsi="宋体" w:cs="宋体"/>
                <w:color w:val="000000" w:themeColor="text1"/>
                <w:sz w:val="20"/>
                <w:szCs w:val="20"/>
                <w:lang w:val="en-US" w:eastAsia="zh-CN"/>
              </w:rPr>
              <w:t>≥400kg。</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296"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29</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不锈钢长条凳</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hint="eastAsia" w:ascii="宋体" w:hAnsi="宋体" w:eastAsia="宋体" w:cs="宋体"/>
                <w:color w:val="000000" w:themeColor="text1"/>
                <w:sz w:val="20"/>
                <w:szCs w:val="20"/>
                <w:lang w:eastAsia="zh-CN"/>
              </w:rPr>
            </w:pPr>
            <w:r>
              <w:rPr>
                <w:rFonts w:hint="eastAsia" w:ascii="宋体" w:hAnsi="宋体" w:cs="宋体"/>
                <w:color w:val="000000" w:themeColor="text1"/>
                <w:sz w:val="20"/>
                <w:szCs w:val="20"/>
              </w:rPr>
              <w:t>长宽高规格：1400*450*450（mm）,采用201不锈钢材料制作，焊接全部采用氩弧焊焊接，接口满焊，精细打磨，整体表面无渣点，无空洞。椅子防腐，防蛀、防锈、防晒且美观。产品精心设计，易清洗，不易变形，安全可靠，包安装固定于地面</w:t>
            </w:r>
            <w:r>
              <w:rPr>
                <w:rFonts w:hint="eastAsia" w:ascii="宋体" w:hAnsi="宋体" w:cs="宋体"/>
                <w:color w:val="000000" w:themeColor="text1"/>
                <w:sz w:val="20"/>
                <w:szCs w:val="20"/>
                <w:lang w:eastAsia="zh-CN"/>
              </w:rPr>
              <w:t>，承重要求：</w:t>
            </w:r>
            <w:r>
              <w:rPr>
                <w:rFonts w:hint="eastAsia" w:ascii="宋体" w:hAnsi="宋体" w:cs="宋体"/>
                <w:color w:val="000000" w:themeColor="text1"/>
                <w:sz w:val="20"/>
                <w:szCs w:val="20"/>
                <w:lang w:val="en-US" w:eastAsia="zh-CN"/>
              </w:rPr>
              <w:t>≥420kg。</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新宋体" w:hAnsi="新宋体" w:eastAsia="新宋体" w:cs="新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新宋体" w:hAnsi="新宋体" w:eastAsia="新宋体" w:cs="新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89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书柜</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 xml:space="preserve">长宽高规格：1200*300*1800 （mm）；                                         </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基材：MFC标准板，优质刨花板基材,游离甲醛释放量符合或优于国家E1级标准；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封边：同色2mm厚PVC直封边；</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五金配件：优质国产五金配件；</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强度：静电强度&gt;15Mpa,内结合强度&gt;0.35Mpa；</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MFC板握螺钉力：板面&gt;1100N,板边&gt;700N。</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新宋体" w:hAnsi="新宋体" w:eastAsia="新宋体" w:cs="新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新宋体" w:hAnsi="新宋体" w:eastAsia="新宋体" w:cs="新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256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通双节保密柜</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长宽高规格：900*420*1850</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1、内藏式防撬门。</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2、1.2mm厚钢板（不含塑粉）全自动脱脂，纯净水清洗、加温除油磷化、表调、干燥工艺，使产品防锈能力更强，寿命更长。精度高、通用性强。</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3、焊接部分采用高标准熔接焊,表面平整光滑采用全自动喷涂流水线，表面静电粉沫喷塑，采用环保无毒害粉沫。 1-9位自选密码，多级别密码管理；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4、高亮数码管式液晶显示；</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5、外接后备电源；</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6、机械应急钥匙应急开箱。</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79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屏风</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1、此款屏风采用优质材质，铝合金边框工艺为阳极氧化处理；</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2、隔板厚度为40mm，所有铝型材壁厚达到1.2mm厚，材料全部冲压完成，拆装方便自如，配套有强大的走线槽，屏风脚下上配有可调12mm高的金属调节器，优质木色MFC饰面；</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3、长高规格：1200*2000</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4、包安装并包含安装五金配件。</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新宋体" w:hAnsi="新宋体" w:eastAsia="新宋体" w:cs="新宋体"/>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新宋体" w:hAnsi="新宋体" w:eastAsia="新宋体" w:cs="新宋体"/>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465"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铁面凉凳</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产品外观光滑平整，无划伤，无开裂和变形，整凳外表涂层色泽一致，无毛刺，焊接牢固，无涂层脱落或露底；</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材质：钢材</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凳面直径：290mm±20</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凳子高度：430mm±20</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凳腿直径：8mm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sz w:val="20"/>
                <w:szCs w:val="20"/>
              </w:rPr>
              <w:t>凳子承重：</w:t>
            </w:r>
            <w:r>
              <w:rPr>
                <w:rFonts w:hint="eastAsia" w:ascii="宋体" w:hAnsi="宋体" w:cs="宋体"/>
                <w:color w:val="000000"/>
                <w:sz w:val="20"/>
                <w:szCs w:val="20"/>
                <w:lang w:val="en-US" w:eastAsia="zh-CN"/>
              </w:rPr>
              <w:t>≥</w:t>
            </w:r>
            <w:r>
              <w:rPr>
                <w:rFonts w:hint="eastAsia" w:ascii="宋体" w:hAnsi="宋体" w:cs="宋体"/>
                <w:color w:val="000000"/>
                <w:sz w:val="20"/>
                <w:szCs w:val="20"/>
              </w:rPr>
              <w:t>250kg</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155"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34</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折叠桌</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长宽高规格：1200*600*700（mm）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桌面防火密度板，桌面铝合金包边</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桌脚，铝合金材质</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120"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cs="宋体"/>
                <w:color w:val="000000"/>
                <w:sz w:val="20"/>
                <w:szCs w:val="20"/>
                <w:lang w:val="en-US"/>
              </w:rPr>
            </w:pPr>
            <w:r>
              <w:rPr>
                <w:rFonts w:hint="eastAsia" w:ascii="宋体" w:hAnsi="宋体" w:cs="宋体"/>
                <w:color w:val="000000"/>
                <w:sz w:val="20"/>
                <w:szCs w:val="20"/>
                <w:lang w:val="en-US" w:eastAsia="zh-CN" w:bidi="ar"/>
              </w:rPr>
              <w:t>35</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门帘</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不透明磨砂PVC塑料</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2225"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36</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储物凳</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长宽高规格：1200*400*400（mm）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面料：优质环保PU皮覆面，皮质光泽度好，透气性强；</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曲木板：靠背、坐垫采用多层曲木板热压成型，根据人体工程学原理设计，板材承受压力达300kg，经防潮、防腐、防虫蛀等工艺处理，保证环保；</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泡棉：高弹性聚胺脂定型海棉(模具一次成型)，采用颜色均匀的阻燃定型海绵，其中色泽颜色应均匀、不含氟氨化合物，无甲醛及二甲苯等异味，使用无苯胶粘剂粘接，圆润厚实，软硬适中，回弹性好，表面涂有防止老化变形的保护膜；</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框架：采用实木制内框架，木材经六面刨光处理；</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bdr w:val="single" w:color="000000" w:sz="4" w:space="0"/>
                <w:shd w:val="clear" w:color="auto" w:fill="FFFFFF"/>
                <w:lang w:bidi="ar"/>
              </w:rPr>
            </w:pPr>
          </w:p>
        </w:tc>
      </w:tr>
      <w:tr>
        <w:tblPrEx>
          <w:tblCellMar>
            <w:top w:w="0" w:type="dxa"/>
            <w:left w:w="108" w:type="dxa"/>
            <w:bottom w:w="0" w:type="dxa"/>
            <w:right w:w="108" w:type="dxa"/>
          </w:tblCellMar>
        </w:tblPrEx>
        <w:trPr>
          <w:trHeight w:val="1555"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37</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电视柜</w:t>
            </w:r>
          </w:p>
        </w:tc>
        <w:tc>
          <w:tcPr>
            <w:tcW w:w="7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1.长宽高：1600*550*625(mm)</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 xml:space="preserve">2.全部采用E0环保MFC材质标准，全A标准PVC封边；                                                                      3.面板、侧板、底板250mm，其余全采用160mm；                                            </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4.四掩门设置，异型暗拉手，标配缓冲门铰，内置1件活动层板。</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ind w:left="0" w:firstLine="0"/>
              <w:textAlignment w:val="top"/>
              <w:rPr>
                <w:rFonts w:ascii="宋体" w:hAnsi="宋体" w:cs="宋体"/>
                <w:color w:val="000000"/>
                <w:sz w:val="20"/>
                <w:szCs w:val="20"/>
              </w:rPr>
            </w:pPr>
          </w:p>
          <w:p>
            <w:pPr>
              <w:ind w:left="0" w:firstLine="0"/>
              <w:jc w:val="center"/>
              <w:textAlignment w:val="top"/>
              <w:rPr>
                <w:rFonts w:ascii="宋体" w:hAnsi="宋体" w:cs="宋体"/>
                <w:color w:val="000000"/>
                <w:sz w:val="20"/>
                <w:szCs w:val="20"/>
              </w:rPr>
            </w:pPr>
            <w:r>
              <w:rPr>
                <w:rFonts w:hint="eastAsia" w:ascii="宋体" w:hAnsi="宋体" w:cs="宋体"/>
                <w:color w:val="000000"/>
                <w:sz w:val="20"/>
                <w:szCs w:val="20"/>
              </w:rPr>
              <w:t>富诚、颂泰、铭志</w:t>
            </w:r>
          </w:p>
        </w:tc>
        <w:tc>
          <w:tcPr>
            <w:tcW w:w="1834"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bdr w:val="single" w:color="000000" w:sz="4" w:space="0"/>
                <w:shd w:val="clear" w:color="auto" w:fill="FFFFFF"/>
                <w:lang w:bidi="ar"/>
              </w:rPr>
            </w:pPr>
          </w:p>
        </w:tc>
      </w:tr>
    </w:tbl>
    <w:p>
      <w:pPr>
        <w:ind w:left="0" w:firstLine="0"/>
        <w:jc w:val="center"/>
        <w:rPr>
          <w:rFonts w:ascii="宋体" w:hAnsi="宋体"/>
        </w:rPr>
        <w:sectPr>
          <w:pgSz w:w="16838" w:h="11905" w:orient="landscape"/>
          <w:pgMar w:top="851" w:right="851" w:bottom="851" w:left="851" w:header="454" w:footer="567" w:gutter="0"/>
          <w:cols w:space="720" w:num="1"/>
          <w:docGrid w:linePitch="312" w:charSpace="0"/>
        </w:sectPr>
      </w:pPr>
    </w:p>
    <w:p>
      <w:pPr>
        <w:snapToGrid w:val="0"/>
        <w:spacing w:after="50" w:line="280" w:lineRule="exact"/>
        <w:ind w:left="676" w:leftChars="322" w:right="-817" w:firstLine="6090" w:firstLineChars="290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hint="eastAsia" w:ascii="宋体" w:hAnsi="宋体"/>
        </w:rPr>
        <w:t xml:space="preserve"> 法定代表人或被授权人（签字或盖章）：</w:t>
      </w:r>
    </w:p>
    <w:p>
      <w:pPr>
        <w:spacing w:before="0"/>
        <w:ind w:right="-57" w:firstLine="0"/>
        <w:jc w:val="center"/>
        <w:rPr>
          <w:rFonts w:ascii="宋体" w:hAnsi="宋体"/>
        </w:rPr>
      </w:pPr>
      <w:r>
        <w:rPr>
          <w:rFonts w:hint="eastAsia" w:ascii="宋体" w:hAnsi="宋体"/>
        </w:rPr>
        <w:t xml:space="preserve">   日  期： </w:t>
      </w:r>
      <w:r>
        <w:rPr>
          <w:rFonts w:ascii="宋体" w:hAnsi="宋体"/>
        </w:rPr>
        <w:t xml:space="preserve">    </w:t>
      </w:r>
      <w:r>
        <w:rPr>
          <w:rFonts w:hint="eastAsia" w:ascii="宋体" w:hAnsi="宋体"/>
          <w:u w:val="single"/>
        </w:rPr>
        <w:t xml:space="preserve">年 </w:t>
      </w:r>
      <w:r>
        <w:rPr>
          <w:rFonts w:ascii="宋体" w:hAnsi="宋体"/>
          <w:u w:val="single"/>
        </w:rPr>
        <w:t xml:space="preserve"> </w:t>
      </w:r>
      <w:r>
        <w:rPr>
          <w:rFonts w:hint="eastAsia" w:ascii="宋体" w:hAnsi="宋体"/>
          <w:u w:val="single"/>
        </w:rPr>
        <w:t xml:space="preserve">月 </w:t>
      </w:r>
      <w:r>
        <w:rPr>
          <w:rFonts w:ascii="宋体" w:hAnsi="宋体"/>
          <w:u w:val="single"/>
        </w:rPr>
        <w:t xml:space="preserve">  </w:t>
      </w:r>
      <w:r>
        <w:rPr>
          <w:rFonts w:hint="eastAsia" w:ascii="宋体" w:hAnsi="宋体"/>
          <w:u w:val="single"/>
        </w:rPr>
        <w:t>日</w:t>
      </w:r>
    </w:p>
    <w:p>
      <w:pPr>
        <w:spacing w:before="0" w:after="0" w:afterAutospacing="0"/>
        <w:ind w:left="708" w:right="0" w:hanging="708" w:hangingChars="336"/>
        <w:rPr>
          <w:rFonts w:ascii="宋体" w:hAnsi="宋体"/>
          <w:b/>
        </w:rPr>
      </w:pPr>
      <w:r>
        <w:rPr>
          <w:rFonts w:ascii="宋体" w:hAnsi="宋体"/>
          <w:b/>
        </w:rPr>
        <w:t>说明：</w:t>
      </w:r>
    </w:p>
    <w:p>
      <w:pPr>
        <w:tabs>
          <w:tab w:val="left" w:pos="720"/>
        </w:tabs>
        <w:spacing w:before="0" w:after="0" w:afterAutospacing="0"/>
        <w:ind w:left="0" w:right="0" w:firstLine="420" w:firstLineChars="200"/>
        <w:rPr>
          <w:rFonts w:ascii="宋体" w:hAnsi="宋体"/>
        </w:rPr>
      </w:pPr>
      <w:r>
        <w:rPr>
          <w:rFonts w:hint="eastAsia" w:ascii="宋体" w:hAnsi="宋体"/>
        </w:rPr>
        <w:t>1.</w:t>
      </w:r>
      <w:r>
        <w:rPr>
          <w:rFonts w:ascii="宋体" w:hAnsi="宋体"/>
        </w:rPr>
        <w:t>比选申请人必须对应根据比选文件的第</w:t>
      </w:r>
      <w:r>
        <w:rPr>
          <w:rFonts w:hint="eastAsia" w:ascii="宋体" w:hAnsi="宋体"/>
        </w:rPr>
        <w:t>四</w:t>
      </w:r>
      <w:r>
        <w:rPr>
          <w:rFonts w:ascii="宋体" w:hAnsi="宋体"/>
        </w:rPr>
        <w:t>章用户需求书条款逐条应答并按要求填写下表</w:t>
      </w:r>
      <w:r>
        <w:rPr>
          <w:rFonts w:hint="eastAsia" w:ascii="宋体" w:hAnsi="宋体"/>
        </w:rPr>
        <w:t>，</w:t>
      </w:r>
      <w:r>
        <w:rPr>
          <w:rFonts w:ascii="宋体" w:hAnsi="宋体"/>
        </w:rPr>
        <w:t>比选申请人提供的货物的品牌</w:t>
      </w:r>
      <w:r>
        <w:rPr>
          <w:rFonts w:hint="eastAsia" w:ascii="宋体" w:hAnsi="宋体"/>
        </w:rPr>
        <w:t>须</w:t>
      </w:r>
      <w:r>
        <w:rPr>
          <w:rFonts w:ascii="宋体" w:hAnsi="宋体"/>
        </w:rPr>
        <w:t>写明</w:t>
      </w:r>
      <w:r>
        <w:rPr>
          <w:rFonts w:hint="eastAsia" w:ascii="宋体" w:hAnsi="宋体"/>
        </w:rPr>
        <w:t>。</w:t>
      </w:r>
    </w:p>
    <w:p>
      <w:pPr>
        <w:pStyle w:val="34"/>
        <w:tabs>
          <w:tab w:val="left" w:pos="720"/>
        </w:tabs>
        <w:spacing w:before="0" w:after="0" w:afterAutospacing="0"/>
        <w:ind w:left="0" w:right="0" w:firstLine="420" w:firstLineChars="200"/>
        <w:rPr>
          <w:rFonts w:ascii="宋体" w:hAnsi="宋体"/>
        </w:rPr>
      </w:pPr>
      <w:r>
        <w:rPr>
          <w:rFonts w:hint="eastAsia" w:ascii="宋体" w:hAnsi="宋体"/>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rPr>
      </w:pPr>
      <w:r>
        <w:rPr>
          <w:rFonts w:hint="eastAsia" w:ascii="宋体" w:hAnsi="宋体"/>
        </w:rPr>
        <w:t>3.</w:t>
      </w:r>
      <w:r>
        <w:rPr>
          <w:rFonts w:ascii="宋体" w:hAnsi="宋体"/>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rPr>
      </w:pPr>
      <w:r>
        <w:rPr>
          <w:rFonts w:hint="eastAsia" w:ascii="宋体" w:hAnsi="宋体"/>
        </w:rPr>
        <w:t>4.</w:t>
      </w:r>
      <w:r>
        <w:rPr>
          <w:rFonts w:ascii="宋体" w:hAnsi="宋体"/>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000000" w:themeColor="text1"/>
        </w:rPr>
      </w:pPr>
      <w:r>
        <w:rPr>
          <w:rFonts w:hint="eastAsia" w:ascii="宋体" w:hAnsi="宋体"/>
        </w:rPr>
        <w:t>5.</w:t>
      </w:r>
      <w:r>
        <w:rPr>
          <w:rFonts w:ascii="宋体" w:hAnsi="宋体"/>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w:t>
      </w:r>
      <w:r>
        <w:rPr>
          <w:rFonts w:ascii="宋体" w:hAnsi="宋体"/>
          <w:color w:val="000000" w:themeColor="text1"/>
        </w:rPr>
        <w:t>及执行合同，则视作放弃中选资格</w:t>
      </w:r>
      <w:r>
        <w:rPr>
          <w:rFonts w:hint="eastAsia" w:ascii="宋体" w:hAnsi="宋体"/>
          <w:color w:val="000000" w:themeColor="text1"/>
        </w:rPr>
        <w:t xml:space="preserve">。     </w:t>
      </w:r>
    </w:p>
    <w:p>
      <w:pPr>
        <w:spacing w:before="0"/>
        <w:ind w:left="105" w:leftChars="50" w:right="-57" w:firstLine="316" w:firstLineChars="150"/>
        <w:rPr>
          <w:rFonts w:ascii="宋体" w:hAnsi="宋体"/>
          <w:b/>
          <w:color w:val="000000" w:themeColor="text1"/>
        </w:rPr>
      </w:pPr>
      <w:r>
        <w:rPr>
          <w:rFonts w:hint="eastAsia" w:ascii="宋体" w:hAnsi="宋体"/>
          <w:b/>
          <w:color w:val="000000" w:themeColor="text1"/>
        </w:rPr>
        <w:t>6.如有任意一项负偏离，比选申请人将不能通过初步评审。</w:t>
      </w:r>
    </w:p>
    <w:p>
      <w:pPr>
        <w:pStyle w:val="4"/>
        <w:tabs>
          <w:tab w:val="left" w:pos="567"/>
          <w:tab w:val="left" w:pos="720"/>
        </w:tabs>
        <w:snapToGrid w:val="0"/>
        <w:spacing w:after="100" w:line="360" w:lineRule="auto"/>
        <w:ind w:right="-57" w:firstLine="0"/>
        <w:jc w:val="left"/>
        <w:rPr>
          <w:rFonts w:ascii="宋体" w:hAnsi="宋体" w:eastAsia="宋体"/>
          <w:sz w:val="21"/>
          <w:szCs w:val="21"/>
        </w:rPr>
        <w:sectPr>
          <w:pgSz w:w="16838" w:h="11905" w:orient="landscape"/>
          <w:pgMar w:top="1418" w:right="1418" w:bottom="1418" w:left="1304" w:header="454" w:footer="567" w:gutter="0"/>
          <w:cols w:space="720" w:num="1"/>
          <w:docGrid w:linePitch="312" w:charSpace="0"/>
        </w:sectPr>
      </w:pPr>
      <w:bookmarkStart w:id="1287" w:name="_Toc25750685"/>
    </w:p>
    <w:p>
      <w:pPr>
        <w:pStyle w:val="4"/>
        <w:tabs>
          <w:tab w:val="left" w:pos="567"/>
          <w:tab w:val="left" w:pos="720"/>
        </w:tabs>
        <w:snapToGrid w:val="0"/>
        <w:spacing w:after="100" w:line="360" w:lineRule="auto"/>
        <w:ind w:right="-57" w:firstLine="0"/>
        <w:jc w:val="left"/>
        <w:rPr>
          <w:rFonts w:ascii="宋体" w:hAnsi="宋体" w:eastAsia="宋体"/>
          <w:sz w:val="21"/>
          <w:szCs w:val="21"/>
        </w:rPr>
      </w:pPr>
      <w:bookmarkStart w:id="1288" w:name="_Toc75276841"/>
      <w:r>
        <w:rPr>
          <w:rFonts w:hint="eastAsia" w:ascii="宋体" w:hAnsi="宋体" w:eastAsia="宋体"/>
          <w:sz w:val="21"/>
          <w:szCs w:val="21"/>
        </w:rPr>
        <w:t>C2</w:t>
      </w:r>
      <w:r>
        <w:rPr>
          <w:rFonts w:ascii="宋体" w:hAnsi="宋体" w:eastAsia="宋体"/>
          <w:sz w:val="21"/>
          <w:szCs w:val="21"/>
        </w:rPr>
        <w:t>按期交货承诺书</w:t>
      </w:r>
      <w:bookmarkEnd w:id="1287"/>
      <w:bookmarkEnd w:id="1288"/>
    </w:p>
    <w:p>
      <w:pPr>
        <w:widowControl w:val="0"/>
        <w:spacing w:before="240" w:beforeLines="100" w:after="240" w:afterLines="100"/>
        <w:ind w:right="-57" w:rightChars="-27"/>
        <w:jc w:val="center"/>
        <w:rPr>
          <w:b/>
          <w:kern w:val="2"/>
          <w:sz w:val="32"/>
          <w:szCs w:val="32"/>
        </w:rPr>
      </w:pPr>
      <w:r>
        <w:rPr>
          <w:rFonts w:hint="eastAsia" w:hAnsi="宋体"/>
          <w:b/>
          <w:kern w:val="2"/>
          <w:sz w:val="32"/>
          <w:szCs w:val="32"/>
        </w:rPr>
        <w:t>按期</w:t>
      </w:r>
      <w:r>
        <w:rPr>
          <w:rFonts w:hAnsi="宋体"/>
          <w:b/>
          <w:kern w:val="2"/>
          <w:sz w:val="32"/>
          <w:szCs w:val="32"/>
        </w:rPr>
        <w:t>交货承诺书</w:t>
      </w:r>
    </w:p>
    <w:p>
      <w:pPr>
        <w:widowControl w:val="0"/>
        <w:spacing w:beforeLines="50"/>
        <w:ind w:right="-57" w:rightChars="-27"/>
        <w:rPr>
          <w:kern w:val="2"/>
        </w:rPr>
      </w:pPr>
    </w:p>
    <w:p>
      <w:pPr>
        <w:widowControl w:val="0"/>
        <w:spacing w:beforeLines="50"/>
        <w:ind w:right="-57" w:rightChars="-27"/>
        <w:rPr>
          <w:kern w:val="2"/>
        </w:rPr>
      </w:pPr>
      <w:r>
        <w:rPr>
          <w:rFonts w:hAnsi="宋体"/>
          <w:kern w:val="2"/>
        </w:rPr>
        <w:t>致：南宁轨道交通</w:t>
      </w:r>
      <w:r>
        <w:rPr>
          <w:rFonts w:hint="eastAsia" w:hAnsi="宋体"/>
          <w:kern w:val="2"/>
        </w:rPr>
        <w:t>运营有限</w:t>
      </w:r>
      <w:r>
        <w:rPr>
          <w:rFonts w:hAnsi="宋体"/>
          <w:kern w:val="2"/>
        </w:rPr>
        <w:t>公司</w:t>
      </w:r>
    </w:p>
    <w:p>
      <w:pPr>
        <w:widowControl w:val="0"/>
        <w:spacing w:beforeLines="50"/>
        <w:ind w:right="-57" w:rightChars="-27" w:firstLine="420" w:firstLineChars="200"/>
        <w:rPr>
          <w:color w:val="000000" w:themeColor="text1"/>
          <w:kern w:val="2"/>
        </w:rPr>
      </w:pPr>
      <w:r>
        <w:rPr>
          <w:rFonts w:hAnsi="宋体"/>
          <w:color w:val="000000" w:themeColor="text1"/>
          <w:kern w:val="2"/>
        </w:rPr>
        <w:t>本公司</w:t>
      </w:r>
      <w:r>
        <w:rPr>
          <w:rFonts w:hAnsi="宋体"/>
          <w:color w:val="000000" w:themeColor="text1"/>
          <w:kern w:val="2"/>
          <w:u w:val="single"/>
        </w:rPr>
        <w:t>（比选申请人名称）</w:t>
      </w:r>
      <w:r>
        <w:rPr>
          <w:rFonts w:hAnsi="宋体"/>
          <w:color w:val="000000" w:themeColor="text1"/>
          <w:kern w:val="2"/>
        </w:rPr>
        <w:t>参加了贵公司组织的</w:t>
      </w:r>
      <w:r>
        <w:rPr>
          <w:rFonts w:hint="eastAsia" w:ascii="宋体" w:hAnsi="宋体"/>
          <w:color w:val="000000" w:themeColor="text1"/>
          <w:u w:val="single"/>
        </w:rPr>
        <w:t>南宁轨道交通运营有限公司2022年办公家具采购项目</w:t>
      </w:r>
      <w:r>
        <w:rPr>
          <w:rFonts w:hAnsi="宋体"/>
          <w:color w:val="000000" w:themeColor="text1"/>
          <w:kern w:val="2"/>
        </w:rPr>
        <w:t>项目编号</w:t>
      </w:r>
      <w:r>
        <w:rPr>
          <w:rFonts w:hint="eastAsia" w:hAnsi="宋体"/>
          <w:color w:val="000000" w:themeColor="text1"/>
          <w:kern w:val="2"/>
        </w:rPr>
        <w:t>：</w:t>
      </w:r>
      <w:r>
        <w:rPr>
          <w:rFonts w:hint="eastAsia" w:ascii="宋体" w:hAnsi="宋体"/>
          <w:b w:val="0"/>
          <w:bCs/>
          <w:color w:val="000000" w:themeColor="text1"/>
          <w:sz w:val="21"/>
          <w:szCs w:val="21"/>
          <w:u w:val="single"/>
        </w:rPr>
        <w:t xml:space="preserve">202208260004 </w:t>
      </w:r>
      <w:r>
        <w:rPr>
          <w:rFonts w:hAnsi="宋体"/>
          <w:color w:val="000000" w:themeColor="text1"/>
          <w:kern w:val="2"/>
        </w:rPr>
        <w:t>）的</w:t>
      </w:r>
      <w:r>
        <w:rPr>
          <w:rFonts w:hint="eastAsia" w:hAnsi="宋体"/>
          <w:color w:val="000000" w:themeColor="text1"/>
          <w:kern w:val="2"/>
        </w:rPr>
        <w:t>比选</w:t>
      </w:r>
      <w:r>
        <w:rPr>
          <w:rFonts w:hAnsi="宋体"/>
          <w:color w:val="000000" w:themeColor="text1"/>
          <w:kern w:val="2"/>
        </w:rPr>
        <w:t>。我公司在此承诺：我方保证</w:t>
      </w:r>
      <w:r>
        <w:rPr>
          <w:rFonts w:hint="eastAsia" w:hAnsi="宋体"/>
          <w:color w:val="000000" w:themeColor="text1"/>
          <w:kern w:val="2"/>
        </w:rPr>
        <w:t>严格</w:t>
      </w:r>
      <w:r>
        <w:rPr>
          <w:rFonts w:hAnsi="宋体"/>
          <w:color w:val="000000" w:themeColor="text1"/>
          <w:kern w:val="2"/>
        </w:rPr>
        <w:t>按比选文件和比选人的规定，满足规定的交货期</w:t>
      </w:r>
      <w:r>
        <w:rPr>
          <w:rFonts w:hint="eastAsia" w:hAnsi="宋体"/>
          <w:color w:val="000000" w:themeColor="text1"/>
          <w:kern w:val="2"/>
        </w:rPr>
        <w:t>限</w:t>
      </w:r>
      <w:r>
        <w:rPr>
          <w:rFonts w:hAnsi="宋体"/>
          <w:color w:val="000000" w:themeColor="text1"/>
          <w:kern w:val="2"/>
        </w:rPr>
        <w:t>要求。</w:t>
      </w:r>
      <w:r>
        <w:rPr>
          <w:color w:val="000000" w:themeColor="text1"/>
          <w:kern w:val="2"/>
        </w:rPr>
        <w:t>如未按期交货，</w:t>
      </w:r>
      <w:r>
        <w:rPr>
          <w:rFonts w:hint="eastAsia"/>
          <w:color w:val="000000" w:themeColor="text1"/>
          <w:kern w:val="2"/>
        </w:rPr>
        <w:t>我公司承诺接受</w:t>
      </w:r>
      <w:r>
        <w:rPr>
          <w:rFonts w:hint="eastAsia" w:ascii="宋体" w:hAnsi="宋体"/>
          <w:color w:val="000000" w:themeColor="text1"/>
          <w:kern w:val="2"/>
        </w:rPr>
        <w:t>每天加收合同总价的千分之三的违约金</w:t>
      </w:r>
      <w:r>
        <w:rPr>
          <w:rFonts w:hint="eastAsia"/>
          <w:color w:val="000000" w:themeColor="text1"/>
          <w:kern w:val="2"/>
        </w:rPr>
        <w:t>。</w:t>
      </w:r>
    </w:p>
    <w:p>
      <w:pPr>
        <w:widowControl w:val="0"/>
        <w:spacing w:beforeLines="50"/>
        <w:ind w:right="-57" w:rightChars="-27" w:firstLine="420" w:firstLineChars="200"/>
        <w:rPr>
          <w:kern w:val="2"/>
        </w:rPr>
      </w:pPr>
    </w:p>
    <w:p>
      <w:pPr>
        <w:widowControl w:val="0"/>
        <w:spacing w:beforeLines="50"/>
        <w:ind w:right="-57" w:rightChars="-27" w:firstLine="403" w:firstLineChars="192"/>
        <w:rPr>
          <w:kern w:val="2"/>
        </w:rPr>
      </w:pPr>
      <w:r>
        <w:rPr>
          <w:rFonts w:hAnsi="宋体"/>
          <w:kern w:val="2"/>
        </w:rPr>
        <w:t>特此承诺！</w:t>
      </w: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napToGrid w:val="0"/>
        <w:spacing w:beforeLines="50" w:after="50" w:line="280" w:lineRule="exact"/>
        <w:ind w:left="955" w:leftChars="455" w:right="-817" w:rightChars="-389" w:firstLine="2013" w:firstLineChars="959"/>
        <w:rPr>
          <w:rFonts w:ascii="宋体" w:hAnsi="宋体"/>
          <w:kern w:val="2"/>
          <w:u w:val="single"/>
        </w:rPr>
      </w:pPr>
      <w:r>
        <w:rPr>
          <w:rFonts w:hint="eastAsia" w:ascii="宋体" w:hAnsi="宋体"/>
          <w:kern w:val="2"/>
        </w:rPr>
        <w:t>比选申请人名称（盖章）：</w:t>
      </w:r>
    </w:p>
    <w:p>
      <w:pPr>
        <w:widowControl w:val="0"/>
        <w:snapToGrid w:val="0"/>
        <w:spacing w:beforeLines="50" w:after="50" w:line="280" w:lineRule="exact"/>
        <w:ind w:left="0" w:right="-817" w:rightChars="-389" w:firstLine="2940" w:firstLineChars="1400"/>
        <w:rPr>
          <w:rFonts w:ascii="宋体" w:hAnsi="宋体"/>
          <w:kern w:val="2"/>
          <w:u w:val="single"/>
        </w:rPr>
      </w:pPr>
      <w:r>
        <w:rPr>
          <w:rFonts w:hint="eastAsia" w:ascii="宋体" w:hAnsi="宋体"/>
          <w:kern w:val="2"/>
        </w:rPr>
        <w:t xml:space="preserve"> 法定代表人或被授权人（签字或盖章）：</w:t>
      </w:r>
    </w:p>
    <w:p>
      <w:pPr>
        <w:spacing w:before="0"/>
        <w:ind w:right="-57" w:firstLine="0"/>
        <w:jc w:val="center"/>
        <w:rPr>
          <w:rFonts w:ascii="宋体" w:hAnsi="宋体"/>
          <w:kern w:val="2"/>
        </w:rPr>
      </w:pPr>
      <w:r>
        <w:rPr>
          <w:rFonts w:hint="eastAsia" w:ascii="宋体" w:hAnsi="宋体"/>
          <w:kern w:val="2"/>
        </w:rPr>
        <w:t>日  期：年月日</w:t>
      </w:r>
    </w:p>
    <w:p>
      <w:pPr>
        <w:pStyle w:val="4"/>
        <w:tabs>
          <w:tab w:val="left" w:pos="567"/>
          <w:tab w:val="left" w:pos="720"/>
        </w:tabs>
        <w:snapToGrid w:val="0"/>
        <w:spacing w:after="100" w:line="360" w:lineRule="auto"/>
        <w:ind w:right="-57" w:firstLine="0"/>
        <w:jc w:val="left"/>
        <w:rPr>
          <w:rFonts w:ascii="宋体" w:hAnsi="宋体" w:eastAsia="宋体"/>
          <w:sz w:val="21"/>
          <w:szCs w:val="21"/>
        </w:rPr>
        <w:sectPr>
          <w:pgSz w:w="11905" w:h="16838"/>
          <w:pgMar w:top="1418" w:right="1418" w:bottom="1304" w:left="1418" w:header="454" w:footer="567" w:gutter="0"/>
          <w:cols w:space="720" w:num="1"/>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sz w:val="21"/>
          <w:szCs w:val="21"/>
        </w:rPr>
      </w:pPr>
      <w:bookmarkStart w:id="1289" w:name="_Toc25750686"/>
      <w:bookmarkStart w:id="1290" w:name="_Toc75276842"/>
      <w:r>
        <w:rPr>
          <w:rFonts w:hint="eastAsia" w:ascii="宋体" w:hAnsi="宋体" w:eastAsia="宋体"/>
          <w:sz w:val="21"/>
          <w:szCs w:val="21"/>
        </w:rPr>
        <w:t>C3售后服务承诺书</w:t>
      </w:r>
      <w:bookmarkEnd w:id="1289"/>
      <w:bookmarkEnd w:id="1290"/>
    </w:p>
    <w:p>
      <w:pPr>
        <w:widowControl w:val="0"/>
        <w:spacing w:before="240" w:beforeLines="100" w:after="240" w:afterLines="100"/>
        <w:ind w:left="948" w:right="-57" w:rightChars="-27" w:hanging="948"/>
        <w:jc w:val="center"/>
        <w:rPr>
          <w:rFonts w:hAnsi="宋体"/>
          <w:b/>
          <w:kern w:val="2"/>
          <w:sz w:val="32"/>
          <w:szCs w:val="32"/>
        </w:rPr>
      </w:pPr>
      <w:r>
        <w:rPr>
          <w:rFonts w:hint="eastAsia" w:hAnsi="宋体"/>
          <w:b/>
          <w:kern w:val="2"/>
          <w:sz w:val="32"/>
          <w:szCs w:val="32"/>
        </w:rPr>
        <w:t>售后服务承诺书</w:t>
      </w:r>
    </w:p>
    <w:p>
      <w:pPr>
        <w:spacing w:before="0" w:after="0" w:afterAutospacing="0"/>
        <w:ind w:left="619" w:right="0" w:hanging="619" w:hangingChars="295"/>
        <w:rPr>
          <w:rFonts w:ascii="宋体" w:hAnsi="宋体" w:cstheme="minorBidi"/>
        </w:rPr>
      </w:pPr>
      <w:r>
        <w:rPr>
          <w:rFonts w:hint="eastAsia" w:ascii="宋体" w:hAnsi="宋体" w:cstheme="minorBidi"/>
        </w:rPr>
        <w:t>南宁轨道交通运营有限公司：</w:t>
      </w:r>
    </w:p>
    <w:p>
      <w:pPr>
        <w:spacing w:before="0" w:after="0" w:afterAutospacing="0"/>
        <w:ind w:left="0" w:right="0" w:firstLine="420" w:firstLineChars="200"/>
        <w:rPr>
          <w:rFonts w:ascii="宋体" w:hAnsi="宋体" w:cstheme="minorBidi"/>
        </w:rPr>
      </w:pPr>
      <w:r>
        <w:rPr>
          <w:rFonts w:hint="eastAsia" w:ascii="宋体" w:hAnsi="宋体" w:cstheme="minorBidi"/>
        </w:rPr>
        <w:t>我方参与</w:t>
      </w:r>
      <w:r>
        <w:rPr>
          <w:rFonts w:ascii="宋体" w:hAnsi="宋体" w:cstheme="minorBidi"/>
        </w:rPr>
        <w:t>贵方采购项目</w:t>
      </w:r>
      <w:r>
        <w:rPr>
          <w:rFonts w:hint="eastAsia" w:ascii="宋体" w:hAnsi="宋体" w:cstheme="minorBidi"/>
        </w:rPr>
        <w:t>的</w:t>
      </w:r>
      <w:r>
        <w:rPr>
          <w:rFonts w:ascii="宋体" w:hAnsi="宋体" w:cstheme="minorBidi"/>
        </w:rPr>
        <w:t>报价</w:t>
      </w:r>
      <w:r>
        <w:rPr>
          <w:rFonts w:hint="eastAsia" w:ascii="宋体" w:hAnsi="宋体" w:cstheme="minorBidi"/>
        </w:rPr>
        <w:t>活动</w:t>
      </w:r>
      <w:r>
        <w:rPr>
          <w:rFonts w:ascii="宋体" w:hAnsi="宋体" w:cstheme="minorBidi"/>
        </w:rPr>
        <w:t>并</w:t>
      </w:r>
      <w:r>
        <w:rPr>
          <w:rFonts w:hint="eastAsia" w:ascii="宋体" w:hAnsi="宋体" w:cstheme="minorBidi"/>
        </w:rPr>
        <w:t>做出</w:t>
      </w:r>
      <w:r>
        <w:rPr>
          <w:rFonts w:ascii="宋体" w:hAnsi="宋体" w:cstheme="minorBidi"/>
        </w:rPr>
        <w:t>以下承诺：</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1.所有产品的</w:t>
      </w:r>
      <w:r>
        <w:rPr>
          <w:rFonts w:ascii="宋体" w:hAnsi="宋体" w:cstheme="minorBidi"/>
        </w:rPr>
        <w:t>质量、质保期、售后服务等</w:t>
      </w:r>
      <w:r>
        <w:rPr>
          <w:rFonts w:hint="eastAsia" w:ascii="宋体" w:hAnsi="宋体" w:cstheme="minorBidi"/>
        </w:rPr>
        <w:t>完全符合或优于</w:t>
      </w:r>
      <w:r>
        <w:rPr>
          <w:rFonts w:ascii="宋体" w:hAnsi="宋体" w:cstheme="minorBidi"/>
        </w:rPr>
        <w:t>贵方</w:t>
      </w:r>
      <w:r>
        <w:rPr>
          <w:rFonts w:hint="eastAsia" w:ascii="宋体" w:hAnsi="宋体" w:cstheme="minorBidi"/>
        </w:rPr>
        <w:t>的采购要求，全部符合国家和</w:t>
      </w:r>
      <w:r>
        <w:rPr>
          <w:rFonts w:ascii="宋体" w:hAnsi="宋体" w:cstheme="minorBidi"/>
        </w:rPr>
        <w:t>行业相关</w:t>
      </w:r>
      <w:r>
        <w:rPr>
          <w:rFonts w:hint="eastAsia" w:ascii="宋体" w:hAnsi="宋体" w:cstheme="minorBidi"/>
        </w:rPr>
        <w:t>标准，</w:t>
      </w:r>
      <w:r>
        <w:rPr>
          <w:rFonts w:ascii="宋体" w:hAnsi="宋体" w:cstheme="minorBidi"/>
        </w:rPr>
        <w:t>所有产品</w:t>
      </w:r>
      <w:r>
        <w:rPr>
          <w:rFonts w:hint="eastAsia" w:ascii="宋体" w:hAnsi="宋体" w:cstheme="minorBidi"/>
        </w:rPr>
        <w:t>均为全新的正牌产品，具备产品合格证。货到验收如发现与产品描述不符或无产品合格证，我司接受</w:t>
      </w:r>
      <w:r>
        <w:rPr>
          <w:rFonts w:ascii="宋体" w:hAnsi="宋体" w:cstheme="minorBidi"/>
        </w:rPr>
        <w:t>无条件</w:t>
      </w:r>
      <w:r>
        <w:rPr>
          <w:rFonts w:hint="eastAsia" w:ascii="宋体" w:hAnsi="宋体" w:cstheme="minorBidi"/>
        </w:rPr>
        <w:t>退货。如为假冒伪劣产品，造成损失的由我司承担全部法律责任。</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2.我方</w:t>
      </w:r>
      <w:r>
        <w:rPr>
          <w:rFonts w:ascii="宋体" w:hAnsi="宋体" w:cstheme="minorBidi"/>
        </w:rPr>
        <w:t>知悉，本次</w:t>
      </w:r>
      <w:r>
        <w:rPr>
          <w:rFonts w:hint="eastAsia" w:ascii="宋体" w:hAnsi="宋体" w:cstheme="minorBidi"/>
        </w:rPr>
        <w:t>各货物的数量为贵方</w:t>
      </w:r>
      <w:r>
        <w:rPr>
          <w:rFonts w:ascii="宋体" w:hAnsi="宋体" w:cstheme="minorBidi"/>
        </w:rPr>
        <w:t>的</w:t>
      </w:r>
      <w:r>
        <w:rPr>
          <w:rFonts w:hint="eastAsia" w:ascii="宋体" w:hAnsi="宋体" w:cstheme="minorBidi"/>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3.我方</w:t>
      </w:r>
      <w:r>
        <w:rPr>
          <w:rFonts w:ascii="宋体" w:hAnsi="宋体" w:cstheme="minorBidi"/>
        </w:rPr>
        <w:t>知悉，贵方的</w:t>
      </w:r>
      <w:r>
        <w:rPr>
          <w:rFonts w:hint="eastAsia" w:ascii="宋体" w:hAnsi="宋体" w:cstheme="minorBidi"/>
        </w:rPr>
        <w:t>采购文件并未充分引用有关条文和标准规范，提出的是最基本的技术要求，我方</w:t>
      </w:r>
      <w:r>
        <w:rPr>
          <w:rFonts w:ascii="宋体" w:hAnsi="宋体" w:cstheme="minorBidi"/>
        </w:rPr>
        <w:t>保证</w:t>
      </w:r>
      <w:r>
        <w:rPr>
          <w:rFonts w:hint="eastAsia" w:ascii="宋体" w:hAnsi="宋体" w:cstheme="minorBidi"/>
        </w:rPr>
        <w:t>所有</w:t>
      </w:r>
      <w:r>
        <w:rPr>
          <w:rFonts w:ascii="宋体" w:hAnsi="宋体" w:cstheme="minorBidi"/>
        </w:rPr>
        <w:t>产品</w:t>
      </w:r>
      <w:r>
        <w:rPr>
          <w:rFonts w:hint="eastAsia" w:ascii="宋体" w:hAnsi="宋体" w:cstheme="minorBidi"/>
        </w:rPr>
        <w:t>符合工业制造标准，为优质的市场已有的成熟产品以满足使用可靠、技术先进、操作简单、维护方便的要求；除非贵方主动提出，贵方</w:t>
      </w:r>
      <w:r>
        <w:rPr>
          <w:rFonts w:ascii="宋体" w:hAnsi="宋体" w:cstheme="minorBidi"/>
        </w:rPr>
        <w:t>可无条件拒绝</w:t>
      </w:r>
      <w:r>
        <w:rPr>
          <w:rFonts w:hint="eastAsia" w:ascii="宋体" w:hAnsi="宋体" w:cstheme="minorBidi"/>
        </w:rPr>
        <w:t>接受任何形式的改装或定制类产品。  </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4.交货前贵方有权要求我方提供样品；如贵方对样品不认可有权不签订</w:t>
      </w:r>
      <w:r>
        <w:rPr>
          <w:rFonts w:ascii="宋体" w:hAnsi="宋体" w:cstheme="minorBidi"/>
        </w:rPr>
        <w:t>合同或撤销</w:t>
      </w:r>
      <w:r>
        <w:rPr>
          <w:rFonts w:hint="eastAsia" w:ascii="宋体" w:hAnsi="宋体" w:cstheme="minorBidi"/>
        </w:rPr>
        <w:t>、</w:t>
      </w:r>
      <w:r>
        <w:rPr>
          <w:rFonts w:ascii="宋体" w:hAnsi="宋体" w:cstheme="minorBidi"/>
        </w:rPr>
        <w:t>终止已签订的合同</w:t>
      </w:r>
      <w:r>
        <w:rPr>
          <w:rFonts w:hint="eastAsia" w:ascii="宋体" w:hAnsi="宋体" w:cstheme="minorBidi"/>
        </w:rPr>
        <w:t>，</w:t>
      </w:r>
      <w:r>
        <w:rPr>
          <w:rFonts w:ascii="宋体" w:hAnsi="宋体" w:cstheme="minorBidi"/>
        </w:rPr>
        <w:t>如贵方对样品认可</w:t>
      </w:r>
      <w:r>
        <w:rPr>
          <w:rFonts w:hint="eastAsia" w:ascii="宋体" w:hAnsi="宋体" w:cstheme="minorBidi"/>
        </w:rPr>
        <w:t>且</w:t>
      </w:r>
      <w:r>
        <w:rPr>
          <w:rFonts w:ascii="宋体" w:hAnsi="宋体" w:cstheme="minorBidi"/>
        </w:rPr>
        <w:t>样品未因</w:t>
      </w:r>
      <w:r>
        <w:rPr>
          <w:rFonts w:hint="eastAsia" w:ascii="宋体" w:hAnsi="宋体" w:cstheme="minorBidi"/>
        </w:rPr>
        <w:t>检验</w:t>
      </w:r>
      <w:r>
        <w:rPr>
          <w:rFonts w:ascii="宋体" w:hAnsi="宋体" w:cstheme="minorBidi"/>
        </w:rPr>
        <w:t>检测</w:t>
      </w:r>
      <w:r>
        <w:rPr>
          <w:rFonts w:hint="eastAsia" w:ascii="宋体" w:hAnsi="宋体" w:cstheme="minorBidi"/>
        </w:rPr>
        <w:t>而</w:t>
      </w:r>
      <w:r>
        <w:rPr>
          <w:rFonts w:ascii="宋体" w:hAnsi="宋体" w:cstheme="minorBidi"/>
        </w:rPr>
        <w:t>发生性能改变</w:t>
      </w:r>
      <w:r>
        <w:rPr>
          <w:rFonts w:hint="eastAsia" w:ascii="宋体" w:hAnsi="宋体" w:cstheme="minorBidi"/>
        </w:rPr>
        <w:t>，</w:t>
      </w:r>
      <w:r>
        <w:rPr>
          <w:rFonts w:ascii="宋体" w:hAnsi="宋体" w:cstheme="minorBidi"/>
        </w:rPr>
        <w:t>则样品数量</w:t>
      </w:r>
      <w:r>
        <w:rPr>
          <w:rFonts w:hint="eastAsia" w:ascii="宋体" w:hAnsi="宋体" w:cstheme="minorBidi"/>
        </w:rPr>
        <w:t>可</w:t>
      </w:r>
      <w:r>
        <w:rPr>
          <w:rFonts w:ascii="宋体" w:hAnsi="宋体" w:cstheme="minorBidi"/>
        </w:rPr>
        <w:t>计入</w:t>
      </w:r>
      <w:r>
        <w:rPr>
          <w:rFonts w:hint="eastAsia" w:ascii="宋体" w:hAnsi="宋体" w:cstheme="minorBidi"/>
        </w:rPr>
        <w:t>交货</w:t>
      </w:r>
      <w:r>
        <w:rPr>
          <w:rFonts w:ascii="宋体" w:hAnsi="宋体" w:cstheme="minorBidi"/>
        </w:rPr>
        <w:t>数量</w:t>
      </w:r>
      <w:r>
        <w:rPr>
          <w:rFonts w:hint="eastAsia" w:ascii="宋体" w:hAnsi="宋体" w:cstheme="minorBidi"/>
        </w:rPr>
        <w:t>。</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5.质保期内货物出现故障我公司承诺在1小时内做出响应，2小时到达维修现场。一般问题应在6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6小时内解决，重大问题或其它无法迅速解决的问题应在48小时内解决。</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6.若我方因自身原因不能履约签订合同或履行合同的，贵方可取消我方的中选资格，并从后续排名的</w:t>
      </w:r>
      <w:r>
        <w:rPr>
          <w:rFonts w:ascii="宋体" w:hAnsi="宋体" w:cstheme="minorBidi"/>
        </w:rPr>
        <w:t>其他</w:t>
      </w:r>
      <w:r>
        <w:rPr>
          <w:rFonts w:hint="eastAsia" w:ascii="宋体" w:hAnsi="宋体" w:cstheme="minorBidi"/>
        </w:rPr>
        <w:t>候选供应商中依次向上递补确定供应商或重新组织采购，同时贵方有权将我公司列入黑名单。</w:t>
      </w:r>
    </w:p>
    <w:p>
      <w:pPr>
        <w:pStyle w:val="34"/>
        <w:widowControl w:val="0"/>
        <w:spacing w:before="0" w:after="0" w:afterAutospacing="0"/>
        <w:ind w:left="480" w:right="0" w:firstLine="0"/>
        <w:rPr>
          <w:rFonts w:ascii="宋体" w:hAnsi="宋体" w:cstheme="minorBidi"/>
        </w:rPr>
      </w:pPr>
      <w:r>
        <w:rPr>
          <w:rFonts w:hint="eastAsia" w:ascii="宋体" w:hAnsi="宋体" w:cstheme="minorBidi"/>
        </w:rPr>
        <w:t>联系人:</w:t>
      </w:r>
    </w:p>
    <w:p>
      <w:pPr>
        <w:pStyle w:val="34"/>
        <w:widowControl w:val="0"/>
        <w:spacing w:before="0" w:after="0" w:afterAutospacing="0"/>
        <w:ind w:left="480" w:right="0" w:firstLine="0"/>
        <w:rPr>
          <w:rFonts w:ascii="宋体" w:hAnsi="宋体" w:cstheme="minorBidi"/>
        </w:rPr>
      </w:pPr>
      <w:r>
        <w:rPr>
          <w:rFonts w:hint="eastAsia" w:ascii="宋体" w:hAnsi="宋体" w:cstheme="minorBidi"/>
        </w:rPr>
        <w:t>联系方式:</w:t>
      </w:r>
    </w:p>
    <w:p>
      <w:pPr>
        <w:pStyle w:val="34"/>
        <w:widowControl w:val="0"/>
        <w:spacing w:before="0" w:after="0" w:afterAutospacing="0"/>
        <w:ind w:left="480" w:right="0" w:firstLine="0"/>
        <w:rPr>
          <w:rFonts w:ascii="宋体" w:hAnsi="宋体" w:cstheme="minorBidi"/>
          <w:sz w:val="24"/>
          <w:szCs w:val="28"/>
        </w:rPr>
      </w:pPr>
      <w:r>
        <w:rPr>
          <w:rFonts w:hint="eastAsia" w:ascii="宋体" w:hAnsi="宋体" w:cstheme="minorBidi"/>
        </w:rPr>
        <w:t>身份证号:</w:t>
      </w:r>
    </w:p>
    <w:p>
      <w:pPr>
        <w:spacing w:before="0" w:after="0" w:afterAutospacing="0"/>
        <w:ind w:left="0" w:right="0" w:firstLine="0"/>
        <w:rPr>
          <w:rFonts w:ascii="宋体" w:hAnsi="宋体" w:cstheme="minorBidi"/>
        </w:rPr>
      </w:pPr>
    </w:p>
    <w:p>
      <w:pPr>
        <w:spacing w:before="0" w:after="0" w:afterAutospacing="0"/>
        <w:ind w:left="0" w:right="0" w:firstLine="4725" w:firstLineChars="2250"/>
        <w:rPr>
          <w:rFonts w:ascii="宋体" w:hAnsi="宋体" w:cstheme="minorBidi"/>
        </w:rPr>
      </w:pPr>
      <w:r>
        <w:rPr>
          <w:rFonts w:hint="eastAsia" w:ascii="宋体" w:hAnsi="宋体" w:cstheme="minorBidi"/>
        </w:rPr>
        <w:t>承诺人：</w:t>
      </w:r>
      <w:r>
        <w:rPr>
          <w:rFonts w:hint="eastAsia" w:ascii="宋体" w:hAnsi="宋体" w:cstheme="minorBidi"/>
          <w:u w:val="single"/>
        </w:rPr>
        <w:t>　</w:t>
      </w:r>
      <w:r>
        <w:rPr>
          <w:rFonts w:ascii="宋体" w:hAnsi="宋体" w:cstheme="minorBidi"/>
          <w:u w:val="single"/>
        </w:rPr>
        <w:t>(比选申请人名称)</w:t>
      </w:r>
      <w:r>
        <w:rPr>
          <w:rFonts w:hint="eastAsia" w:ascii="宋体" w:hAnsi="宋体" w:cstheme="minorBidi"/>
        </w:rPr>
        <w:t>（盖章）</w:t>
      </w:r>
    </w:p>
    <w:p>
      <w:pPr>
        <w:spacing w:before="0"/>
        <w:ind w:left="105" w:leftChars="50" w:right="-57" w:firstLine="315" w:firstLineChars="150"/>
        <w:rPr>
          <w:rFonts w:ascii="宋体" w:hAnsi="宋体" w:cstheme="minorBidi"/>
        </w:rPr>
        <w:sectPr>
          <w:pgSz w:w="11905" w:h="16838"/>
          <w:pgMar w:top="1418" w:right="1418" w:bottom="1304" w:left="1418" w:header="454" w:footer="567" w:gutter="0"/>
          <w:cols w:space="720" w:num="1"/>
          <w:docGrid w:linePitch="312" w:charSpace="0"/>
        </w:sectPr>
      </w:pPr>
      <w:r>
        <w:rPr>
          <w:rFonts w:hint="eastAsia" w:ascii="宋体" w:hAnsi="宋体" w:cstheme="minorBidi"/>
        </w:rPr>
        <w:t xml:space="preserve">                                          日期：年   月   日</w:t>
      </w:r>
    </w:p>
    <w:p>
      <w:pPr>
        <w:pStyle w:val="4"/>
        <w:tabs>
          <w:tab w:val="left" w:pos="567"/>
          <w:tab w:val="left" w:pos="720"/>
        </w:tabs>
        <w:snapToGrid w:val="0"/>
        <w:spacing w:before="120" w:after="0" w:line="360" w:lineRule="auto"/>
        <w:ind w:right="-57" w:firstLine="0"/>
        <w:jc w:val="left"/>
        <w:rPr>
          <w:rFonts w:ascii="宋体" w:hAnsi="宋体" w:eastAsia="宋体"/>
          <w:sz w:val="21"/>
          <w:szCs w:val="21"/>
        </w:rPr>
      </w:pPr>
      <w:bookmarkStart w:id="1291" w:name="_Toc75276843"/>
      <w:bookmarkStart w:id="1292" w:name="_Toc25750687"/>
      <w:r>
        <w:rPr>
          <w:rFonts w:hint="eastAsia" w:ascii="宋体" w:hAnsi="宋体" w:eastAsia="宋体"/>
          <w:sz w:val="21"/>
          <w:szCs w:val="21"/>
        </w:rPr>
        <w:t>C</w:t>
      </w:r>
      <w:r>
        <w:rPr>
          <w:rFonts w:ascii="宋体" w:hAnsi="宋体" w:eastAsia="宋体"/>
          <w:sz w:val="21"/>
          <w:szCs w:val="21"/>
        </w:rPr>
        <w:t>4</w:t>
      </w:r>
      <w:r>
        <w:rPr>
          <w:rFonts w:hint="eastAsia" w:ascii="宋体" w:hAnsi="宋体" w:eastAsia="宋体"/>
          <w:sz w:val="21"/>
          <w:szCs w:val="21"/>
        </w:rPr>
        <w:t>商务响应表</w:t>
      </w:r>
      <w:r>
        <w:rPr>
          <w:rFonts w:ascii="宋体" w:hAnsi="宋体" w:eastAsia="宋体"/>
          <w:sz w:val="21"/>
          <w:szCs w:val="21"/>
        </w:rPr>
        <w:t>格式</w:t>
      </w:r>
      <w:bookmarkEnd w:id="1291"/>
      <w:bookmarkEnd w:id="1292"/>
    </w:p>
    <w:p>
      <w:pPr>
        <w:ind w:right="-57" w:firstLine="0"/>
        <w:jc w:val="center"/>
        <w:rPr>
          <w:rFonts w:ascii="宋体" w:hAnsi="宋体"/>
          <w:b/>
        </w:rPr>
      </w:pPr>
      <w:r>
        <w:rPr>
          <w:rFonts w:hint="eastAsia" w:ascii="宋体" w:hAnsi="宋体"/>
          <w:b/>
        </w:rPr>
        <w:t>商务响应表</w:t>
      </w:r>
    </w:p>
    <w:p>
      <w:pPr>
        <w:spacing w:before="0" w:after="0" w:afterAutospacing="0"/>
        <w:ind w:right="-57" w:firstLine="0"/>
        <w:jc w:val="left"/>
        <w:rPr>
          <w:rFonts w:ascii="宋体" w:hAnsi="宋体"/>
          <w:u w:val="single"/>
        </w:rPr>
      </w:pPr>
      <w:r>
        <w:rPr>
          <w:rFonts w:hint="eastAsia" w:ascii="宋体" w:hAnsi="宋体"/>
        </w:rPr>
        <w:t>项目名称：</w:t>
      </w:r>
    </w:p>
    <w:tbl>
      <w:tblPr>
        <w:tblStyle w:val="26"/>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第四章用户需求书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left"/>
              <w:rPr>
                <w:rFonts w:ascii="宋体" w:hAnsi="宋体"/>
              </w:rPr>
            </w:pPr>
            <w:r>
              <w:rPr>
                <w:rFonts w:hint="eastAsia" w:ascii="宋体" w:hAnsi="宋体"/>
              </w:rPr>
              <w:t>第六章</w:t>
            </w:r>
            <w:r>
              <w:rPr>
                <w:rFonts w:ascii="宋体" w:hAnsi="宋体"/>
              </w:rPr>
              <w:t> </w:t>
            </w:r>
            <w:r>
              <w:rPr>
                <w:rFonts w:hint="eastAsia" w:ascii="宋体" w:hAnsi="宋体"/>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ind w:right="-57" w:firstLine="0"/>
        <w:rPr>
          <w:rFonts w:ascii="宋体" w:hAnsi="宋体"/>
          <w:spacing w:val="20"/>
          <w:sz w:val="24"/>
          <w:szCs w:val="24"/>
        </w:rPr>
      </w:pPr>
      <w:r>
        <w:rPr>
          <w:rFonts w:hint="eastAsia" w:ascii="宋体" w:hAnsi="宋体"/>
          <w:b/>
        </w:rPr>
        <w:t>注：上述响应要求必须全部为“完全响应”，否则，比选申请人将不能通过符合性评审。</w:t>
      </w:r>
    </w:p>
    <w:p>
      <w:pPr>
        <w:snapToGrid w:val="0"/>
        <w:spacing w:after="50"/>
        <w:ind w:right="-57" w:firstLine="0"/>
        <w:rPr>
          <w:rFonts w:ascii="宋体" w:hAnsi="宋体"/>
          <w:spacing w:val="20"/>
          <w:sz w:val="24"/>
          <w:szCs w:val="24"/>
        </w:rPr>
      </w:pPr>
    </w:p>
    <w:p>
      <w:pPr>
        <w:snapToGrid w:val="0"/>
        <w:spacing w:after="50" w:line="280" w:lineRule="exact"/>
        <w:ind w:left="953" w:right="-817" w:firstLine="1443"/>
        <w:rPr>
          <w:rFonts w:ascii="宋体" w:hAnsi="宋体"/>
          <w:sz w:val="24"/>
          <w:szCs w:val="24"/>
        </w:rPr>
      </w:pPr>
    </w:p>
    <w:p>
      <w:pPr>
        <w:snapToGrid w:val="0"/>
        <w:spacing w:after="50" w:line="280" w:lineRule="exact"/>
        <w:ind w:left="955" w:right="-817" w:firstLine="2835" w:firstLineChars="135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法定代表人或被授权人（签字或盖章）：</w:t>
      </w:r>
    </w:p>
    <w:p>
      <w:pPr>
        <w:spacing w:before="0"/>
        <w:ind w:right="-57" w:firstLine="0"/>
        <w:jc w:val="center"/>
        <w:rPr>
          <w:rFonts w:ascii="宋体" w:hAnsi="宋体"/>
        </w:rPr>
      </w:pPr>
      <w:r>
        <w:rPr>
          <w:rFonts w:hint="eastAsia" w:ascii="宋体" w:hAnsi="宋体"/>
        </w:rPr>
        <w:t xml:space="preserve"> 日期：年月</w:t>
      </w:r>
      <w:r>
        <w:rPr>
          <w:rFonts w:hint="eastAsia" w:ascii="宋体" w:hAnsi="宋体"/>
          <w:lang w:val="en-US" w:eastAsia="zh-CN"/>
        </w:rPr>
        <w:t xml:space="preserve"> </w:t>
      </w:r>
      <w:r>
        <w:rPr>
          <w:rFonts w:hint="eastAsia" w:ascii="宋体" w:hAnsi="宋体"/>
        </w:rPr>
        <w:t>日</w:t>
      </w:r>
    </w:p>
    <w:p>
      <w:pPr>
        <w:spacing w:before="0"/>
        <w:ind w:left="105" w:leftChars="50" w:right="-57" w:firstLine="316" w:firstLineChars="150"/>
        <w:rPr>
          <w:rFonts w:ascii="宋体" w:hAnsi="宋体"/>
          <w:b/>
        </w:rPr>
      </w:pPr>
    </w:p>
    <w:p>
      <w:pPr>
        <w:pStyle w:val="2"/>
        <w:pageBreakBefore/>
        <w:ind w:right="-57" w:firstLine="0"/>
        <w:jc w:val="center"/>
        <w:outlineLvl w:val="0"/>
        <w:rPr>
          <w:rStyle w:val="39"/>
          <w:rFonts w:ascii="宋体" w:hAnsi="宋体" w:eastAsia="宋体"/>
        </w:rPr>
      </w:pPr>
      <w:bookmarkStart w:id="1293" w:name="_Toc20298"/>
      <w:bookmarkStart w:id="1294" w:name="_Toc16754"/>
      <w:bookmarkStart w:id="1295" w:name="_Toc21321"/>
      <w:bookmarkStart w:id="1296" w:name="_Toc492478835"/>
      <w:bookmarkStart w:id="1297" w:name="_Toc31681"/>
      <w:bookmarkStart w:id="1298" w:name="_Toc6337"/>
      <w:bookmarkStart w:id="1299" w:name="_Toc5010"/>
      <w:bookmarkStart w:id="1300" w:name="_Toc28135"/>
      <w:bookmarkStart w:id="1301" w:name="_Toc9597"/>
      <w:bookmarkStart w:id="1302" w:name="_Toc14566"/>
      <w:bookmarkStart w:id="1303" w:name="_Toc13941"/>
      <w:bookmarkStart w:id="1304" w:name="_Toc328"/>
      <w:bookmarkStart w:id="1305" w:name="_Toc26409"/>
      <w:bookmarkStart w:id="1306" w:name="_Toc12695"/>
      <w:bookmarkStart w:id="1307" w:name="_Toc30897"/>
      <w:bookmarkStart w:id="1308" w:name="_Toc6454"/>
      <w:bookmarkStart w:id="1309" w:name="_Toc28535"/>
      <w:bookmarkStart w:id="1310" w:name="_Toc25061"/>
      <w:bookmarkStart w:id="1311" w:name="_Toc75276844"/>
      <w:r>
        <w:rPr>
          <w:rStyle w:val="39"/>
          <w:rFonts w:hint="eastAsia" w:ascii="宋体" w:hAnsi="宋体" w:eastAsia="宋体"/>
        </w:rPr>
        <w:t>第四章用户需求书</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snapToGrid w:val="0"/>
        <w:spacing w:before="0" w:after="0" w:afterAutospacing="0"/>
        <w:ind w:right="0" w:firstLine="0"/>
        <w:jc w:val="left"/>
        <w:outlineLvl w:val="0"/>
        <w:rPr>
          <w:rFonts w:ascii="宋体" w:hAnsi="宋体"/>
          <w:b/>
        </w:rPr>
      </w:pPr>
      <w:bookmarkStart w:id="1312" w:name="_Toc19127"/>
      <w:bookmarkStart w:id="1313" w:name="_Toc26181"/>
      <w:bookmarkStart w:id="1314" w:name="_Toc22641"/>
      <w:bookmarkStart w:id="1315" w:name="_Toc11250"/>
      <w:bookmarkStart w:id="1316" w:name="_Toc28718"/>
      <w:bookmarkStart w:id="1317" w:name="_Toc29467"/>
      <w:bookmarkStart w:id="1318" w:name="_Toc15538"/>
      <w:bookmarkStart w:id="1319" w:name="_Toc75276845"/>
      <w:bookmarkStart w:id="1320" w:name="_Toc9525"/>
      <w:bookmarkStart w:id="1321" w:name="_Toc11391"/>
      <w:bookmarkStart w:id="1322" w:name="_Toc12577"/>
      <w:bookmarkStart w:id="1323" w:name="_Toc16627"/>
      <w:bookmarkStart w:id="1324" w:name="_Toc4772"/>
      <w:bookmarkStart w:id="1325" w:name="_Toc14304"/>
      <w:bookmarkStart w:id="1326" w:name="_Toc19284"/>
      <w:bookmarkStart w:id="1327" w:name="_Toc15859"/>
      <w:bookmarkStart w:id="1328" w:name="_Toc23109"/>
      <w:bookmarkStart w:id="1329" w:name="_Toc20951"/>
      <w:r>
        <w:rPr>
          <w:rFonts w:hint="eastAsia" w:ascii="宋体" w:hAnsi="宋体"/>
          <w:b/>
        </w:rPr>
        <w:t>一、商务要求</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spacing w:before="0" w:after="0" w:afterAutospacing="0"/>
        <w:ind w:right="0" w:firstLine="200"/>
        <w:rPr>
          <w:rFonts w:ascii="宋体" w:hAnsi="宋体"/>
        </w:rPr>
      </w:pPr>
      <w:r>
        <w:rPr>
          <w:rFonts w:hint="eastAsia" w:ascii="宋体" w:hAnsi="宋体"/>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rPr>
      </w:pPr>
      <w:r>
        <w:rPr>
          <w:rFonts w:hint="eastAsia" w:ascii="宋体" w:hAnsi="宋体"/>
        </w:rPr>
        <w:t>2.交货期限：合同签订且</w:t>
      </w:r>
      <w:r>
        <w:rPr>
          <w:rFonts w:ascii="宋体" w:hAnsi="宋体"/>
        </w:rPr>
        <w:t>交货通知书发出后</w:t>
      </w:r>
      <w:r>
        <w:rPr>
          <w:rFonts w:hint="eastAsia" w:ascii="宋体" w:hAnsi="宋体"/>
          <w:color w:val="auto"/>
        </w:rPr>
        <w:t>90</w:t>
      </w:r>
      <w:r>
        <w:rPr>
          <w:rFonts w:hint="eastAsia" w:ascii="宋体" w:hAnsi="宋体"/>
        </w:rPr>
        <w:t>天内分批交货，如遇春节期间，交货期可适当延长，但不得超过4个月，具体按交货通知为准。</w:t>
      </w:r>
    </w:p>
    <w:p>
      <w:pPr>
        <w:spacing w:before="0" w:after="0" w:afterAutospacing="0"/>
        <w:ind w:right="0" w:firstLine="200"/>
        <w:rPr>
          <w:rFonts w:ascii="宋体" w:hAnsi="宋体"/>
        </w:rPr>
      </w:pPr>
      <w:r>
        <w:rPr>
          <w:rFonts w:hint="eastAsia" w:ascii="宋体" w:hAnsi="宋体"/>
        </w:rPr>
        <w:t>3.交货地点：广西壮族自治区南宁市内比选人指定地点。</w:t>
      </w:r>
    </w:p>
    <w:p>
      <w:pPr>
        <w:spacing w:before="0" w:after="0" w:afterAutospacing="0"/>
        <w:ind w:right="0" w:firstLine="200"/>
        <w:rPr>
          <w:rFonts w:ascii="宋体" w:hAnsi="宋体"/>
        </w:rPr>
      </w:pPr>
      <w:r>
        <w:rPr>
          <w:rFonts w:hint="eastAsia" w:ascii="宋体" w:hAnsi="宋体"/>
        </w:rPr>
        <w:t>4.验收：货物到达指定交付地点后，比选人按照双方签订的合同及比选文件要求，于10个工作日内组织验收。</w:t>
      </w:r>
    </w:p>
    <w:p>
      <w:pPr>
        <w:spacing w:before="0" w:after="0" w:afterAutospacing="0"/>
        <w:ind w:right="0" w:firstLine="200"/>
        <w:rPr>
          <w:rFonts w:ascii="宋体" w:hAnsi="宋体"/>
        </w:rPr>
      </w:pPr>
      <w:r>
        <w:rPr>
          <w:rFonts w:hint="eastAsia" w:ascii="宋体" w:hAnsi="宋体"/>
        </w:rPr>
        <w:t>5.质保期：</w:t>
      </w:r>
      <w:r>
        <w:rPr>
          <w:rFonts w:hint="eastAsia" w:ascii="宋体" w:hAnsi="宋体"/>
          <w:color w:val="000000" w:themeColor="text1"/>
          <w:u w:val="single"/>
        </w:rPr>
        <w:t>24个</w:t>
      </w:r>
      <w:r>
        <w:rPr>
          <w:rFonts w:hint="eastAsia" w:ascii="宋体" w:hAnsi="宋体"/>
          <w:color w:val="000000" w:themeColor="text1"/>
        </w:rPr>
        <w:t>月</w:t>
      </w:r>
      <w:r>
        <w:rPr>
          <w:rFonts w:hint="eastAsia" w:ascii="宋体" w:hAnsi="宋体"/>
        </w:rPr>
        <w:t>。</w:t>
      </w:r>
    </w:p>
    <w:p>
      <w:pPr>
        <w:spacing w:before="0" w:after="0" w:afterAutospacing="0"/>
        <w:ind w:right="0" w:firstLine="200"/>
        <w:rPr>
          <w:rFonts w:ascii="宋体" w:hAnsi="宋体"/>
        </w:rPr>
      </w:pPr>
      <w:r>
        <w:rPr>
          <w:rFonts w:hint="eastAsia" w:ascii="宋体" w:hAnsi="宋体"/>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rPr>
      </w:pPr>
      <w:r>
        <w:rPr>
          <w:rFonts w:hint="eastAsia" w:ascii="宋体" w:hAnsi="宋体"/>
        </w:rPr>
        <w:t>7.有保质期或有效期的货物，交货时的有效保质期或有效期须不少于整个保质期或有效期的2/3以上（保质期为1年的，有效保质期须大于等于6个月）；无保质期或有效期的货物，国产货物须为交货时1年以内生产，进口货物须为交货时2年以内生产。如涉及到特殊货物，由双方协商决定。</w:t>
      </w:r>
    </w:p>
    <w:p>
      <w:pPr>
        <w:spacing w:before="0" w:after="0" w:afterAutospacing="0"/>
        <w:ind w:right="0" w:firstLine="200"/>
        <w:rPr>
          <w:rFonts w:ascii="宋体" w:hAnsi="宋体"/>
        </w:rPr>
      </w:pPr>
      <w:r>
        <w:rPr>
          <w:rFonts w:hint="eastAsia" w:ascii="宋体" w:hAnsi="宋体"/>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rPr>
      </w:pPr>
      <w:r>
        <w:rPr>
          <w:rFonts w:hint="eastAsia" w:ascii="宋体" w:hAnsi="宋体"/>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rPr>
      </w:pPr>
      <w:r>
        <w:rPr>
          <w:rFonts w:hint="eastAsia" w:ascii="宋体" w:hAnsi="宋体"/>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rPr>
      </w:pPr>
      <w:r>
        <w:rPr>
          <w:rFonts w:hint="eastAsia" w:ascii="宋体" w:hAnsi="宋体"/>
        </w:rPr>
        <w:t>11.比选申请人比选申请货物的规格参数需与“技术需求及数量表”中的要求完全相符，投报货物的性能参数须等同于或优于“技术需求及数量表”中的要求。如中选人供货货物质量不合格或提供假冒伪劣产品的，比选人将依法追究其法律责任。</w:t>
      </w:r>
    </w:p>
    <w:p>
      <w:pPr>
        <w:spacing w:before="0" w:after="0" w:afterAutospacing="0"/>
        <w:ind w:right="0" w:firstLine="200"/>
        <w:rPr>
          <w:rFonts w:ascii="宋体" w:hAnsi="宋体"/>
        </w:rPr>
      </w:pPr>
      <w:r>
        <w:rPr>
          <w:rFonts w:hint="eastAsia" w:ascii="宋体" w:hAnsi="宋体"/>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ascii="宋体" w:hAnsi="宋体"/>
        </w:rPr>
      </w:pPr>
      <w:r>
        <w:rPr>
          <w:rFonts w:hint="eastAsia" w:ascii="宋体" w:hAnsi="宋体"/>
        </w:rPr>
        <w:t>13.《技术需求及数量表》备注栏中标</w:t>
      </w:r>
      <w:r>
        <w:rPr>
          <w:rFonts w:hint="eastAsia" w:ascii="宋体" w:hAnsi="宋体"/>
          <w:color w:val="000000" w:themeColor="text1"/>
        </w:rPr>
        <w:t>有：</w:t>
      </w:r>
      <w:r>
        <w:rPr>
          <w:rFonts w:hint="eastAsia" w:ascii="宋体" w:hAnsi="宋体"/>
        </w:rPr>
        <w:t>1.备注栏标有“△”的货物是本项目重点物资，交货时须提供原厂供货证明；</w:t>
      </w:r>
    </w:p>
    <w:p>
      <w:pPr>
        <w:spacing w:before="0" w:after="0" w:afterAutospacing="0"/>
        <w:ind w:right="0" w:firstLine="200"/>
        <w:rPr>
          <w:rFonts w:ascii="宋体" w:hAnsi="宋体"/>
        </w:rPr>
      </w:pPr>
      <w:r>
        <w:rPr>
          <w:rFonts w:hint="eastAsia" w:ascii="宋体" w:hAnsi="宋体"/>
        </w:rPr>
        <w:t>2.备注栏标有“按样品”的货物，中选供应商须按要求提供图纸或样品，并按确认后的图纸或样品供货；</w:t>
      </w:r>
    </w:p>
    <w:p>
      <w:pPr>
        <w:spacing w:before="0" w:after="0" w:afterAutospacing="0"/>
        <w:ind w:right="0" w:firstLine="200"/>
        <w:rPr>
          <w:rFonts w:ascii="宋体" w:hAnsi="宋体"/>
        </w:rPr>
      </w:pPr>
      <w:r>
        <w:rPr>
          <w:rFonts w:hint="eastAsia" w:ascii="宋体" w:hAnsi="宋体"/>
        </w:rPr>
        <w:t>3.备注栏标有“编号”的货物，交货时须印制甲方提供的编号；</w:t>
      </w:r>
    </w:p>
    <w:p>
      <w:pPr>
        <w:spacing w:before="0" w:after="0" w:afterAutospacing="0"/>
        <w:ind w:right="0" w:firstLine="200"/>
        <w:rPr>
          <w:rFonts w:ascii="宋体" w:hAnsi="宋体"/>
        </w:rPr>
      </w:pPr>
      <w:r>
        <w:rPr>
          <w:rFonts w:hint="eastAsia" w:ascii="宋体" w:hAnsi="宋体"/>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运营有限公司”，产生的所有费用已包含在项目报价中；出具检定/校准报告的机构须为省级（含省级）以上质量检验中心检测报告。</w:t>
      </w:r>
    </w:p>
    <w:p>
      <w:pPr>
        <w:snapToGrid w:val="0"/>
        <w:ind w:left="0" w:right="0" w:firstLine="0"/>
        <w:jc w:val="left"/>
        <w:outlineLvl w:val="0"/>
        <w:rPr>
          <w:rFonts w:ascii="宋体" w:hAnsi="宋体"/>
          <w:b/>
        </w:rPr>
      </w:pPr>
      <w:bookmarkStart w:id="1330" w:name="_Toc23069"/>
      <w:bookmarkStart w:id="1331" w:name="_Toc11653"/>
      <w:bookmarkStart w:id="1332" w:name="_Toc18230"/>
      <w:bookmarkStart w:id="1333" w:name="_Toc27951"/>
      <w:bookmarkStart w:id="1334" w:name="_Toc28928"/>
      <w:bookmarkStart w:id="1335" w:name="_Toc26120"/>
      <w:bookmarkStart w:id="1336" w:name="_Toc5286"/>
      <w:bookmarkStart w:id="1337" w:name="_Toc19839"/>
      <w:bookmarkStart w:id="1338" w:name="_Toc25749"/>
      <w:bookmarkStart w:id="1339" w:name="_Toc28578"/>
      <w:bookmarkStart w:id="1340" w:name="_Toc8850"/>
      <w:bookmarkStart w:id="1341" w:name="_Toc1833"/>
      <w:bookmarkStart w:id="1342" w:name="_Toc22932"/>
      <w:bookmarkStart w:id="1343" w:name="_Toc7874"/>
      <w:bookmarkStart w:id="1344" w:name="_Toc19873"/>
      <w:bookmarkStart w:id="1345" w:name="_Toc7867"/>
      <w:bookmarkStart w:id="1346" w:name="_Toc13356"/>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sectPr>
          <w:pgSz w:w="11905" w:h="16838"/>
          <w:pgMar w:top="1418" w:right="1418" w:bottom="1304" w:left="1418" w:header="454" w:footer="567" w:gutter="0"/>
          <w:cols w:space="720" w:num="1"/>
          <w:docGrid w:linePitch="312" w:charSpace="0"/>
        </w:sectPr>
      </w:pPr>
    </w:p>
    <w:p>
      <w:pPr>
        <w:numPr>
          <w:ilvl w:val="0"/>
          <w:numId w:val="9"/>
        </w:numPr>
        <w:snapToGrid w:val="0"/>
        <w:ind w:right="0" w:firstLine="0"/>
        <w:jc w:val="left"/>
        <w:outlineLvl w:val="0"/>
        <w:rPr>
          <w:rFonts w:ascii="宋体" w:hAnsi="宋体"/>
          <w:b/>
        </w:rPr>
      </w:pPr>
      <w:bookmarkStart w:id="1347" w:name="_Toc75276846"/>
      <w:r>
        <w:rPr>
          <w:rFonts w:hint="eastAsia" w:ascii="宋体" w:hAnsi="宋体"/>
          <w:b/>
        </w:rPr>
        <w:t>技术需求及数量表</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tbl>
      <w:tblPr>
        <w:tblStyle w:val="26"/>
        <w:tblW w:w="10145" w:type="dxa"/>
        <w:tblInd w:w="93" w:type="dxa"/>
        <w:tblLayout w:type="fixed"/>
        <w:tblCellMar>
          <w:top w:w="0" w:type="dxa"/>
          <w:left w:w="108" w:type="dxa"/>
          <w:bottom w:w="0" w:type="dxa"/>
          <w:right w:w="108" w:type="dxa"/>
        </w:tblCellMar>
      </w:tblPr>
      <w:tblGrid>
        <w:gridCol w:w="472"/>
        <w:gridCol w:w="528"/>
        <w:gridCol w:w="22"/>
        <w:gridCol w:w="4400"/>
        <w:gridCol w:w="700"/>
        <w:gridCol w:w="1862"/>
        <w:gridCol w:w="550"/>
        <w:gridCol w:w="667"/>
        <w:gridCol w:w="944"/>
      </w:tblGrid>
      <w:tr>
        <w:tblPrEx>
          <w:tblCellMar>
            <w:top w:w="0" w:type="dxa"/>
            <w:left w:w="108" w:type="dxa"/>
            <w:bottom w:w="0" w:type="dxa"/>
            <w:right w:w="108" w:type="dxa"/>
          </w:tblCellMar>
        </w:tblPrEx>
        <w:trPr>
          <w:trHeight w:val="1423" w:hRule="exact"/>
        </w:trPr>
        <w:tc>
          <w:tcPr>
            <w:tcW w:w="4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序</w:t>
            </w:r>
          </w:p>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号</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货</w:t>
            </w:r>
          </w:p>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物</w:t>
            </w:r>
          </w:p>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名</w:t>
            </w:r>
          </w:p>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称</w:t>
            </w:r>
          </w:p>
        </w:tc>
        <w:tc>
          <w:tcPr>
            <w:tcW w:w="4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型号、技术规格</w:t>
            </w:r>
          </w:p>
        </w:tc>
        <w:tc>
          <w:tcPr>
            <w:tcW w:w="7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参考品牌</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240" w:lineRule="auto"/>
              <w:ind w:left="0" w:right="0" w:firstLine="0"/>
              <w:jc w:val="center"/>
              <w:rPr>
                <w:rFonts w:ascii="等线" w:hAnsi="等线" w:eastAsia="等线" w:cs="宋体"/>
                <w:b/>
                <w:bCs/>
                <w:color w:val="000000"/>
                <w:sz w:val="20"/>
                <w:szCs w:val="20"/>
              </w:rPr>
            </w:pPr>
            <w:r>
              <w:rPr>
                <w:rFonts w:hint="eastAsia" w:ascii="等线" w:hAnsi="等线" w:eastAsia="等线" w:cs="宋体"/>
                <w:b/>
                <w:bCs/>
                <w:color w:val="000000"/>
                <w:sz w:val="20"/>
                <w:szCs w:val="20"/>
              </w:rPr>
              <w:t>参考图片</w:t>
            </w:r>
          </w:p>
        </w:tc>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单</w:t>
            </w:r>
          </w:p>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位</w:t>
            </w:r>
          </w:p>
        </w:tc>
        <w:tc>
          <w:tcPr>
            <w:tcW w:w="66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数</w:t>
            </w:r>
          </w:p>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量</w:t>
            </w:r>
          </w:p>
        </w:tc>
        <w:tc>
          <w:tcPr>
            <w:tcW w:w="9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240" w:lineRule="auto"/>
              <w:ind w:left="0" w:right="0" w:firstLine="0"/>
              <w:jc w:val="center"/>
              <w:rPr>
                <w:rFonts w:ascii="等线" w:hAnsi="等线" w:eastAsia="等线" w:cs="宋体"/>
                <w:b/>
                <w:bCs/>
                <w:color w:val="000000"/>
                <w:sz w:val="20"/>
                <w:szCs w:val="20"/>
              </w:rPr>
            </w:pPr>
            <w:r>
              <w:rPr>
                <w:rFonts w:hint="eastAsia" w:ascii="等线" w:hAnsi="等线" w:eastAsia="等线" w:cs="宋体"/>
                <w:b/>
                <w:bCs/>
                <w:color w:val="000000"/>
                <w:sz w:val="20"/>
                <w:szCs w:val="20"/>
              </w:rPr>
              <w:t>备注</w:t>
            </w:r>
          </w:p>
        </w:tc>
      </w:tr>
      <w:tr>
        <w:tblPrEx>
          <w:tblCellMar>
            <w:top w:w="0" w:type="dxa"/>
            <w:left w:w="108" w:type="dxa"/>
            <w:bottom w:w="0" w:type="dxa"/>
            <w:right w:w="108" w:type="dxa"/>
          </w:tblCellMar>
        </w:tblPrEx>
        <w:trPr>
          <w:trHeight w:val="26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沙</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发</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套</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装</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规格：3+2+1,含长茶几一个。沙发长宽高规格：2150*840*900（mm），长茶几长宽高规格：1200*600*450（mm）；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面料：优质环保PU皮覆面，皮质光泽度好，透气性强；</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曲木板：靠背、坐垫采用多层曲木板热压成型，根据人体工程学原理设计，板材承受压力达300KG，经防潮、防腐、防虫蛀等工艺处理，保证环保；</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泡棉：高弹性聚胺脂定型海棉(模具一次成型)，采用颜色均匀的阻燃定型海绵，其中色泽颜色应均匀、不含氟氨化合物，无甲醛及二甲苯等异味，使用无苯胶粘剂粘接，圆润厚实，软硬适中，回弹性好，表面涂有防止老化变形的保护膜；</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框架：采用实木制内框架，木材经六面刨光处理；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颜色：木材红棕色，面料黑色。</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59264" behindDoc="0" locked="0" layoutInCell="1" allowOverlap="1">
                  <wp:simplePos x="0" y="0"/>
                  <wp:positionH relativeFrom="column">
                    <wp:posOffset>-5715</wp:posOffset>
                  </wp:positionH>
                  <wp:positionV relativeFrom="paragraph">
                    <wp:posOffset>974090</wp:posOffset>
                  </wp:positionV>
                  <wp:extent cx="973455" cy="507365"/>
                  <wp:effectExtent l="0" t="0" r="17145" b="6985"/>
                  <wp:wrapNone/>
                  <wp:docPr id="59" name="图片_67"/>
                  <wp:cNvGraphicFramePr/>
                  <a:graphic xmlns:a="http://schemas.openxmlformats.org/drawingml/2006/main">
                    <a:graphicData uri="http://schemas.openxmlformats.org/drawingml/2006/picture">
                      <pic:pic xmlns:pic="http://schemas.openxmlformats.org/drawingml/2006/picture">
                        <pic:nvPicPr>
                          <pic:cNvPr id="59" name="图片_67"/>
                          <pic:cNvPicPr/>
                        </pic:nvPicPr>
                        <pic:blipFill>
                          <a:blip r:embed="rId12"/>
                          <a:stretch>
                            <a:fillRect/>
                          </a:stretch>
                        </pic:blipFill>
                        <pic:spPr>
                          <a:xfrm>
                            <a:off x="0" y="0"/>
                            <a:ext cx="973455" cy="50736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套</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72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2</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中</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层</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班</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台</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长宽高规格：1600*900*760（mm)；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面材：一级优质天然木皮饰面；</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基材：采用E1级环保中密度纤维板,游离甲醛释放量优于国家E1级环保标准；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贴面胶：环保贴面胶和包边胶；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油漆：环保优质油漆，使用最新的无苯天那水，表面先进喷涂工艺；两面均衡油饰，漆膜附着力1级，加附柜，附柜长1200*宽470*高560（mm），抽屉3个，带轮子。推拉轨道带缓冲功能、采用不锈钢优质五金。</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60288" behindDoc="0" locked="0" layoutInCell="1" allowOverlap="1">
                  <wp:simplePos x="0" y="0"/>
                  <wp:positionH relativeFrom="column">
                    <wp:posOffset>-14605</wp:posOffset>
                  </wp:positionH>
                  <wp:positionV relativeFrom="paragraph">
                    <wp:posOffset>143510</wp:posOffset>
                  </wp:positionV>
                  <wp:extent cx="1047750" cy="787400"/>
                  <wp:effectExtent l="0" t="0" r="0" b="12700"/>
                  <wp:wrapNone/>
                  <wp:docPr id="60" name="图片_66"/>
                  <wp:cNvGraphicFramePr/>
                  <a:graphic xmlns:a="http://schemas.openxmlformats.org/drawingml/2006/main">
                    <a:graphicData uri="http://schemas.openxmlformats.org/drawingml/2006/picture">
                      <pic:pic xmlns:pic="http://schemas.openxmlformats.org/drawingml/2006/picture">
                        <pic:nvPicPr>
                          <pic:cNvPr id="60" name="图片_66"/>
                          <pic:cNvPicPr/>
                        </pic:nvPicPr>
                        <pic:blipFill>
                          <a:blip r:embed="rId13"/>
                          <a:stretch>
                            <a:fillRect/>
                          </a:stretch>
                        </pic:blipFill>
                        <pic:spPr>
                          <a:xfrm>
                            <a:off x="0" y="0"/>
                            <a:ext cx="1047750" cy="78740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98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3</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中</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层</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椅</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子</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椅背黒薄网布，座采用布绒覆面，耐磨，透气性强，坐垫：黑色；</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泡棉：高弹性聚胺脂定型海棉(模具一次成型)，泡棉密度≥30kg/m3，回弹力≥41%，不含氟氨化合物，无甲醛及二甲苯等异味，使用无苯胶粘剂粘接，圆润厚实，软硬适中，回弹性好，表面涂有防止老化变形的保护膜；</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优质气压棒，回旋次数30万次，性能良好；</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选用优质尼龙五星脚及优质高强度尼龙万向轮，承重不低于250kg,活动自如，滑动时无噪音，带头靠、腰靠。</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61312" behindDoc="0" locked="0" layoutInCell="1" allowOverlap="1">
                  <wp:simplePos x="0" y="0"/>
                  <wp:positionH relativeFrom="column">
                    <wp:posOffset>334645</wp:posOffset>
                  </wp:positionH>
                  <wp:positionV relativeFrom="paragraph">
                    <wp:posOffset>260350</wp:posOffset>
                  </wp:positionV>
                  <wp:extent cx="533400" cy="879475"/>
                  <wp:effectExtent l="0" t="0" r="0" b="15875"/>
                  <wp:wrapNone/>
                  <wp:docPr id="61" name="图片_8"/>
                  <wp:cNvGraphicFramePr/>
                  <a:graphic xmlns:a="http://schemas.openxmlformats.org/drawingml/2006/main">
                    <a:graphicData uri="http://schemas.openxmlformats.org/drawingml/2006/picture">
                      <pic:pic xmlns:pic="http://schemas.openxmlformats.org/drawingml/2006/picture">
                        <pic:nvPicPr>
                          <pic:cNvPr id="61" name="图片_8"/>
                          <pic:cNvPicPr/>
                        </pic:nvPicPr>
                        <pic:blipFill>
                          <a:blip r:embed="rId14"/>
                          <a:stretch>
                            <a:fillRect/>
                          </a:stretch>
                        </pic:blipFill>
                        <pic:spPr>
                          <a:xfrm>
                            <a:off x="0" y="0"/>
                            <a:ext cx="533400" cy="87947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5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4</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卡</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座</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1、长宽高规格：1400*1400*1250(mm)；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框架：30mm厚结合框架，结构型材截面厚度为1.0mm；铝合金和钢板表面静电粉末喷涂处理，满足上下走线，走线槽之间相通，实现强弱电分离；带三抽活动柜，木制主机架；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屏风饰面板：桌下MFC板，桌上为扪布+磨条玻；</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桌面板：板材E1级MFC板，游离甲醛释放量符合或优于国家E1级环保标准；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xml:space="preserve">封边：台面封边采用新型抗老化性PVC封边，封边工艺采用全自动化机器封边技术，防潮、防晒、耐腐蚀、耐氧化、不易脱落、经久耐用、表面光滑平整，无皱褶无波浪形，防水性能经水滴试验无渗透，经磨边处理；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台面颜色：业主可选，隔板：磨砂玻璃；</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推拉轨道带缓冲功能、采用不锈钢优质五金。</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62336" behindDoc="0" locked="0" layoutInCell="1" allowOverlap="1">
                  <wp:simplePos x="0" y="0"/>
                  <wp:positionH relativeFrom="column">
                    <wp:posOffset>22860</wp:posOffset>
                  </wp:positionH>
                  <wp:positionV relativeFrom="paragraph">
                    <wp:posOffset>499110</wp:posOffset>
                  </wp:positionV>
                  <wp:extent cx="963295" cy="785495"/>
                  <wp:effectExtent l="0" t="0" r="8255" b="14605"/>
                  <wp:wrapNone/>
                  <wp:docPr id="62" name="图片_33"/>
                  <wp:cNvGraphicFramePr/>
                  <a:graphic xmlns:a="http://schemas.openxmlformats.org/drawingml/2006/main">
                    <a:graphicData uri="http://schemas.openxmlformats.org/drawingml/2006/picture">
                      <pic:pic xmlns:pic="http://schemas.openxmlformats.org/drawingml/2006/picture">
                        <pic:nvPicPr>
                          <pic:cNvPr id="62" name="图片_33"/>
                          <pic:cNvPicPr/>
                        </pic:nvPicPr>
                        <pic:blipFill>
                          <a:blip r:embed="rId15"/>
                          <a:stretch>
                            <a:fillRect/>
                          </a:stretch>
                        </pic:blipFill>
                        <pic:spPr>
                          <a:xfrm>
                            <a:off x="0" y="0"/>
                            <a:ext cx="963295" cy="78549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26</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p>
        </w:tc>
      </w:tr>
      <w:tr>
        <w:tblPrEx>
          <w:tblCellMar>
            <w:top w:w="0" w:type="dxa"/>
            <w:left w:w="108" w:type="dxa"/>
            <w:bottom w:w="0" w:type="dxa"/>
            <w:right w:w="108" w:type="dxa"/>
          </w:tblCellMar>
        </w:tblPrEx>
        <w:trPr>
          <w:trHeight w:val="19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5</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职</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员</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椅</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子</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采用皮质光泽度好,透气性强,优质环保PU皮覆面；钢管壁厚1.8mm；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泡棉：采用高弹性聚胺脂定型海棉(模具一次成型)，采用颜色均匀的阻燃定型海绵，其中色泽颜色应均匀，允许轻微杂色、黄芯。不允许有尺寸大于6mm对穿孔和大于10mm的气孔,不允许重污染,无刺激性气味。泡棉密度≥30kg/m3，回弹力≥41%，不含氟氨化合物，无甲醛及二甲苯等异味，使用无苯胶粘剂粘接，圆润厚实，软硬适中，回弹性好，表面涂有防止老化变形的保护膜；</w:t>
            </w:r>
          </w:p>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尺寸：总高950mm、坐垫离地高400mm，背靠椅与坐垫拐弯连接处：使用钢质材料</w:t>
            </w:r>
            <w:r>
              <w:rPr>
                <w:rFonts w:hint="eastAsia" w:ascii="宋体" w:hAnsi="宋体" w:cs="宋体"/>
                <w:color w:val="000000"/>
                <w:sz w:val="20"/>
                <w:szCs w:val="20"/>
                <w:lang w:eastAsia="zh-CN"/>
              </w:rPr>
              <w:t>，承重要求：</w:t>
            </w:r>
            <w:r>
              <w:rPr>
                <w:rFonts w:hint="eastAsia" w:ascii="宋体" w:hAnsi="宋体" w:cs="宋体"/>
                <w:color w:val="000000"/>
                <w:sz w:val="20"/>
                <w:szCs w:val="20"/>
                <w:lang w:val="en-US" w:eastAsia="zh-CN"/>
              </w:rPr>
              <w:t>≥220kg。</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63360" behindDoc="0" locked="0" layoutInCell="1" allowOverlap="1">
                  <wp:simplePos x="0" y="0"/>
                  <wp:positionH relativeFrom="column">
                    <wp:posOffset>309880</wp:posOffset>
                  </wp:positionH>
                  <wp:positionV relativeFrom="paragraph">
                    <wp:posOffset>304165</wp:posOffset>
                  </wp:positionV>
                  <wp:extent cx="437515" cy="831850"/>
                  <wp:effectExtent l="0" t="0" r="635" b="6350"/>
                  <wp:wrapNone/>
                  <wp:docPr id="63" name="图片_7"/>
                  <wp:cNvGraphicFramePr/>
                  <a:graphic xmlns:a="http://schemas.openxmlformats.org/drawingml/2006/main">
                    <a:graphicData uri="http://schemas.openxmlformats.org/drawingml/2006/picture">
                      <pic:pic xmlns:pic="http://schemas.openxmlformats.org/drawingml/2006/picture">
                        <pic:nvPicPr>
                          <pic:cNvPr id="63" name="图片_7"/>
                          <pic:cNvPicPr/>
                        </pic:nvPicPr>
                        <pic:blipFill>
                          <a:blip r:embed="rId16"/>
                          <a:stretch>
                            <a:fillRect/>
                          </a:stretch>
                        </pic:blipFill>
                        <pic:spPr>
                          <a:xfrm>
                            <a:off x="0" y="0"/>
                            <a:ext cx="437515" cy="83185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438</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firstLine="0"/>
              <w:textAlignment w:val="center"/>
              <w:rPr>
                <w:rFonts w:ascii="宋体" w:hAnsi="宋体" w:cs="宋体"/>
                <w:color w:val="000000"/>
                <w:sz w:val="20"/>
                <w:szCs w:val="20"/>
                <w:lang w:bidi="ar"/>
              </w:rPr>
            </w:pPr>
            <w:r>
              <w:rPr>
                <w:rFonts w:hint="eastAsia" w:ascii="宋体" w:hAnsi="宋体" w:cs="宋体"/>
                <w:color w:val="000000"/>
                <w:sz w:val="20"/>
                <w:szCs w:val="20"/>
                <w:lang w:bidi="ar"/>
              </w:rPr>
              <w:t>按样品，编号</w:t>
            </w:r>
          </w:p>
        </w:tc>
      </w:tr>
      <w:tr>
        <w:tblPrEx>
          <w:tblCellMar>
            <w:top w:w="0" w:type="dxa"/>
            <w:left w:w="108" w:type="dxa"/>
            <w:bottom w:w="0" w:type="dxa"/>
            <w:right w:w="108" w:type="dxa"/>
          </w:tblCellMar>
        </w:tblPrEx>
        <w:trPr>
          <w:trHeight w:val="174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6</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工</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班</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条</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形</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桌</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1、长宽高规格：1400*700*760（mm）；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2、台面板采用厚度为1.2mm的201不锈钢磨砂板，桌面内部采用15mm优质多层板结合环保粘合剂与面板不锈钢无间隙粘贴，多层板下部采用增加承受力及表面平整度，桌面上部无焊点，无渣点</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3、不锈钢、柜体背板离地面高度400mm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4、抽屉：3个小抽屉，1个带锁柜子，推拉轨道带缓冲功能、采用不锈钢优质五金。</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64384" behindDoc="0" locked="0" layoutInCell="1" allowOverlap="1">
                  <wp:simplePos x="0" y="0"/>
                  <wp:positionH relativeFrom="column">
                    <wp:posOffset>93980</wp:posOffset>
                  </wp:positionH>
                  <wp:positionV relativeFrom="paragraph">
                    <wp:posOffset>247015</wp:posOffset>
                  </wp:positionV>
                  <wp:extent cx="909320" cy="641350"/>
                  <wp:effectExtent l="0" t="0" r="5080" b="6350"/>
                  <wp:wrapNone/>
                  <wp:docPr id="64" name="图片_10"/>
                  <wp:cNvGraphicFramePr/>
                  <a:graphic xmlns:a="http://schemas.openxmlformats.org/drawingml/2006/main">
                    <a:graphicData uri="http://schemas.openxmlformats.org/drawingml/2006/picture">
                      <pic:pic xmlns:pic="http://schemas.openxmlformats.org/drawingml/2006/picture">
                        <pic:nvPicPr>
                          <pic:cNvPr id="64" name="图片_10"/>
                          <pic:cNvPicPr/>
                        </pic:nvPicPr>
                        <pic:blipFill>
                          <a:blip r:embed="rId17"/>
                          <a:stretch>
                            <a:fillRect/>
                          </a:stretch>
                        </pic:blipFill>
                        <pic:spPr>
                          <a:xfrm>
                            <a:off x="0" y="0"/>
                            <a:ext cx="909320" cy="64135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8</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5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7</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工</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班</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椅</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子</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1、长宽高规格：1400*450*450（mm）；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2、架子是40mm边长的方管焊接，厚度≥1.5mm，承重≥200kg,质量保证；</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3、坐面基材采用E1级优质环保型中密度纤维板，厚度25mm，实心，不得中空，游离甲醛释放量符合国家标准；</w:t>
            </w:r>
          </w:p>
          <w:p>
            <w:pPr>
              <w:spacing w:before="0" w:after="0" w:afterAutospacing="0" w:line="240" w:lineRule="auto"/>
              <w:ind w:left="0" w:right="0" w:firstLine="0"/>
              <w:jc w:val="left"/>
              <w:rPr>
                <w:rFonts w:hint="eastAsia" w:ascii="宋体" w:hAnsi="宋体" w:cs="宋体"/>
                <w:color w:val="000000"/>
                <w:sz w:val="20"/>
                <w:szCs w:val="20"/>
              </w:rPr>
            </w:pPr>
            <w:r>
              <w:rPr>
                <w:rFonts w:hint="eastAsia" w:ascii="宋体" w:hAnsi="宋体" w:cs="宋体"/>
                <w:color w:val="000000"/>
                <w:sz w:val="20"/>
                <w:szCs w:val="20"/>
              </w:rPr>
              <w:t>4、坐板外贴具有耐磨耐高温的防火板面料，具有耐磨、耐刮花、耐光、耐热等特点。</w:t>
            </w:r>
          </w:p>
          <w:p>
            <w:pPr>
              <w:spacing w:before="0" w:after="0" w:afterAutospacing="0" w:line="240" w:lineRule="auto"/>
              <w:ind w:left="0" w:right="0" w:firstLine="0"/>
              <w:jc w:val="lef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5、承重要求：</w:t>
            </w:r>
            <w:r>
              <w:rPr>
                <w:rFonts w:hint="eastAsia" w:ascii="宋体" w:hAnsi="宋体" w:eastAsia="宋体" w:cs="宋体"/>
                <w:color w:val="000000"/>
                <w:sz w:val="20"/>
                <w:szCs w:val="20"/>
                <w:lang w:val="en-US" w:eastAsia="zh-CN"/>
              </w:rPr>
              <w:t>≥450kg</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center"/>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65408" behindDoc="0" locked="0" layoutInCell="1" allowOverlap="1">
                  <wp:simplePos x="0" y="0"/>
                  <wp:positionH relativeFrom="column">
                    <wp:posOffset>307975</wp:posOffset>
                  </wp:positionH>
                  <wp:positionV relativeFrom="paragraph">
                    <wp:posOffset>100330</wp:posOffset>
                  </wp:positionV>
                  <wp:extent cx="572135" cy="643255"/>
                  <wp:effectExtent l="0" t="0" r="18415" b="4445"/>
                  <wp:wrapNone/>
                  <wp:docPr id="65" name="图片_8_SpCnt_1"/>
                  <wp:cNvGraphicFramePr/>
                  <a:graphic xmlns:a="http://schemas.openxmlformats.org/drawingml/2006/main">
                    <a:graphicData uri="http://schemas.openxmlformats.org/drawingml/2006/picture">
                      <pic:pic xmlns:pic="http://schemas.openxmlformats.org/drawingml/2006/picture">
                        <pic:nvPicPr>
                          <pic:cNvPr id="65" name="图片_8_SpCnt_1"/>
                          <pic:cNvPicPr/>
                        </pic:nvPicPr>
                        <pic:blipFill>
                          <a:blip r:embed="rId18"/>
                          <a:stretch>
                            <a:fillRect/>
                          </a:stretch>
                        </pic:blipFill>
                        <pic:spPr>
                          <a:xfrm>
                            <a:off x="0" y="0"/>
                            <a:ext cx="572135" cy="64325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7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8</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调</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度</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椅</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子</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面料：采用一级优质真皮覆面，皮面柔软舒适、经久耐用、耐磨性强；</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曲木板：靠背、坐垫采用15mmE1级多层曲木板热压成型，根据人体工程学原理设计，板材承受压力达300kg，经防潮、防腐、防虫蛀等工艺处理，保证环保；</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泡棉：高弹性聚胺脂定型海棉(模具一次成型)，泡棉密度≥35kg/m³，回弹力高，不含氟氨化合物，无甲醛及二甲苯等异味，使用无苯胶粘剂粘接，圆润厚实，软硬适中，回弹性好，表面涂有防止老化变形的保护膜；</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气压棒：选用优质气压棒，质量标准符合国际及行业要求；</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五星脚：采用优质铝合金五星脚及优质尼龙万向轮，承重不低于250kg,滑动无噪音。</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66432" behindDoc="0" locked="0" layoutInCell="1" allowOverlap="1">
                  <wp:simplePos x="0" y="0"/>
                  <wp:positionH relativeFrom="column">
                    <wp:posOffset>255905</wp:posOffset>
                  </wp:positionH>
                  <wp:positionV relativeFrom="paragraph">
                    <wp:posOffset>326390</wp:posOffset>
                  </wp:positionV>
                  <wp:extent cx="728345" cy="1117600"/>
                  <wp:effectExtent l="0" t="0" r="14605" b="6350"/>
                  <wp:wrapNone/>
                  <wp:docPr id="66" name="图片_10262"/>
                  <wp:cNvGraphicFramePr/>
                  <a:graphic xmlns:a="http://schemas.openxmlformats.org/drawingml/2006/main">
                    <a:graphicData uri="http://schemas.openxmlformats.org/drawingml/2006/picture">
                      <pic:pic xmlns:pic="http://schemas.openxmlformats.org/drawingml/2006/picture">
                        <pic:nvPicPr>
                          <pic:cNvPr id="66" name="图片_10262"/>
                          <pic:cNvPicPr/>
                        </pic:nvPicPr>
                        <pic:blipFill>
                          <a:blip r:embed="rId19"/>
                          <a:stretch>
                            <a:fillRect/>
                          </a:stretch>
                        </pic:blipFill>
                        <pic:spPr>
                          <a:xfrm>
                            <a:off x="0" y="0"/>
                            <a:ext cx="728345" cy="111760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28</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2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9</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培</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训</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桌</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子</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长宽高规格：1400*450*750(mm)；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基材：25mm厚MFC标准板，优质刨花板基材,游离甲醛释放量符合或优于国家E1级标准；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封边：同色2mm厚PVC直封边；</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五金配件：优质国产五金配件；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强度：静电强度&gt;15Mpa,内结合强度&gt;0.35Mpa；</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MFC板握螺钉力：板面&gt;1100N,板边&gt;700N。</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67456" behindDoc="0" locked="0" layoutInCell="1" allowOverlap="1">
                  <wp:simplePos x="0" y="0"/>
                  <wp:positionH relativeFrom="column">
                    <wp:posOffset>-33655</wp:posOffset>
                  </wp:positionH>
                  <wp:positionV relativeFrom="paragraph">
                    <wp:posOffset>246380</wp:posOffset>
                  </wp:positionV>
                  <wp:extent cx="1109345" cy="836295"/>
                  <wp:effectExtent l="0" t="0" r="14605" b="1905"/>
                  <wp:wrapNone/>
                  <wp:docPr id="67" name="图片_55"/>
                  <wp:cNvGraphicFramePr/>
                  <a:graphic xmlns:a="http://schemas.openxmlformats.org/drawingml/2006/main">
                    <a:graphicData uri="http://schemas.openxmlformats.org/drawingml/2006/picture">
                      <pic:pic xmlns:pic="http://schemas.openxmlformats.org/drawingml/2006/picture">
                        <pic:nvPicPr>
                          <pic:cNvPr id="67" name="图片_55"/>
                          <pic:cNvPicPr/>
                        </pic:nvPicPr>
                        <pic:blipFill>
                          <a:blip r:embed="rId20"/>
                          <a:stretch>
                            <a:fillRect/>
                          </a:stretch>
                        </pic:blipFill>
                        <pic:spPr>
                          <a:xfrm>
                            <a:off x="0" y="0"/>
                            <a:ext cx="1109345" cy="83629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9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10</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培</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训</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椅</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子</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1、颜色：框架为木制胡桃色。</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2 面材：采用优质黑色PU皮，皮质细滑，弹性好，柔韧性强；</w:t>
            </w:r>
          </w:p>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3 海棉：采用高回弹阻燃聚胺脂定型海棉(模具一次成型)，采用颜色均匀的阻燃定型海绵，其中色泽颜色应均匀、黄芯，不允许有尺寸大于6mm对穿孔和大于10mm的气孔,不允许重污染,无刺激性气味。泡棉密度座≥40kg/ m3，背≥32kg/ m3，不含氟氨化合物，无甲醛及二甲苯等异味，使用无苯胶粘剂粘接，圆润厚实，软硬适中，回弹性好</w:t>
            </w:r>
            <w:r>
              <w:rPr>
                <w:rFonts w:hint="eastAsia" w:ascii="宋体" w:hAnsi="宋体" w:cs="宋体"/>
                <w:color w:val="000000"/>
                <w:sz w:val="20"/>
                <w:szCs w:val="20"/>
                <w:lang w:eastAsia="zh-CN"/>
              </w:rPr>
              <w:t>，承重要求：</w:t>
            </w:r>
            <w:r>
              <w:rPr>
                <w:rFonts w:hint="eastAsia" w:ascii="宋体" w:hAnsi="宋体" w:cs="宋体"/>
                <w:color w:val="000000"/>
                <w:sz w:val="20"/>
                <w:szCs w:val="20"/>
                <w:lang w:val="en-US" w:eastAsia="zh-CN"/>
              </w:rPr>
              <w:t>≥250kg。</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68480" behindDoc="0" locked="0" layoutInCell="1" allowOverlap="1">
                  <wp:simplePos x="0" y="0"/>
                  <wp:positionH relativeFrom="column">
                    <wp:posOffset>361950</wp:posOffset>
                  </wp:positionH>
                  <wp:positionV relativeFrom="paragraph">
                    <wp:posOffset>293370</wp:posOffset>
                  </wp:positionV>
                  <wp:extent cx="588010" cy="802005"/>
                  <wp:effectExtent l="0" t="0" r="2540" b="17145"/>
                  <wp:wrapNone/>
                  <wp:docPr id="68" name="图片_2"/>
                  <wp:cNvGraphicFramePr/>
                  <a:graphic xmlns:a="http://schemas.openxmlformats.org/drawingml/2006/main">
                    <a:graphicData uri="http://schemas.openxmlformats.org/drawingml/2006/picture">
                      <pic:pic xmlns:pic="http://schemas.openxmlformats.org/drawingml/2006/picture">
                        <pic:nvPicPr>
                          <pic:cNvPr id="68" name="图片_2"/>
                          <pic:cNvPicPr/>
                        </pic:nvPicPr>
                        <pic:blipFill>
                          <a:blip r:embed="rId21"/>
                          <a:stretch>
                            <a:fillRect/>
                          </a:stretch>
                        </pic:blipFill>
                        <pic:spPr>
                          <a:xfrm>
                            <a:off x="0" y="0"/>
                            <a:ext cx="588010" cy="80200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88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11</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五</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节</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钢</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文</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柜</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每节长宽高规格：850*390*405（mm）</w:t>
            </w:r>
          </w:p>
          <w:p>
            <w:pPr>
              <w:spacing w:before="0" w:after="0" w:afterAutospacing="0" w:line="240" w:lineRule="auto"/>
              <w:ind w:left="0" w:right="0" w:firstLine="0"/>
              <w:jc w:val="left"/>
              <w:rPr>
                <w:rFonts w:hint="eastAsia" w:ascii="宋体" w:hAnsi="宋体" w:eastAsia="宋体" w:cs="宋体"/>
                <w:color w:val="000000"/>
                <w:sz w:val="20"/>
                <w:szCs w:val="20"/>
                <w:lang w:val="en-US" w:eastAsia="zh-CN"/>
              </w:rPr>
            </w:pPr>
            <w:r>
              <w:rPr>
                <w:rFonts w:hint="eastAsia" w:ascii="宋体" w:hAnsi="宋体" w:cs="宋体"/>
                <w:color w:val="000000"/>
                <w:sz w:val="20"/>
                <w:szCs w:val="20"/>
              </w:rPr>
              <w:t>钢板采用优质冷轧钢，侧板、门板、承载部件的钢板厚度为0.8mm；产品外观光滑平整，无划伤，开裂和变形，整柜外表涂层色泽一致，无涂层脱落或露底；冲压件平整，无毛刺，无裂缝，焊接牢固，外表光滑、平整；表面光滑平整，无划伤，色泽均匀，无露底，流挂，起泡，皱皮等缺陷。优质五金配件，单柜带锁</w:t>
            </w:r>
            <w:r>
              <w:rPr>
                <w:rFonts w:hint="eastAsia" w:ascii="宋体" w:hAnsi="宋体" w:cs="宋体"/>
                <w:color w:val="000000"/>
                <w:sz w:val="20"/>
                <w:szCs w:val="20"/>
                <w:lang w:eastAsia="zh-CN"/>
              </w:rPr>
              <w:t>，</w:t>
            </w:r>
            <w:r>
              <w:rPr>
                <w:rFonts w:hint="eastAsia" w:ascii="宋体" w:hAnsi="宋体" w:cs="宋体"/>
                <w:color w:val="000000"/>
                <w:sz w:val="20"/>
                <w:szCs w:val="20"/>
                <w:lang w:val="en-US" w:eastAsia="zh-CN"/>
              </w:rPr>
              <w:t>钢制文件柜每层≥35kg。</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69504" behindDoc="0" locked="0" layoutInCell="1" allowOverlap="1">
                  <wp:simplePos x="0" y="0"/>
                  <wp:positionH relativeFrom="column">
                    <wp:posOffset>464185</wp:posOffset>
                  </wp:positionH>
                  <wp:positionV relativeFrom="paragraph">
                    <wp:posOffset>204470</wp:posOffset>
                  </wp:positionV>
                  <wp:extent cx="545465" cy="875030"/>
                  <wp:effectExtent l="0" t="0" r="6985" b="1270"/>
                  <wp:wrapNone/>
                  <wp:docPr id="69" name="Picture_143"/>
                  <wp:cNvGraphicFramePr/>
                  <a:graphic xmlns:a="http://schemas.openxmlformats.org/drawingml/2006/main">
                    <a:graphicData uri="http://schemas.openxmlformats.org/drawingml/2006/picture">
                      <pic:pic xmlns:pic="http://schemas.openxmlformats.org/drawingml/2006/picture">
                        <pic:nvPicPr>
                          <pic:cNvPr id="69" name="Picture_143"/>
                          <pic:cNvPicPr/>
                        </pic:nvPicPr>
                        <pic:blipFill>
                          <a:blip r:embed="rId22"/>
                          <a:stretch>
                            <a:fillRect/>
                          </a:stretch>
                        </pic:blipFill>
                        <pic:spPr>
                          <a:xfrm>
                            <a:off x="0" y="0"/>
                            <a:ext cx="545465" cy="87503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组</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81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38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12</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更</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衣</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柜</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长宽高规格：900*420*1800（mm）。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钢板采用优质冷轧钢，侧板、门板、承载部件的钢板厚度为0.8mm；产品外观光滑平整，无划伤，开裂和变形，整柜外表涂层色泽一致，无涂层脱落或露底；冲压件平整，无毛刺，无裂缝，焊接牢固，外表光滑、平整；表面光滑平整，无划伤，色泽均匀，无露底，流挂，起泡，皱皮等缺陷，两个对开门，共4扇门，4把锁具，柜内带挂衣功能。</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70528" behindDoc="0" locked="0" layoutInCell="1" allowOverlap="1">
                  <wp:simplePos x="0" y="0"/>
                  <wp:positionH relativeFrom="column">
                    <wp:posOffset>532130</wp:posOffset>
                  </wp:positionH>
                  <wp:positionV relativeFrom="paragraph">
                    <wp:posOffset>15240</wp:posOffset>
                  </wp:positionV>
                  <wp:extent cx="447675" cy="758825"/>
                  <wp:effectExtent l="0" t="0" r="9525" b="3175"/>
                  <wp:wrapNone/>
                  <wp:docPr id="71" name="图片_17"/>
                  <wp:cNvGraphicFramePr/>
                  <a:graphic xmlns:a="http://schemas.openxmlformats.org/drawingml/2006/main">
                    <a:graphicData uri="http://schemas.openxmlformats.org/drawingml/2006/picture">
                      <pic:pic xmlns:pic="http://schemas.openxmlformats.org/drawingml/2006/picture">
                        <pic:nvPicPr>
                          <pic:cNvPr id="71" name="图片_17"/>
                          <pic:cNvPicPr/>
                        </pic:nvPicPr>
                        <pic:blipFill>
                          <a:blip r:embed="rId23"/>
                          <a:stretch>
                            <a:fillRect/>
                          </a:stretch>
                        </pic:blipFill>
                        <pic:spPr>
                          <a:xfrm>
                            <a:off x="0" y="0"/>
                            <a:ext cx="447675" cy="75882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组</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38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13</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折</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叠</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椅</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子</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材质：采用皮质光泽度好,透气性强,优质环保皮覆面+优质静电喷涂钢管，展开尺寸长宽高470*460*780（mm）,颜色：黑色</w:t>
            </w:r>
            <w:r>
              <w:rPr>
                <w:rFonts w:hint="eastAsia" w:ascii="宋体" w:hAnsi="宋体" w:cs="宋体"/>
                <w:color w:val="000000"/>
                <w:sz w:val="20"/>
                <w:szCs w:val="20"/>
                <w:lang w:eastAsia="zh-CN"/>
              </w:rPr>
              <w:t>，承重要求：</w:t>
            </w:r>
            <w:r>
              <w:rPr>
                <w:rFonts w:hint="eastAsia" w:ascii="宋体" w:hAnsi="宋体" w:cs="宋体"/>
                <w:color w:val="000000"/>
                <w:sz w:val="20"/>
                <w:szCs w:val="20"/>
                <w:lang w:val="en-US" w:eastAsia="zh-CN"/>
              </w:rPr>
              <w:t>≥100kg。</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center"/>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71552" behindDoc="0" locked="0" layoutInCell="1" allowOverlap="1">
                  <wp:simplePos x="0" y="0"/>
                  <wp:positionH relativeFrom="column">
                    <wp:posOffset>521335</wp:posOffset>
                  </wp:positionH>
                  <wp:positionV relativeFrom="paragraph">
                    <wp:posOffset>134620</wp:posOffset>
                  </wp:positionV>
                  <wp:extent cx="433070" cy="637540"/>
                  <wp:effectExtent l="0" t="0" r="5080" b="10160"/>
                  <wp:wrapNone/>
                  <wp:docPr id="72" name="图片_1"/>
                  <wp:cNvGraphicFramePr/>
                  <a:graphic xmlns:a="http://schemas.openxmlformats.org/drawingml/2006/main">
                    <a:graphicData uri="http://schemas.openxmlformats.org/drawingml/2006/picture">
                      <pic:pic xmlns:pic="http://schemas.openxmlformats.org/drawingml/2006/picture">
                        <pic:nvPicPr>
                          <pic:cNvPr id="72" name="图片_1"/>
                          <pic:cNvPicPr/>
                        </pic:nvPicPr>
                        <pic:blipFill>
                          <a:blip r:embed="rId24"/>
                          <a:stretch>
                            <a:fillRect/>
                          </a:stretch>
                        </pic:blipFill>
                        <pic:spPr>
                          <a:xfrm>
                            <a:off x="0" y="0"/>
                            <a:ext cx="433070" cy="63754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75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8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14</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水</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柜</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长宽高规格：800*400*800（mm）；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面材：一级优质天然木皮饰面；</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基材：板材厚度18mm,采用E1级环保中密度纤维板,游离甲醛释放量符合或优于国家E1级环保标准；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封边：四周采用同色封四边处理,物理性能佳，严密平整，线条均匀，转角过渡自然，不易变形及开裂；</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贴面胶：环保贴面胶和包边胶；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油漆：环保优质油漆，使用最新的无苯天那水，表面先进喷涂工艺；两面均衡油饰，漆膜附着力1级；</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72576" behindDoc="0" locked="0" layoutInCell="1" allowOverlap="1">
                  <wp:simplePos x="0" y="0"/>
                  <wp:positionH relativeFrom="column">
                    <wp:posOffset>196850</wp:posOffset>
                  </wp:positionH>
                  <wp:positionV relativeFrom="paragraph">
                    <wp:posOffset>308610</wp:posOffset>
                  </wp:positionV>
                  <wp:extent cx="823595" cy="1005840"/>
                  <wp:effectExtent l="0" t="0" r="14605" b="3810"/>
                  <wp:wrapNone/>
                  <wp:docPr id="73" name="图片_20"/>
                  <wp:cNvGraphicFramePr/>
                  <a:graphic xmlns:a="http://schemas.openxmlformats.org/drawingml/2006/main">
                    <a:graphicData uri="http://schemas.openxmlformats.org/drawingml/2006/picture">
                      <pic:pic xmlns:pic="http://schemas.openxmlformats.org/drawingml/2006/picture">
                        <pic:nvPicPr>
                          <pic:cNvPr id="73" name="图片_20"/>
                          <pic:cNvPicPr/>
                        </pic:nvPicPr>
                        <pic:blipFill>
                          <a:blip r:embed="rId25"/>
                          <a:stretch>
                            <a:fillRect/>
                          </a:stretch>
                        </pic:blipFill>
                        <pic:spPr>
                          <a:xfrm>
                            <a:off x="0" y="0"/>
                            <a:ext cx="823595" cy="100584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个</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26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15</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钥</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匙</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柜</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120位铝合金五排钥匙柜。尺寸长宽高：400*55*780（mm） 壁挂式、包安装。</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center"/>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73600" behindDoc="0" locked="0" layoutInCell="1" allowOverlap="1">
                  <wp:simplePos x="0" y="0"/>
                  <wp:positionH relativeFrom="column">
                    <wp:posOffset>333375</wp:posOffset>
                  </wp:positionH>
                  <wp:positionV relativeFrom="paragraph">
                    <wp:posOffset>28575</wp:posOffset>
                  </wp:positionV>
                  <wp:extent cx="636270" cy="714375"/>
                  <wp:effectExtent l="0" t="0" r="11430" b="9525"/>
                  <wp:wrapNone/>
                  <wp:docPr id="74" name="图片_21"/>
                  <wp:cNvGraphicFramePr/>
                  <a:graphic xmlns:a="http://schemas.openxmlformats.org/drawingml/2006/main">
                    <a:graphicData uri="http://schemas.openxmlformats.org/drawingml/2006/picture">
                      <pic:pic xmlns:pic="http://schemas.openxmlformats.org/drawingml/2006/picture">
                        <pic:nvPicPr>
                          <pic:cNvPr id="74" name="图片_21"/>
                          <pic:cNvPicPr/>
                        </pic:nvPicPr>
                        <pic:blipFill>
                          <a:blip r:embed="rId26"/>
                          <a:stretch>
                            <a:fillRect/>
                          </a:stretch>
                        </pic:blipFill>
                        <pic:spPr>
                          <a:xfrm>
                            <a:off x="0" y="0"/>
                            <a:ext cx="636270" cy="71437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个</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7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val="en-US" w:eastAsia="zh-CN" w:bidi="ar"/>
              </w:rPr>
              <w:t>16</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条</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凳</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1、长宽高规格：1100*300*450（mm）；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2、架子是40mm边长的方管焊接 厚度为 1.5mm，质量保证；</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3、坐面基材采用国家健康标准E1级优质环保型胶合板，厚度25mm，实心，不得中空，游离甲醛释放量符合或优于国家E1级环保标准；</w:t>
            </w:r>
          </w:p>
          <w:p>
            <w:pPr>
              <w:spacing w:before="0" w:after="0" w:afterAutospacing="0" w:line="240" w:lineRule="auto"/>
              <w:ind w:left="0" w:right="0" w:firstLine="0"/>
              <w:jc w:val="left"/>
              <w:rPr>
                <w:rFonts w:hint="eastAsia" w:ascii="宋体" w:hAnsi="宋体" w:eastAsia="宋体" w:cs="宋体"/>
                <w:color w:val="000000"/>
                <w:sz w:val="20"/>
                <w:szCs w:val="20"/>
                <w:lang w:val="en-US" w:eastAsia="zh-CN"/>
              </w:rPr>
            </w:pPr>
            <w:r>
              <w:rPr>
                <w:rFonts w:hint="eastAsia" w:ascii="宋体" w:hAnsi="宋体" w:cs="宋体"/>
                <w:color w:val="000000"/>
                <w:sz w:val="20"/>
                <w:szCs w:val="20"/>
              </w:rPr>
              <w:t>4、坐板外贴具有耐磨耐高温的防火板面料，具有耐磨、耐刮花、耐光、耐热等特点。</w:t>
            </w:r>
            <w:r>
              <w:rPr>
                <w:rFonts w:hint="eastAsia" w:ascii="宋体" w:hAnsi="宋体" w:cs="宋体"/>
                <w:color w:val="000000"/>
                <w:sz w:val="20"/>
                <w:szCs w:val="20"/>
                <w:lang w:val="en-US" w:eastAsia="zh-CN"/>
              </w:rPr>
              <w:t>5、承重要求：≥500kg。</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74624" behindDoc="0" locked="0" layoutInCell="1" allowOverlap="1">
                  <wp:simplePos x="0" y="0"/>
                  <wp:positionH relativeFrom="column">
                    <wp:posOffset>131445</wp:posOffset>
                  </wp:positionH>
                  <wp:positionV relativeFrom="paragraph">
                    <wp:posOffset>156845</wp:posOffset>
                  </wp:positionV>
                  <wp:extent cx="836295" cy="568960"/>
                  <wp:effectExtent l="0" t="0" r="1905" b="2540"/>
                  <wp:wrapNone/>
                  <wp:docPr id="75" name="图片_3"/>
                  <wp:cNvGraphicFramePr/>
                  <a:graphic xmlns:a="http://schemas.openxmlformats.org/drawingml/2006/main">
                    <a:graphicData uri="http://schemas.openxmlformats.org/drawingml/2006/picture">
                      <pic:pic xmlns:pic="http://schemas.openxmlformats.org/drawingml/2006/picture">
                        <pic:nvPicPr>
                          <pic:cNvPr id="75" name="图片_3"/>
                          <pic:cNvPicPr/>
                        </pic:nvPicPr>
                        <pic:blipFill>
                          <a:blip r:embed="rId27"/>
                          <a:stretch>
                            <a:fillRect/>
                          </a:stretch>
                        </pic:blipFill>
                        <pic:spPr>
                          <a:xfrm>
                            <a:off x="0" y="0"/>
                            <a:ext cx="836295" cy="56896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条</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17</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24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17</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站</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厅</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传</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单</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展</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示</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架</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长宽高规格：630*380*1470（mm）；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xml:space="preserve">材料采用优质0.6MM厚冷轧钢板，经剪板、冲压、折弯、点焊成型，外表经除锈、水洗、酸洗、磷化、再水洗、烘干处理。 表面处理：表面经过脱脂→酸洗→表调→磷化→水洗→烘干→静电喷塑→烘干等九工位处理，底座带滑轮。共9层，带网格挡板。  </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75648" behindDoc="0" locked="0" layoutInCell="1" allowOverlap="1">
                  <wp:simplePos x="0" y="0"/>
                  <wp:positionH relativeFrom="column">
                    <wp:posOffset>417830</wp:posOffset>
                  </wp:positionH>
                  <wp:positionV relativeFrom="paragraph">
                    <wp:posOffset>47625</wp:posOffset>
                  </wp:positionV>
                  <wp:extent cx="648335" cy="951230"/>
                  <wp:effectExtent l="0" t="0" r="18415" b="1270"/>
                  <wp:wrapNone/>
                  <wp:docPr id="76" name="图片_1_SpCnt_1"/>
                  <wp:cNvGraphicFramePr/>
                  <a:graphic xmlns:a="http://schemas.openxmlformats.org/drawingml/2006/main">
                    <a:graphicData uri="http://schemas.openxmlformats.org/drawingml/2006/picture">
                      <pic:pic xmlns:pic="http://schemas.openxmlformats.org/drawingml/2006/picture">
                        <pic:nvPicPr>
                          <pic:cNvPr id="76" name="图片_1_SpCnt_1"/>
                          <pic:cNvPicPr/>
                        </pic:nvPicPr>
                        <pic:blipFill>
                          <a:blip r:embed="rId28"/>
                          <a:stretch>
                            <a:fillRect/>
                          </a:stretch>
                        </pic:blipFill>
                        <pic:spPr>
                          <a:xfrm>
                            <a:off x="0" y="0"/>
                            <a:ext cx="648335" cy="95123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个</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38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18</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更</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衣</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镜</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更衣镜:立式,宽高390*1550（mm），形状:长方形 边框：铝合金，镜面材质: 银；壁挂式免打孔（包安装)。</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center"/>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76672" behindDoc="0" locked="0" layoutInCell="1" allowOverlap="1">
                  <wp:simplePos x="0" y="0"/>
                  <wp:positionH relativeFrom="column">
                    <wp:posOffset>276225</wp:posOffset>
                  </wp:positionH>
                  <wp:positionV relativeFrom="paragraph">
                    <wp:posOffset>56515</wp:posOffset>
                  </wp:positionV>
                  <wp:extent cx="639445" cy="658495"/>
                  <wp:effectExtent l="0" t="0" r="8255" b="8255"/>
                  <wp:wrapNone/>
                  <wp:docPr id="78" name="图片_19"/>
                  <wp:cNvGraphicFramePr/>
                  <a:graphic xmlns:a="http://schemas.openxmlformats.org/drawingml/2006/main">
                    <a:graphicData uri="http://schemas.openxmlformats.org/drawingml/2006/picture">
                      <pic:pic xmlns:pic="http://schemas.openxmlformats.org/drawingml/2006/picture">
                        <pic:nvPicPr>
                          <pic:cNvPr id="78" name="图片_19"/>
                          <pic:cNvPicPr/>
                        </pic:nvPicPr>
                        <pic:blipFill>
                          <a:blip r:embed="rId29"/>
                          <a:stretch>
                            <a:fillRect/>
                          </a:stretch>
                        </pic:blipFill>
                        <pic:spPr>
                          <a:xfrm>
                            <a:off x="0" y="0"/>
                            <a:ext cx="639445" cy="65849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面</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52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19</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折</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叠</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床</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 xml:space="preserve">长宽1900*900（mm），优质架厚钢架，海绵：采用高密度定型海绵，为阻燃泡棉 </w:t>
            </w:r>
            <w:r>
              <w:rPr>
                <w:rFonts w:hint="eastAsia" w:ascii="宋体" w:hAnsi="宋体" w:cs="宋体"/>
                <w:color w:val="000000"/>
                <w:sz w:val="20"/>
                <w:szCs w:val="20"/>
                <w:lang w:eastAsia="zh-CN"/>
              </w:rPr>
              <w:t>，承重要求：</w:t>
            </w:r>
            <w:r>
              <w:rPr>
                <w:rFonts w:hint="eastAsia" w:ascii="宋体" w:hAnsi="宋体" w:cs="宋体"/>
                <w:color w:val="000000"/>
                <w:sz w:val="20"/>
                <w:szCs w:val="20"/>
                <w:lang w:val="en-US" w:eastAsia="zh-CN"/>
              </w:rPr>
              <w:t>≥190kg。</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center"/>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77696" behindDoc="0" locked="0" layoutInCell="1" allowOverlap="1">
                  <wp:simplePos x="0" y="0"/>
                  <wp:positionH relativeFrom="column">
                    <wp:posOffset>-6350</wp:posOffset>
                  </wp:positionH>
                  <wp:positionV relativeFrom="paragraph">
                    <wp:posOffset>290830</wp:posOffset>
                  </wp:positionV>
                  <wp:extent cx="962660" cy="391795"/>
                  <wp:effectExtent l="0" t="0" r="8890" b="8255"/>
                  <wp:wrapNone/>
                  <wp:docPr id="79" name="图片_68"/>
                  <wp:cNvGraphicFramePr/>
                  <a:graphic xmlns:a="http://schemas.openxmlformats.org/drawingml/2006/main">
                    <a:graphicData uri="http://schemas.openxmlformats.org/drawingml/2006/picture">
                      <pic:pic xmlns:pic="http://schemas.openxmlformats.org/drawingml/2006/picture">
                        <pic:nvPicPr>
                          <pic:cNvPr id="79" name="图片_68"/>
                          <pic:cNvPicPr/>
                        </pic:nvPicPr>
                        <pic:blipFill>
                          <a:blip r:embed="rId30"/>
                          <a:stretch>
                            <a:fillRect/>
                          </a:stretch>
                        </pic:blipFill>
                        <pic:spPr>
                          <a:xfrm>
                            <a:off x="0" y="0"/>
                            <a:ext cx="962660" cy="39179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24</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36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20</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大</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型</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会</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议</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桌</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（6米）</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长宽高规格：6000*1800*750(mm)；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面材：一级优质天然木皮饰面,台面厚度80mm;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基材：采用E1级环保中密度纤维板,游离甲醛释放量符合或优于国家E1级环保标准；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封边：四周采用同色封四边处理,物理性能佳，严密平整，线条均匀，转角过渡自然，不易变形及开裂；</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贴面胶：环保贴面胶和包边胶；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油漆：环保PU油漆，使用优质的无苯天那水，表面先进喷涂工艺；两面均衡油饰，漆膜附着力1级；</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颜色：红棕色。</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78720" behindDoc="0" locked="0" layoutInCell="1" allowOverlap="1">
                  <wp:simplePos x="0" y="0"/>
                  <wp:positionH relativeFrom="column">
                    <wp:posOffset>26035</wp:posOffset>
                  </wp:positionH>
                  <wp:positionV relativeFrom="paragraph">
                    <wp:posOffset>448310</wp:posOffset>
                  </wp:positionV>
                  <wp:extent cx="1025525" cy="662940"/>
                  <wp:effectExtent l="0" t="0" r="3175" b="3810"/>
                  <wp:wrapNone/>
                  <wp:docPr id="80" name="图片_58"/>
                  <wp:cNvGraphicFramePr/>
                  <a:graphic xmlns:a="http://schemas.openxmlformats.org/drawingml/2006/main">
                    <a:graphicData uri="http://schemas.openxmlformats.org/drawingml/2006/picture">
                      <pic:pic xmlns:pic="http://schemas.openxmlformats.org/drawingml/2006/picture">
                        <pic:nvPicPr>
                          <pic:cNvPr id="80" name="图片_58"/>
                          <pic:cNvPicPr/>
                        </pic:nvPicPr>
                        <pic:blipFill>
                          <a:blip r:embed="rId31"/>
                          <a:stretch>
                            <a:fillRect/>
                          </a:stretch>
                        </pic:blipFill>
                        <pic:spPr>
                          <a:xfrm>
                            <a:off x="0" y="0"/>
                            <a:ext cx="1025525" cy="66294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44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21</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中</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型</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会</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议</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桌（4.8米）</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长宽高规格：4800*1800*750(mm)；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面材：一级优质天然木皮饰面,台面厚度80mm;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基材：采用E1级环保中密度纤维板,游离甲醛释放量符合或优于国家E1级环保标准；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封边：四周采用同色封四边处理,物理性能佳，严密平整，线条均匀，转角过渡自然，不易变形及开裂；</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贴面胶：环保贴面胶和包边胶；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油漆：环保PU油漆，使用优质的无苯天那水，表面先进喷涂工艺；两面均衡油饰，漆膜附着力1级；</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颜色：红棕色。</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79744" behindDoc="0" locked="0" layoutInCell="1" allowOverlap="1">
                  <wp:simplePos x="0" y="0"/>
                  <wp:positionH relativeFrom="column">
                    <wp:posOffset>32385</wp:posOffset>
                  </wp:positionH>
                  <wp:positionV relativeFrom="paragraph">
                    <wp:posOffset>504190</wp:posOffset>
                  </wp:positionV>
                  <wp:extent cx="1026795" cy="584200"/>
                  <wp:effectExtent l="0" t="0" r="1905" b="6350"/>
                  <wp:wrapNone/>
                  <wp:docPr id="81" name="图片_61"/>
                  <wp:cNvGraphicFramePr/>
                  <a:graphic xmlns:a="http://schemas.openxmlformats.org/drawingml/2006/main">
                    <a:graphicData uri="http://schemas.openxmlformats.org/drawingml/2006/picture">
                      <pic:pic xmlns:pic="http://schemas.openxmlformats.org/drawingml/2006/picture">
                        <pic:nvPicPr>
                          <pic:cNvPr id="81" name="图片_61"/>
                          <pic:cNvPicPr/>
                        </pic:nvPicPr>
                        <pic:blipFill>
                          <a:blip r:embed="rId32"/>
                          <a:stretch>
                            <a:fillRect/>
                          </a:stretch>
                        </pic:blipFill>
                        <pic:spPr>
                          <a:xfrm>
                            <a:off x="0" y="0"/>
                            <a:ext cx="1026795" cy="58420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34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22</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小</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型</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会</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议</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桌（3.8米）</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长宽高规格：3800*1600*750(mm)；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面材：一级优质天然木皮饰面,台面厚度80mm;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基材：采用E1级环保中密度纤维板,游离甲醛释放量符合或优于国家E1级环保标准；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封边：四周采用同色封四边处理,物理性能佳，严密平整，线条均匀，转角过渡自然，不易变形及开裂；</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贴面胶：环保贴面胶和包边胶；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油漆：环保PU油漆，使用优质的无苯天那水，表面先进喷涂工艺；两面均衡油饰，漆膜附着力1级；</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颜色：红棕色。</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80768" behindDoc="0" locked="0" layoutInCell="1" allowOverlap="1">
                  <wp:simplePos x="0" y="0"/>
                  <wp:positionH relativeFrom="column">
                    <wp:posOffset>13335</wp:posOffset>
                  </wp:positionH>
                  <wp:positionV relativeFrom="paragraph">
                    <wp:posOffset>445135</wp:posOffset>
                  </wp:positionV>
                  <wp:extent cx="1043940" cy="541020"/>
                  <wp:effectExtent l="0" t="0" r="3810" b="11430"/>
                  <wp:wrapNone/>
                  <wp:docPr id="82" name="图片_59"/>
                  <wp:cNvGraphicFramePr/>
                  <a:graphic xmlns:a="http://schemas.openxmlformats.org/drawingml/2006/main">
                    <a:graphicData uri="http://schemas.openxmlformats.org/drawingml/2006/picture">
                      <pic:pic xmlns:pic="http://schemas.openxmlformats.org/drawingml/2006/picture">
                        <pic:nvPicPr>
                          <pic:cNvPr id="82" name="图片_59"/>
                          <pic:cNvPicPr/>
                        </pic:nvPicPr>
                        <pic:blipFill>
                          <a:blip r:embed="rId33"/>
                          <a:stretch>
                            <a:fillRect/>
                          </a:stretch>
                        </pic:blipFill>
                        <pic:spPr>
                          <a:xfrm>
                            <a:off x="0" y="0"/>
                            <a:ext cx="1043940" cy="54102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54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23</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小</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型</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会</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议</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桌（3.2米）</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长宽高规格：3200*1600*750(mm)；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面材：一级优质天然木皮饰面,台面厚度80mm;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基材：采用E1级环保中密度纤维板,游离甲醛释放量符合或优于国家E1级环保标准；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封边：四周采用同色封四边处理,物理性能佳，严密平整，线条均匀，转角过渡自然，不易变形及开裂；</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贴面胶：环保贴面胶和包边胶；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油漆：环保PU油漆，使用优质的无苯天那水，表面先进喷涂工艺；两面均衡油饰，漆膜附着力1级；颜色：红棕色。</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81792" behindDoc="0" locked="0" layoutInCell="1" allowOverlap="1">
                  <wp:simplePos x="0" y="0"/>
                  <wp:positionH relativeFrom="column">
                    <wp:posOffset>42545</wp:posOffset>
                  </wp:positionH>
                  <wp:positionV relativeFrom="paragraph">
                    <wp:posOffset>479425</wp:posOffset>
                  </wp:positionV>
                  <wp:extent cx="964565" cy="525145"/>
                  <wp:effectExtent l="0" t="0" r="6985" b="8255"/>
                  <wp:wrapNone/>
                  <wp:docPr id="83" name="图片_60"/>
                  <wp:cNvGraphicFramePr/>
                  <a:graphic xmlns:a="http://schemas.openxmlformats.org/drawingml/2006/main">
                    <a:graphicData uri="http://schemas.openxmlformats.org/drawingml/2006/picture">
                      <pic:pic xmlns:pic="http://schemas.openxmlformats.org/drawingml/2006/picture">
                        <pic:nvPicPr>
                          <pic:cNvPr id="83" name="图片_60"/>
                          <pic:cNvPicPr/>
                        </pic:nvPicPr>
                        <pic:blipFill>
                          <a:blip r:embed="rId33"/>
                          <a:stretch>
                            <a:fillRect/>
                          </a:stretch>
                        </pic:blipFill>
                        <pic:spPr>
                          <a:xfrm>
                            <a:off x="0" y="0"/>
                            <a:ext cx="964565" cy="52514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32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cs="宋体"/>
                <w:color w:val="000000"/>
                <w:sz w:val="20"/>
                <w:szCs w:val="20"/>
                <w:lang w:val="en-US"/>
              </w:rPr>
            </w:pPr>
            <w:r>
              <w:rPr>
                <w:rFonts w:hint="eastAsia" w:ascii="宋体" w:hAnsi="宋体" w:cs="宋体"/>
                <w:color w:val="000000"/>
                <w:sz w:val="20"/>
                <w:szCs w:val="20"/>
                <w:lang w:val="en-US" w:eastAsia="zh-CN" w:bidi="ar"/>
              </w:rPr>
              <w:t>24</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小型会议桌</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（3.2米）</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长宽高规格：3200*1300*760(mm)；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1、基材：台面采用20mm人造石台面，四周包边80厚，底座采用1.5mm厚304不锈钢管焊接，支撑脚钢管尺寸不小于50*50mm，台面与桌架用优质耐腐蚀五金件连接；                                                                              2、石头面颜色：米白色。</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82816" behindDoc="0" locked="0" layoutInCell="1" allowOverlap="1">
                  <wp:simplePos x="0" y="0"/>
                  <wp:positionH relativeFrom="column">
                    <wp:posOffset>21590</wp:posOffset>
                  </wp:positionH>
                  <wp:positionV relativeFrom="paragraph">
                    <wp:posOffset>187960</wp:posOffset>
                  </wp:positionV>
                  <wp:extent cx="1064260" cy="424815"/>
                  <wp:effectExtent l="0" t="0" r="2540" b="13335"/>
                  <wp:wrapNone/>
                  <wp:docPr id="84" name="图片_62"/>
                  <wp:cNvGraphicFramePr/>
                  <a:graphic xmlns:a="http://schemas.openxmlformats.org/drawingml/2006/main">
                    <a:graphicData uri="http://schemas.openxmlformats.org/drawingml/2006/picture">
                      <pic:pic xmlns:pic="http://schemas.openxmlformats.org/drawingml/2006/picture">
                        <pic:nvPicPr>
                          <pic:cNvPr id="84" name="图片_62"/>
                          <pic:cNvPicPr/>
                        </pic:nvPicPr>
                        <pic:blipFill>
                          <a:blip r:embed="rId34"/>
                          <a:stretch>
                            <a:fillRect/>
                          </a:stretch>
                        </pic:blipFill>
                        <pic:spPr>
                          <a:xfrm>
                            <a:off x="0" y="0"/>
                            <a:ext cx="1064260" cy="42481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44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25</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塑</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料</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凳</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PP材质 加厚好质量 安全耐摔</w:t>
            </w:r>
            <w:r>
              <w:rPr>
                <w:rFonts w:hint="eastAsia" w:ascii="宋体" w:hAnsi="宋体" w:cs="宋体"/>
                <w:color w:val="000000"/>
                <w:sz w:val="20"/>
                <w:szCs w:val="20"/>
                <w:lang w:eastAsia="zh-CN"/>
              </w:rPr>
              <w:t>，承重要求：</w:t>
            </w:r>
            <w:r>
              <w:rPr>
                <w:rFonts w:hint="eastAsia" w:ascii="宋体" w:hAnsi="宋体" w:cs="宋体"/>
                <w:color w:val="000000"/>
                <w:sz w:val="20"/>
                <w:szCs w:val="20"/>
                <w:lang w:val="en-US" w:eastAsia="zh-CN"/>
              </w:rPr>
              <w:t>≥150kg。</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颜色:红色。</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center"/>
              <w:rPr>
                <w:rFonts w:ascii="宋体" w:hAnsi="宋体" w:cs="宋体"/>
                <w:color w:val="000000"/>
                <w:sz w:val="20"/>
                <w:szCs w:val="20"/>
                <w:bdr w:val="single" w:color="000000" w:sz="4" w:space="0"/>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0"/>
                <w:szCs w:val="20"/>
              </w:rPr>
            </w:pPr>
            <w:r>
              <w:rPr>
                <w:rFonts w:hint="eastAsia" w:ascii="宋体" w:hAnsi="宋体" w:cs="宋体"/>
                <w:color w:val="000000"/>
                <w:sz w:val="20"/>
                <w:szCs w:val="20"/>
                <w:bdr w:val="single" w:color="000000" w:sz="4" w:space="0"/>
              </w:rPr>
              <w:drawing>
                <wp:anchor distT="0" distB="0" distL="114300" distR="114300" simplePos="0" relativeHeight="251683840" behindDoc="0" locked="0" layoutInCell="1" allowOverlap="1">
                  <wp:simplePos x="0" y="0"/>
                  <wp:positionH relativeFrom="column">
                    <wp:posOffset>344805</wp:posOffset>
                  </wp:positionH>
                  <wp:positionV relativeFrom="paragraph">
                    <wp:posOffset>80645</wp:posOffset>
                  </wp:positionV>
                  <wp:extent cx="717550" cy="610870"/>
                  <wp:effectExtent l="0" t="0" r="6350" b="17780"/>
                  <wp:wrapNone/>
                  <wp:docPr id="85" name="图片_31"/>
                  <wp:cNvGraphicFramePr/>
                  <a:graphic xmlns:a="http://schemas.openxmlformats.org/drawingml/2006/main">
                    <a:graphicData uri="http://schemas.openxmlformats.org/drawingml/2006/picture">
                      <pic:pic xmlns:pic="http://schemas.openxmlformats.org/drawingml/2006/picture">
                        <pic:nvPicPr>
                          <pic:cNvPr id="85" name="图片_31"/>
                          <pic:cNvPicPr/>
                        </pic:nvPicPr>
                        <pic:blipFill>
                          <a:blip r:embed="rId35"/>
                          <a:stretch>
                            <a:fillRect/>
                          </a:stretch>
                        </pic:blipFill>
                        <pic:spPr>
                          <a:xfrm>
                            <a:off x="0" y="0"/>
                            <a:ext cx="717550" cy="61087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260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08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26</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不</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锈</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钢</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水</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柜</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1、长宽高规格：900*400*1200（mm）；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2、参数：采用优质不锈钢板制作，板材厚度1.0mm，拉手采用嵌入式铝合金拉手，锁具采用优质转舌锁。焊接全部采用氩弧焊焊接，接口满焊，精细打磨，整体表面无渣点，无空洞，桌面内部采用12mm优质理化板结合环保粘合剂与面板不锈钢无间隙粘贴，理化板下部采用增加承受力及表面平整度，桌面上部无焊点，无渣点；</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3、焊点：工艺精美、焊点不明显；</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4、柜体为三个对开门，柜内三格。</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center"/>
              <w:rPr>
                <w:rFonts w:ascii="宋体" w:hAnsi="宋体" w:cs="宋体"/>
                <w:color w:val="000000"/>
                <w:sz w:val="20"/>
                <w:szCs w:val="20"/>
                <w:bdr w:val="single" w:color="000000" w:sz="4" w:space="0"/>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0"/>
                <w:szCs w:val="20"/>
              </w:rPr>
            </w:pPr>
            <w:r>
              <w:rPr>
                <w:rFonts w:hint="eastAsia" w:ascii="宋体" w:hAnsi="宋体" w:cs="宋体"/>
                <w:color w:val="000000"/>
                <w:sz w:val="20"/>
                <w:szCs w:val="20"/>
                <w:bdr w:val="single" w:color="000000" w:sz="4" w:space="0"/>
              </w:rPr>
              <w:drawing>
                <wp:anchor distT="0" distB="0" distL="114300" distR="114300" simplePos="0" relativeHeight="251684864" behindDoc="0" locked="0" layoutInCell="1" allowOverlap="1">
                  <wp:simplePos x="0" y="0"/>
                  <wp:positionH relativeFrom="column">
                    <wp:posOffset>343535</wp:posOffset>
                  </wp:positionH>
                  <wp:positionV relativeFrom="paragraph">
                    <wp:posOffset>89535</wp:posOffset>
                  </wp:positionV>
                  <wp:extent cx="656590" cy="982345"/>
                  <wp:effectExtent l="0" t="0" r="10160" b="8255"/>
                  <wp:wrapNone/>
                  <wp:docPr id="86" name="图片_224"/>
                  <wp:cNvGraphicFramePr/>
                  <a:graphic xmlns:a="http://schemas.openxmlformats.org/drawingml/2006/main">
                    <a:graphicData uri="http://schemas.openxmlformats.org/drawingml/2006/picture">
                      <pic:pic xmlns:pic="http://schemas.openxmlformats.org/drawingml/2006/picture">
                        <pic:nvPicPr>
                          <pic:cNvPr id="86" name="图片_224"/>
                          <pic:cNvPicPr/>
                        </pic:nvPicPr>
                        <pic:blipFill>
                          <a:blip r:embed="rId36"/>
                          <a:stretch>
                            <a:fillRect/>
                          </a:stretch>
                        </pic:blipFill>
                        <pic:spPr>
                          <a:xfrm>
                            <a:off x="0" y="0"/>
                            <a:ext cx="656590" cy="98234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组</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56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27</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玻</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璃</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文</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件</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柜</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长宽高规格：850*390*1800（mm）；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钢板采用优质冷轧钢，侧板、门板、承载部件的钢板厚度为0.8mm；产品外观光滑平整，无划伤，开裂和变形，整柜外表涂层色泽一致，无涂层脱落或露底；冲压件平整，无毛刺，无裂缝，焊接牢固，外表光滑、平整；表面光滑平整，无划伤，色泽均匀，无露底，流挂，起泡，皱皮等缺陷。</w:t>
            </w:r>
          </w:p>
        </w:tc>
        <w:tc>
          <w:tcPr>
            <w:tcW w:w="700"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rPr>
              <w:drawing>
                <wp:anchor distT="0" distB="0" distL="114300" distR="114300" simplePos="0" relativeHeight="251685888" behindDoc="0" locked="0" layoutInCell="1" allowOverlap="1">
                  <wp:simplePos x="0" y="0"/>
                  <wp:positionH relativeFrom="column">
                    <wp:posOffset>438150</wp:posOffset>
                  </wp:positionH>
                  <wp:positionV relativeFrom="paragraph">
                    <wp:posOffset>118110</wp:posOffset>
                  </wp:positionV>
                  <wp:extent cx="544195" cy="731520"/>
                  <wp:effectExtent l="0" t="0" r="8255" b="11430"/>
                  <wp:wrapNone/>
                  <wp:docPr id="87" name="图片_225"/>
                  <wp:cNvGraphicFramePr/>
                  <a:graphic xmlns:a="http://schemas.openxmlformats.org/drawingml/2006/main">
                    <a:graphicData uri="http://schemas.openxmlformats.org/drawingml/2006/picture">
                      <pic:pic xmlns:pic="http://schemas.openxmlformats.org/drawingml/2006/picture">
                        <pic:nvPicPr>
                          <pic:cNvPr id="87" name="图片_225"/>
                          <pic:cNvPicPr/>
                        </pic:nvPicPr>
                        <pic:blipFill>
                          <a:blip r:embed="rId37"/>
                          <a:stretch>
                            <a:fillRect/>
                          </a:stretch>
                        </pic:blipFill>
                        <pic:spPr>
                          <a:xfrm>
                            <a:off x="0" y="0"/>
                            <a:ext cx="544195" cy="73152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组</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69</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68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28</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司</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机</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公</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寓</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床</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铺</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1、长宽高规格：20000*1200*500（mm）；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2、材质：采用100%橡木结构，天然环保，木纹自然纹理清晰，经久耐用，稳固合理设计，国标一级环保漆，床体各部件精心打磨、圆滑处理，防止刮伤、碰伤；</w:t>
            </w:r>
          </w:p>
          <w:p>
            <w:pPr>
              <w:spacing w:before="0" w:after="0" w:afterAutospacing="0" w:line="240" w:lineRule="auto"/>
              <w:ind w:left="0" w:right="0" w:firstLine="0"/>
              <w:jc w:val="left"/>
              <w:rPr>
                <w:rFonts w:hint="eastAsia" w:ascii="宋体" w:hAnsi="宋体" w:eastAsia="宋体" w:cs="宋体"/>
                <w:color w:val="000000"/>
                <w:sz w:val="20"/>
                <w:szCs w:val="20"/>
                <w:lang w:eastAsia="zh-CN"/>
              </w:rPr>
            </w:pPr>
            <w:r>
              <w:rPr>
                <w:rFonts w:hint="eastAsia" w:ascii="宋体" w:hAnsi="宋体" w:cs="宋体"/>
                <w:color w:val="000000"/>
                <w:sz w:val="20"/>
                <w:szCs w:val="20"/>
              </w:rPr>
              <w:t>3、工艺：木材经过脱脂、烘干、裁剪、制作、打磨等多道程序，保证产品的完美度。床头一体式设计，增加床的稳固性</w:t>
            </w:r>
            <w:r>
              <w:rPr>
                <w:rFonts w:hint="eastAsia" w:ascii="宋体" w:hAnsi="宋体" w:cs="宋体"/>
                <w:color w:val="000000"/>
                <w:sz w:val="20"/>
                <w:szCs w:val="20"/>
                <w:lang w:eastAsia="zh-CN"/>
              </w:rPr>
              <w:t>，承重要求：</w:t>
            </w:r>
            <w:r>
              <w:rPr>
                <w:rFonts w:hint="eastAsia" w:ascii="宋体" w:hAnsi="宋体" w:cs="宋体"/>
                <w:color w:val="000000"/>
                <w:sz w:val="20"/>
                <w:szCs w:val="20"/>
                <w:lang w:val="en-US" w:eastAsia="zh-CN"/>
              </w:rPr>
              <w:t>≥400kg。</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86912" behindDoc="0" locked="0" layoutInCell="1" allowOverlap="1">
                  <wp:simplePos x="0" y="0"/>
                  <wp:positionH relativeFrom="column">
                    <wp:posOffset>231140</wp:posOffset>
                  </wp:positionH>
                  <wp:positionV relativeFrom="paragraph">
                    <wp:posOffset>160020</wp:posOffset>
                  </wp:positionV>
                  <wp:extent cx="803910" cy="615950"/>
                  <wp:effectExtent l="0" t="0" r="15240" b="12700"/>
                  <wp:wrapNone/>
                  <wp:docPr id="88" name="图片_65"/>
                  <wp:cNvGraphicFramePr/>
                  <a:graphic xmlns:a="http://schemas.openxmlformats.org/drawingml/2006/main">
                    <a:graphicData uri="http://schemas.openxmlformats.org/drawingml/2006/picture">
                      <pic:pic xmlns:pic="http://schemas.openxmlformats.org/drawingml/2006/picture">
                        <pic:nvPicPr>
                          <pic:cNvPr id="88" name="图片_65"/>
                          <pic:cNvPicPr/>
                        </pic:nvPicPr>
                        <pic:blipFill>
                          <a:blip r:embed="rId38"/>
                          <a:stretch>
                            <a:fillRect/>
                          </a:stretch>
                        </pic:blipFill>
                        <pic:spPr>
                          <a:xfrm>
                            <a:off x="0" y="0"/>
                            <a:ext cx="803910" cy="61595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44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cs="宋体"/>
                <w:color w:val="000000"/>
                <w:sz w:val="20"/>
                <w:szCs w:val="20"/>
                <w:lang w:val="en-US"/>
              </w:rPr>
            </w:pPr>
            <w:r>
              <w:rPr>
                <w:rFonts w:hint="eastAsia" w:ascii="宋体" w:hAnsi="宋体" w:cs="宋体"/>
                <w:color w:val="000000"/>
                <w:sz w:val="20"/>
                <w:szCs w:val="20"/>
                <w:lang w:val="en-US" w:eastAsia="zh-CN" w:bidi="ar"/>
              </w:rPr>
              <w:t>29</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不</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锈</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钢</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条</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凳</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rPr>
                <w:rFonts w:hint="eastAsia" w:ascii="宋体" w:hAnsi="宋体" w:eastAsia="宋体" w:cs="宋体"/>
                <w:color w:val="000000"/>
                <w:sz w:val="20"/>
                <w:szCs w:val="20"/>
                <w:lang w:eastAsia="zh-CN"/>
              </w:rPr>
            </w:pPr>
            <w:r>
              <w:rPr>
                <w:rFonts w:hint="eastAsia" w:ascii="宋体" w:hAnsi="宋体" w:cs="宋体"/>
                <w:color w:val="000000"/>
                <w:sz w:val="20"/>
                <w:szCs w:val="20"/>
              </w:rPr>
              <w:t>长宽高规格：1400*450*450（mm）,采用201不锈钢材料制作，焊接全部采用氩弧焊焊接，接口满焊，精细打磨，整体表面无渣点，无空洞。椅子防腐，防蛀、防锈、防晒且美观。产品精心设计，易清洗，不易变形，安全可靠，包安装固定于地面</w:t>
            </w:r>
            <w:r>
              <w:rPr>
                <w:rFonts w:hint="eastAsia" w:ascii="宋体" w:hAnsi="宋体" w:cs="宋体"/>
                <w:color w:val="000000"/>
                <w:sz w:val="20"/>
                <w:szCs w:val="20"/>
                <w:lang w:eastAsia="zh-CN"/>
              </w:rPr>
              <w:t>，承重要求：</w:t>
            </w:r>
            <w:r>
              <w:rPr>
                <w:rFonts w:hint="eastAsia" w:ascii="宋体" w:hAnsi="宋体" w:cs="宋体"/>
                <w:color w:val="000000"/>
                <w:sz w:val="20"/>
                <w:szCs w:val="20"/>
                <w:lang w:val="en-US" w:eastAsia="zh-CN"/>
              </w:rPr>
              <w:t>≥420kg。</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新宋体" w:hAnsi="新宋体" w:eastAsia="新宋体" w:cs="新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新宋体" w:hAnsi="新宋体" w:eastAsia="新宋体" w:cs="新宋体"/>
                <w:color w:val="000000"/>
                <w:sz w:val="20"/>
                <w:szCs w:val="20"/>
              </w:rPr>
            </w:pPr>
            <w:r>
              <w:rPr>
                <w:rFonts w:hint="eastAsia" w:ascii="新宋体" w:hAnsi="新宋体" w:eastAsia="新宋体" w:cs="新宋体"/>
                <w:color w:val="000000"/>
                <w:sz w:val="20"/>
                <w:szCs w:val="20"/>
                <w:bdr w:val="single" w:color="000000" w:sz="4" w:space="0"/>
                <w:shd w:val="clear" w:color="auto" w:fill="FFFFFF"/>
              </w:rPr>
              <w:drawing>
                <wp:anchor distT="0" distB="0" distL="114300" distR="114300" simplePos="0" relativeHeight="251687936" behindDoc="0" locked="0" layoutInCell="1" allowOverlap="1">
                  <wp:simplePos x="0" y="0"/>
                  <wp:positionH relativeFrom="column">
                    <wp:posOffset>116840</wp:posOffset>
                  </wp:positionH>
                  <wp:positionV relativeFrom="paragraph">
                    <wp:posOffset>177800</wp:posOffset>
                  </wp:positionV>
                  <wp:extent cx="761365" cy="694690"/>
                  <wp:effectExtent l="0" t="0" r="635" b="10160"/>
                  <wp:wrapNone/>
                  <wp:docPr id="89" name="图片_1_SpCnt_2"/>
                  <wp:cNvGraphicFramePr/>
                  <a:graphic xmlns:a="http://schemas.openxmlformats.org/drawingml/2006/main">
                    <a:graphicData uri="http://schemas.openxmlformats.org/drawingml/2006/picture">
                      <pic:pic xmlns:pic="http://schemas.openxmlformats.org/drawingml/2006/picture">
                        <pic:nvPicPr>
                          <pic:cNvPr id="89" name="图片_1_SpCnt_2"/>
                          <pic:cNvPicPr/>
                        </pic:nvPicPr>
                        <pic:blipFill>
                          <a:blip r:embed="rId39"/>
                          <a:stretch>
                            <a:fillRect/>
                          </a:stretch>
                        </pic:blipFill>
                        <pic:spPr>
                          <a:xfrm>
                            <a:off x="0" y="0"/>
                            <a:ext cx="761365" cy="69469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322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30</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书</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柜</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rPr>
                <w:rFonts w:ascii="宋体" w:hAnsi="宋体" w:cs="宋体"/>
                <w:color w:val="000000"/>
                <w:sz w:val="20"/>
                <w:szCs w:val="20"/>
              </w:rPr>
            </w:pPr>
            <w:r>
              <w:rPr>
                <w:rFonts w:hint="eastAsia" w:ascii="宋体" w:hAnsi="宋体" w:cs="宋体"/>
                <w:color w:val="000000"/>
                <w:sz w:val="20"/>
                <w:szCs w:val="20"/>
              </w:rPr>
              <w:t xml:space="preserve">长宽高规格：1200*300*1800 （mm）；                                         </w:t>
            </w:r>
          </w:p>
          <w:p>
            <w:pPr>
              <w:spacing w:before="0" w:after="0" w:afterAutospacing="0" w:line="240" w:lineRule="auto"/>
              <w:ind w:left="0" w:right="0" w:firstLine="0"/>
              <w:rPr>
                <w:rFonts w:ascii="宋体" w:hAnsi="宋体" w:cs="宋体"/>
                <w:color w:val="000000"/>
                <w:sz w:val="20"/>
                <w:szCs w:val="20"/>
              </w:rPr>
            </w:pPr>
            <w:r>
              <w:rPr>
                <w:rFonts w:hint="eastAsia" w:ascii="宋体" w:hAnsi="宋体" w:cs="宋体"/>
                <w:color w:val="000000"/>
                <w:sz w:val="20"/>
                <w:szCs w:val="20"/>
              </w:rPr>
              <w:t>基材：MFC标准板，优质刨花板基材,游离甲醛释放量符合或优于国家E1级标准；</w:t>
            </w:r>
          </w:p>
          <w:p>
            <w:pPr>
              <w:spacing w:before="0" w:after="0" w:afterAutospacing="0" w:line="240" w:lineRule="auto"/>
              <w:ind w:left="0" w:right="0" w:firstLine="0"/>
              <w:rPr>
                <w:rFonts w:ascii="宋体" w:hAnsi="宋体" w:cs="宋体"/>
                <w:color w:val="000000"/>
                <w:sz w:val="20"/>
                <w:szCs w:val="20"/>
              </w:rPr>
            </w:pPr>
            <w:r>
              <w:rPr>
                <w:rFonts w:hint="eastAsia" w:ascii="宋体" w:hAnsi="宋体" w:cs="宋体"/>
                <w:color w:val="000000"/>
                <w:sz w:val="20"/>
                <w:szCs w:val="20"/>
              </w:rPr>
              <w:t>封边：同色2mm厚PVC直封边；</w:t>
            </w:r>
          </w:p>
          <w:p>
            <w:pPr>
              <w:spacing w:before="0" w:after="0" w:afterAutospacing="0" w:line="240" w:lineRule="auto"/>
              <w:ind w:left="0" w:right="0" w:firstLine="0"/>
              <w:rPr>
                <w:rFonts w:ascii="宋体" w:hAnsi="宋体" w:cs="宋体"/>
                <w:color w:val="000000"/>
                <w:sz w:val="20"/>
                <w:szCs w:val="20"/>
              </w:rPr>
            </w:pPr>
            <w:r>
              <w:rPr>
                <w:rFonts w:hint="eastAsia" w:ascii="宋体" w:hAnsi="宋体" w:cs="宋体"/>
                <w:color w:val="000000"/>
                <w:sz w:val="20"/>
                <w:szCs w:val="20"/>
              </w:rPr>
              <w:t>五金配件：优质国产五金配件；</w:t>
            </w:r>
          </w:p>
          <w:p>
            <w:pPr>
              <w:spacing w:before="0" w:after="0" w:afterAutospacing="0" w:line="240" w:lineRule="auto"/>
              <w:ind w:left="0" w:right="0" w:firstLine="0"/>
              <w:rPr>
                <w:rFonts w:ascii="宋体" w:hAnsi="宋体" w:cs="宋体"/>
                <w:color w:val="000000"/>
                <w:sz w:val="20"/>
                <w:szCs w:val="20"/>
              </w:rPr>
            </w:pPr>
            <w:r>
              <w:rPr>
                <w:rFonts w:hint="eastAsia" w:ascii="宋体" w:hAnsi="宋体" w:cs="宋体"/>
                <w:color w:val="000000"/>
                <w:sz w:val="20"/>
                <w:szCs w:val="20"/>
              </w:rPr>
              <w:t>强度：静电强度&gt;15Mpa,内结合强度&gt;0.35Mpa；</w:t>
            </w:r>
          </w:p>
          <w:p>
            <w:pPr>
              <w:spacing w:before="0" w:after="0" w:afterAutospacing="0" w:line="240" w:lineRule="auto"/>
              <w:ind w:left="0" w:right="0" w:firstLine="0"/>
              <w:rPr>
                <w:rFonts w:ascii="宋体" w:hAnsi="宋体" w:cs="宋体"/>
                <w:color w:val="000000"/>
                <w:sz w:val="20"/>
                <w:szCs w:val="20"/>
              </w:rPr>
            </w:pPr>
            <w:r>
              <w:rPr>
                <w:rFonts w:hint="eastAsia" w:ascii="宋体" w:hAnsi="宋体" w:cs="宋体"/>
                <w:color w:val="000000"/>
                <w:sz w:val="20"/>
                <w:szCs w:val="20"/>
              </w:rPr>
              <w:t>MFC板握螺钉力：板面&gt;1100N,板边&gt;700N。</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新宋体" w:hAnsi="新宋体" w:eastAsia="新宋体" w:cs="新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新宋体" w:hAnsi="新宋体" w:eastAsia="新宋体" w:cs="新宋体"/>
                <w:color w:val="000000"/>
                <w:sz w:val="20"/>
                <w:szCs w:val="20"/>
              </w:rPr>
            </w:pPr>
            <w:r>
              <w:rPr>
                <w:rFonts w:hint="eastAsia" w:ascii="新宋体" w:hAnsi="新宋体" w:eastAsia="新宋体" w:cs="新宋体"/>
                <w:color w:val="000000"/>
                <w:sz w:val="20"/>
                <w:szCs w:val="20"/>
                <w:bdr w:val="single" w:color="000000" w:sz="4" w:space="0"/>
                <w:shd w:val="clear" w:color="auto" w:fill="FFFFFF"/>
              </w:rPr>
              <w:drawing>
                <wp:anchor distT="0" distB="0" distL="114300" distR="114300" simplePos="0" relativeHeight="251688960" behindDoc="0" locked="0" layoutInCell="1" allowOverlap="1">
                  <wp:simplePos x="0" y="0"/>
                  <wp:positionH relativeFrom="column">
                    <wp:posOffset>130810</wp:posOffset>
                  </wp:positionH>
                  <wp:positionV relativeFrom="paragraph">
                    <wp:posOffset>297815</wp:posOffset>
                  </wp:positionV>
                  <wp:extent cx="885825" cy="1465580"/>
                  <wp:effectExtent l="0" t="0" r="9525" b="1270"/>
                  <wp:wrapNone/>
                  <wp:docPr id="90" name="图片_17_SpCnt_1"/>
                  <wp:cNvGraphicFramePr/>
                  <a:graphic xmlns:a="http://schemas.openxmlformats.org/drawingml/2006/main">
                    <a:graphicData uri="http://schemas.openxmlformats.org/drawingml/2006/picture">
                      <pic:pic xmlns:pic="http://schemas.openxmlformats.org/drawingml/2006/picture">
                        <pic:nvPicPr>
                          <pic:cNvPr id="90" name="图片_17_SpCnt_1"/>
                          <pic:cNvPicPr/>
                        </pic:nvPicPr>
                        <pic:blipFill>
                          <a:blip r:embed="rId40"/>
                          <a:stretch>
                            <a:fillRect/>
                          </a:stretch>
                        </pic:blipFill>
                        <pic:spPr>
                          <a:xfrm>
                            <a:off x="0" y="0"/>
                            <a:ext cx="885825" cy="146558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组</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56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31</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通</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双</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节</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保</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柜</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长宽高规格：900*420*1850</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1、内藏式防撬门。</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2、1.2mm厚钢板（不含塑粉）全自动脱脂，纯净水清洗、加温除油磷化、表调、干燥工艺，使产品防锈能力更强，寿命更长。精度高、通用性强。</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3、焊接部分采用高标准熔接焊,表面平整光滑采用全自动喷涂流水线，表面静电粉沫喷塑，采用环保无毒害粉沫。 1-9位自选密码，多级别密码管理；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4、高亮数码管式液晶显示；</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5、外接后备电源；</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6、机械应急钥匙应急开箱。</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宋体" w:hAnsi="宋体" w:cs="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bdr w:val="single" w:color="000000" w:sz="4" w:space="0"/>
                <w:shd w:val="clear" w:color="auto" w:fill="FFFFFF"/>
              </w:rPr>
              <w:drawing>
                <wp:anchor distT="0" distB="0" distL="114300" distR="114300" simplePos="0" relativeHeight="251689984" behindDoc="0" locked="0" layoutInCell="1" allowOverlap="1">
                  <wp:simplePos x="0" y="0"/>
                  <wp:positionH relativeFrom="column">
                    <wp:posOffset>225425</wp:posOffset>
                  </wp:positionH>
                  <wp:positionV relativeFrom="paragraph">
                    <wp:posOffset>139065</wp:posOffset>
                  </wp:positionV>
                  <wp:extent cx="886460" cy="1230630"/>
                  <wp:effectExtent l="0" t="0" r="8890" b="7620"/>
                  <wp:wrapNone/>
                  <wp:docPr id="91" name="图片_4"/>
                  <wp:cNvGraphicFramePr/>
                  <a:graphic xmlns:a="http://schemas.openxmlformats.org/drawingml/2006/main">
                    <a:graphicData uri="http://schemas.openxmlformats.org/drawingml/2006/picture">
                      <pic:pic xmlns:pic="http://schemas.openxmlformats.org/drawingml/2006/picture">
                        <pic:nvPicPr>
                          <pic:cNvPr id="91" name="图片_4"/>
                          <pic:cNvPicPr/>
                        </pic:nvPicPr>
                        <pic:blipFill>
                          <a:blip r:embed="rId41"/>
                          <a:stretch>
                            <a:fillRect/>
                          </a:stretch>
                        </pic:blipFill>
                        <pic:spPr>
                          <a:xfrm>
                            <a:off x="0" y="0"/>
                            <a:ext cx="886460" cy="123063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组</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7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32</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屏</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风</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1、此款屏风采用优质材质，铝合金边框工艺为阳极氧化处理；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2、隔板厚度为40mm，所有铝型材壁厚达到1.2mm厚，材料全部冲压完成，拆装方便自如，配套有强大的走线槽，屏风脚下上配有可调12mm高的金属调节器，优质木色MFC饰面；</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3、长高规格：1200*2000</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4、包安装并包含安装五金配件。</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新宋体" w:hAnsi="新宋体" w:eastAsia="新宋体" w:cs="新宋体"/>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新宋体" w:hAnsi="新宋体" w:eastAsia="新宋体" w:cs="新宋体"/>
                <w:color w:val="000000"/>
                <w:sz w:val="20"/>
                <w:szCs w:val="20"/>
              </w:rPr>
            </w:pPr>
            <w:r>
              <w:rPr>
                <w:rFonts w:hint="eastAsia" w:ascii="新宋体" w:hAnsi="新宋体" w:eastAsia="新宋体" w:cs="新宋体"/>
                <w:color w:val="000000"/>
                <w:sz w:val="20"/>
                <w:szCs w:val="20"/>
                <w:bdr w:val="single" w:color="000000" w:sz="4" w:space="0"/>
                <w:shd w:val="clear" w:color="auto" w:fill="FFFFFF"/>
              </w:rPr>
              <w:drawing>
                <wp:anchor distT="0" distB="0" distL="114300" distR="114300" simplePos="0" relativeHeight="251691008" behindDoc="0" locked="0" layoutInCell="1" allowOverlap="1">
                  <wp:simplePos x="0" y="0"/>
                  <wp:positionH relativeFrom="column">
                    <wp:posOffset>144780</wp:posOffset>
                  </wp:positionH>
                  <wp:positionV relativeFrom="paragraph">
                    <wp:posOffset>247650</wp:posOffset>
                  </wp:positionV>
                  <wp:extent cx="875030" cy="1129030"/>
                  <wp:effectExtent l="0" t="0" r="1270" b="13970"/>
                  <wp:wrapNone/>
                  <wp:docPr id="92" name="图片_1_SpCnt_3"/>
                  <wp:cNvGraphicFramePr/>
                  <a:graphic xmlns:a="http://schemas.openxmlformats.org/drawingml/2006/main">
                    <a:graphicData uri="http://schemas.openxmlformats.org/drawingml/2006/picture">
                      <pic:pic xmlns:pic="http://schemas.openxmlformats.org/drawingml/2006/picture">
                        <pic:nvPicPr>
                          <pic:cNvPr id="92" name="图片_1_SpCnt_3"/>
                          <pic:cNvPicPr/>
                        </pic:nvPicPr>
                        <pic:blipFill>
                          <a:blip r:embed="rId42"/>
                          <a:stretch>
                            <a:fillRect/>
                          </a:stretch>
                        </pic:blipFill>
                        <pic:spPr>
                          <a:xfrm>
                            <a:off x="0" y="0"/>
                            <a:ext cx="875030" cy="112903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块</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302"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33</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铁</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面</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凉</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凳</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产品外观光滑平整，无划伤，无开裂和变形，整凳外表涂层色泽一致，无毛刺，焊接牢固，无涂层脱落或露底；</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材质：钢材</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凳面直径：290mm±20</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凳子高度：430mm±20</w:t>
            </w:r>
          </w:p>
          <w:p>
            <w:pPr>
              <w:spacing w:before="0" w:after="0" w:afterAutospacing="0" w:line="240" w:lineRule="auto"/>
              <w:ind w:left="0" w:right="0" w:firstLine="0"/>
              <w:jc w:val="left"/>
              <w:rPr>
                <w:rFonts w:ascii="宋体" w:hAnsi="宋体" w:cs="宋体"/>
                <w:color w:val="000000" w:themeColor="text1"/>
                <w:sz w:val="20"/>
                <w:szCs w:val="20"/>
              </w:rPr>
            </w:pPr>
            <w:r>
              <w:rPr>
                <w:rFonts w:hint="eastAsia" w:ascii="宋体" w:hAnsi="宋体" w:cs="宋体"/>
                <w:color w:val="000000" w:themeColor="text1"/>
                <w:sz w:val="20"/>
                <w:szCs w:val="20"/>
              </w:rPr>
              <w:t>凳腿直径：8mm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凳子承重：</w:t>
            </w:r>
            <w:r>
              <w:rPr>
                <w:rFonts w:hint="eastAsia" w:ascii="宋体" w:hAnsi="宋体" w:cs="宋体"/>
                <w:color w:val="000000"/>
                <w:sz w:val="20"/>
                <w:szCs w:val="20"/>
                <w:lang w:val="en-US" w:eastAsia="zh-CN"/>
              </w:rPr>
              <w:t>≥</w:t>
            </w:r>
            <w:r>
              <w:rPr>
                <w:rFonts w:hint="eastAsia" w:ascii="宋体" w:hAnsi="宋体" w:cs="宋体"/>
                <w:color w:val="000000"/>
                <w:sz w:val="20"/>
                <w:szCs w:val="20"/>
              </w:rPr>
              <w:t>250kg</w:t>
            </w:r>
          </w:p>
          <w:p>
            <w:pPr>
              <w:pStyle w:val="2"/>
              <w:rPr>
                <w:rFonts w:hAnsi="宋体"/>
                <w:color w:val="000000"/>
              </w:rPr>
            </w:pP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仿宋_GB2312" w:hAnsi="宋体" w:eastAsia="仿宋_GB2312" w:cs="仿宋_GB2312"/>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drawing>
                <wp:inline distT="0" distB="0" distL="114300" distR="114300">
                  <wp:extent cx="1040130" cy="1344295"/>
                  <wp:effectExtent l="0" t="0" r="7620" b="8255"/>
                  <wp:docPr id="1" name="图片 1" descr="lQDPJxZ8UBisYXXNAvTNAkmwMZq1CbJJlYUCzL2TA0BGAA_585_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QDPJxZ8UBisYXXNAvTNAkmwMZq1CbJJlYUCzL2TA0BGAA_585_756"/>
                          <pic:cNvPicPr>
                            <a:picLocks noChangeAspect="1"/>
                          </pic:cNvPicPr>
                        </pic:nvPicPr>
                        <pic:blipFill>
                          <a:blip r:embed="rId43"/>
                          <a:stretch>
                            <a:fillRect/>
                          </a:stretch>
                        </pic:blipFill>
                        <pic:spPr>
                          <a:xfrm>
                            <a:off x="0" y="0"/>
                            <a:ext cx="1040130" cy="1344295"/>
                          </a:xfrm>
                          <a:prstGeom prst="rect">
                            <a:avLst/>
                          </a:prstGeom>
                        </pic:spPr>
                      </pic:pic>
                    </a:graphicData>
                  </a:graphic>
                </wp:inline>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0"/>
                <w:szCs w:val="20"/>
                <w:lang w:bidi="ar"/>
              </w:rPr>
            </w:pPr>
            <w:r>
              <w:rPr>
                <w:rFonts w:hint="eastAsia" w:ascii="宋体" w:hAnsi="宋体" w:cs="宋体"/>
                <w:color w:val="000000"/>
                <w:sz w:val="20"/>
                <w:szCs w:val="20"/>
                <w:lang w:bidi="ar"/>
              </w:rPr>
              <w:t>按样品，</w:t>
            </w:r>
          </w:p>
          <w:p>
            <w:pPr>
              <w:ind w:left="0" w:firstLine="0"/>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92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34</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折</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叠</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桌</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长宽高规格：1200*600*700（mm）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桌面防火密度板，桌面铝合金包边</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桌脚，铝合金材质</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仿宋_GB2312" w:hAnsi="宋体" w:eastAsia="仿宋_GB2312" w:cs="仿宋_GB2312"/>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rPr>
            </w:pPr>
            <w:r>
              <w:rPr>
                <w:rFonts w:ascii="仿宋_GB2312" w:hAnsi="宋体" w:eastAsia="仿宋_GB2312" w:cs="仿宋_GB2312"/>
                <w:color w:val="000000"/>
                <w:sz w:val="20"/>
                <w:szCs w:val="20"/>
                <w:bdr w:val="single" w:color="000000" w:sz="4" w:space="0"/>
                <w:shd w:val="clear" w:color="auto" w:fill="FFFFFF"/>
              </w:rPr>
              <w:drawing>
                <wp:anchor distT="0" distB="0" distL="114300" distR="114300" simplePos="0" relativeHeight="251692032" behindDoc="0" locked="0" layoutInCell="1" allowOverlap="1">
                  <wp:simplePos x="0" y="0"/>
                  <wp:positionH relativeFrom="column">
                    <wp:posOffset>129540</wp:posOffset>
                  </wp:positionH>
                  <wp:positionV relativeFrom="paragraph">
                    <wp:posOffset>186690</wp:posOffset>
                  </wp:positionV>
                  <wp:extent cx="896620" cy="774065"/>
                  <wp:effectExtent l="0" t="0" r="17780" b="6985"/>
                  <wp:wrapNone/>
                  <wp:docPr id="94" name="图片_1_SpCnt_4"/>
                  <wp:cNvGraphicFramePr/>
                  <a:graphic xmlns:a="http://schemas.openxmlformats.org/drawingml/2006/main">
                    <a:graphicData uri="http://schemas.openxmlformats.org/drawingml/2006/picture">
                      <pic:pic xmlns:pic="http://schemas.openxmlformats.org/drawingml/2006/picture">
                        <pic:nvPicPr>
                          <pic:cNvPr id="94" name="图片_1_SpCnt_4"/>
                          <pic:cNvPicPr/>
                        </pic:nvPicPr>
                        <pic:blipFill>
                          <a:blip r:embed="rId44"/>
                          <a:stretch>
                            <a:fillRect/>
                          </a:stretch>
                        </pic:blipFill>
                        <pic:spPr>
                          <a:xfrm>
                            <a:off x="0" y="0"/>
                            <a:ext cx="896620" cy="774065"/>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98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35</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门</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帘</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不透明磨砂PVC塑料</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仿宋_GB2312" w:hAnsi="宋体" w:eastAsia="仿宋_GB2312" w:cs="仿宋_GB2312"/>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rPr>
            </w:pPr>
            <w:r>
              <w:rPr>
                <w:rFonts w:ascii="仿宋_GB2312" w:hAnsi="宋体" w:eastAsia="仿宋_GB2312" w:cs="仿宋_GB2312"/>
                <w:color w:val="000000"/>
                <w:sz w:val="20"/>
                <w:szCs w:val="20"/>
                <w:bdr w:val="single" w:color="000000" w:sz="4" w:space="0"/>
                <w:shd w:val="clear" w:color="auto" w:fill="FFFFFF"/>
              </w:rPr>
              <w:drawing>
                <wp:anchor distT="0" distB="0" distL="114300" distR="114300" simplePos="0" relativeHeight="251693056" behindDoc="0" locked="0" layoutInCell="1" allowOverlap="1">
                  <wp:simplePos x="0" y="0"/>
                  <wp:positionH relativeFrom="column">
                    <wp:posOffset>313690</wp:posOffset>
                  </wp:positionH>
                  <wp:positionV relativeFrom="paragraph">
                    <wp:posOffset>36830</wp:posOffset>
                  </wp:positionV>
                  <wp:extent cx="535940" cy="1206500"/>
                  <wp:effectExtent l="0" t="0" r="16510" b="12700"/>
                  <wp:wrapNone/>
                  <wp:docPr id="95" name="图片_49"/>
                  <wp:cNvGraphicFramePr/>
                  <a:graphic xmlns:a="http://schemas.openxmlformats.org/drawingml/2006/main">
                    <a:graphicData uri="http://schemas.openxmlformats.org/drawingml/2006/picture">
                      <pic:pic xmlns:pic="http://schemas.openxmlformats.org/drawingml/2006/picture">
                        <pic:nvPicPr>
                          <pic:cNvPr id="95" name="图片_49"/>
                          <pic:cNvPicPr/>
                        </pic:nvPicPr>
                        <pic:blipFill>
                          <a:blip r:embed="rId45"/>
                          <a:stretch>
                            <a:fillRect/>
                          </a:stretch>
                        </pic:blipFill>
                        <pic:spPr>
                          <a:xfrm>
                            <a:off x="0" y="0"/>
                            <a:ext cx="535940" cy="120650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平米</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252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36</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储</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物</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凳</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长宽高规格：1200*400*400（mm）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面料：优质环保PU皮覆面，皮质光泽度好，透气性强；</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曲木板：靠背、坐垫采用多层曲木板热压成型，根据人体工程学原理设计，板材承受压力达300kg，经防潮、防腐、防虫蛀等工艺处理，保证环保；</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泡棉：高弹性聚胺脂定型海棉(模具一次成型)，采用颜色均匀的阻燃定型海绵，其中色泽颜色应均匀、不含氟氨化合物，无甲醛及二甲苯等异味，使用无苯胶粘剂粘接，圆润厚实，软硬适中，回弹性好，表面涂有防止老化变形的保护膜；</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框架：采用实木制内框架，木材经六面刨光处理；</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仿宋_GB2312" w:hAnsi="宋体" w:eastAsia="仿宋_GB2312" w:cs="仿宋_GB2312"/>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rPr>
            </w:pPr>
            <w:r>
              <w:rPr>
                <w:rFonts w:ascii="仿宋_GB2312" w:hAnsi="宋体" w:eastAsia="仿宋_GB2312" w:cs="仿宋_GB2312"/>
                <w:color w:val="000000"/>
                <w:sz w:val="20"/>
                <w:szCs w:val="20"/>
                <w:bdr w:val="single" w:color="000000" w:sz="4" w:space="0"/>
                <w:shd w:val="clear" w:color="auto" w:fill="FFFFFF"/>
              </w:rPr>
              <w:drawing>
                <wp:anchor distT="0" distB="0" distL="114300" distR="114300" simplePos="0" relativeHeight="251694080" behindDoc="0" locked="0" layoutInCell="1" allowOverlap="1">
                  <wp:simplePos x="0" y="0"/>
                  <wp:positionH relativeFrom="column">
                    <wp:posOffset>62865</wp:posOffset>
                  </wp:positionH>
                  <wp:positionV relativeFrom="paragraph">
                    <wp:posOffset>437515</wp:posOffset>
                  </wp:positionV>
                  <wp:extent cx="963930" cy="825500"/>
                  <wp:effectExtent l="0" t="0" r="7620" b="12700"/>
                  <wp:wrapNone/>
                  <wp:docPr id="96" name="图片_2_SpCnt_2"/>
                  <wp:cNvGraphicFramePr/>
                  <a:graphic xmlns:a="http://schemas.openxmlformats.org/drawingml/2006/main">
                    <a:graphicData uri="http://schemas.openxmlformats.org/drawingml/2006/picture">
                      <pic:pic xmlns:pic="http://schemas.openxmlformats.org/drawingml/2006/picture">
                        <pic:nvPicPr>
                          <pic:cNvPr id="96" name="图片_2_SpCnt_2"/>
                          <pic:cNvPicPr/>
                        </pic:nvPicPr>
                        <pic:blipFill>
                          <a:blip r:embed="rId46"/>
                          <a:stretch>
                            <a:fillRect/>
                          </a:stretch>
                        </pic:blipFill>
                        <pic:spPr>
                          <a:xfrm>
                            <a:off x="0" y="0"/>
                            <a:ext cx="963930" cy="82550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个</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1900"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bidi="ar"/>
              </w:rPr>
              <w:t>37</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电</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视</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柜</w:t>
            </w:r>
          </w:p>
        </w:tc>
        <w:tc>
          <w:tcPr>
            <w:tcW w:w="4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1.长宽高：1600*550*625(mm)</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xml:space="preserve">2.全部采用E0环保MFC材质标准，全A标准PVC封边；                                                                      3.面板、侧板、底板250mm，其余全采用160mm；                                            </w:t>
            </w:r>
          </w:p>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4.四掩门设置，异型暗拉手，标配缓冲门铰，内置1件活动层板。</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宋体" w:hAnsi="宋体" w:cs="宋体"/>
                <w:color w:val="000000"/>
                <w:sz w:val="20"/>
                <w:szCs w:val="20"/>
              </w:rPr>
            </w:pPr>
            <w:r>
              <w:rPr>
                <w:rFonts w:hint="eastAsia" w:ascii="宋体" w:hAnsi="宋体" w:cs="宋体"/>
                <w:color w:val="000000"/>
                <w:sz w:val="20"/>
                <w:szCs w:val="20"/>
              </w:rPr>
              <w:t>富诚、</w:t>
            </w:r>
          </w:p>
          <w:p>
            <w:pPr>
              <w:jc w:val="left"/>
              <w:textAlignment w:val="top"/>
              <w:rPr>
                <w:rFonts w:ascii="宋体" w:hAnsi="宋体" w:cs="宋体"/>
                <w:color w:val="000000"/>
                <w:sz w:val="20"/>
                <w:szCs w:val="20"/>
              </w:rPr>
            </w:pPr>
            <w:r>
              <w:rPr>
                <w:rFonts w:hint="eastAsia" w:ascii="宋体" w:hAnsi="宋体" w:cs="宋体"/>
                <w:color w:val="000000"/>
                <w:sz w:val="20"/>
                <w:szCs w:val="20"/>
              </w:rPr>
              <w:t>颂泰、</w:t>
            </w:r>
          </w:p>
          <w:p>
            <w:pPr>
              <w:jc w:val="left"/>
              <w:textAlignment w:val="top"/>
              <w:rPr>
                <w:rFonts w:ascii="仿宋_GB2312" w:hAnsi="宋体" w:eastAsia="仿宋_GB2312" w:cs="仿宋_GB2312"/>
                <w:color w:val="000000"/>
                <w:sz w:val="20"/>
                <w:szCs w:val="20"/>
                <w:bdr w:val="single" w:color="000000" w:sz="4" w:space="0"/>
                <w:shd w:val="clear" w:color="auto" w:fill="FFFFFF"/>
                <w:lang w:bidi="ar"/>
              </w:rPr>
            </w:pPr>
            <w:r>
              <w:rPr>
                <w:rFonts w:hint="eastAsia" w:ascii="宋体" w:hAnsi="宋体" w:cs="宋体"/>
                <w:color w:val="000000"/>
                <w:sz w:val="20"/>
                <w:szCs w:val="20"/>
              </w:rPr>
              <w:t>铭志</w:t>
            </w:r>
          </w:p>
        </w:tc>
        <w:tc>
          <w:tcPr>
            <w:tcW w:w="1862" w:type="dxa"/>
            <w:tcBorders>
              <w:top w:val="single" w:color="000000" w:sz="4" w:space="0"/>
              <w:left w:val="single" w:color="000000" w:sz="4" w:space="0"/>
              <w:bottom w:val="single" w:color="000000" w:sz="4" w:space="0"/>
              <w:right w:val="single" w:color="000000" w:sz="4" w:space="0"/>
            </w:tcBorders>
            <w:shd w:val="clear" w:color="auto" w:fill="FFFFFF"/>
          </w:tcPr>
          <w:p>
            <w:pPr>
              <w:jc w:val="left"/>
              <w:textAlignment w:val="top"/>
              <w:rPr>
                <w:rFonts w:ascii="仿宋_GB2312" w:hAnsi="宋体" w:eastAsia="仿宋_GB2312" w:cs="仿宋_GB2312"/>
                <w:color w:val="000000"/>
                <w:sz w:val="20"/>
                <w:szCs w:val="20"/>
              </w:rPr>
            </w:pPr>
            <w:r>
              <w:rPr>
                <w:rFonts w:ascii="仿宋_GB2312" w:hAnsi="宋体" w:eastAsia="仿宋_GB2312" w:cs="仿宋_GB2312"/>
                <w:color w:val="000000"/>
                <w:sz w:val="20"/>
                <w:szCs w:val="20"/>
                <w:bdr w:val="single" w:color="000000" w:sz="4" w:space="0"/>
                <w:shd w:val="clear" w:color="auto" w:fill="FFFFFF"/>
              </w:rPr>
              <w:drawing>
                <wp:anchor distT="0" distB="0" distL="114300" distR="114300" simplePos="0" relativeHeight="251695104" behindDoc="0" locked="0" layoutInCell="1" allowOverlap="1">
                  <wp:simplePos x="0" y="0"/>
                  <wp:positionH relativeFrom="column">
                    <wp:posOffset>102870</wp:posOffset>
                  </wp:positionH>
                  <wp:positionV relativeFrom="paragraph">
                    <wp:posOffset>98425</wp:posOffset>
                  </wp:positionV>
                  <wp:extent cx="965200" cy="996950"/>
                  <wp:effectExtent l="0" t="0" r="6350" b="12700"/>
                  <wp:wrapNone/>
                  <wp:docPr id="97" name="图片_10_SpCnt_1"/>
                  <wp:cNvGraphicFramePr/>
                  <a:graphic xmlns:a="http://schemas.openxmlformats.org/drawingml/2006/main">
                    <a:graphicData uri="http://schemas.openxmlformats.org/drawingml/2006/picture">
                      <pic:pic xmlns:pic="http://schemas.openxmlformats.org/drawingml/2006/picture">
                        <pic:nvPicPr>
                          <pic:cNvPr id="97" name="图片_10_SpCnt_1"/>
                          <pic:cNvPicPr/>
                        </pic:nvPicPr>
                        <pic:blipFill>
                          <a:blip r:embed="rId47"/>
                          <a:stretch>
                            <a:fillRect/>
                          </a:stretch>
                        </pic:blipFill>
                        <pic:spPr>
                          <a:xfrm>
                            <a:off x="0" y="0"/>
                            <a:ext cx="965200" cy="996950"/>
                          </a:xfrm>
                          <a:prstGeom prst="rect">
                            <a:avLst/>
                          </a:prstGeom>
                          <a:noFill/>
                          <a:ln>
                            <a:noFill/>
                          </a:ln>
                        </pic:spPr>
                      </pic:pic>
                    </a:graphicData>
                  </a:graphic>
                </wp:anchor>
              </w:drawing>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张</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r>
      <w:tr>
        <w:tblPrEx>
          <w:tblCellMar>
            <w:top w:w="0" w:type="dxa"/>
            <w:left w:w="108" w:type="dxa"/>
            <w:bottom w:w="0" w:type="dxa"/>
            <w:right w:w="108" w:type="dxa"/>
          </w:tblCellMar>
        </w:tblPrEx>
        <w:trPr>
          <w:trHeight w:val="980" w:hRule="atLeast"/>
        </w:trPr>
        <w:tc>
          <w:tcPr>
            <w:tcW w:w="1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0"/>
                <w:szCs w:val="20"/>
                <w:lang w:bidi="ar"/>
              </w:rPr>
            </w:pPr>
          </w:p>
        </w:tc>
        <w:tc>
          <w:tcPr>
            <w:tcW w:w="753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s="宋体"/>
                <w:color w:val="000000"/>
                <w:sz w:val="20"/>
                <w:szCs w:val="20"/>
              </w:rPr>
            </w:pPr>
            <w:r>
              <w:rPr>
                <w:rFonts w:hint="eastAsia" w:ascii="宋体" w:hAnsi="宋体" w:cs="宋体"/>
                <w:color w:val="000000"/>
                <w:sz w:val="20"/>
                <w:szCs w:val="20"/>
                <w:lang w:bidi="ar"/>
              </w:rPr>
              <w:t>总计</w:t>
            </w: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eastAsia="宋体" w:cs="宋体"/>
                <w:color w:val="000000"/>
                <w:sz w:val="20"/>
                <w:szCs w:val="20"/>
                <w:lang w:val="en-US" w:eastAsia="zh-CN" w:bidi="ar"/>
              </w:rPr>
            </w:pPr>
            <w:r>
              <w:rPr>
                <w:rFonts w:hint="eastAsia" w:ascii="宋体" w:hAnsi="宋体" w:cs="宋体"/>
                <w:color w:val="000000"/>
                <w:sz w:val="20"/>
                <w:szCs w:val="20"/>
                <w:lang w:val="en-US" w:eastAsia="zh-CN" w:bidi="ar"/>
              </w:rPr>
              <w:t>1390</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szCs w:val="20"/>
                <w:lang w:bidi="ar"/>
              </w:rPr>
            </w:pPr>
          </w:p>
        </w:tc>
      </w:tr>
    </w:tbl>
    <w:p>
      <w:pPr>
        <w:pStyle w:val="2"/>
        <w:pageBreakBefore/>
        <w:ind w:right="-57" w:firstLine="0"/>
        <w:jc w:val="center"/>
        <w:outlineLvl w:val="0"/>
        <w:rPr>
          <w:rStyle w:val="39"/>
          <w:rFonts w:ascii="宋体" w:hAnsi="宋体" w:eastAsia="宋体"/>
        </w:rPr>
      </w:pPr>
      <w:bookmarkStart w:id="1348" w:name="_Toc9329"/>
      <w:bookmarkStart w:id="1349" w:name="_Toc75276847"/>
      <w:bookmarkStart w:id="1350" w:name="_Toc6090"/>
      <w:bookmarkStart w:id="1351" w:name="_Toc5008"/>
      <w:bookmarkStart w:id="1352" w:name="_Toc14104"/>
      <w:bookmarkStart w:id="1353" w:name="_Toc26286"/>
      <w:bookmarkStart w:id="1354" w:name="_Toc147"/>
      <w:bookmarkStart w:id="1355" w:name="_Toc21231"/>
      <w:bookmarkStart w:id="1356" w:name="_Toc25908"/>
      <w:bookmarkStart w:id="1357" w:name="_Toc17186"/>
      <w:bookmarkStart w:id="1358" w:name="_Toc531"/>
      <w:bookmarkStart w:id="1359" w:name="_Toc3551"/>
      <w:bookmarkStart w:id="1360" w:name="_Toc1104"/>
      <w:bookmarkStart w:id="1361" w:name="_Toc1777"/>
      <w:bookmarkStart w:id="1362" w:name="_Toc3174"/>
      <w:bookmarkStart w:id="1363" w:name="_Toc14738"/>
      <w:bookmarkStart w:id="1364" w:name="_Toc22547"/>
      <w:bookmarkStart w:id="1365" w:name="_Toc4284"/>
      <w:r>
        <w:rPr>
          <w:rStyle w:val="39"/>
          <w:rFonts w:hint="eastAsia" w:ascii="宋体" w:hAnsi="宋体" w:eastAsia="宋体"/>
        </w:rPr>
        <w:t>第五章评分办法</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spacing w:before="0" w:after="0" w:afterAutospacing="0"/>
        <w:ind w:left="0" w:right="0" w:firstLine="562" w:firstLineChars="200"/>
        <w:outlineLvl w:val="1"/>
        <w:rPr>
          <w:rFonts w:ascii="宋体" w:hAnsi="宋体" w:cs="Arial"/>
          <w:b/>
          <w:bCs/>
          <w:sz w:val="28"/>
          <w:szCs w:val="28"/>
        </w:rPr>
      </w:pPr>
      <w:bookmarkStart w:id="1366" w:name="_Toc75276848"/>
      <w:r>
        <w:rPr>
          <w:rFonts w:hint="eastAsia" w:ascii="宋体" w:hAnsi="宋体" w:cs="Arial"/>
          <w:b/>
          <w:bCs/>
          <w:sz w:val="28"/>
          <w:szCs w:val="28"/>
        </w:rPr>
        <w:t>一、评审原则</w:t>
      </w:r>
      <w:bookmarkEnd w:id="1366"/>
    </w:p>
    <w:p>
      <w:pPr>
        <w:spacing w:before="0" w:after="0" w:afterAutospacing="0"/>
        <w:ind w:left="0" w:right="0" w:firstLine="420" w:firstLineChars="200"/>
        <w:rPr>
          <w:rFonts w:ascii="宋体" w:hAnsi="宋体" w:cs="Arial"/>
        </w:rPr>
      </w:pPr>
      <w:r>
        <w:rPr>
          <w:rFonts w:ascii="宋体" w:hAnsi="宋体" w:cs="Arial"/>
        </w:rPr>
        <w:t>1.1</w:t>
      </w:r>
      <w:r>
        <w:rPr>
          <w:rFonts w:hint="eastAsia" w:ascii="宋体" w:hAnsi="宋体" w:cs="Arial"/>
          <w:bCs/>
        </w:rPr>
        <w:t>评审委员会成员构成：本项目由</w:t>
      </w:r>
      <w:r>
        <w:rPr>
          <w:rFonts w:ascii="宋体" w:hAnsi="宋体"/>
        </w:rPr>
        <w:t>南宁轨道交通</w:t>
      </w:r>
      <w:r>
        <w:rPr>
          <w:rFonts w:hint="eastAsia" w:ascii="宋体" w:hAnsi="宋体"/>
        </w:rPr>
        <w:t>运营有限公司</w:t>
      </w:r>
      <w:r>
        <w:rPr>
          <w:rFonts w:hint="eastAsia" w:ascii="宋体" w:hAnsi="宋体" w:cs="Arial"/>
          <w:bCs/>
        </w:rPr>
        <w:t>5人及以上单数组成评审小组，对比选申请文件按评审标准进行评审；由</w:t>
      </w:r>
      <w:r>
        <w:rPr>
          <w:rFonts w:ascii="宋体" w:hAnsi="宋体"/>
        </w:rPr>
        <w:t>南宁轨道交通</w:t>
      </w:r>
      <w:r>
        <w:rPr>
          <w:rFonts w:hint="eastAsia" w:ascii="宋体" w:hAnsi="宋体"/>
        </w:rPr>
        <w:t>运营有限公司</w:t>
      </w:r>
      <w:r>
        <w:rPr>
          <w:rFonts w:hint="eastAsia" w:ascii="宋体" w:hAnsi="宋体" w:cs="Arial"/>
          <w:bCs/>
        </w:rPr>
        <w:t>合约法规部人员作为评审会议主持人，纪检监察部门进行监督。</w:t>
      </w:r>
    </w:p>
    <w:p>
      <w:pPr>
        <w:spacing w:before="0" w:after="0" w:afterAutospacing="0"/>
        <w:ind w:left="0" w:right="0" w:firstLine="420" w:firstLineChars="200"/>
        <w:rPr>
          <w:rFonts w:ascii="宋体" w:hAnsi="宋体" w:cs="Arial"/>
        </w:rPr>
      </w:pPr>
      <w:r>
        <w:rPr>
          <w:rFonts w:ascii="宋体" w:hAnsi="宋体" w:cs="Arial"/>
        </w:rPr>
        <w:t>1.2</w:t>
      </w:r>
      <w:r>
        <w:rPr>
          <w:rFonts w:hint="eastAsia" w:ascii="宋体" w:hAnsi="宋体" w:cs="Arial"/>
          <w:bCs/>
        </w:rPr>
        <w:t>评审依据：评审委员会以比选文件、比选申请文件为评审依据。</w:t>
      </w:r>
    </w:p>
    <w:p>
      <w:pPr>
        <w:spacing w:before="0" w:after="0" w:afterAutospacing="0"/>
        <w:ind w:left="0" w:right="0"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spacing w:before="0" w:after="0" w:afterAutospacing="0"/>
        <w:ind w:left="0" w:right="0" w:firstLine="562" w:firstLineChars="200"/>
        <w:outlineLvl w:val="1"/>
        <w:rPr>
          <w:rFonts w:ascii="宋体" w:hAnsi="宋体" w:cs="Arial"/>
          <w:b/>
          <w:bCs/>
          <w:sz w:val="28"/>
          <w:szCs w:val="28"/>
        </w:rPr>
      </w:pPr>
      <w:bookmarkStart w:id="1367" w:name="_Toc75771570"/>
      <w:bookmarkStart w:id="1368" w:name="_Toc29000"/>
      <w:bookmarkStart w:id="1369" w:name="_Toc80018768"/>
      <w:bookmarkStart w:id="1370" w:name="_Toc25750693"/>
      <w:bookmarkStart w:id="1371" w:name="_Toc15880"/>
      <w:bookmarkStart w:id="1372" w:name="_Toc11240"/>
      <w:bookmarkStart w:id="1373" w:name="_Toc5136"/>
      <w:bookmarkStart w:id="1374" w:name="_Toc478566177"/>
      <w:r>
        <w:rPr>
          <w:rFonts w:hint="eastAsia" w:ascii="宋体" w:hAnsi="宋体" w:cs="Arial"/>
          <w:b/>
          <w:bCs/>
          <w:sz w:val="28"/>
          <w:szCs w:val="28"/>
        </w:rPr>
        <w:t>二、评定方法</w:t>
      </w:r>
      <w:bookmarkEnd w:id="1367"/>
      <w:bookmarkEnd w:id="1368"/>
      <w:bookmarkEnd w:id="1369"/>
      <w:bookmarkEnd w:id="1370"/>
      <w:bookmarkEnd w:id="1371"/>
      <w:bookmarkEnd w:id="1372"/>
      <w:bookmarkEnd w:id="1373"/>
      <w:bookmarkEnd w:id="1374"/>
    </w:p>
    <w:p>
      <w:pPr>
        <w:spacing w:before="0" w:after="0" w:afterAutospacing="0"/>
        <w:ind w:left="0" w:right="0" w:firstLine="420" w:firstLineChars="200"/>
        <w:rPr>
          <w:rFonts w:ascii="宋体" w:hAnsi="宋体" w:cs="Arial"/>
          <w:b/>
          <w:bCs/>
        </w:rPr>
      </w:pPr>
      <w:r>
        <w:rPr>
          <w:rFonts w:hint="eastAsia" w:ascii="宋体" w:hAnsi="宋体" w:cs="Arial"/>
        </w:rPr>
        <w:t>2.1对资格性和符合性检查合格的比选申请文件，进入样品评审采用综合评分法进行评审。满分</w:t>
      </w:r>
      <w:r>
        <w:rPr>
          <w:rFonts w:ascii="宋体" w:hAnsi="宋体" w:cs="Arial"/>
        </w:rPr>
        <w:t>100</w:t>
      </w:r>
      <w:r>
        <w:rPr>
          <w:rFonts w:hint="eastAsia" w:ascii="宋体" w:hAnsi="宋体" w:cs="Arial"/>
        </w:rPr>
        <w:t>分，</w:t>
      </w:r>
      <w:r>
        <w:rPr>
          <w:rFonts w:hint="eastAsia" w:ascii="宋体" w:hAnsi="宋体" w:cs="Arial"/>
          <w:b/>
          <w:bCs/>
        </w:rPr>
        <w:t>其中样品得分</w:t>
      </w:r>
      <w:r>
        <w:rPr>
          <w:rFonts w:ascii="宋体" w:hAnsi="宋体" w:cs="Arial"/>
          <w:b/>
          <w:bCs/>
        </w:rPr>
        <w:t>30</w:t>
      </w:r>
      <w:r>
        <w:rPr>
          <w:rFonts w:hint="eastAsia" w:ascii="宋体" w:hAnsi="宋体" w:cs="Arial"/>
          <w:b/>
          <w:bCs/>
        </w:rPr>
        <w:t>分，价格得分</w:t>
      </w:r>
      <w:r>
        <w:rPr>
          <w:rFonts w:ascii="宋体" w:hAnsi="宋体" w:cs="Arial"/>
          <w:b/>
          <w:bCs/>
        </w:rPr>
        <w:t>70</w:t>
      </w:r>
      <w:r>
        <w:rPr>
          <w:rFonts w:hint="eastAsia" w:ascii="宋体" w:hAnsi="宋体" w:cs="Arial"/>
          <w:b/>
          <w:bCs/>
        </w:rPr>
        <w:t>分。</w:t>
      </w:r>
    </w:p>
    <w:p>
      <w:pPr>
        <w:spacing w:before="0" w:after="0" w:afterAutospacing="0"/>
        <w:ind w:left="0" w:right="0" w:firstLine="420" w:firstLineChars="200"/>
        <w:rPr>
          <w:rFonts w:ascii="宋体" w:hAnsi="宋体" w:cs="Arial"/>
        </w:rPr>
      </w:pPr>
      <w:r>
        <w:rPr>
          <w:rFonts w:hint="eastAsia" w:ascii="宋体" w:hAnsi="宋体" w:cs="Arial"/>
        </w:rPr>
        <w:t>2.2评审委员会将依照本比选文件相关要求，对照比选申请文件的应答进行比较，并对各比选申请文件的技术、价格内容进行评审打分。</w:t>
      </w:r>
    </w:p>
    <w:p>
      <w:pPr>
        <w:spacing w:before="0" w:after="0" w:afterAutospacing="0"/>
        <w:ind w:left="0" w:right="0" w:firstLine="420" w:firstLineChars="200"/>
        <w:rPr>
          <w:rFonts w:ascii="宋体" w:hAnsi="宋体" w:cs="Arial"/>
        </w:rPr>
      </w:pPr>
      <w:r>
        <w:rPr>
          <w:rFonts w:hint="eastAsia" w:ascii="宋体" w:hAnsi="宋体" w:cs="Arial"/>
        </w:rPr>
        <w:t>2.3总分（综合得分）=样品得分+价格得分（得分出现小数的，保留两位小数，第三位小数四舍五入）。评审委员会按照总分（综合得分）由高到低的顺序向比选人推荐</w:t>
      </w:r>
      <w:r>
        <w:rPr>
          <w:rFonts w:ascii="宋体" w:hAnsi="宋体" w:cs="Arial"/>
        </w:rPr>
        <w:t>1-</w:t>
      </w:r>
      <w:r>
        <w:rPr>
          <w:rFonts w:hint="eastAsia" w:ascii="宋体" w:hAnsi="宋体" w:cs="Arial"/>
        </w:rPr>
        <w:t>3名中选候选人。</w:t>
      </w:r>
    </w:p>
    <w:p>
      <w:pPr>
        <w:spacing w:before="0" w:after="0" w:afterAutospacing="0"/>
        <w:ind w:left="707" w:leftChars="267" w:right="0" w:hanging="146" w:hangingChars="52"/>
        <w:rPr>
          <w:rFonts w:ascii="宋体" w:hAnsi="宋体" w:cs="Arial"/>
          <w:b/>
          <w:bCs/>
          <w:sz w:val="28"/>
          <w:szCs w:val="28"/>
        </w:rPr>
      </w:pPr>
      <w:r>
        <w:rPr>
          <w:rFonts w:hint="eastAsia" w:ascii="宋体" w:hAnsi="宋体" w:cs="Arial"/>
          <w:b/>
          <w:bCs/>
          <w:sz w:val="28"/>
          <w:szCs w:val="28"/>
        </w:rPr>
        <w:t>三、评审流程</w:t>
      </w:r>
    </w:p>
    <w:p>
      <w:pPr>
        <w:tabs>
          <w:tab w:val="left" w:pos="567"/>
        </w:tabs>
        <w:spacing w:before="0" w:after="0" w:afterAutospacing="0"/>
        <w:ind w:left="422" w:right="0" w:firstLine="0"/>
        <w:rPr>
          <w:rFonts w:ascii="宋体" w:hAnsi="宋体"/>
          <w:b/>
        </w:rPr>
      </w:pPr>
      <w:r>
        <w:rPr>
          <w:rFonts w:hint="eastAsia" w:ascii="宋体" w:hAnsi="宋体"/>
          <w:b/>
        </w:rPr>
        <w:t>3.1资格审查</w:t>
      </w:r>
    </w:p>
    <w:p>
      <w:pPr>
        <w:spacing w:before="0" w:after="0" w:afterAutospacing="0"/>
        <w:ind w:left="0" w:right="0"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rPr>
      </w:pPr>
      <w:r>
        <w:rPr>
          <w:rFonts w:hint="eastAsia" w:ascii="宋体" w:hAnsi="宋体"/>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rPr>
      </w:pPr>
      <w:r>
        <w:rPr>
          <w:rFonts w:hint="eastAsia" w:ascii="宋体" w:hAnsi="宋体"/>
          <w:b/>
        </w:rPr>
        <w:t>3.2初步评审</w:t>
      </w:r>
    </w:p>
    <w:p>
      <w:pPr>
        <w:tabs>
          <w:tab w:val="left" w:pos="851"/>
        </w:tabs>
        <w:spacing w:before="0" w:after="0" w:afterAutospacing="0"/>
        <w:ind w:left="0" w:right="0" w:firstLine="420" w:firstLineChars="200"/>
        <w:rPr>
          <w:rFonts w:hAnsi="宋体"/>
        </w:rPr>
      </w:pPr>
      <w:r>
        <w:rPr>
          <w:rFonts w:hint="eastAsia" w:hAnsi="宋体"/>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rPr>
      </w:pPr>
      <w:r>
        <w:rPr>
          <w:rFonts w:hint="eastAsia" w:hAnsi="宋体"/>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hAnsi="宋体"/>
        </w:rPr>
      </w:pPr>
      <w:r>
        <w:rPr>
          <w:rFonts w:hint="eastAsia" w:hAnsi="宋体"/>
        </w:rPr>
        <w:t>3.2.3</w:t>
      </w:r>
      <w:r>
        <w:t>评审委员会</w:t>
      </w:r>
      <w:r>
        <w:rPr>
          <w:rFonts w:hAnsi="宋体"/>
        </w:rPr>
        <w:t>根据</w:t>
      </w:r>
      <w:r>
        <w:rPr>
          <w:rFonts w:hint="eastAsia" w:hAnsi="宋体"/>
        </w:rPr>
        <w:t>比选</w:t>
      </w:r>
      <w:r>
        <w:rPr>
          <w:rFonts w:hAnsi="宋体"/>
        </w:rPr>
        <w:t>文件的要求对</w:t>
      </w:r>
      <w:r>
        <w:rPr>
          <w:rFonts w:hint="eastAsia" w:hAnsi="宋体"/>
        </w:rPr>
        <w:t>比选申请</w:t>
      </w:r>
      <w:r>
        <w:rPr>
          <w:rFonts w:hAnsi="宋体"/>
        </w:rPr>
        <w:t>人进行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w:t>
      </w:r>
      <w:r>
        <w:rPr>
          <w:rFonts w:hAnsi="宋体"/>
        </w:rPr>
        <w:t>人不得进入下一阶段的评审。评审</w:t>
      </w:r>
      <w:r>
        <w:rPr>
          <w:rFonts w:hint="eastAsia" w:hAnsi="宋体"/>
        </w:rPr>
        <w:t>标准</w:t>
      </w:r>
      <w:r>
        <w:rPr>
          <w:rFonts w:hAnsi="宋体"/>
        </w:rPr>
        <w:t>见附表二《</w:t>
      </w:r>
      <w:r>
        <w:rPr>
          <w:rFonts w:hint="eastAsia" w:hAnsi="宋体"/>
        </w:rPr>
        <w:t>符合性评审表</w:t>
      </w:r>
      <w:r>
        <w:rPr>
          <w:rFonts w:hAnsi="宋体"/>
        </w:rPr>
        <w:t>》。</w:t>
      </w:r>
    </w:p>
    <w:p>
      <w:pPr>
        <w:tabs>
          <w:tab w:val="left" w:pos="567"/>
        </w:tabs>
        <w:spacing w:before="0" w:after="0" w:afterAutospacing="0"/>
        <w:ind w:left="422" w:right="0" w:firstLine="0"/>
        <w:rPr>
          <w:rFonts w:ascii="宋体" w:hAnsi="宋体"/>
          <w:b/>
        </w:rPr>
      </w:pPr>
      <w:r>
        <w:rPr>
          <w:rFonts w:hint="eastAsia" w:ascii="宋体" w:hAnsi="宋体"/>
          <w:b/>
        </w:rPr>
        <w:t>3.3样品评审</w:t>
      </w:r>
    </w:p>
    <w:p>
      <w:pPr>
        <w:tabs>
          <w:tab w:val="left" w:pos="851"/>
        </w:tabs>
        <w:spacing w:before="0" w:after="0" w:afterAutospacing="0"/>
        <w:ind w:left="0" w:right="0" w:firstLine="420" w:firstLineChars="200"/>
        <w:rPr>
          <w:rFonts w:hAnsi="宋体"/>
        </w:rPr>
      </w:pPr>
      <w:r>
        <w:rPr>
          <w:rFonts w:hint="eastAsia" w:hAnsi="宋体"/>
        </w:rPr>
        <w:t>3.3.1评审委员会对通过初步评审的投标文件样品采用</w:t>
      </w:r>
      <w:r>
        <w:rPr>
          <w:rFonts w:hint="eastAsia" w:hAnsi="宋体"/>
          <w:color w:val="auto"/>
        </w:rPr>
        <w:t>盲评</w:t>
      </w:r>
      <w:r>
        <w:rPr>
          <w:rFonts w:hint="eastAsia" w:hAnsi="宋体"/>
        </w:rPr>
        <w:t>的方式进行评审。</w:t>
      </w:r>
    </w:p>
    <w:p>
      <w:pPr>
        <w:tabs>
          <w:tab w:val="left" w:pos="851"/>
        </w:tabs>
        <w:spacing w:before="0" w:after="0" w:afterAutospacing="0"/>
        <w:ind w:left="0" w:right="0" w:firstLine="420" w:firstLineChars="200"/>
      </w:pPr>
      <w:r>
        <w:rPr>
          <w:rFonts w:hint="eastAsia" w:hAnsi="宋体"/>
        </w:rPr>
        <w:t>3.3.2评审委员会按照附表三《样品评分表》规定的因素和分值，对各投标人样品部分评审。各评委对投标人的各评分项评分累加后得出各评委的总得分。投标人样品得分取所有评委总得分的算术平均值（得分出现小数的，保留两位小数，第三位小数四舍五入）。</w:t>
      </w:r>
    </w:p>
    <w:p>
      <w:pPr>
        <w:tabs>
          <w:tab w:val="left" w:pos="851"/>
          <w:tab w:val="left" w:pos="1134"/>
        </w:tabs>
        <w:spacing w:before="0" w:after="0" w:afterAutospacing="0"/>
        <w:ind w:left="422" w:right="0" w:firstLine="0"/>
        <w:rPr>
          <w:rFonts w:ascii="宋体" w:hAnsi="宋体"/>
          <w:b/>
        </w:rPr>
      </w:pPr>
      <w:r>
        <w:rPr>
          <w:rFonts w:hint="eastAsia" w:ascii="宋体" w:hAnsi="宋体"/>
          <w:b/>
        </w:rPr>
        <w:t>3.4价格评审</w:t>
      </w:r>
    </w:p>
    <w:p>
      <w:pPr>
        <w:tabs>
          <w:tab w:val="left" w:pos="851"/>
        </w:tabs>
        <w:spacing w:before="0" w:after="0" w:afterAutospacing="0"/>
        <w:ind w:left="0" w:right="0" w:firstLine="525" w:firstLineChars="250"/>
        <w:rPr>
          <w:rFonts w:ascii="宋体" w:hAnsi="宋体"/>
        </w:rPr>
      </w:pPr>
      <w:r>
        <w:rPr>
          <w:rFonts w:hAnsi="宋体"/>
        </w:rPr>
        <w:t>3.</w:t>
      </w:r>
      <w:r>
        <w:rPr>
          <w:rFonts w:hint="eastAsia" w:hAnsi="宋体"/>
        </w:rPr>
        <w:t>4</w:t>
      </w:r>
      <w:r>
        <w:rPr>
          <w:rFonts w:hAnsi="宋体"/>
        </w:rPr>
        <w:t>.1</w:t>
      </w:r>
      <w:r>
        <w:t>评审委员会</w:t>
      </w:r>
      <w:r>
        <w:rPr>
          <w:rFonts w:hint="eastAsia" w:hAnsi="宋体"/>
        </w:rPr>
        <w:t>评审比选申请人的各项报价和清单是否清楚、完整，对报价和清单有重大偏差或缺漏项或不清晰而又不能做出合理解释的，其比选申请作否决比选申请处理。</w:t>
      </w:r>
      <w:r>
        <w:rPr>
          <w:rFonts w:hAnsi="宋体"/>
        </w:rPr>
        <w:t>评审</w:t>
      </w:r>
      <w:r>
        <w:rPr>
          <w:rFonts w:hint="eastAsia" w:hAnsi="宋体"/>
        </w:rPr>
        <w:t>标准</w:t>
      </w:r>
      <w:r>
        <w:rPr>
          <w:rFonts w:hAnsi="宋体"/>
        </w:rPr>
        <w:t>见附表</w:t>
      </w:r>
      <w:r>
        <w:rPr>
          <w:rFonts w:hint="eastAsia" w:hAnsi="宋体"/>
        </w:rPr>
        <w:t>四</w:t>
      </w:r>
      <w:r>
        <w:rPr>
          <w:rFonts w:hAnsi="宋体"/>
        </w:rPr>
        <w:t>《</w:t>
      </w:r>
      <w:r>
        <w:rPr>
          <w:rFonts w:hint="eastAsia"/>
        </w:rPr>
        <w:t xml:space="preserve">价格文件评分表 </w:t>
      </w:r>
      <w:r>
        <w:rPr>
          <w:rFonts w:hAnsi="宋体"/>
        </w:rPr>
        <w:t>》</w:t>
      </w:r>
    </w:p>
    <w:p>
      <w:pPr>
        <w:tabs>
          <w:tab w:val="left" w:pos="851"/>
        </w:tabs>
        <w:spacing w:before="0" w:after="0" w:afterAutospacing="0"/>
        <w:ind w:left="105" w:leftChars="50" w:right="0" w:firstLine="420" w:firstLineChars="200"/>
        <w:rPr>
          <w:rFonts w:ascii="宋体" w:hAnsi="宋体"/>
        </w:rPr>
      </w:pPr>
      <w:r>
        <w:rPr>
          <w:rFonts w:hint="eastAsia" w:hAnsi="宋体"/>
        </w:rPr>
        <w:t>3</w:t>
      </w:r>
      <w:r>
        <w:rPr>
          <w:rFonts w:hAnsi="宋体"/>
        </w:rPr>
        <w:t>.</w:t>
      </w:r>
      <w:r>
        <w:rPr>
          <w:rFonts w:hint="eastAsia" w:hAnsi="宋体"/>
        </w:rPr>
        <w:t>4</w:t>
      </w:r>
      <w:r>
        <w:rPr>
          <w:rFonts w:hAnsi="宋体"/>
        </w:rPr>
        <w:t>.2</w:t>
      </w:r>
      <w:r>
        <w:t>评审委员会</w:t>
      </w:r>
      <w:r>
        <w:rPr>
          <w:rFonts w:hint="eastAsia" w:hAnsi="宋体"/>
        </w:rPr>
        <w:t>对</w:t>
      </w:r>
      <w:r>
        <w:rPr>
          <w:rFonts w:hint="eastAsia" w:ascii="宋体" w:hAnsi="宋体"/>
        </w:rPr>
        <w:t>资格审查合格且通过初步评审的比选申请人</w:t>
      </w:r>
      <w:r>
        <w:rPr>
          <w:rFonts w:hint="eastAsia" w:hAnsi="宋体"/>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rPr>
      </w:pPr>
      <w:r>
        <w:rPr>
          <w:rFonts w:hint="eastAsia" w:ascii="宋体" w:hAnsi="宋体"/>
        </w:rPr>
        <w:t>（</w:t>
      </w:r>
      <w:r>
        <w:rPr>
          <w:rFonts w:ascii="宋体" w:hAnsi="宋体"/>
        </w:rPr>
        <w:t>1</w:t>
      </w:r>
      <w:r>
        <w:rPr>
          <w:rFonts w:hint="eastAsia" w:ascii="宋体" w:hAnsi="宋体"/>
        </w:rPr>
        <w:t>）评审价以不含税总报价为基准；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34"/>
        <w:tabs>
          <w:tab w:val="left" w:pos="851"/>
        </w:tabs>
        <w:spacing w:before="0" w:after="0" w:afterAutospacing="0"/>
        <w:ind w:left="0" w:right="0" w:firstLine="420" w:firstLineChars="200"/>
        <w:rPr>
          <w:rFonts w:ascii="宋体" w:hAnsi="宋体"/>
        </w:rPr>
      </w:pPr>
      <w:r>
        <w:rPr>
          <w:rFonts w:hint="eastAsia" w:ascii="宋体" w:hAnsi="宋体"/>
        </w:rPr>
        <w:t>（3）同一规格、型号的设备、材料在各分项报价中单价不一致的，以最低的单价调整；</w:t>
      </w:r>
    </w:p>
    <w:p>
      <w:pPr>
        <w:pStyle w:val="34"/>
        <w:tabs>
          <w:tab w:val="left" w:pos="567"/>
        </w:tabs>
        <w:spacing w:before="0" w:after="0" w:afterAutospacing="0"/>
        <w:ind w:left="0" w:right="0" w:firstLine="420" w:firstLineChars="200"/>
        <w:rPr>
          <w:rFonts w:ascii="宋体" w:hAnsi="宋体"/>
        </w:rPr>
      </w:pPr>
      <w:r>
        <w:rPr>
          <w:rFonts w:hint="eastAsia" w:ascii="宋体" w:hAnsi="宋体"/>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rPr>
      </w:pPr>
      <w:r>
        <w:rPr>
          <w:rFonts w:hint="eastAsia" w:hAnsi="宋体"/>
        </w:rPr>
        <w:t>3.4.3出现下列情况的将不通过价格评审：</w:t>
      </w:r>
    </w:p>
    <w:p>
      <w:pPr>
        <w:pStyle w:val="34"/>
        <w:tabs>
          <w:tab w:val="left" w:pos="567"/>
        </w:tabs>
        <w:spacing w:before="0" w:after="0" w:afterAutospacing="0"/>
        <w:ind w:left="0" w:right="0" w:firstLine="420" w:firstLineChars="200"/>
        <w:rPr>
          <w:rFonts w:ascii="宋体" w:hAnsi="宋体"/>
        </w:rPr>
      </w:pPr>
      <w:r>
        <w:rPr>
          <w:rFonts w:hint="eastAsia" w:hAnsi="宋体"/>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567"/>
        </w:tabs>
        <w:spacing w:before="0" w:after="0" w:afterAutospacing="0"/>
        <w:ind w:left="422" w:right="0" w:firstLine="0"/>
        <w:rPr>
          <w:rFonts w:ascii="宋体" w:hAnsi="宋体"/>
          <w:b/>
        </w:rPr>
      </w:pPr>
      <w:r>
        <w:rPr>
          <w:rFonts w:hint="eastAsia" w:ascii="宋体" w:hAnsi="宋体"/>
          <w:b/>
        </w:rPr>
        <w:t>3.5</w:t>
      </w:r>
      <w:r>
        <w:rPr>
          <w:rFonts w:ascii="宋体" w:hAnsi="宋体"/>
          <w:b/>
        </w:rPr>
        <w:t>澄清或补正</w:t>
      </w:r>
    </w:p>
    <w:p>
      <w:pPr>
        <w:tabs>
          <w:tab w:val="left" w:pos="851"/>
          <w:tab w:val="left" w:pos="1134"/>
        </w:tabs>
        <w:spacing w:before="0" w:after="0" w:afterAutospacing="0"/>
        <w:ind w:left="420" w:right="0" w:firstLine="0"/>
        <w:rPr>
          <w:rFonts w:ascii="宋体" w:hAnsi="宋体"/>
        </w:rPr>
      </w:pPr>
      <w:r>
        <w:rPr>
          <w:rFonts w:hint="eastAsia" w:ascii="宋体" w:hAnsi="宋体"/>
        </w:rPr>
        <w:t>3.5.1</w:t>
      </w:r>
      <w:r>
        <w:rPr>
          <w:rFonts w:hint="eastAsia" w:ascii="宋体" w:hAnsi="宋体"/>
          <w:shd w:val="clear" w:color="auto" w:fill="FFFFFF"/>
        </w:rPr>
        <w:t>在评审阶段，评审委员会认为必要时，</w:t>
      </w:r>
      <w:r>
        <w:rPr>
          <w:rFonts w:hint="eastAsia" w:ascii="宋体" w:hAnsi="宋体"/>
        </w:rPr>
        <w:t>可书面通知比选申请人要求其澄清或补正比选申请文件中的问题</w:t>
      </w:r>
      <w:r>
        <w:rPr>
          <w:rFonts w:hint="eastAsia" w:ascii="宋体" w:hAnsi="宋体"/>
          <w:shd w:val="clear" w:color="auto" w:fill="FFFFFF"/>
        </w:rPr>
        <w:t>，或者要求其补充某些资料。对此，比选申请人不得拒绝</w:t>
      </w:r>
      <w:r>
        <w:rPr>
          <w:rFonts w:hint="eastAsia"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3.5.2</w:t>
      </w:r>
      <w:r>
        <w:rPr>
          <w:rFonts w:hint="eastAsia" w:ascii="宋体" w:hAnsi="宋体"/>
          <w:shd w:val="clear" w:color="auto" w:fill="FFFFFF"/>
        </w:rPr>
        <w:t>比选申请人须以书面形式提供澄清或补正文件，经评审委员会确认方可作为比选申请文件的组成部分</w:t>
      </w:r>
      <w:r>
        <w:rPr>
          <w:rFonts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3.5.3</w:t>
      </w:r>
      <w:r>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rPr>
      </w:pPr>
      <w:r>
        <w:rPr>
          <w:rFonts w:hint="eastAsia" w:ascii="宋体" w:hAnsi="宋体"/>
        </w:rPr>
        <w:t>3.5.4</w:t>
      </w:r>
      <w:r>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rPr>
      </w:pPr>
      <w:r>
        <w:rPr>
          <w:rFonts w:hint="eastAsia" w:ascii="宋体" w:hAnsi="宋体"/>
        </w:rPr>
        <w:t>3.5.5</w:t>
      </w:r>
      <w:r>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rPr>
      </w:pPr>
      <w:r>
        <w:rPr>
          <w:rFonts w:hint="eastAsia" w:ascii="宋体" w:hAnsi="宋体"/>
          <w:b/>
        </w:rPr>
        <w:t>3.6</w:t>
      </w:r>
      <w:r>
        <w:rPr>
          <w:rFonts w:ascii="宋体" w:hAnsi="宋体"/>
          <w:b/>
        </w:rPr>
        <w:t>评审报告</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（2）评审委员会根据综合得分由高到低顺序推荐中选候选人。综合得分相同时，则样品得分较高的排名靠前；如样品得分也相同，则价格得分较高的排名靠前；如价格得分也相同，</w:t>
      </w:r>
      <w:bookmarkStart w:id="1375" w:name="_Hlk31877730"/>
      <w:r>
        <w:rPr>
          <w:rFonts w:hint="eastAsia" w:ascii="宋体" w:hAnsi="宋体"/>
        </w:rPr>
        <w:t>则由评审委员会采用记名投票方式确定</w:t>
      </w:r>
      <w:bookmarkEnd w:id="1375"/>
      <w:r>
        <w:rPr>
          <w:rFonts w:hint="eastAsia" w:ascii="宋体" w:hAnsi="宋体"/>
        </w:rPr>
        <w:t>其排名顺序。</w:t>
      </w:r>
    </w:p>
    <w:p>
      <w:pPr>
        <w:tabs>
          <w:tab w:val="left" w:pos="851"/>
          <w:tab w:val="left" w:pos="993"/>
        </w:tabs>
        <w:spacing w:before="0" w:after="0" w:afterAutospacing="0"/>
        <w:ind w:left="0" w:right="0" w:firstLine="420" w:firstLineChars="200"/>
        <w:rPr>
          <w:rFonts w:ascii="宋体" w:hAnsi="宋体"/>
        </w:rPr>
      </w:pPr>
    </w:p>
    <w:p>
      <w:pPr>
        <w:spacing w:before="0" w:after="0" w:afterAutospacing="0"/>
        <w:ind w:left="0" w:right="0" w:firstLine="422" w:firstLineChars="200"/>
        <w:rPr>
          <w:rFonts w:ascii="宋体" w:hAnsi="宋体"/>
          <w:b/>
        </w:rPr>
      </w:pPr>
      <w:r>
        <w:rPr>
          <w:rFonts w:hint="eastAsia" w:ascii="宋体" w:hAnsi="宋体"/>
          <w:b/>
        </w:rPr>
        <w:t>3.6</w:t>
      </w:r>
      <w:r>
        <w:rPr>
          <w:rFonts w:ascii="宋体" w:hAnsi="宋体"/>
          <w:b/>
        </w:rPr>
        <w:t>否决比选申请条件</w:t>
      </w:r>
    </w:p>
    <w:p>
      <w:pPr>
        <w:spacing w:before="0" w:after="0" w:afterAutospacing="0"/>
        <w:ind w:left="0" w:right="0" w:firstLine="420" w:firstLineChars="200"/>
        <w:rPr>
          <w:rFonts w:ascii="宋体" w:hAnsi="宋体"/>
        </w:rPr>
      </w:pPr>
      <w:r>
        <w:rPr>
          <w:rFonts w:ascii="宋体" w:hAnsi="宋体"/>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（1）不符合附表一《资格审查表》规定的；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（2）不符合附表二《符合性评审表》规定的；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（4）在比选申请文件中有虚假文件和/或资料的；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（5）比选申请文件中附有比选人不能接受的条件；</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（6）比选申请文件实质上不响应比选文件的要求的；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 xml:space="preserve">（7）比选申请人以经评审委员会评审认定为低于成本的报价竞标；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（8）比选申请人扰乱会场秩序，经劝阻仍然无理取闹的；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（10）比选申请人以他人的名义比选申请、串通比选申请、以行贿手段谋取中选或者以其他弄虚作假方式比选申请的。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rPr>
        <w:sectPr>
          <w:pgSz w:w="11905" w:h="16838"/>
          <w:pgMar w:top="1418" w:right="1418" w:bottom="1304" w:left="1418" w:header="454" w:footer="567" w:gutter="0"/>
          <w:cols w:space="720" w:num="1"/>
          <w:docGrid w:linePitch="312" w:charSpace="0"/>
        </w:sectPr>
      </w:pPr>
    </w:p>
    <w:p>
      <w:pPr>
        <w:pStyle w:val="3"/>
        <w:spacing w:after="0" w:line="360" w:lineRule="auto"/>
        <w:ind w:right="-57" w:firstLine="0"/>
        <w:rPr>
          <w:sz w:val="21"/>
          <w:szCs w:val="21"/>
        </w:rPr>
      </w:pPr>
      <w:bookmarkStart w:id="1376" w:name="_Toc434"/>
      <w:bookmarkStart w:id="1377" w:name="_Toc29245"/>
      <w:bookmarkStart w:id="1378" w:name="_Toc16364"/>
      <w:bookmarkStart w:id="1379" w:name="_Toc9189"/>
      <w:bookmarkStart w:id="1380" w:name="_Toc28404"/>
      <w:bookmarkStart w:id="1381" w:name="_Toc75276850"/>
      <w:bookmarkStart w:id="1382" w:name="_Toc9730"/>
      <w:bookmarkStart w:id="1383" w:name="_Toc25750694"/>
      <w:bookmarkStart w:id="1384" w:name="_Toc15073"/>
      <w:bookmarkStart w:id="1385" w:name="_Toc9588"/>
      <w:bookmarkStart w:id="1386" w:name="_Toc18096"/>
      <w:bookmarkStart w:id="1387" w:name="_Toc19557"/>
      <w:bookmarkStart w:id="1388" w:name="_Toc22464"/>
      <w:bookmarkStart w:id="1389" w:name="_Toc27271"/>
      <w:bookmarkStart w:id="1390" w:name="_Toc492478849"/>
      <w:bookmarkStart w:id="1391" w:name="_Toc29923"/>
      <w:bookmarkStart w:id="1392" w:name="_Toc31611"/>
      <w:bookmarkStart w:id="1393" w:name="_Toc414290583"/>
      <w:bookmarkStart w:id="1394" w:name="_Toc15224"/>
      <w:bookmarkStart w:id="1395" w:name="_Toc10968"/>
      <w:bookmarkStart w:id="1396" w:name="_Toc23314"/>
      <w:r>
        <w:rPr>
          <w:rFonts w:hint="eastAsia"/>
          <w:sz w:val="21"/>
          <w:szCs w:val="21"/>
        </w:rPr>
        <w:t>附表一资格审查表</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snapToGrid w:val="0"/>
        <w:spacing w:before="0" w:line="360" w:lineRule="exact"/>
        <w:ind w:left="420" w:right="240" w:firstLine="0"/>
        <w:jc w:val="center"/>
        <w:rPr>
          <w:rFonts w:ascii="宋体" w:hAnsi="宋体"/>
          <w:b/>
          <w:sz w:val="24"/>
          <w:szCs w:val="24"/>
        </w:rPr>
      </w:pPr>
      <w:r>
        <w:rPr>
          <w:rFonts w:hint="eastAsia" w:ascii="宋体" w:hAnsi="宋体"/>
          <w:b/>
          <w:sz w:val="24"/>
          <w:szCs w:val="24"/>
        </w:rPr>
        <w:t>资格审查表</w:t>
      </w:r>
    </w:p>
    <w:tbl>
      <w:tblPr>
        <w:tblStyle w:val="26"/>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rPr>
            </w:pPr>
            <w:r>
              <w:rPr>
                <w:rFonts w:hint="eastAsia" w:ascii="宋体" w:hAnsi="宋体"/>
              </w:rPr>
              <w:t>序号</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项目内容</w:t>
            </w:r>
          </w:p>
        </w:tc>
        <w:tc>
          <w:tcPr>
            <w:tcW w:w="2873" w:type="dxa"/>
            <w:vAlign w:val="center"/>
          </w:tcPr>
          <w:p>
            <w:pPr>
              <w:spacing w:before="0" w:after="0" w:afterAutospacing="0" w:line="240" w:lineRule="auto"/>
              <w:ind w:left="0" w:right="0" w:firstLine="0"/>
              <w:jc w:val="center"/>
              <w:rPr>
                <w:rFonts w:ascii="宋体" w:hAnsi="宋体"/>
              </w:rPr>
            </w:pPr>
            <w:r>
              <w:rPr>
                <w:rFonts w:hint="eastAsia" w:ascii="宋体" w:hAnsi="宋体"/>
              </w:rPr>
              <w:t>合格条件标准</w:t>
            </w:r>
          </w:p>
        </w:tc>
        <w:tc>
          <w:tcPr>
            <w:tcW w:w="1379" w:type="dxa"/>
            <w:vAlign w:val="center"/>
          </w:tcPr>
          <w:p>
            <w:pPr>
              <w:spacing w:before="0" w:after="0" w:afterAutospacing="0" w:line="240" w:lineRule="auto"/>
              <w:ind w:left="0" w:right="0" w:firstLine="0"/>
              <w:jc w:val="center"/>
              <w:rPr>
                <w:rFonts w:ascii="宋体" w:hAnsi="宋体"/>
              </w:rPr>
            </w:pPr>
            <w:r>
              <w:rPr>
                <w:rFonts w:hint="eastAsia" w:ascii="宋体" w:hAnsi="宋体"/>
              </w:rPr>
              <w:t>评审依据</w:t>
            </w:r>
          </w:p>
        </w:tc>
        <w:tc>
          <w:tcPr>
            <w:tcW w:w="1094" w:type="dxa"/>
            <w:vAlign w:val="center"/>
          </w:tcPr>
          <w:p>
            <w:pPr>
              <w:spacing w:before="0" w:after="0" w:afterAutospacing="0" w:line="240" w:lineRule="auto"/>
              <w:ind w:left="0" w:right="0" w:firstLine="0"/>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401" w:type="dxa"/>
            <w:vAlign w:val="center"/>
          </w:tcPr>
          <w:p>
            <w:pPr>
              <w:spacing w:before="0" w:after="0" w:afterAutospacing="0" w:line="240" w:lineRule="auto"/>
              <w:ind w:left="0" w:right="0" w:firstLine="0"/>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rPr>
            </w:pPr>
            <w:r>
              <w:rPr>
                <w:rFonts w:ascii="宋体" w:hAnsi="宋体"/>
              </w:rPr>
              <w:t>1</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身份证明材料</w:t>
            </w:r>
          </w:p>
        </w:tc>
        <w:tc>
          <w:tcPr>
            <w:tcW w:w="2873" w:type="dxa"/>
            <w:vAlign w:val="center"/>
          </w:tcPr>
          <w:p>
            <w:pPr>
              <w:spacing w:before="0" w:after="0" w:afterAutospacing="0"/>
              <w:ind w:left="0" w:right="0"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rPr>
            </w:pPr>
            <w:r>
              <w:rPr>
                <w:rFonts w:hint="eastAsia" w:ascii="宋体" w:hAnsi="宋体"/>
              </w:rPr>
              <w:t>法定代表人授权书，法定代表人资格证明书和身份证复印件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rPr>
            </w:pPr>
            <w:r>
              <w:rPr>
                <w:rFonts w:ascii="宋体" w:hAnsi="宋体"/>
              </w:rPr>
              <w:t>2</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比选申请人资格</w:t>
            </w:r>
          </w:p>
        </w:tc>
        <w:tc>
          <w:tcPr>
            <w:tcW w:w="2873" w:type="dxa"/>
            <w:vAlign w:val="center"/>
          </w:tcPr>
          <w:p>
            <w:pPr>
              <w:spacing w:before="0" w:after="0" w:afterAutospacing="0"/>
              <w:ind w:left="0" w:right="0" w:firstLine="0"/>
              <w:rPr>
                <w:rFonts w:ascii="宋体" w:hAnsi="宋体"/>
              </w:rPr>
            </w:pPr>
            <w:r>
              <w:rPr>
                <w:rFonts w:hint="eastAsia" w:ascii="宋体" w:hAnsi="宋体"/>
              </w:rPr>
              <w:t>（</w:t>
            </w:r>
            <w:r>
              <w:rPr>
                <w:rFonts w:ascii="宋体" w:hAnsi="宋体"/>
              </w:rPr>
              <w:t>1</w:t>
            </w:r>
            <w:r>
              <w:rPr>
                <w:rFonts w:hint="eastAsia" w:ascii="宋体" w:hAnsi="宋体"/>
              </w:rPr>
              <w:t>）比选申请人为中华人民共和国境内依法设立的法人或其他组织（若以分公司名义参与比选申请，必须出具总公司授权参与的证明）</w:t>
            </w:r>
            <w:r>
              <w:rPr>
                <w:rFonts w:hint="eastAsia" w:ascii="宋体" w:hAnsi="宋体"/>
                <w:lang w:eastAsia="zh-CN"/>
              </w:rPr>
              <w:t>，</w:t>
            </w:r>
            <w:r>
              <w:rPr>
                <w:rFonts w:hint="eastAsia" w:ascii="宋体" w:hAnsi="宋体"/>
              </w:rPr>
              <w:t>经营范围至少包括下列范围之一：家具的制造、设计、安装、维修及销售</w:t>
            </w:r>
            <w:r>
              <w:rPr>
                <w:rFonts w:hint="eastAsia" w:ascii="宋体" w:hAnsi="宋体"/>
                <w:color w:val="000000" w:themeColor="text1"/>
              </w:rPr>
              <w:t>等类似经营范围。</w:t>
            </w:r>
          </w:p>
          <w:p>
            <w:pPr>
              <w:spacing w:before="0" w:after="0" w:afterAutospacing="0"/>
              <w:ind w:left="0" w:right="0" w:firstLine="0"/>
              <w:rPr>
                <w:rFonts w:ascii="宋体" w:hAnsi="宋体"/>
              </w:rPr>
            </w:pPr>
            <w:r>
              <w:rPr>
                <w:rFonts w:hint="eastAsia" w:ascii="宋体" w:hAnsi="宋体"/>
              </w:rPr>
              <w:t>（</w:t>
            </w:r>
            <w:r>
              <w:rPr>
                <w:rFonts w:hint="eastAsia" w:ascii="宋体" w:hAnsi="宋体"/>
                <w:lang w:val="en-US" w:eastAsia="zh-CN"/>
              </w:rPr>
              <w:t>2</w:t>
            </w:r>
            <w:r>
              <w:rPr>
                <w:rFonts w:hint="eastAsia" w:ascii="宋体" w:hAnsi="宋体"/>
              </w:rPr>
              <w:t>）比选申请人没有处于被行政管部门或业主取消比选申请资格的处罚期内，且没有处于被责令停业，财产被接管、冻结、破产状态；比选申请截止时间前</w:t>
            </w:r>
            <w:r>
              <w:rPr>
                <w:rFonts w:ascii="宋体" w:hAnsi="宋体"/>
              </w:rPr>
              <w:t>3</w:t>
            </w:r>
            <w:r>
              <w:rPr>
                <w:rFonts w:hint="eastAsia" w:ascii="宋体" w:hAnsi="宋体"/>
              </w:rPr>
              <w:t>年内没有骗取中选、严重违约或重大质量安全责任事故的情况。</w:t>
            </w:r>
          </w:p>
          <w:p>
            <w:pPr>
              <w:spacing w:before="0" w:after="0" w:afterAutospacing="0"/>
              <w:ind w:left="0" w:right="0" w:firstLine="0"/>
              <w:rPr>
                <w:rFonts w:ascii="宋体" w:hAnsi="宋体"/>
              </w:rPr>
            </w:pPr>
            <w:r>
              <w:rPr>
                <w:rFonts w:hint="eastAsia" w:ascii="宋体" w:hAnsi="宋体"/>
              </w:rPr>
              <w:t>（</w:t>
            </w:r>
            <w:r>
              <w:rPr>
                <w:rFonts w:hint="eastAsia" w:ascii="宋体" w:hAnsi="宋体"/>
                <w:lang w:val="en-US" w:eastAsia="zh-CN"/>
              </w:rPr>
              <w:t>3</w:t>
            </w:r>
            <w:r>
              <w:rPr>
                <w:rFonts w:hint="eastAsia" w:ascii="宋体" w:hAnsi="宋体"/>
              </w:rPr>
              <w:t>）单位负责人为同一人或者存在控股、管理关系的不同单位，不得参加同一标段比选申请或者未划分标段的同一比选项目比选申请。</w:t>
            </w:r>
          </w:p>
          <w:p>
            <w:pPr>
              <w:spacing w:before="0" w:after="0" w:afterAutospacing="0"/>
              <w:ind w:left="0" w:right="0" w:firstLine="0"/>
              <w:rPr>
                <w:rFonts w:ascii="宋体" w:hAnsi="宋体"/>
              </w:rPr>
            </w:pPr>
            <w:r>
              <w:rPr>
                <w:rFonts w:hint="eastAsia" w:ascii="宋体" w:hAnsi="宋体"/>
              </w:rPr>
              <w:t>（</w:t>
            </w:r>
            <w:r>
              <w:rPr>
                <w:rFonts w:hint="eastAsia" w:ascii="宋体" w:hAnsi="宋体"/>
                <w:lang w:val="en-US" w:eastAsia="zh-CN"/>
              </w:rPr>
              <w:t>4</w:t>
            </w:r>
            <w:r>
              <w:rPr>
                <w:rFonts w:hint="eastAsia" w:ascii="宋体" w:hAnsi="宋体"/>
              </w:rPr>
              <w:t>）本项目不接受联合体比选申请。</w:t>
            </w:r>
          </w:p>
        </w:tc>
        <w:tc>
          <w:tcPr>
            <w:tcW w:w="1379" w:type="dxa"/>
            <w:vAlign w:val="center"/>
          </w:tcPr>
          <w:p>
            <w:pPr>
              <w:spacing w:before="0" w:after="0" w:afterAutospacing="0"/>
              <w:ind w:left="0" w:right="0" w:firstLine="0"/>
              <w:rPr>
                <w:rFonts w:ascii="宋体" w:hAnsi="宋体"/>
              </w:rPr>
            </w:pPr>
            <w:r>
              <w:rPr>
                <w:rFonts w:hint="eastAsia" w:ascii="宋体" w:hAnsi="宋体"/>
              </w:rPr>
              <w:t>营业执照副本或事业单位法人证书等证明文件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rPr>
            </w:pPr>
            <w:r>
              <w:rPr>
                <w:rFonts w:hint="eastAsia" w:ascii="宋体" w:hAnsi="宋体"/>
              </w:rPr>
              <w:t>3</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承诺书</w:t>
            </w:r>
          </w:p>
        </w:tc>
        <w:tc>
          <w:tcPr>
            <w:tcW w:w="2873" w:type="dxa"/>
            <w:vAlign w:val="center"/>
          </w:tcPr>
          <w:p>
            <w:pPr>
              <w:spacing w:before="0" w:after="0" w:afterAutospacing="0"/>
              <w:ind w:left="0" w:right="0" w:firstLine="0"/>
              <w:rPr>
                <w:rFonts w:ascii="宋体" w:hAnsi="宋体"/>
              </w:rPr>
            </w:pPr>
            <w:r>
              <w:rPr>
                <w:rFonts w:hint="eastAsia" w:ascii="宋体" w:hAnsi="宋体"/>
              </w:rPr>
              <w:t>比选申请人没有处于行政主管部门或业主取消比选申请资格的处罚期内，且没有被责令停业，财产被接管、冻结，破产状态；比选申请截止日前</w:t>
            </w:r>
            <w:r>
              <w:rPr>
                <w:rFonts w:ascii="宋体" w:hAnsi="宋体"/>
              </w:rPr>
              <w:t>3</w:t>
            </w:r>
            <w:r>
              <w:rPr>
                <w:rFonts w:hint="eastAsia" w:ascii="宋体" w:hAnsi="宋体"/>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rPr>
            </w:pPr>
            <w:r>
              <w:rPr>
                <w:rFonts w:hint="eastAsia" w:ascii="宋体" w:hAnsi="宋体"/>
              </w:rPr>
              <w:t>承诺书原件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按规定格式提供承诺书</w:t>
            </w:r>
          </w:p>
          <w:p>
            <w:pPr>
              <w:spacing w:before="0" w:after="0" w:afterAutospacing="0"/>
              <w:ind w:left="0" w:right="0" w:firstLine="0"/>
              <w:rPr>
                <w:rFonts w:ascii="宋体" w:hAnsi="宋体"/>
              </w:rPr>
            </w:pPr>
          </w:p>
        </w:tc>
      </w:tr>
    </w:tbl>
    <w:p>
      <w:pPr>
        <w:snapToGrid w:val="0"/>
        <w:spacing w:before="0" w:after="0" w:afterAutospacing="0" w:line="240" w:lineRule="auto"/>
        <w:ind w:left="0" w:right="0" w:firstLine="0"/>
        <w:rPr>
          <w:rFonts w:ascii="宋体" w:hAnsi="宋体"/>
          <w:b/>
        </w:rPr>
      </w:pPr>
      <w:r>
        <w:rPr>
          <w:rFonts w:hint="eastAsia" w:ascii="宋体" w:hAnsi="宋体"/>
          <w:b/>
        </w:rPr>
        <w:t>注：1.以上所有证明资料原件备查。</w:t>
      </w:r>
    </w:p>
    <w:p>
      <w:pPr>
        <w:snapToGrid w:val="0"/>
        <w:spacing w:before="0" w:after="0" w:afterAutospacing="0" w:line="240" w:lineRule="auto"/>
        <w:ind w:left="0" w:right="0" w:firstLine="0"/>
        <w:rPr>
          <w:rFonts w:ascii="宋体" w:hAnsi="宋体"/>
          <w:b/>
        </w:rPr>
      </w:pPr>
      <w:r>
        <w:rPr>
          <w:rFonts w:hint="eastAsia" w:ascii="宋体" w:hAnsi="宋体"/>
          <w:b/>
        </w:rPr>
        <w:t>2.比选申请人如未通过上述资格审查，则作比选申请被否决处理并不得进入下一阶段评审。</w:t>
      </w:r>
    </w:p>
    <w:p>
      <w:pPr>
        <w:pStyle w:val="3"/>
        <w:spacing w:after="0" w:line="360" w:lineRule="auto"/>
        <w:ind w:right="-57" w:firstLine="0"/>
        <w:rPr>
          <w:sz w:val="24"/>
          <w:szCs w:val="24"/>
        </w:rPr>
      </w:pPr>
      <w:r>
        <w:rPr>
          <w:rFonts w:ascii="宋体" w:hAnsi="宋体"/>
        </w:rPr>
        <w:br w:type="page"/>
      </w:r>
      <w:bookmarkStart w:id="1397" w:name="_Toc25750695"/>
      <w:bookmarkStart w:id="1398" w:name="_Toc75276851"/>
      <w:bookmarkStart w:id="1399" w:name="_Toc8945"/>
      <w:bookmarkStart w:id="1400" w:name="_Toc12983557"/>
      <w:bookmarkStart w:id="1401" w:name="_Toc25123"/>
      <w:bookmarkStart w:id="1402" w:name="_Toc5811"/>
      <w:bookmarkStart w:id="1403" w:name="_Toc15103"/>
      <w:bookmarkStart w:id="1404" w:name="_Toc22635"/>
      <w:bookmarkStart w:id="1405" w:name="_Toc7852"/>
      <w:bookmarkStart w:id="1406" w:name="_Toc3409"/>
      <w:bookmarkStart w:id="1407" w:name="_Toc492478850"/>
      <w:bookmarkStart w:id="1408" w:name="_Toc12984826"/>
      <w:bookmarkStart w:id="1409" w:name="_Toc191"/>
      <w:bookmarkStart w:id="1410" w:name="_Toc6102"/>
      <w:bookmarkStart w:id="1411" w:name="_Toc19299"/>
      <w:bookmarkStart w:id="1412" w:name="_Toc20215"/>
      <w:bookmarkStart w:id="1413" w:name="_Toc1459"/>
      <w:bookmarkStart w:id="1414" w:name="_Toc6612"/>
      <w:bookmarkStart w:id="1415" w:name="_Toc29670"/>
      <w:bookmarkStart w:id="1416" w:name="_Toc9343"/>
      <w:bookmarkStart w:id="1417" w:name="_Toc31487"/>
      <w:bookmarkStart w:id="1418" w:name="_Toc5737"/>
      <w:r>
        <w:rPr>
          <w:sz w:val="21"/>
          <w:szCs w:val="21"/>
        </w:rPr>
        <w:t>附表二</w:t>
      </w:r>
      <w:bookmarkEnd w:id="1397"/>
      <w:r>
        <w:rPr>
          <w:rFonts w:hint="eastAsia"/>
          <w:sz w:val="21"/>
          <w:szCs w:val="21"/>
        </w:rPr>
        <w:t>符合性评审表</w:t>
      </w:r>
      <w:bookmarkEnd w:id="1398"/>
    </w:p>
    <w:p>
      <w:pPr>
        <w:spacing w:before="0"/>
        <w:ind w:right="0" w:firstLine="0"/>
        <w:jc w:val="center"/>
        <w:rPr>
          <w:b/>
          <w:sz w:val="24"/>
          <w:szCs w:val="24"/>
        </w:rPr>
      </w:pPr>
      <w:r>
        <w:rPr>
          <w:rFonts w:hint="eastAsia" w:hAnsi="宋体"/>
          <w:b/>
          <w:sz w:val="24"/>
          <w:szCs w:val="24"/>
        </w:rPr>
        <w:t>符合性评审表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t>序号</w:t>
            </w:r>
          </w:p>
        </w:tc>
        <w:tc>
          <w:tcPr>
            <w:tcW w:w="6096" w:type="dxa"/>
            <w:tcBorders>
              <w:top w:val="single" w:color="auto" w:sz="12" w:space="0"/>
            </w:tcBorders>
            <w:vAlign w:val="center"/>
          </w:tcPr>
          <w:p>
            <w:pPr>
              <w:ind w:left="0" w:firstLine="0"/>
              <w:jc w:val="center"/>
            </w:pPr>
            <w:r>
              <w:rPr>
                <w:rFonts w:hint="eastAsia"/>
              </w:rPr>
              <w:t>评审项目</w:t>
            </w:r>
          </w:p>
        </w:tc>
        <w:tc>
          <w:tcPr>
            <w:tcW w:w="1134" w:type="dxa"/>
            <w:tcBorders>
              <w:top w:val="single" w:color="auto" w:sz="12" w:space="0"/>
            </w:tcBorders>
          </w:tcPr>
          <w:p>
            <w:pPr>
              <w:ind w:left="0" w:firstLine="0"/>
              <w:jc w:val="center"/>
            </w:pPr>
            <w:r>
              <w:rPr>
                <w:rFonts w:hint="eastAsia"/>
              </w:rPr>
              <w:t>评审结果</w:t>
            </w:r>
          </w:p>
        </w:tc>
        <w:tc>
          <w:tcPr>
            <w:tcW w:w="1098" w:type="dxa"/>
            <w:tcBorders>
              <w:top w:val="single" w:color="auto" w:sz="12" w:space="0"/>
            </w:tcBorders>
            <w:vAlign w:val="center"/>
          </w:tcPr>
          <w:p>
            <w:pPr>
              <w:ind w:left="0" w:firstLine="0"/>
              <w:jc w:val="center"/>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rPr>
              <w:t>比选申请文件按要求签字（或盖章）并加盖比选申请人单位公章的</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2</w:t>
            </w:r>
          </w:p>
        </w:tc>
        <w:tc>
          <w:tcPr>
            <w:tcW w:w="6096" w:type="dxa"/>
            <w:vAlign w:val="center"/>
          </w:tcPr>
          <w:p>
            <w:pPr>
              <w:ind w:left="0" w:firstLine="0"/>
            </w:pPr>
            <w:r>
              <w:rPr>
                <w:rFonts w:hint="eastAsia"/>
              </w:rPr>
              <w:t>投标人在资格审查文件或技术文件中未透露报价的信息。</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hint="eastAsia"/>
              </w:rPr>
              <w:t>在比选申请文件中无虚假文件或资料的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000000" w:themeColor="text1"/>
              </w:rPr>
            </w:pPr>
            <w:r>
              <w:rPr>
                <w:rFonts w:hint="eastAsia"/>
                <w:color w:val="000000" w:themeColor="text1"/>
              </w:rPr>
              <w:t>4</w:t>
            </w:r>
          </w:p>
        </w:tc>
        <w:tc>
          <w:tcPr>
            <w:tcW w:w="6096" w:type="dxa"/>
            <w:vAlign w:val="center"/>
          </w:tcPr>
          <w:p>
            <w:pPr>
              <w:ind w:left="0" w:firstLine="0"/>
              <w:rPr>
                <w:color w:val="000000" w:themeColor="text1"/>
              </w:rPr>
            </w:pPr>
            <w:r>
              <w:rPr>
                <w:rFonts w:hint="eastAsia"/>
                <w:color w:val="000000" w:themeColor="text1"/>
              </w:rPr>
              <w:t>技术部分响应、偏离情况说明表无任意一项负偏离的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r>
              <w:t>满足或</w:t>
            </w:r>
            <w:r>
              <w:rPr>
                <w:rFonts w:hint="eastAsia"/>
              </w:rPr>
              <w:t>正</w:t>
            </w:r>
            <w:r>
              <w:t>偏离《用户需求书》中带有“</w:t>
            </w:r>
            <w:r>
              <w:rPr>
                <w:rFonts w:hint="eastAsia"/>
              </w:rPr>
              <w:t>★</w:t>
            </w:r>
            <w:r>
              <w:t>”的实质性条款。</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6</w:t>
            </w:r>
          </w:p>
        </w:tc>
        <w:tc>
          <w:tcPr>
            <w:tcW w:w="6096" w:type="dxa"/>
            <w:vAlign w:val="center"/>
          </w:tcPr>
          <w:p>
            <w:pPr>
              <w:ind w:left="0" w:firstLine="0"/>
            </w:pPr>
            <w:r>
              <w:rPr>
                <w:rFonts w:hint="eastAsia"/>
              </w:rPr>
              <w:t>商务响应表“完全响应”的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7</w:t>
            </w:r>
          </w:p>
        </w:tc>
        <w:tc>
          <w:tcPr>
            <w:tcW w:w="6096" w:type="dxa"/>
            <w:vAlign w:val="center"/>
          </w:tcPr>
          <w:p>
            <w:pPr>
              <w:ind w:left="0" w:firstLine="0"/>
            </w:pPr>
            <w:r>
              <w:rPr>
                <w:rFonts w:hint="eastAsia" w:hAnsi="宋体"/>
              </w:rPr>
              <w:t>比选申请文件按比选文件要求提供按期交货承诺书的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8</w:t>
            </w:r>
          </w:p>
        </w:tc>
        <w:tc>
          <w:tcPr>
            <w:tcW w:w="6096" w:type="dxa"/>
            <w:vAlign w:val="center"/>
          </w:tcPr>
          <w:p>
            <w:pPr>
              <w:ind w:left="0" w:firstLine="0"/>
              <w:rPr>
                <w:rFonts w:hAnsi="宋体"/>
              </w:rPr>
            </w:pPr>
            <w:r>
              <w:rPr>
                <w:rFonts w:hint="eastAsia" w:hAnsi="宋体"/>
              </w:rPr>
              <w:t>比选申请文件按比选文件要求提供售后服务承诺书的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9</w:t>
            </w:r>
          </w:p>
        </w:tc>
        <w:tc>
          <w:tcPr>
            <w:tcW w:w="6096" w:type="dxa"/>
            <w:vAlign w:val="center"/>
          </w:tcPr>
          <w:p>
            <w:pPr>
              <w:ind w:left="0" w:firstLine="0"/>
            </w:pPr>
            <w:r>
              <w:rPr>
                <w:rFonts w:hint="eastAsia"/>
              </w:rPr>
              <w:t>无比选文件、法律、法规规定的其他否决比选申请条件</w:t>
            </w:r>
          </w:p>
        </w:tc>
        <w:tc>
          <w:tcPr>
            <w:tcW w:w="1134" w:type="dxa"/>
          </w:tcPr>
          <w:p>
            <w:pPr>
              <w:ind w:left="0" w:firstLine="0"/>
            </w:pPr>
          </w:p>
        </w:tc>
        <w:tc>
          <w:tcPr>
            <w:tcW w:w="1098" w:type="dxa"/>
            <w:vMerge w:val="continue"/>
            <w:vAlign w:val="center"/>
          </w:tcPr>
          <w:p>
            <w:pPr>
              <w:ind w:left="0" w:firstLine="0"/>
            </w:pPr>
          </w:p>
        </w:tc>
      </w:tr>
    </w:tbl>
    <w:p>
      <w:pPr>
        <w:spacing w:before="0" w:after="0" w:afterAutospacing="0"/>
        <w:ind w:left="0" w:right="0" w:firstLine="0"/>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after="0" w:afterAutospacing="0" w:line="240" w:lineRule="auto"/>
        <w:ind w:left="0" w:right="0" w:firstLine="0"/>
        <w:jc w:val="left"/>
        <w:rPr>
          <w:rFonts w:hAnsi="宋体"/>
          <w:b/>
          <w:sz w:val="24"/>
          <w:szCs w:val="24"/>
        </w:rPr>
      </w:pPr>
    </w:p>
    <w:p>
      <w:pPr>
        <w:spacing w:before="0" w:after="0" w:afterAutospacing="0" w:line="240" w:lineRule="auto"/>
        <w:ind w:left="0" w:right="0" w:firstLine="0"/>
        <w:jc w:val="left"/>
        <w:rPr>
          <w:rFonts w:hAnsi="宋体"/>
          <w:b/>
          <w:sz w:val="24"/>
          <w:szCs w:val="24"/>
        </w:rPr>
      </w:pPr>
      <w:r>
        <w:rPr>
          <w:rFonts w:hAnsi="宋体"/>
          <w:b/>
          <w:sz w:val="24"/>
          <w:szCs w:val="24"/>
        </w:rPr>
        <w:br w:type="page"/>
      </w:r>
    </w:p>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Pr>
        <w:pStyle w:val="4"/>
        <w:rPr>
          <w:sz w:val="21"/>
          <w:szCs w:val="21"/>
        </w:rPr>
      </w:pPr>
      <w:bookmarkStart w:id="1419" w:name="_Toc80018772"/>
      <w:bookmarkStart w:id="1420" w:name="_Toc75771575"/>
      <w:bookmarkStart w:id="1421" w:name="_Toc414290588"/>
      <w:bookmarkStart w:id="1422" w:name="_Toc22594"/>
      <w:bookmarkStart w:id="1423" w:name="_Toc21541"/>
      <w:bookmarkStart w:id="1424" w:name="_Toc6960"/>
      <w:bookmarkStart w:id="1425" w:name="_Toc492478858"/>
      <w:bookmarkStart w:id="1426" w:name="_Toc10654"/>
      <w:bookmarkStart w:id="1427" w:name="_Toc6932"/>
      <w:bookmarkStart w:id="1428" w:name="_Toc10414"/>
      <w:bookmarkStart w:id="1429" w:name="_Toc9220"/>
      <w:bookmarkStart w:id="1430" w:name="_Toc24793"/>
      <w:bookmarkStart w:id="1431" w:name="_Toc1145"/>
      <w:bookmarkStart w:id="1432" w:name="_Toc22896"/>
      <w:bookmarkStart w:id="1433" w:name="_Toc1480"/>
      <w:bookmarkStart w:id="1434" w:name="_Toc4223"/>
      <w:bookmarkStart w:id="1435" w:name="_Toc20211"/>
      <w:bookmarkStart w:id="1436" w:name="_Toc27431"/>
      <w:bookmarkStart w:id="1437" w:name="_Toc32725"/>
      <w:bookmarkStart w:id="1438" w:name="_Toc8803"/>
      <w:bookmarkStart w:id="1439" w:name="_Toc11048"/>
      <w:r>
        <w:rPr>
          <w:rFonts w:hint="eastAsia"/>
          <w:sz w:val="21"/>
          <w:szCs w:val="21"/>
        </w:rPr>
        <w:t>附表三 样品评分表</w:t>
      </w:r>
      <w:bookmarkEnd w:id="1419"/>
      <w:bookmarkEnd w:id="1420"/>
    </w:p>
    <w:p>
      <w:pPr>
        <w:jc w:val="center"/>
        <w:rPr>
          <w:b/>
          <w:bCs/>
        </w:rPr>
      </w:pPr>
      <w:r>
        <w:rPr>
          <w:rFonts w:hint="eastAsia"/>
          <w:b/>
          <w:bCs/>
        </w:rPr>
        <w:t>样品评分表</w:t>
      </w:r>
    </w:p>
    <w:tbl>
      <w:tblPr>
        <w:tblStyle w:val="26"/>
        <w:tblW w:w="11227"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285"/>
        <w:gridCol w:w="1336"/>
        <w:gridCol w:w="6491"/>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blHeader/>
        </w:trPr>
        <w:tc>
          <w:tcPr>
            <w:tcW w:w="737" w:type="dxa"/>
            <w:tcBorders>
              <w:bottom w:val="single" w:color="auto" w:sz="4" w:space="0"/>
            </w:tcBorders>
            <w:vAlign w:val="center"/>
          </w:tcPr>
          <w:p>
            <w:pPr>
              <w:spacing w:line="288" w:lineRule="auto"/>
              <w:ind w:right="-57"/>
              <w:jc w:val="center"/>
              <w:rPr>
                <w:rFonts w:ascii="宋体" w:hAnsi="宋体"/>
                <w:b/>
              </w:rPr>
            </w:pPr>
            <w:r>
              <w:rPr>
                <w:rFonts w:hint="eastAsia" w:ascii="宋体" w:hAnsi="宋体"/>
                <w:b/>
              </w:rPr>
              <w:t>序号</w:t>
            </w:r>
          </w:p>
        </w:tc>
        <w:tc>
          <w:tcPr>
            <w:tcW w:w="1285" w:type="dxa"/>
            <w:tcBorders>
              <w:bottom w:val="single" w:color="auto" w:sz="4" w:space="0"/>
            </w:tcBorders>
            <w:vAlign w:val="center"/>
          </w:tcPr>
          <w:p>
            <w:pPr>
              <w:spacing w:line="288" w:lineRule="auto"/>
              <w:ind w:right="-57"/>
              <w:jc w:val="center"/>
              <w:rPr>
                <w:rFonts w:ascii="宋体" w:hAnsi="宋体"/>
                <w:b/>
              </w:rPr>
            </w:pPr>
            <w:r>
              <w:rPr>
                <w:rFonts w:hint="eastAsia" w:ascii="宋体" w:hAnsi="宋体"/>
                <w:b/>
              </w:rPr>
              <w:t>评审项目</w:t>
            </w:r>
          </w:p>
          <w:p>
            <w:pPr>
              <w:spacing w:line="288" w:lineRule="auto"/>
              <w:ind w:left="0" w:right="-57" w:firstLine="0"/>
              <w:jc w:val="center"/>
              <w:rPr>
                <w:rFonts w:ascii="宋体" w:hAnsi="宋体"/>
                <w:b/>
              </w:rPr>
            </w:pPr>
            <w:r>
              <w:rPr>
                <w:rFonts w:hint="eastAsia" w:ascii="宋体" w:hAnsi="宋体"/>
                <w:b/>
              </w:rPr>
              <w:t>和内容</w:t>
            </w:r>
          </w:p>
        </w:tc>
        <w:tc>
          <w:tcPr>
            <w:tcW w:w="1336" w:type="dxa"/>
            <w:tcBorders>
              <w:bottom w:val="single" w:color="auto" w:sz="4" w:space="0"/>
            </w:tcBorders>
            <w:vAlign w:val="center"/>
          </w:tcPr>
          <w:p>
            <w:pPr>
              <w:spacing w:line="288" w:lineRule="auto"/>
              <w:ind w:right="-57"/>
              <w:jc w:val="center"/>
              <w:rPr>
                <w:rFonts w:ascii="宋体" w:hAnsi="宋体"/>
                <w:b/>
                <w:bCs/>
              </w:rPr>
            </w:pPr>
            <w:r>
              <w:rPr>
                <w:rFonts w:hint="eastAsia" w:ascii="宋体" w:hAnsi="宋体"/>
                <w:b/>
                <w:bCs/>
              </w:rPr>
              <w:t>标准分</w:t>
            </w:r>
          </w:p>
        </w:tc>
        <w:tc>
          <w:tcPr>
            <w:tcW w:w="6491" w:type="dxa"/>
            <w:tcBorders>
              <w:bottom w:val="single" w:color="auto" w:sz="4" w:space="0"/>
            </w:tcBorders>
            <w:vAlign w:val="center"/>
          </w:tcPr>
          <w:p>
            <w:pPr>
              <w:spacing w:line="288" w:lineRule="auto"/>
              <w:ind w:left="751" w:leftChars="20" w:right="113"/>
              <w:jc w:val="center"/>
              <w:rPr>
                <w:rFonts w:ascii="宋体" w:hAnsi="宋体"/>
                <w:b/>
                <w:bCs/>
              </w:rPr>
            </w:pPr>
            <w:r>
              <w:rPr>
                <w:rFonts w:hint="eastAsia" w:ascii="宋体" w:hAnsi="宋体"/>
                <w:b/>
                <w:bCs/>
              </w:rPr>
              <w:t>评审标准</w:t>
            </w:r>
          </w:p>
        </w:tc>
        <w:tc>
          <w:tcPr>
            <w:tcW w:w="1378" w:type="dxa"/>
            <w:tcBorders>
              <w:bottom w:val="single" w:color="auto" w:sz="4" w:space="0"/>
            </w:tcBorders>
          </w:tcPr>
          <w:p>
            <w:pPr>
              <w:spacing w:line="288" w:lineRule="auto"/>
              <w:ind w:left="751" w:leftChars="20" w:right="113"/>
              <w:jc w:val="center"/>
              <w:rPr>
                <w:rFonts w:ascii="宋体" w:hAnsi="宋体"/>
                <w:b/>
                <w:bCs/>
              </w:rPr>
            </w:pPr>
            <w:r>
              <w:rPr>
                <w:rFonts w:hint="eastAsia" w:ascii="宋体" w:hAnsi="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3" w:hRule="atLeast"/>
        </w:trPr>
        <w:tc>
          <w:tcPr>
            <w:tcW w:w="737" w:type="dxa"/>
            <w:vAlign w:val="center"/>
          </w:tcPr>
          <w:p>
            <w:pPr>
              <w:spacing w:line="288" w:lineRule="auto"/>
              <w:jc w:val="center"/>
              <w:rPr>
                <w:rFonts w:ascii="宋体" w:hAnsi="宋体" w:cs="宋体"/>
              </w:rPr>
            </w:pPr>
            <w:r>
              <w:rPr>
                <w:rFonts w:hint="eastAsia" w:ascii="宋体" w:hAnsi="宋体" w:cs="宋体"/>
              </w:rPr>
              <w:t>1</w:t>
            </w:r>
          </w:p>
        </w:tc>
        <w:tc>
          <w:tcPr>
            <w:tcW w:w="1285" w:type="dxa"/>
            <w:vAlign w:val="center"/>
          </w:tcPr>
          <w:p>
            <w:pPr>
              <w:spacing w:line="288" w:lineRule="auto"/>
              <w:ind w:right="-57"/>
              <w:jc w:val="center"/>
              <w:rPr>
                <w:rFonts w:ascii="宋体" w:hAnsi="宋体" w:cs="宋体"/>
                <w:b/>
              </w:rPr>
            </w:pPr>
            <w:r>
              <w:rPr>
                <w:rFonts w:hint="eastAsia" w:ascii="宋体" w:hAnsi="宋体" w:cs="宋体"/>
                <w:b/>
              </w:rPr>
              <w:t>职员椅子</w:t>
            </w:r>
          </w:p>
        </w:tc>
        <w:tc>
          <w:tcPr>
            <w:tcW w:w="1336" w:type="dxa"/>
            <w:vAlign w:val="center"/>
          </w:tcPr>
          <w:p>
            <w:pPr>
              <w:snapToGrid w:val="0"/>
              <w:spacing w:line="288" w:lineRule="auto"/>
              <w:jc w:val="center"/>
              <w:rPr>
                <w:rFonts w:ascii="宋体" w:hAnsi="宋体" w:cs="宋体"/>
                <w:b/>
                <w:bCs/>
              </w:rPr>
            </w:pPr>
            <w:r>
              <w:rPr>
                <w:rFonts w:hint="eastAsia" w:ascii="宋体" w:hAnsi="宋体" w:cs="宋体"/>
                <w:b/>
                <w:bCs/>
              </w:rPr>
              <w:t>15</w:t>
            </w:r>
          </w:p>
        </w:tc>
        <w:tc>
          <w:tcPr>
            <w:tcW w:w="6491" w:type="dxa"/>
            <w:vAlign w:val="center"/>
          </w:tcPr>
          <w:p>
            <w:pPr>
              <w:spacing w:before="0" w:after="0" w:afterAutospacing="0"/>
              <w:ind w:left="0" w:right="0" w:firstLine="0"/>
              <w:rPr>
                <w:rFonts w:ascii="宋体" w:hAnsi="宋体" w:cs="宋体"/>
              </w:rPr>
            </w:pPr>
            <w:r>
              <w:rPr>
                <w:rFonts w:hint="eastAsia" w:ascii="宋体" w:hAnsi="宋体" w:cs="宋体"/>
                <w:color w:val="000000" w:themeColor="text1"/>
              </w:rPr>
              <w:t>皮质光泽度好,透气性强,优质环保PU皮覆面、无刺激性气味、坐垫圆润厚实，软硬适中，回弹性好、</w:t>
            </w:r>
            <w:r>
              <w:rPr>
                <w:rFonts w:hint="eastAsia" w:ascii="宋体" w:hAnsi="宋体" w:cs="宋体"/>
              </w:rPr>
              <w:t>网布、焊接完全满足比选文件要求，钢管壁厚＞1.8mm，</w:t>
            </w:r>
            <w:r>
              <w:rPr>
                <w:rStyle w:val="32"/>
                <w:rFonts w:hint="eastAsia" w:ascii="宋体" w:hAnsi="宋体" w:cs="宋体"/>
              </w:rPr>
              <w:t>总高950mm、坐垫离地高400mm正负偏离为0-1%，</w:t>
            </w:r>
            <w:r>
              <w:rPr>
                <w:rFonts w:hint="eastAsia" w:ascii="宋体" w:hAnsi="宋体" w:cs="宋体"/>
              </w:rPr>
              <w:t>相对较好,得11-15分；</w:t>
            </w:r>
          </w:p>
          <w:p>
            <w:pPr>
              <w:spacing w:before="0" w:after="0" w:afterAutospacing="0"/>
              <w:ind w:left="0" w:right="0" w:firstLine="0"/>
              <w:rPr>
                <w:rFonts w:ascii="宋体" w:hAnsi="宋体" w:cs="宋体"/>
              </w:rPr>
            </w:pPr>
            <w:r>
              <w:rPr>
                <w:rFonts w:hint="eastAsia" w:ascii="宋体" w:hAnsi="宋体" w:cs="宋体"/>
                <w:color w:val="000000" w:themeColor="text1"/>
              </w:rPr>
              <w:t>皮质光泽度较好,透气性好,优质环保PU皮覆面、刺激性气味较少、坐垫圆润厚实，软硬一般，回弹性一般、</w:t>
            </w:r>
            <w:r>
              <w:rPr>
                <w:rFonts w:hint="eastAsia" w:ascii="宋体" w:hAnsi="宋体" w:cs="宋体"/>
              </w:rPr>
              <w:t>网布、焊接基本满足比选文件要求，钢管壁厚≥1.8mm，</w:t>
            </w:r>
            <w:r>
              <w:rPr>
                <w:rStyle w:val="32"/>
                <w:rFonts w:hint="eastAsia" w:ascii="宋体" w:hAnsi="宋体" w:cs="宋体"/>
              </w:rPr>
              <w:t>总高950mm、坐垫离地高400mm正负偏离为1.1-3%，</w:t>
            </w:r>
            <w:r>
              <w:rPr>
                <w:rFonts w:hint="eastAsia" w:ascii="宋体" w:hAnsi="宋体" w:cs="宋体"/>
              </w:rPr>
              <w:t>相对一般，得6-10分；</w:t>
            </w:r>
          </w:p>
          <w:p>
            <w:pPr>
              <w:spacing w:before="0" w:after="0" w:afterAutospacing="0"/>
              <w:ind w:left="0" w:right="0" w:firstLine="0"/>
              <w:rPr>
                <w:rFonts w:ascii="宋体" w:hAnsi="宋体" w:cs="宋体"/>
              </w:rPr>
            </w:pPr>
            <w:r>
              <w:rPr>
                <w:rFonts w:hint="eastAsia" w:ascii="宋体" w:hAnsi="宋体" w:cs="宋体"/>
                <w:color w:val="000000" w:themeColor="text1"/>
              </w:rPr>
              <w:t>皮质光泽度、透气性、PU皮覆面较差，有较大刺激性气味、坐垫软硬不适，回弹性不好、</w:t>
            </w:r>
            <w:r>
              <w:rPr>
                <w:rFonts w:hint="eastAsia" w:ascii="宋体" w:hAnsi="宋体" w:cs="宋体"/>
              </w:rPr>
              <w:t>网布、焊接较差。钢管壁厚＜1.8mm，</w:t>
            </w:r>
            <w:r>
              <w:rPr>
                <w:rStyle w:val="32"/>
                <w:rFonts w:hint="eastAsia" w:ascii="宋体" w:hAnsi="宋体" w:cs="宋体"/>
              </w:rPr>
              <w:t>总高950mm、坐垫离地高400mm正负偏离为3.1-5%，相对较差，</w:t>
            </w:r>
            <w:r>
              <w:rPr>
                <w:rFonts w:hint="eastAsia" w:ascii="宋体" w:hAnsi="宋体" w:cs="宋体"/>
              </w:rPr>
              <w:t>得1-5分。</w:t>
            </w:r>
          </w:p>
        </w:tc>
        <w:tc>
          <w:tcPr>
            <w:tcW w:w="1378" w:type="dxa"/>
          </w:tcPr>
          <w:p>
            <w:pPr>
              <w:spacing w:before="0" w:after="0" w:afterAutospacing="0"/>
              <w:ind w:left="0" w:right="0" w:firstLine="0"/>
              <w:rPr>
                <w:rFonts w:ascii="宋体" w:hAnsi="宋体" w:cs="宋体"/>
                <w:color w:val="000000" w:themeColor="text1"/>
              </w:rPr>
            </w:pPr>
            <w:r>
              <w:rPr>
                <w:rFonts w:hint="eastAsia" w:ascii="宋体" w:hAnsi="宋体" w:cs="宋体"/>
                <w:color w:val="000000" w:themeColor="text1"/>
              </w:rPr>
              <w:t>样品预留可以测量钢管壁厚的缺口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6" w:hRule="exact"/>
        </w:trPr>
        <w:tc>
          <w:tcPr>
            <w:tcW w:w="737" w:type="dxa"/>
            <w:vAlign w:val="center"/>
          </w:tcPr>
          <w:p>
            <w:pPr>
              <w:spacing w:line="288" w:lineRule="auto"/>
              <w:jc w:val="center"/>
              <w:rPr>
                <w:rFonts w:ascii="宋体" w:hAnsi="宋体" w:cs="宋体"/>
              </w:rPr>
            </w:pPr>
            <w:r>
              <w:rPr>
                <w:rFonts w:hint="eastAsia" w:ascii="宋体" w:hAnsi="宋体" w:cs="宋体"/>
              </w:rPr>
              <w:t>2</w:t>
            </w:r>
          </w:p>
        </w:tc>
        <w:tc>
          <w:tcPr>
            <w:tcW w:w="1285" w:type="dxa"/>
            <w:vAlign w:val="center"/>
          </w:tcPr>
          <w:p>
            <w:pPr>
              <w:spacing w:line="288" w:lineRule="auto"/>
              <w:ind w:right="-57"/>
              <w:jc w:val="center"/>
              <w:rPr>
                <w:rFonts w:ascii="宋体" w:hAnsi="宋体" w:cs="宋体"/>
                <w:b/>
                <w:bCs/>
              </w:rPr>
            </w:pPr>
            <w:r>
              <w:rPr>
                <w:rFonts w:hint="eastAsia" w:ascii="宋体" w:hAnsi="宋体" w:cs="宋体"/>
                <w:b/>
                <w:bCs/>
              </w:rPr>
              <w:t>铁面凉凳</w:t>
            </w:r>
          </w:p>
        </w:tc>
        <w:tc>
          <w:tcPr>
            <w:tcW w:w="1336" w:type="dxa"/>
            <w:vAlign w:val="center"/>
          </w:tcPr>
          <w:p>
            <w:pPr>
              <w:snapToGrid w:val="0"/>
              <w:spacing w:line="288" w:lineRule="auto"/>
              <w:jc w:val="center"/>
              <w:rPr>
                <w:rFonts w:ascii="宋体" w:hAnsi="宋体" w:cs="宋体"/>
                <w:b/>
                <w:bCs/>
              </w:rPr>
            </w:pPr>
            <w:r>
              <w:rPr>
                <w:rFonts w:hint="eastAsia" w:ascii="宋体" w:hAnsi="宋体" w:cs="宋体"/>
                <w:b/>
                <w:bCs/>
              </w:rPr>
              <w:t>15</w:t>
            </w:r>
          </w:p>
        </w:tc>
        <w:tc>
          <w:tcPr>
            <w:tcW w:w="6491" w:type="dxa"/>
            <w:vAlign w:val="center"/>
          </w:tcPr>
          <w:p>
            <w:pPr>
              <w:spacing w:before="0" w:after="0" w:afterAutospacing="0"/>
              <w:ind w:left="0" w:right="0" w:firstLine="0"/>
              <w:rPr>
                <w:rFonts w:ascii="宋体" w:hAnsi="宋体"/>
              </w:rPr>
            </w:pPr>
            <w:r>
              <w:rPr>
                <w:rFonts w:hint="eastAsia" w:ascii="宋体" w:hAnsi="宋体"/>
              </w:rPr>
              <w:t>产品外观光滑平整，无划伤，无开裂和变形，整凳外表涂层色泽一致，无毛刺，焊接牢固，无涂层脱落或露底，完全满足比选文件要求。凳腿直径＞8mm,凳子承重＞250kg，相对较好，得11-15分。</w:t>
            </w:r>
          </w:p>
          <w:p>
            <w:pPr>
              <w:spacing w:before="0" w:after="0" w:afterAutospacing="0"/>
              <w:ind w:left="0" w:right="0" w:firstLine="0"/>
              <w:rPr>
                <w:rFonts w:ascii="宋体" w:hAnsi="宋体"/>
              </w:rPr>
            </w:pPr>
            <w:r>
              <w:rPr>
                <w:rFonts w:hint="eastAsia" w:ascii="宋体" w:hAnsi="宋体"/>
              </w:rPr>
              <w:t>产品外观一般光滑，无划伤，无开裂和变形，整凳外表涂层色泽一般，焊接不是很牢固，无涂层脱落或露底，基本满足比选文件要求。凳腿直径≥8mm,凳子承重≥250kg，相对一般，得6-10分。</w:t>
            </w:r>
          </w:p>
          <w:p>
            <w:pPr>
              <w:spacing w:before="0" w:after="0" w:afterAutospacing="0"/>
              <w:ind w:left="0" w:right="0" w:firstLine="0"/>
              <w:rPr>
                <w:rFonts w:ascii="宋体" w:hAnsi="宋体"/>
              </w:rPr>
            </w:pPr>
            <w:r>
              <w:rPr>
                <w:rFonts w:hint="eastAsia" w:ascii="宋体" w:hAnsi="宋体"/>
              </w:rPr>
              <w:t>产品外观不平整，开裂和变形，整凳外表涂层色泽有色差，有毛刺，焊接不牢固，无涂层脱落或露底。凳腿直径＜8mm,凳子承重＜250kg，相对较好，得1-5分。</w:t>
            </w:r>
          </w:p>
          <w:p>
            <w:pPr>
              <w:pStyle w:val="2"/>
              <w:rPr>
                <w:rFonts w:hAnsi="宋体"/>
                <w:szCs w:val="21"/>
              </w:rPr>
            </w:pPr>
          </w:p>
          <w:p>
            <w:pPr>
              <w:pStyle w:val="2"/>
              <w:rPr>
                <w:rFonts w:hAnsi="宋体"/>
                <w:szCs w:val="21"/>
              </w:rPr>
            </w:pPr>
          </w:p>
          <w:p>
            <w:pPr>
              <w:spacing w:before="0" w:after="0" w:afterAutospacing="0" w:line="240" w:lineRule="auto"/>
              <w:ind w:left="0" w:right="0" w:firstLine="0"/>
              <w:jc w:val="left"/>
              <w:rPr>
                <w:rFonts w:ascii="宋体" w:hAnsi="宋体" w:cs="宋体"/>
                <w:color w:val="000000"/>
                <w:sz w:val="20"/>
                <w:szCs w:val="20"/>
              </w:rPr>
            </w:pPr>
          </w:p>
          <w:p>
            <w:pPr>
              <w:pStyle w:val="2"/>
              <w:rPr>
                <w:rFonts w:asciiTheme="minorEastAsia" w:hAnsiTheme="minorEastAsia" w:eastAsiaTheme="minorEastAsia"/>
                <w:sz w:val="18"/>
                <w:szCs w:val="18"/>
              </w:rPr>
            </w:pPr>
          </w:p>
        </w:tc>
        <w:tc>
          <w:tcPr>
            <w:tcW w:w="1378" w:type="dxa"/>
          </w:tcPr>
          <w:p>
            <w:pPr>
              <w:snapToGrid w:val="0"/>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exact"/>
        </w:trPr>
        <w:tc>
          <w:tcPr>
            <w:tcW w:w="2022" w:type="dxa"/>
            <w:gridSpan w:val="2"/>
          </w:tcPr>
          <w:p>
            <w:pPr>
              <w:ind w:left="0" w:firstLine="0"/>
              <w:jc w:val="center"/>
              <w:rPr>
                <w:b/>
                <w:bCs/>
              </w:rPr>
            </w:pPr>
            <w:r>
              <w:rPr>
                <w:rFonts w:hint="eastAsia"/>
                <w:b/>
                <w:bCs/>
              </w:rPr>
              <w:t>样品得分</w:t>
            </w:r>
          </w:p>
          <w:p>
            <w:pPr>
              <w:pStyle w:val="2"/>
            </w:pPr>
          </w:p>
        </w:tc>
        <w:tc>
          <w:tcPr>
            <w:tcW w:w="1336" w:type="dxa"/>
            <w:vAlign w:val="center"/>
          </w:tcPr>
          <w:p>
            <w:pPr>
              <w:snapToGrid w:val="0"/>
              <w:spacing w:line="288" w:lineRule="auto"/>
              <w:jc w:val="center"/>
              <w:rPr>
                <w:rFonts w:ascii="宋体" w:hAnsi="宋体" w:cs="宋体"/>
                <w:b/>
              </w:rPr>
            </w:pPr>
            <w:r>
              <w:rPr>
                <w:rFonts w:hint="eastAsia" w:ascii="宋体" w:hAnsi="宋体" w:cs="宋体"/>
                <w:b/>
              </w:rPr>
              <w:t>30</w:t>
            </w:r>
          </w:p>
        </w:tc>
        <w:tc>
          <w:tcPr>
            <w:tcW w:w="6491" w:type="dxa"/>
            <w:vAlign w:val="center"/>
          </w:tcPr>
          <w:p>
            <w:pPr>
              <w:rPr>
                <w:rFonts w:asciiTheme="minorEastAsia" w:hAnsiTheme="minorEastAsia" w:eastAsiaTheme="minorEastAsia"/>
                <w:b/>
                <w:sz w:val="18"/>
                <w:szCs w:val="18"/>
              </w:rPr>
            </w:pPr>
          </w:p>
        </w:tc>
        <w:tc>
          <w:tcPr>
            <w:tcW w:w="1378" w:type="dxa"/>
          </w:tcPr>
          <w:p>
            <w:pPr>
              <w:snapToGrid w:val="0"/>
              <w:spacing w:line="288" w:lineRule="auto"/>
              <w:rPr>
                <w:rFonts w:ascii="宋体" w:hAnsi="宋体"/>
              </w:rPr>
            </w:pPr>
          </w:p>
        </w:tc>
      </w:tr>
    </w:tbl>
    <w:p>
      <w:pPr>
        <w:pStyle w:val="4"/>
        <w:rPr>
          <w:sz w:val="21"/>
          <w:szCs w:val="21"/>
        </w:rPr>
      </w:pPr>
      <w:bookmarkStart w:id="1440" w:name="_Toc75771576"/>
      <w:bookmarkStart w:id="1441" w:name="_Toc80018773"/>
    </w:p>
    <w:p>
      <w:pPr>
        <w:pStyle w:val="4"/>
        <w:rPr>
          <w:sz w:val="21"/>
          <w:szCs w:val="21"/>
        </w:rPr>
      </w:pPr>
    </w:p>
    <w:p>
      <w:pPr>
        <w:pStyle w:val="4"/>
        <w:ind w:left="0" w:firstLine="0"/>
        <w:rPr>
          <w:sz w:val="21"/>
          <w:szCs w:val="21"/>
        </w:rPr>
      </w:pPr>
    </w:p>
    <w:p>
      <w:pPr>
        <w:pStyle w:val="4"/>
        <w:rPr>
          <w:b w:val="0"/>
        </w:rPr>
      </w:pPr>
      <w:r>
        <w:rPr>
          <w:rFonts w:hint="eastAsia"/>
          <w:sz w:val="21"/>
          <w:szCs w:val="21"/>
        </w:rPr>
        <w:t>附表四 价格文件评分表</w:t>
      </w:r>
      <w:bookmarkEnd w:id="1440"/>
      <w:r>
        <w:rPr>
          <w:rFonts w:hint="eastAsia"/>
          <w:sz w:val="21"/>
          <w:szCs w:val="21"/>
        </w:rPr>
        <w:t xml:space="preserve"> </w:t>
      </w:r>
      <w:bookmarkEnd w:id="1441"/>
    </w:p>
    <w:p>
      <w:pPr>
        <w:pStyle w:val="2"/>
      </w:pPr>
    </w:p>
    <w:p>
      <w:pPr>
        <w:jc w:val="center"/>
        <w:rPr>
          <w:b/>
          <w:bCs/>
        </w:rPr>
      </w:pPr>
      <w:r>
        <w:rPr>
          <w:rFonts w:hint="eastAsia"/>
          <w:b/>
          <w:bCs/>
        </w:rPr>
        <w:t>价格文件评分表</w:t>
      </w:r>
    </w:p>
    <w:tbl>
      <w:tblPr>
        <w:tblStyle w:val="26"/>
        <w:tblW w:w="10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417"/>
        <w:gridCol w:w="2127"/>
        <w:gridCol w:w="3902"/>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830" w:type="dxa"/>
            <w:tcBorders>
              <w:top w:val="single" w:color="auto" w:sz="4" w:space="0"/>
              <w:left w:val="single" w:color="auto" w:sz="4" w:space="0"/>
              <w:bottom w:val="single" w:color="auto" w:sz="4" w:space="0"/>
              <w:right w:val="single" w:color="auto" w:sz="4" w:space="0"/>
            </w:tcBorders>
          </w:tcPr>
          <w:p>
            <w:pPr>
              <w:ind w:right="-57"/>
              <w:jc w:val="center"/>
              <w:rPr>
                <w:b/>
              </w:rPr>
            </w:pPr>
            <w:r>
              <w:rPr>
                <w:rFonts w:hint="eastAsia"/>
                <w:b/>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ind w:right="-57"/>
              <w:jc w:val="center"/>
              <w:rPr>
                <w:b/>
              </w:rPr>
            </w:pPr>
            <w:r>
              <w:rPr>
                <w:rFonts w:hint="eastAsia"/>
                <w:b/>
              </w:rPr>
              <w:t>项目</w:t>
            </w:r>
          </w:p>
        </w:tc>
        <w:tc>
          <w:tcPr>
            <w:tcW w:w="2127" w:type="dxa"/>
            <w:tcBorders>
              <w:top w:val="single" w:color="auto" w:sz="4" w:space="0"/>
              <w:left w:val="single" w:color="auto" w:sz="4" w:space="0"/>
              <w:bottom w:val="single" w:color="auto" w:sz="4" w:space="0"/>
              <w:right w:val="single" w:color="auto" w:sz="4" w:space="0"/>
            </w:tcBorders>
            <w:vAlign w:val="center"/>
          </w:tcPr>
          <w:p>
            <w:pPr>
              <w:ind w:right="-57"/>
              <w:jc w:val="center"/>
              <w:rPr>
                <w:b/>
                <w:bCs/>
              </w:rPr>
            </w:pPr>
            <w:r>
              <w:rPr>
                <w:rFonts w:hint="eastAsia"/>
                <w:b/>
              </w:rPr>
              <w:t>评审基准价</w:t>
            </w:r>
          </w:p>
        </w:tc>
        <w:tc>
          <w:tcPr>
            <w:tcW w:w="3902" w:type="dxa"/>
            <w:tcBorders>
              <w:top w:val="single" w:color="auto" w:sz="4" w:space="0"/>
              <w:left w:val="single" w:color="auto" w:sz="4" w:space="0"/>
              <w:bottom w:val="single" w:color="auto" w:sz="4" w:space="0"/>
              <w:right w:val="single" w:color="auto" w:sz="4" w:space="0"/>
            </w:tcBorders>
            <w:vAlign w:val="center"/>
          </w:tcPr>
          <w:p>
            <w:pPr>
              <w:ind w:left="751" w:leftChars="20" w:right="113"/>
              <w:jc w:val="center"/>
              <w:rPr>
                <w:b/>
                <w:bCs/>
              </w:rPr>
            </w:pPr>
            <w:r>
              <w:rPr>
                <w:rFonts w:hint="eastAsia"/>
                <w:b/>
              </w:rPr>
              <w:t>评分标准</w:t>
            </w:r>
          </w:p>
        </w:tc>
        <w:tc>
          <w:tcPr>
            <w:tcW w:w="1842" w:type="dxa"/>
            <w:tcBorders>
              <w:top w:val="single" w:color="auto" w:sz="4" w:space="0"/>
              <w:left w:val="single" w:color="auto" w:sz="4" w:space="0"/>
              <w:bottom w:val="single" w:color="auto" w:sz="4" w:space="0"/>
              <w:right w:val="single" w:color="auto" w:sz="4" w:space="0"/>
            </w:tcBorders>
            <w:vAlign w:val="center"/>
          </w:tcPr>
          <w:p>
            <w:pPr>
              <w:ind w:left="751" w:leftChars="20" w:right="113"/>
              <w:jc w:val="center"/>
              <w:rPr>
                <w:b/>
                <w:bCs/>
              </w:rPr>
            </w:pPr>
            <w:r>
              <w:rPr>
                <w:rFonts w:hint="eastAsia"/>
                <w:b/>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830" w:type="dxa"/>
            <w:tcBorders>
              <w:top w:val="single" w:color="auto" w:sz="4" w:space="0"/>
              <w:left w:val="single" w:color="auto" w:sz="4" w:space="0"/>
              <w:bottom w:val="single" w:color="auto" w:sz="4" w:space="0"/>
              <w:right w:val="single" w:color="auto" w:sz="4" w:space="0"/>
            </w:tcBorders>
          </w:tcPr>
          <w:p>
            <w:pPr>
              <w:ind w:right="-57"/>
              <w:jc w:val="center"/>
              <w:rPr>
                <w:rFonts w:ascii="宋体" w:hAnsi="宋体" w:cs="宋体"/>
                <w:sz w:val="24"/>
              </w:rPr>
            </w:pPr>
          </w:p>
          <w:p>
            <w:pPr>
              <w:ind w:right="-57"/>
              <w:jc w:val="center"/>
              <w:rPr>
                <w:rFonts w:ascii="宋体" w:hAnsi="宋体" w:cs="宋体"/>
                <w:sz w:val="24"/>
              </w:rPr>
            </w:pPr>
          </w:p>
          <w:p>
            <w:pPr>
              <w:ind w:right="-57"/>
              <w:jc w:val="center"/>
              <w:rPr>
                <w:rFonts w:ascii="宋体" w:hAnsi="宋体" w:cs="宋体"/>
                <w:sz w:val="24"/>
              </w:rPr>
            </w:pPr>
          </w:p>
          <w:p>
            <w:pPr>
              <w:ind w:right="-57"/>
              <w:jc w:val="center"/>
              <w:rPr>
                <w:rFonts w:ascii="宋体" w:hAnsi="宋体" w:cs="宋体"/>
                <w:sz w:val="24"/>
              </w:rPr>
            </w:pPr>
          </w:p>
          <w:p>
            <w:pPr>
              <w:ind w:right="-57"/>
              <w:jc w:val="center"/>
              <w:rPr>
                <w:rFonts w:ascii="宋体" w:hAnsi="宋体" w:cs="宋体"/>
                <w:sz w:val="24"/>
              </w:rPr>
            </w:pPr>
          </w:p>
          <w:p>
            <w:pPr>
              <w:ind w:right="-57"/>
              <w:jc w:val="center"/>
              <w:rPr>
                <w:rFonts w:ascii="宋体" w:hAnsi="宋体" w:cs="宋体"/>
                <w:sz w:val="24"/>
              </w:rPr>
            </w:pPr>
          </w:p>
          <w:p>
            <w:pPr>
              <w:ind w:right="-57"/>
              <w:jc w:val="center"/>
              <w:rPr>
                <w:rFonts w:ascii="宋体" w:hAnsi="宋体" w:cs="宋体"/>
                <w:sz w:val="24"/>
              </w:rPr>
            </w:pPr>
            <w:r>
              <w:rPr>
                <w:rFonts w:hint="eastAsia" w:ascii="宋体" w:hAnsi="宋体" w:cs="宋体"/>
                <w:sz w:val="24"/>
              </w:rPr>
              <w:t>1</w:t>
            </w:r>
          </w:p>
          <w:p>
            <w:pPr>
              <w:ind w:right="-57"/>
              <w:jc w:val="center"/>
              <w:rPr>
                <w:rFonts w:ascii="宋体" w:hAnsi="宋体" w:cs="宋体"/>
                <w:sz w:val="24"/>
              </w:rPr>
            </w:pPr>
          </w:p>
          <w:p>
            <w:pPr>
              <w:ind w:right="-57"/>
              <w:jc w:val="center"/>
              <w:rPr>
                <w:rFonts w:ascii="宋体" w:hAnsi="宋体" w:cs="宋体"/>
                <w:sz w:val="24"/>
              </w:rPr>
            </w:pPr>
          </w:p>
          <w:p>
            <w:pPr>
              <w:ind w:right="-57"/>
              <w:jc w:val="center"/>
              <w:rPr>
                <w:rFonts w:ascii="宋体" w:hAnsi="宋体" w:cs="宋体"/>
                <w:sz w:val="24"/>
              </w:rPr>
            </w:pPr>
          </w:p>
          <w:p>
            <w:pPr>
              <w:ind w:right="-57"/>
              <w:jc w:val="center"/>
              <w:rPr>
                <w:rFonts w:ascii="宋体" w:hAnsi="宋体" w:cs="宋体"/>
                <w:sz w:val="24"/>
              </w:rPr>
            </w:pPr>
          </w:p>
          <w:p>
            <w:pPr>
              <w:ind w:right="-57"/>
              <w:jc w:val="center"/>
              <w:rPr>
                <w:rFonts w:ascii="宋体" w:hAnsi="宋体" w:cs="宋体"/>
                <w:sz w:val="24"/>
              </w:rPr>
            </w:pPr>
          </w:p>
          <w:p>
            <w:pPr>
              <w:ind w:right="-57"/>
              <w:rPr>
                <w:rFonts w:ascii="宋体" w:hAnsi="宋体" w:cs="宋体"/>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ind w:right="-57"/>
              <w:jc w:val="center"/>
            </w:pPr>
            <w:r>
              <w:rPr>
                <w:rFonts w:hint="eastAsia"/>
              </w:rPr>
              <w:t>价格评分</w:t>
            </w:r>
          </w:p>
        </w:tc>
        <w:tc>
          <w:tcPr>
            <w:tcW w:w="212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70分</w:t>
            </w:r>
          </w:p>
        </w:tc>
        <w:tc>
          <w:tcPr>
            <w:tcW w:w="3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计算方法：某有效比选申请人价格分=有效比选申请人的最低报价/某比选申请人的报价×70。</w:t>
            </w:r>
          </w:p>
          <w:p>
            <w:pPr>
              <w:spacing w:before="0" w:after="0" w:afterAutospacing="0"/>
              <w:ind w:left="0" w:right="0" w:firstLine="0"/>
              <w:rPr>
                <w:rFonts w:ascii="宋体" w:hAnsi="宋体"/>
              </w:rPr>
            </w:pPr>
            <w:r>
              <w:rPr>
                <w:rFonts w:hint="eastAsia" w:ascii="宋体" w:hAnsi="宋体"/>
              </w:rPr>
              <w:t>备注：</w:t>
            </w:r>
          </w:p>
          <w:p>
            <w:pPr>
              <w:spacing w:before="0" w:after="0" w:afterAutospacing="0"/>
              <w:ind w:left="0" w:right="0" w:firstLine="0"/>
              <w:rPr>
                <w:rFonts w:ascii="宋体" w:hAnsi="宋体"/>
              </w:rPr>
            </w:pPr>
            <w:r>
              <w:rPr>
                <w:rFonts w:hint="eastAsia" w:ascii="宋体" w:hAnsi="宋体"/>
              </w:rPr>
              <w:t>1.价格以不含税价格作为计算依据。</w:t>
            </w:r>
          </w:p>
          <w:p>
            <w:pPr>
              <w:spacing w:before="0" w:after="0" w:afterAutospacing="0"/>
              <w:ind w:left="0" w:right="0" w:firstLine="0"/>
              <w:rPr>
                <w:rFonts w:ascii="宋体" w:hAnsi="宋体"/>
              </w:rPr>
            </w:pPr>
            <w:r>
              <w:rPr>
                <w:rFonts w:hint="eastAsia" w:ascii="宋体" w:hAnsi="宋体"/>
              </w:rPr>
              <w:t>2.价格分计算保留小数点后两位。</w:t>
            </w:r>
          </w:p>
        </w:tc>
        <w:tc>
          <w:tcPr>
            <w:tcW w:w="1842" w:type="dxa"/>
            <w:tcBorders>
              <w:top w:val="single" w:color="auto" w:sz="4" w:space="0"/>
              <w:left w:val="single" w:color="auto" w:sz="4" w:space="0"/>
              <w:bottom w:val="single" w:color="auto" w:sz="4" w:space="0"/>
              <w:right w:val="single" w:color="auto" w:sz="4" w:space="0"/>
            </w:tcBorders>
          </w:tcPr>
          <w:p>
            <w:pPr>
              <w:ind w:left="751" w:leftChars="20" w:right="113"/>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blHeader/>
          <w:jc w:val="center"/>
        </w:trPr>
        <w:tc>
          <w:tcPr>
            <w:tcW w:w="2247" w:type="dxa"/>
            <w:gridSpan w:val="2"/>
            <w:tcBorders>
              <w:top w:val="single" w:color="auto" w:sz="4" w:space="0"/>
              <w:left w:val="single" w:color="auto" w:sz="4" w:space="0"/>
              <w:bottom w:val="single" w:color="auto" w:sz="4" w:space="0"/>
              <w:right w:val="single" w:color="auto" w:sz="4" w:space="0"/>
            </w:tcBorders>
          </w:tcPr>
          <w:p>
            <w:pPr>
              <w:ind w:right="-57"/>
              <w:jc w:val="center"/>
              <w:rPr>
                <w:b/>
              </w:rPr>
            </w:pPr>
            <w:r>
              <w:rPr>
                <w:rFonts w:hint="eastAsia"/>
                <w:b/>
              </w:rPr>
              <w:t>价格文件得分</w:t>
            </w:r>
          </w:p>
        </w:tc>
        <w:tc>
          <w:tcPr>
            <w:tcW w:w="2127" w:type="dxa"/>
            <w:tcBorders>
              <w:top w:val="single" w:color="auto" w:sz="4" w:space="0"/>
              <w:left w:val="single" w:color="auto" w:sz="4" w:space="0"/>
              <w:bottom w:val="single" w:color="auto" w:sz="4" w:space="0"/>
              <w:right w:val="single" w:color="auto" w:sz="4" w:space="0"/>
            </w:tcBorders>
            <w:vAlign w:val="center"/>
          </w:tcPr>
          <w:p>
            <w:pPr>
              <w:ind w:right="-57"/>
              <w:jc w:val="center"/>
              <w:rPr>
                <w:b/>
                <w:bCs/>
              </w:rPr>
            </w:pPr>
            <w:r>
              <w:rPr>
                <w:b/>
                <w:bCs/>
              </w:rPr>
              <w:t>70</w:t>
            </w:r>
            <w:r>
              <w:rPr>
                <w:rFonts w:hint="eastAsia"/>
                <w:b/>
                <w:bCs/>
              </w:rPr>
              <w:t>分</w:t>
            </w:r>
          </w:p>
        </w:tc>
        <w:tc>
          <w:tcPr>
            <w:tcW w:w="3902" w:type="dxa"/>
            <w:tcBorders>
              <w:top w:val="single" w:color="auto" w:sz="4" w:space="0"/>
              <w:left w:val="single" w:color="auto" w:sz="4" w:space="0"/>
              <w:bottom w:val="single" w:color="auto" w:sz="4" w:space="0"/>
              <w:right w:val="single" w:color="auto" w:sz="4" w:space="0"/>
            </w:tcBorders>
            <w:vAlign w:val="center"/>
          </w:tcPr>
          <w:p>
            <w:pPr>
              <w:ind w:left="1"/>
              <w:jc w:val="left"/>
              <w:rPr>
                <w:rFonts w:ascii="宋体" w:hAnsi="宋体" w:cs="宋体"/>
                <w:sz w:val="20"/>
                <w:szCs w:val="20"/>
              </w:rPr>
            </w:pPr>
          </w:p>
        </w:tc>
        <w:tc>
          <w:tcPr>
            <w:tcW w:w="1842" w:type="dxa"/>
            <w:tcBorders>
              <w:top w:val="single" w:color="auto" w:sz="4" w:space="0"/>
              <w:left w:val="single" w:color="auto" w:sz="4" w:space="0"/>
              <w:bottom w:val="single" w:color="auto" w:sz="4" w:space="0"/>
              <w:right w:val="single" w:color="auto" w:sz="4" w:space="0"/>
            </w:tcBorders>
          </w:tcPr>
          <w:p>
            <w:pPr>
              <w:ind w:left="751" w:leftChars="20" w:right="113"/>
              <w:jc w:val="center"/>
              <w:rPr>
                <w:b/>
                <w:bCs/>
              </w:rPr>
            </w:pPr>
          </w:p>
        </w:tc>
      </w:tr>
    </w:tbl>
    <w:p>
      <w:pPr>
        <w:spacing w:before="0"/>
        <w:ind w:right="0" w:firstLine="0"/>
        <w:rPr>
          <w:rFonts w:ascii="宋体" w:hAnsi="宋体"/>
          <w:b/>
        </w:rPr>
        <w:sectPr>
          <w:footerReference r:id="rId9" w:type="default"/>
          <w:pgSz w:w="11905" w:h="16838"/>
          <w:pgMar w:top="1417" w:right="1417" w:bottom="1417" w:left="1417" w:header="454" w:footer="567" w:gutter="0"/>
          <w:cols w:space="720" w:num="1"/>
          <w:docGrid w:linePitch="312" w:charSpace="0"/>
        </w:sectPr>
      </w:pPr>
    </w:p>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Pr>
        <w:spacing w:before="0"/>
        <w:ind w:left="0" w:right="0" w:firstLine="0"/>
        <w:jc w:val="left"/>
        <w:rPr>
          <w:rFonts w:ascii="宋体" w:hAnsi="宋体"/>
        </w:rPr>
      </w:pPr>
    </w:p>
    <w:p>
      <w:pPr>
        <w:spacing w:before="0" w:after="0"/>
        <w:ind w:left="420" w:right="0" w:firstLine="0"/>
        <w:jc w:val="left"/>
        <w:rPr>
          <w:rFonts w:ascii="宋体" w:hAnsi="宋体"/>
        </w:rPr>
      </w:pPr>
    </w:p>
    <w:p>
      <w:pPr>
        <w:spacing w:before="0" w:after="0" w:afterAutospacing="0" w:line="240" w:lineRule="auto"/>
        <w:ind w:left="0" w:right="0" w:firstLine="0"/>
        <w:jc w:val="left"/>
        <w:rPr>
          <w:rFonts w:ascii="宋体" w:hAnsi="宋体"/>
          <w:b/>
          <w:sz w:val="28"/>
          <w:szCs w:val="28"/>
        </w:rPr>
      </w:pPr>
      <w:r>
        <w:rPr>
          <w:rFonts w:hint="eastAsia" w:ascii="宋体" w:hAnsi="宋体"/>
          <w:b/>
          <w:sz w:val="28"/>
          <w:szCs w:val="28"/>
        </w:rPr>
        <w:t>附表：比选申请报价修正表</w:t>
      </w:r>
    </w:p>
    <w:tbl>
      <w:tblPr>
        <w:tblStyle w:val="26"/>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w:t>
            </w:r>
          </w:p>
          <w:p>
            <w:pPr>
              <w:spacing w:before="0" w:line="240" w:lineRule="auto"/>
              <w:ind w:left="0" w:right="0" w:firstLine="0"/>
              <w:jc w:val="center"/>
              <w:rPr>
                <w:rFonts w:ascii="宋体" w:hAnsi="宋体"/>
                <w:b/>
                <w:sz w:val="24"/>
                <w:szCs w:val="24"/>
              </w:rPr>
            </w:pPr>
            <w:r>
              <w:rPr>
                <w:rFonts w:hint="eastAsia" w:ascii="宋体" w:hAnsi="宋体"/>
                <w:b/>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r>
              <w:rPr>
                <w:rFonts w:hint="eastAsia" w:ascii="宋体" w:hAnsi="宋体" w:cs="宋体"/>
                <w:b/>
                <w:sz w:val="24"/>
                <w:szCs w:val="24"/>
              </w:rPr>
              <w:t xml:space="preserve">                                                                     日期：    年  月   日</w:t>
            </w:r>
          </w:p>
        </w:tc>
      </w:tr>
    </w:tbl>
    <w:p>
      <w:pPr>
        <w:spacing w:before="0"/>
        <w:ind w:left="420" w:right="0" w:firstLine="0"/>
        <w:jc w:val="left"/>
        <w:rPr>
          <w:rFonts w:ascii="宋体" w:hAnsi="宋体"/>
        </w:rPr>
      </w:pPr>
      <w:r>
        <w:rPr>
          <w:rFonts w:hint="eastAsia" w:ascii="宋体" w:hAnsi="宋体"/>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pStyle w:val="2"/>
        <w:pageBreakBefore/>
        <w:ind w:right="-57" w:firstLine="0"/>
        <w:jc w:val="center"/>
        <w:outlineLvl w:val="0"/>
        <w:rPr>
          <w:rStyle w:val="39"/>
          <w:rFonts w:ascii="宋体" w:hAnsi="宋体" w:eastAsia="宋体"/>
        </w:rPr>
        <w:sectPr>
          <w:pgSz w:w="16838" w:h="11905" w:orient="landscape"/>
          <w:pgMar w:top="1418" w:right="1418" w:bottom="1418" w:left="1418" w:header="454" w:footer="567" w:gutter="0"/>
          <w:cols w:space="720" w:num="1"/>
          <w:docGrid w:linePitch="312" w:charSpace="0"/>
        </w:sectPr>
      </w:pPr>
      <w:bookmarkStart w:id="1442" w:name="_Toc9725"/>
      <w:bookmarkStart w:id="1443" w:name="_Toc25920"/>
      <w:bookmarkStart w:id="1444" w:name="_Toc7547"/>
      <w:bookmarkStart w:id="1445" w:name="_Toc17022"/>
      <w:bookmarkStart w:id="1446" w:name="_Toc15740"/>
      <w:bookmarkStart w:id="1447" w:name="_Toc23292"/>
      <w:bookmarkStart w:id="1448" w:name="_Toc9458"/>
      <w:bookmarkStart w:id="1449" w:name="_Toc13323"/>
      <w:bookmarkStart w:id="1450" w:name="_Toc12281"/>
      <w:bookmarkStart w:id="1451" w:name="_Toc28464"/>
      <w:bookmarkStart w:id="1452" w:name="_Toc14991"/>
      <w:bookmarkStart w:id="1453" w:name="_Toc9991"/>
      <w:bookmarkStart w:id="1454" w:name="_Toc21919"/>
      <w:bookmarkStart w:id="1455" w:name="_Toc11424"/>
      <w:bookmarkStart w:id="1456" w:name="_Toc1179"/>
      <w:bookmarkStart w:id="1457" w:name="_Toc4003"/>
      <w:bookmarkStart w:id="1458" w:name="_Toc16340"/>
    </w:p>
    <w:p>
      <w:pPr>
        <w:pStyle w:val="2"/>
        <w:pageBreakBefore/>
        <w:ind w:right="-57" w:firstLine="0"/>
        <w:jc w:val="center"/>
        <w:outlineLvl w:val="0"/>
        <w:rPr>
          <w:rStyle w:val="39"/>
          <w:rFonts w:ascii="宋体" w:hAnsi="宋体" w:eastAsia="宋体"/>
        </w:rPr>
      </w:pPr>
      <w:bookmarkStart w:id="1459" w:name="_Toc75276852"/>
      <w:r>
        <w:rPr>
          <w:rStyle w:val="39"/>
          <w:rFonts w:hint="eastAsia" w:ascii="宋体" w:hAnsi="宋体" w:eastAsia="宋体"/>
        </w:rPr>
        <w:t>第六章合同条款及格式</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spacing w:before="0"/>
        <w:ind w:right="0" w:firstLine="200"/>
        <w:jc w:val="center"/>
        <w:outlineLvl w:val="1"/>
        <w:rPr>
          <w:rFonts w:ascii="宋体" w:hAnsi="宋体"/>
          <w:b/>
          <w:sz w:val="24"/>
          <w:szCs w:val="24"/>
        </w:rPr>
      </w:pPr>
      <w:bookmarkStart w:id="1460" w:name="_Toc6950"/>
      <w:bookmarkStart w:id="1461" w:name="_Toc13761"/>
      <w:bookmarkStart w:id="1462" w:name="_Toc12983547"/>
      <w:bookmarkStart w:id="1463" w:name="_Toc25828"/>
      <w:bookmarkStart w:id="1464" w:name="_Toc8999"/>
      <w:bookmarkStart w:id="1465" w:name="_Toc6190"/>
      <w:bookmarkStart w:id="1466" w:name="_Toc7587"/>
      <w:bookmarkStart w:id="1467" w:name="_Toc20060"/>
      <w:bookmarkStart w:id="1468" w:name="_Toc1289"/>
      <w:bookmarkStart w:id="1469" w:name="_Toc32403"/>
      <w:bookmarkStart w:id="1470" w:name="_Toc2618"/>
      <w:bookmarkStart w:id="1471" w:name="_Toc7236"/>
      <w:bookmarkStart w:id="1472" w:name="_Toc75276853"/>
      <w:bookmarkStart w:id="1473" w:name="_Toc15840"/>
      <w:bookmarkStart w:id="1474" w:name="_Toc14463"/>
      <w:bookmarkStart w:id="1475" w:name="_Toc4026"/>
      <w:bookmarkStart w:id="1476" w:name="_Toc29797"/>
      <w:bookmarkStart w:id="1477" w:name="_Toc31368"/>
      <w:bookmarkStart w:id="1478" w:name="_Toc3488"/>
      <w:r>
        <w:rPr>
          <w:rFonts w:hint="eastAsia" w:ascii="宋体" w:hAnsi="宋体"/>
          <w:b/>
          <w:sz w:val="24"/>
          <w:szCs w:val="24"/>
        </w:rPr>
        <w:t>一、合同协议书</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spacing w:before="0" w:after="0" w:afterAutospacing="0"/>
        <w:ind w:left="0" w:right="0" w:firstLine="420" w:firstLineChars="200"/>
        <w:jc w:val="left"/>
        <w:rPr>
          <w:rFonts w:ascii="宋体" w:hAnsi="宋体"/>
          <w:u w:val="single"/>
        </w:rPr>
      </w:pPr>
      <w:r>
        <w:rPr>
          <w:rFonts w:hint="eastAsia" w:ascii="宋体" w:hAnsi="宋体"/>
        </w:rPr>
        <w:t>甲方：</w:t>
      </w:r>
    </w:p>
    <w:p>
      <w:pPr>
        <w:spacing w:before="0" w:after="0" w:afterAutospacing="0"/>
        <w:ind w:left="0" w:right="0" w:firstLine="420" w:firstLineChars="200"/>
        <w:jc w:val="left"/>
        <w:rPr>
          <w:rFonts w:ascii="宋体" w:hAnsi="宋体"/>
        </w:rPr>
      </w:pPr>
      <w:r>
        <w:rPr>
          <w:rFonts w:hint="eastAsia" w:ascii="宋体" w:hAnsi="宋体"/>
        </w:rPr>
        <w:t>乙方：</w:t>
      </w:r>
    </w:p>
    <w:p>
      <w:pPr>
        <w:spacing w:before="0" w:after="0" w:afterAutospacing="0"/>
        <w:ind w:left="0" w:right="0" w:firstLine="420" w:firstLineChars="200"/>
        <w:jc w:val="left"/>
        <w:rPr>
          <w:rFonts w:ascii="宋体" w:hAnsi="宋体"/>
          <w:color w:val="000000" w:themeColor="text1"/>
        </w:rPr>
      </w:pPr>
      <w:r>
        <w:rPr>
          <w:rFonts w:hint="eastAsia" w:ascii="宋体" w:hAnsi="宋体"/>
        </w:rPr>
        <w:t>本协议由南宁轨道交通运营有限公司（下称“甲方”或业主）与（下称“乙方”），双方根据</w:t>
      </w:r>
      <w:r>
        <w:rPr>
          <w:rFonts w:hint="eastAsia" w:ascii="宋体" w:hAnsi="宋体"/>
          <w:color w:val="FF0000"/>
          <w:u w:val="single"/>
        </w:rPr>
        <w:t>（</w:t>
      </w:r>
      <w:r>
        <w:rPr>
          <w:rFonts w:hint="eastAsia" w:ascii="宋体" w:hAnsi="宋体"/>
          <w:color w:val="000000" w:themeColor="text1"/>
          <w:u w:val="single"/>
        </w:rPr>
        <w:t>南宁轨道交通运营有限公司2022年办公家具采购项目）（项目编号：202208260004      ）</w:t>
      </w:r>
      <w:r>
        <w:rPr>
          <w:rFonts w:hint="eastAsia" w:ascii="宋体" w:hAnsi="宋体"/>
          <w:color w:val="000000" w:themeColor="text1"/>
        </w:rPr>
        <w:t>比选结果，依据《中华人民共和国合同法》的规定，签订协议。具体内容如下：</w:t>
      </w:r>
    </w:p>
    <w:p>
      <w:pPr>
        <w:spacing w:before="0" w:after="0" w:afterAutospacing="0"/>
        <w:ind w:left="0" w:right="0" w:firstLine="420" w:firstLineChars="200"/>
        <w:jc w:val="left"/>
        <w:rPr>
          <w:rFonts w:ascii="宋体" w:hAnsi="宋体"/>
        </w:rPr>
      </w:pPr>
      <w:r>
        <w:rPr>
          <w:rFonts w:hint="eastAsia" w:ascii="宋体" w:hAnsi="宋体" w:cs="Arial"/>
          <w:color w:val="000000" w:themeColor="text1"/>
        </w:rPr>
        <w:t>1.甲方同意接受，乙方同意作为中选方并以下列第2条所述价格提供</w:t>
      </w:r>
      <w:r>
        <w:rPr>
          <w:rFonts w:hint="eastAsia" w:ascii="宋体" w:hAnsi="宋体"/>
          <w:color w:val="000000" w:themeColor="text1"/>
          <w:u w:val="single"/>
        </w:rPr>
        <w:t>南宁轨道交通运营有限公司2022年办公家具采购项目</w:t>
      </w:r>
      <w:r>
        <w:rPr>
          <w:rFonts w:hint="eastAsia" w:ascii="宋体" w:hAnsi="宋体" w:cs="Arial"/>
          <w:color w:val="000000" w:themeColor="text1"/>
        </w:rPr>
        <w:t>项下的货物和</w:t>
      </w:r>
      <w:r>
        <w:rPr>
          <w:rFonts w:hint="eastAsia" w:ascii="宋体" w:hAnsi="宋体" w:cs="Arial"/>
        </w:rPr>
        <w:t>服务。</w:t>
      </w:r>
    </w:p>
    <w:p>
      <w:pPr>
        <w:tabs>
          <w:tab w:val="left" w:pos="567"/>
        </w:tabs>
        <w:spacing w:before="0" w:after="0" w:afterAutospacing="0"/>
        <w:ind w:left="0" w:right="0" w:firstLine="420" w:firstLineChars="200"/>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3.本合同由下列文件构成：</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）中选通知书；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3</w:t>
      </w:r>
      <w:r>
        <w:rPr>
          <w:rFonts w:hint="eastAsia" w:ascii="宋体" w:hAnsi="宋体"/>
        </w:rPr>
        <w:t>）合同条款；</w:t>
      </w:r>
    </w:p>
    <w:p>
      <w:pPr>
        <w:spacing w:before="0" w:after="0" w:afterAutospacing="0"/>
        <w:ind w:left="0" w:right="0" w:firstLine="420" w:firstLineChars="200"/>
        <w:rPr>
          <w:rFonts w:ascii="宋体" w:hAnsi="宋体"/>
        </w:rPr>
      </w:pPr>
      <w:r>
        <w:rPr>
          <w:rFonts w:hint="eastAsia" w:ascii="宋体" w:hAnsi="宋体"/>
        </w:rPr>
        <w:t>（4）价格组成文件；</w:t>
      </w:r>
    </w:p>
    <w:p>
      <w:pPr>
        <w:spacing w:before="0" w:after="0" w:afterAutospacing="0"/>
        <w:ind w:left="0" w:right="0" w:firstLine="420" w:firstLineChars="200"/>
        <w:rPr>
          <w:rFonts w:ascii="宋体" w:hAnsi="宋体"/>
        </w:rPr>
      </w:pPr>
      <w:r>
        <w:rPr>
          <w:rFonts w:hint="eastAsia" w:ascii="宋体" w:hAnsi="宋体"/>
        </w:rPr>
        <w:t>（5）技术规格书；</w:t>
      </w:r>
    </w:p>
    <w:p>
      <w:pPr>
        <w:spacing w:before="0" w:after="0" w:afterAutospacing="0"/>
        <w:ind w:left="0" w:right="0" w:firstLine="420" w:firstLineChars="200"/>
        <w:rPr>
          <w:rFonts w:ascii="宋体" w:hAnsi="宋体"/>
        </w:rPr>
      </w:pPr>
      <w:r>
        <w:rPr>
          <w:rFonts w:hint="eastAsia" w:ascii="宋体" w:hAnsi="宋体"/>
        </w:rPr>
        <w:t>（6）合同附件；</w:t>
      </w:r>
    </w:p>
    <w:p>
      <w:pPr>
        <w:spacing w:before="0" w:after="0" w:afterAutospacing="0"/>
        <w:ind w:left="0" w:right="0" w:firstLine="420" w:firstLineChars="200"/>
        <w:rPr>
          <w:rFonts w:ascii="宋体" w:hAnsi="宋体"/>
        </w:rPr>
      </w:pPr>
      <w:r>
        <w:rPr>
          <w:rFonts w:hint="eastAsia" w:ascii="宋体" w:hAnsi="宋体"/>
        </w:rPr>
        <w:t>（7）比选文件（含比选补遗文件）；</w:t>
      </w:r>
    </w:p>
    <w:p>
      <w:pPr>
        <w:spacing w:before="0" w:after="0" w:afterAutospacing="0"/>
        <w:ind w:left="0" w:right="0" w:firstLine="420" w:firstLineChars="200"/>
        <w:rPr>
          <w:rFonts w:ascii="宋体" w:hAnsi="宋体"/>
        </w:rPr>
      </w:pPr>
      <w:r>
        <w:rPr>
          <w:rFonts w:hint="eastAsia" w:ascii="宋体" w:hAnsi="宋体"/>
        </w:rPr>
        <w:t>（8）比选申请文件（含比选申请文件的补充文件）。</w:t>
      </w:r>
    </w:p>
    <w:p>
      <w:pPr>
        <w:spacing w:before="0" w:after="0" w:afterAutospacing="0"/>
        <w:ind w:left="0"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rPr>
      </w:pPr>
      <w:r>
        <w:rPr>
          <w:rFonts w:hint="eastAsia" w:ascii="宋体" w:hAnsi="宋体" w:cs="Arial"/>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rPr>
      </w:pPr>
      <w:r>
        <w:rPr>
          <w:rFonts w:hint="eastAsia" w:ascii="宋体" w:hAnsi="宋体" w:cs="Arial"/>
        </w:rPr>
        <w:t>6.考虑到甲方将按照本合同向乙方支付</w:t>
      </w:r>
      <w:r>
        <w:rPr>
          <w:rFonts w:hint="eastAsia" w:ascii="宋体" w:hAnsi="宋体" w:cs="Arial"/>
          <w:color w:val="000000" w:themeColor="text1"/>
        </w:rPr>
        <w:t>合同价格</w:t>
      </w:r>
      <w:r>
        <w:rPr>
          <w:rFonts w:hint="eastAsia" w:ascii="宋体" w:hAnsi="宋体" w:cs="Arial"/>
        </w:rPr>
        <w:t>，乙方在此保证全部按照合同的规定向甲方提供货物和服务，并修补缺陷。</w:t>
      </w:r>
    </w:p>
    <w:p>
      <w:pPr>
        <w:spacing w:before="0" w:after="0" w:afterAutospacing="0"/>
        <w:ind w:left="0" w:right="0" w:firstLine="420" w:firstLineChars="200"/>
        <w:rPr>
          <w:rFonts w:ascii="宋体" w:hAnsi="宋体" w:cs="Arial"/>
        </w:rPr>
      </w:pPr>
      <w:r>
        <w:rPr>
          <w:rFonts w:hint="eastAsia" w:ascii="宋体" w:hAnsi="宋体" w:cs="Arial"/>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rPr>
      </w:pPr>
      <w:r>
        <w:rPr>
          <w:rFonts w:hint="eastAsia" w:ascii="宋体" w:hAnsi="宋体"/>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000000" w:themeColor="text1"/>
        </w:rPr>
      </w:pPr>
      <w:r>
        <w:rPr>
          <w:rFonts w:hint="eastAsia" w:ascii="宋体" w:hAnsi="宋体" w:cs="Arial"/>
        </w:rPr>
        <w:t>9.本合同用中文书写，</w:t>
      </w:r>
      <w:r>
        <w:rPr>
          <w:rFonts w:hint="eastAsia" w:ascii="宋体" w:hAnsi="宋体" w:cs="Arial"/>
          <w:color w:val="auto"/>
        </w:rPr>
        <w:t>正本2份，甲乙双方各1份；副本10份，甲</w:t>
      </w:r>
      <w:r>
        <w:rPr>
          <w:rFonts w:hint="eastAsia" w:ascii="宋体" w:hAnsi="宋体" w:cs="Arial"/>
        </w:rPr>
        <w:t>方</w:t>
      </w:r>
      <w:r>
        <w:rPr>
          <w:rFonts w:hint="eastAsia" w:ascii="宋体" w:hAnsi="宋体" w:cs="Arial"/>
          <w:color w:val="auto"/>
        </w:rPr>
        <w:t>8份，乙方2份</w:t>
      </w:r>
      <w:r>
        <w:rPr>
          <w:rFonts w:hint="eastAsia" w:ascii="宋体" w:hAnsi="宋体" w:cs="Arial"/>
          <w:color w:val="000000" w:themeColor="text1"/>
        </w:rPr>
        <w:t>。均具有同等的法律效力。当正本与副本内容有偏离时，以正本为准。</w:t>
      </w:r>
    </w:p>
    <w:p>
      <w:pPr>
        <w:spacing w:before="0" w:after="0" w:afterAutospacing="0"/>
        <w:ind w:left="0" w:right="0" w:firstLine="420" w:firstLineChars="200"/>
        <w:rPr>
          <w:rFonts w:ascii="宋体" w:hAnsi="宋体" w:cs="Arial"/>
        </w:rPr>
      </w:pPr>
      <w:r>
        <w:rPr>
          <w:rFonts w:hint="eastAsia" w:ascii="宋体" w:hAnsi="宋体" w:cs="Arial"/>
        </w:rPr>
        <w:t>10.本合同经双方法定代表人或授权代表签字、加盖单位公章后生效。</w:t>
      </w:r>
    </w:p>
    <w:p>
      <w:pPr>
        <w:spacing w:before="0"/>
        <w:ind w:right="0" w:firstLine="200"/>
        <w:rPr>
          <w:rFonts w:ascii="宋体" w:hAnsi="宋体" w:cs="Arial"/>
        </w:rPr>
      </w:pPr>
    </w:p>
    <w:p>
      <w:pPr>
        <w:spacing w:before="0" w:after="0"/>
        <w:ind w:right="0" w:firstLine="200"/>
        <w:rPr>
          <w:rFonts w:ascii="宋体" w:hAnsi="宋体" w:cs="Arial"/>
        </w:rPr>
      </w:pP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南宁轨道交通运营有限公司</w:t>
            </w:r>
          </w:p>
          <w:p>
            <w:pPr>
              <w:pStyle w:val="2"/>
              <w:spacing w:before="0" w:after="0"/>
              <w:ind w:right="0"/>
              <w:rPr>
                <w:rFonts w:hAnsi="宋体" w:cs="Courier New"/>
                <w:sz w:val="21"/>
                <w:szCs w:val="21"/>
                <w:u w:val="single"/>
              </w:rPr>
            </w:pPr>
            <w:r>
              <w:rPr>
                <w:rFonts w:hint="eastAsia" w:hAnsi="宋体" w:cs="Courier New"/>
                <w:sz w:val="21"/>
                <w:szCs w:val="21"/>
              </w:rPr>
              <w:t>法定代表人或授权人：</w:t>
            </w:r>
          </w:p>
          <w:p>
            <w:pPr>
              <w:pStyle w:val="2"/>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广西南宁市青秀区云景路83号</w:t>
            </w:r>
          </w:p>
          <w:p>
            <w:pPr>
              <w:pStyle w:val="2"/>
              <w:spacing w:before="0" w:after="0"/>
              <w:ind w:right="0"/>
              <w:rPr>
                <w:rFonts w:hAnsi="宋体" w:cs="Courier New"/>
                <w:sz w:val="21"/>
                <w:szCs w:val="21"/>
              </w:rPr>
            </w:pPr>
            <w:r>
              <w:rPr>
                <w:rFonts w:hint="eastAsia" w:hAnsi="宋体" w:cs="Courier New"/>
                <w:sz w:val="21"/>
                <w:szCs w:val="21"/>
              </w:rPr>
              <w:t>邮政编码：</w:t>
            </w:r>
          </w:p>
          <w:p>
            <w:pPr>
              <w:pStyle w:val="2"/>
              <w:spacing w:before="0" w:after="0"/>
              <w:ind w:right="0"/>
              <w:rPr>
                <w:rFonts w:hAnsi="宋体" w:cs="Courier New"/>
                <w:sz w:val="21"/>
                <w:szCs w:val="21"/>
              </w:rPr>
            </w:pPr>
            <w:r>
              <w:rPr>
                <w:rFonts w:hint="eastAsia" w:hAnsi="宋体" w:cs="Courier New"/>
                <w:sz w:val="21"/>
                <w:szCs w:val="21"/>
              </w:rPr>
              <w:t>联系人：</w:t>
            </w:r>
          </w:p>
          <w:p>
            <w:pPr>
              <w:pStyle w:val="2"/>
              <w:spacing w:before="0" w:after="0"/>
              <w:ind w:right="0"/>
              <w:rPr>
                <w:rFonts w:hAnsi="宋体" w:cs="Courier New"/>
                <w:sz w:val="21"/>
                <w:szCs w:val="21"/>
                <w:u w:val="single"/>
              </w:rPr>
            </w:pPr>
            <w:r>
              <w:rPr>
                <w:rFonts w:hint="eastAsia" w:hAnsi="宋体" w:cs="Courier New"/>
                <w:sz w:val="21"/>
                <w:szCs w:val="21"/>
              </w:rPr>
              <w:t>联系电话：</w:t>
            </w:r>
          </w:p>
          <w:p>
            <w:pPr>
              <w:pStyle w:val="2"/>
              <w:spacing w:before="0" w:after="0"/>
              <w:ind w:right="0"/>
              <w:rPr>
                <w:rFonts w:hAnsi="宋体" w:cs="Courier New"/>
                <w:sz w:val="21"/>
                <w:szCs w:val="21"/>
                <w:u w:val="single"/>
              </w:rPr>
            </w:pPr>
            <w:r>
              <w:rPr>
                <w:rFonts w:hint="eastAsia" w:hAnsi="宋体" w:cs="Courier New"/>
                <w:sz w:val="21"/>
                <w:szCs w:val="21"/>
              </w:rPr>
              <w:t>传真：</w:t>
            </w:r>
          </w:p>
          <w:p>
            <w:pPr>
              <w:pStyle w:val="2"/>
              <w:spacing w:before="0" w:after="0"/>
              <w:ind w:right="0"/>
              <w:rPr>
                <w:rFonts w:hAnsi="宋体" w:cs="Courier New"/>
                <w:sz w:val="21"/>
                <w:szCs w:val="21"/>
              </w:rPr>
            </w:pPr>
            <w:r>
              <w:rPr>
                <w:rFonts w:hint="eastAsia" w:hAnsi="宋体" w:cs="Courier New"/>
                <w:sz w:val="21"/>
                <w:szCs w:val="21"/>
              </w:rPr>
              <w:t>开户银行：</w:t>
            </w:r>
          </w:p>
          <w:p>
            <w:pPr>
              <w:pStyle w:val="2"/>
              <w:spacing w:before="0" w:after="0"/>
              <w:ind w:right="0"/>
              <w:rPr>
                <w:rFonts w:hAnsi="宋体" w:cs="Courier New"/>
                <w:sz w:val="21"/>
                <w:szCs w:val="21"/>
              </w:rPr>
            </w:pPr>
            <w:r>
              <w:rPr>
                <w:rFonts w:hint="eastAsia" w:hAnsi="宋体" w:cs="Courier New"/>
                <w:sz w:val="21"/>
                <w:szCs w:val="21"/>
              </w:rPr>
              <w:t>纳税人识别号：</w:t>
            </w:r>
          </w:p>
        </w:tc>
        <w:tc>
          <w:tcPr>
            <w:tcW w:w="4261" w:type="dxa"/>
          </w:tcPr>
          <w:p>
            <w:pPr>
              <w:pStyle w:val="2"/>
              <w:spacing w:before="0" w:after="0"/>
              <w:ind w:right="0" w:firstLine="200"/>
              <w:rPr>
                <w:rFonts w:hAnsi="宋体" w:cs="Courier New"/>
                <w:sz w:val="21"/>
                <w:szCs w:val="21"/>
                <w:u w:val="single"/>
              </w:rPr>
            </w:pPr>
            <w:r>
              <w:rPr>
                <w:rFonts w:hint="eastAsia" w:hAnsi="宋体" w:cs="Courier New"/>
                <w:sz w:val="21"/>
                <w:szCs w:val="21"/>
              </w:rPr>
              <w:t>乙方：</w:t>
            </w:r>
          </w:p>
          <w:p>
            <w:pPr>
              <w:pStyle w:val="2"/>
              <w:spacing w:before="0" w:after="0"/>
              <w:ind w:right="0" w:firstLine="200"/>
              <w:rPr>
                <w:rFonts w:hAnsi="宋体" w:cs="Courier New"/>
                <w:sz w:val="21"/>
                <w:szCs w:val="21"/>
                <w:u w:val="single"/>
              </w:rPr>
            </w:pPr>
            <w:r>
              <w:rPr>
                <w:rFonts w:hint="eastAsia" w:hAnsi="宋体" w:cs="Courier New"/>
                <w:sz w:val="21"/>
                <w:szCs w:val="21"/>
              </w:rPr>
              <w:t>法定代表人或授权人：</w:t>
            </w:r>
          </w:p>
          <w:p>
            <w:pPr>
              <w:pStyle w:val="2"/>
              <w:spacing w:before="0" w:after="0"/>
              <w:ind w:right="0" w:firstLine="200"/>
              <w:rPr>
                <w:rFonts w:hAnsi="宋体" w:cs="Courier New"/>
                <w:sz w:val="21"/>
                <w:szCs w:val="21"/>
                <w:u w:val="single"/>
              </w:rPr>
            </w:pPr>
            <w:r>
              <w:rPr>
                <w:rFonts w:hint="eastAsia" w:hAnsi="宋体" w:cs="Courier New"/>
                <w:sz w:val="21"/>
                <w:szCs w:val="21"/>
              </w:rPr>
              <w:t>地址：</w:t>
            </w:r>
          </w:p>
          <w:p>
            <w:pPr>
              <w:pStyle w:val="2"/>
              <w:spacing w:before="0" w:after="0"/>
              <w:ind w:right="0" w:firstLine="200"/>
              <w:rPr>
                <w:rFonts w:hAnsi="宋体" w:cs="Courier New"/>
                <w:sz w:val="21"/>
                <w:szCs w:val="21"/>
              </w:rPr>
            </w:pPr>
            <w:r>
              <w:rPr>
                <w:rFonts w:hint="eastAsia" w:hAnsi="宋体" w:cs="Courier New"/>
                <w:sz w:val="21"/>
                <w:szCs w:val="21"/>
              </w:rPr>
              <w:t>邮政编码：</w:t>
            </w:r>
          </w:p>
          <w:p>
            <w:pPr>
              <w:pStyle w:val="2"/>
              <w:spacing w:before="0" w:after="0"/>
              <w:ind w:right="0" w:firstLine="200"/>
              <w:rPr>
                <w:rFonts w:hAnsi="宋体" w:cs="Courier New"/>
                <w:sz w:val="21"/>
                <w:szCs w:val="21"/>
              </w:rPr>
            </w:pPr>
            <w:r>
              <w:rPr>
                <w:rFonts w:hint="eastAsia" w:hAnsi="宋体" w:cs="Courier New"/>
                <w:sz w:val="21"/>
                <w:szCs w:val="21"/>
              </w:rPr>
              <w:t>联系人：</w:t>
            </w:r>
          </w:p>
          <w:p>
            <w:pPr>
              <w:pStyle w:val="2"/>
              <w:spacing w:before="0" w:after="0"/>
              <w:ind w:right="0" w:firstLine="200"/>
              <w:rPr>
                <w:rFonts w:hAnsi="宋体" w:cs="Courier New"/>
                <w:sz w:val="21"/>
                <w:szCs w:val="21"/>
                <w:u w:val="single"/>
              </w:rPr>
            </w:pPr>
            <w:r>
              <w:rPr>
                <w:rFonts w:hint="eastAsia" w:hAnsi="宋体" w:cs="Courier New"/>
                <w:sz w:val="21"/>
                <w:szCs w:val="21"/>
              </w:rPr>
              <w:t>联系电话：</w:t>
            </w:r>
          </w:p>
          <w:p>
            <w:pPr>
              <w:pStyle w:val="2"/>
              <w:spacing w:before="0" w:after="0"/>
              <w:ind w:right="0" w:firstLine="200"/>
              <w:rPr>
                <w:rFonts w:hAnsi="宋体" w:cs="Courier New"/>
                <w:sz w:val="21"/>
                <w:szCs w:val="21"/>
                <w:u w:val="single"/>
              </w:rPr>
            </w:pPr>
            <w:r>
              <w:rPr>
                <w:rFonts w:hint="eastAsia" w:hAnsi="宋体" w:cs="Courier New"/>
                <w:sz w:val="21"/>
                <w:szCs w:val="21"/>
              </w:rPr>
              <w:t>传真：</w:t>
            </w:r>
          </w:p>
          <w:p>
            <w:pPr>
              <w:pStyle w:val="2"/>
              <w:spacing w:before="0" w:after="0"/>
              <w:ind w:right="0" w:firstLine="200"/>
              <w:rPr>
                <w:rFonts w:hAnsi="宋体" w:cs="Courier New"/>
                <w:sz w:val="21"/>
                <w:szCs w:val="21"/>
                <w:u w:val="single"/>
              </w:rPr>
            </w:pPr>
            <w:r>
              <w:rPr>
                <w:rFonts w:hint="eastAsia" w:hAnsi="宋体" w:cs="Courier New"/>
                <w:sz w:val="21"/>
                <w:szCs w:val="21"/>
              </w:rPr>
              <w:t>开户银行：</w:t>
            </w:r>
          </w:p>
          <w:p>
            <w:pPr>
              <w:pStyle w:val="2"/>
              <w:spacing w:before="0" w:after="0"/>
              <w:ind w:left="708" w:right="0" w:hanging="707"/>
              <w:rPr>
                <w:rFonts w:hAnsi="宋体" w:cs="Courier New"/>
                <w:sz w:val="21"/>
                <w:szCs w:val="21"/>
              </w:rPr>
            </w:pPr>
            <w:r>
              <w:rPr>
                <w:rFonts w:hint="eastAsia" w:hAnsi="宋体" w:cs="Courier New"/>
                <w:sz w:val="21"/>
                <w:szCs w:val="21"/>
              </w:rPr>
              <w:t xml:space="preserve">    纳税人识别号：</w:t>
            </w:r>
          </w:p>
        </w:tc>
      </w:tr>
    </w:tbl>
    <w:p>
      <w:pPr>
        <w:spacing w:before="0" w:after="0"/>
        <w:ind w:right="0" w:firstLine="200"/>
        <w:rPr>
          <w:rFonts w:ascii="宋体" w:hAnsi="宋体"/>
          <w:b/>
        </w:rPr>
      </w:pPr>
    </w:p>
    <w:p>
      <w:pPr>
        <w:spacing w:before="0" w:after="0"/>
        <w:ind w:right="0" w:firstLine="1476" w:firstLineChars="700"/>
        <w:rPr>
          <w:rFonts w:ascii="宋体" w:hAnsi="宋体"/>
          <w:b/>
          <w:u w:val="single"/>
        </w:rPr>
      </w:pPr>
      <w:r>
        <w:rPr>
          <w:rFonts w:hint="eastAsia" w:ascii="宋体" w:hAnsi="宋体"/>
          <w:b/>
        </w:rPr>
        <w:t>签订时间：</w:t>
      </w:r>
    </w:p>
    <w:p>
      <w:pPr>
        <w:spacing w:before="0"/>
        <w:ind w:right="0" w:firstLine="200"/>
        <w:rPr>
          <w:rFonts w:ascii="宋体" w:hAnsi="宋体"/>
          <w:b/>
        </w:rPr>
      </w:pPr>
    </w:p>
    <w:p>
      <w:pPr>
        <w:spacing w:before="0"/>
        <w:ind w:right="0" w:firstLine="200"/>
        <w:rPr>
          <w:rFonts w:ascii="宋体" w:hAnsi="宋体"/>
          <w:b/>
        </w:rPr>
      </w:pPr>
    </w:p>
    <w:p>
      <w:pPr>
        <w:spacing w:before="0"/>
        <w:ind w:left="0" w:right="0" w:firstLine="0"/>
        <w:outlineLvl w:val="1"/>
        <w:rPr>
          <w:rFonts w:ascii="宋体" w:hAnsi="宋体"/>
          <w:b/>
          <w:sz w:val="24"/>
          <w:szCs w:val="24"/>
        </w:rPr>
      </w:pPr>
      <w:r>
        <w:rPr>
          <w:rFonts w:ascii="宋体" w:hAnsi="宋体"/>
        </w:rPr>
        <w:br w:type="page"/>
      </w:r>
      <w:bookmarkStart w:id="1479" w:name="_Toc12155"/>
      <w:bookmarkStart w:id="1480" w:name="_Toc9188"/>
      <w:bookmarkStart w:id="1481" w:name="_Toc997"/>
      <w:bookmarkStart w:id="1482" w:name="_Toc11253"/>
      <w:bookmarkStart w:id="1483" w:name="_Toc24973"/>
      <w:bookmarkStart w:id="1484" w:name="_Toc258"/>
      <w:bookmarkStart w:id="1485" w:name="_Toc16743"/>
      <w:bookmarkStart w:id="1486" w:name="_Toc10196"/>
      <w:bookmarkStart w:id="1487" w:name="_Toc9438"/>
      <w:bookmarkStart w:id="1488" w:name="_Toc75276854"/>
      <w:bookmarkStart w:id="1489" w:name="_Toc4133"/>
      <w:bookmarkStart w:id="1490" w:name="_Toc25942"/>
      <w:bookmarkStart w:id="1491" w:name="_Toc7689"/>
      <w:bookmarkStart w:id="1492" w:name="_Toc14469"/>
      <w:bookmarkStart w:id="1493" w:name="_Toc7529"/>
      <w:bookmarkStart w:id="1494" w:name="_Toc29876"/>
      <w:bookmarkStart w:id="1495" w:name="_Toc18460"/>
      <w:bookmarkStart w:id="1496" w:name="_Toc24098"/>
      <w:r>
        <w:rPr>
          <w:rFonts w:hint="eastAsia" w:ascii="宋体" w:hAnsi="宋体"/>
          <w:b/>
          <w:sz w:val="24"/>
          <w:szCs w:val="24"/>
        </w:rPr>
        <w:t>二、合同条款</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tabs>
          <w:tab w:val="left" w:pos="640"/>
          <w:tab w:val="left" w:pos="1843"/>
        </w:tabs>
        <w:spacing w:before="0" w:after="0" w:afterAutospacing="0"/>
        <w:ind w:left="422" w:right="0" w:firstLine="0"/>
        <w:outlineLvl w:val="1"/>
        <w:rPr>
          <w:rFonts w:ascii="宋体" w:hAnsi="宋体"/>
          <w:b/>
        </w:rPr>
      </w:pPr>
      <w:bookmarkStart w:id="1497" w:name="_Toc19920"/>
      <w:bookmarkStart w:id="1498" w:name="_Toc6054"/>
      <w:bookmarkStart w:id="1499" w:name="_Toc20484"/>
      <w:bookmarkStart w:id="1500" w:name="_Toc15707"/>
      <w:bookmarkStart w:id="1501" w:name="_Toc12256"/>
      <w:bookmarkStart w:id="1502" w:name="_Toc43"/>
      <w:bookmarkStart w:id="1503" w:name="_Toc7961"/>
      <w:bookmarkStart w:id="1504" w:name="_Toc385427838"/>
      <w:bookmarkStart w:id="1505" w:name="_Toc28024"/>
      <w:bookmarkStart w:id="1506" w:name="_Toc75276855"/>
      <w:bookmarkStart w:id="1507" w:name="_Toc492478763"/>
      <w:bookmarkStart w:id="1508" w:name="_Toc390098464"/>
      <w:bookmarkStart w:id="1509" w:name="_Toc22880"/>
      <w:bookmarkStart w:id="1510" w:name="_Toc4032"/>
      <w:bookmarkStart w:id="1511" w:name="_Toc370933855"/>
      <w:bookmarkStart w:id="1512" w:name="_Toc25750635"/>
      <w:bookmarkStart w:id="1513" w:name="_Toc378514952"/>
      <w:bookmarkStart w:id="1514" w:name="_Toc31691"/>
      <w:bookmarkStart w:id="1515" w:name="_Toc2614"/>
      <w:bookmarkStart w:id="1516" w:name="_Toc10730"/>
      <w:bookmarkStart w:id="1517" w:name="_Toc12080"/>
      <w:bookmarkStart w:id="1518" w:name="_Toc29932"/>
      <w:bookmarkStart w:id="1519" w:name="_Toc18727"/>
      <w:bookmarkStart w:id="1520" w:name="_Toc25643"/>
      <w:bookmarkStart w:id="1521" w:name="_Toc14287"/>
      <w:r>
        <w:rPr>
          <w:rFonts w:hint="eastAsia" w:ascii="宋体" w:hAnsi="宋体"/>
          <w:b/>
        </w:rPr>
        <w:t>1.定义及解释</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w:t>
      </w:r>
      <w:r>
        <w:rPr>
          <w:rFonts w:ascii="宋体" w:hAnsi="宋体"/>
        </w:rPr>
        <w:t>南宁轨道交通</w:t>
      </w:r>
      <w:r>
        <w:rPr>
          <w:rFonts w:hint="eastAsia" w:ascii="宋体" w:hAnsi="宋体"/>
        </w:rPr>
        <w:t>运营有限公司。</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“备品备件”系指比选申请人须向比选人提供的用于系统维护、更换、修复的零部件、材料。</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“专用工具及仪器仪表”系指比选申请人须向比选人提供的用于系统维护、更换、修复的专用工具及仪器仪表。</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“天”、“日”系指日历天。</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“月”系指日历月。</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0"/>
        </w:numPr>
        <w:spacing w:before="0" w:after="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0"/>
        </w:numPr>
        <w:spacing w:before="0" w:after="0" w:afterAutospacing="0"/>
        <w:ind w:left="0" w:right="0" w:firstLine="420" w:firstLineChars="200"/>
        <w:rPr>
          <w:rFonts w:ascii="宋体" w:hAnsi="宋体"/>
        </w:rPr>
      </w:pPr>
      <w:r>
        <w:rPr>
          <w:rFonts w:hint="eastAsia" w:ascii="宋体" w:hAnsi="宋体"/>
        </w:rPr>
        <w:t xml:space="preserve"> “质量保证期”按本项目《用户需求书》中的质保期要求。</w:t>
      </w:r>
    </w:p>
    <w:p>
      <w:pPr>
        <w:numPr>
          <w:ilvl w:val="2"/>
          <w:numId w:val="10"/>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0"/>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0"/>
        </w:numPr>
        <w:spacing w:before="0" w:after="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w:t>
      </w:r>
      <w:r>
        <w:rPr>
          <w:rFonts w:hint="eastAsia" w:ascii="宋体" w:hAnsi="宋体" w:cs="Arial"/>
          <w:b/>
        </w:rPr>
        <w:t>运营有限公司</w:t>
      </w:r>
      <w:r>
        <w:rPr>
          <w:rFonts w:ascii="宋体" w:hAnsi="宋体" w:cs="Arial"/>
          <w:b/>
        </w:rPr>
        <w:t>），相关费用包含在乙方的合同价款中，甲方不再另行支付。中华人民共和国强制检定的工作计量器具明细目录内的仪器仪表必须出具第三方计量检定报告。</w:t>
      </w:r>
      <w:r>
        <w:rPr>
          <w:rFonts w:hint="eastAsia" w:ascii="宋体" w:hAnsi="宋体" w:cs="Arial"/>
        </w:rPr>
        <w:t>（如有）</w:t>
      </w:r>
    </w:p>
    <w:p>
      <w:pPr>
        <w:numPr>
          <w:ilvl w:val="2"/>
          <w:numId w:val="10"/>
        </w:numPr>
        <w:spacing w:before="0" w:after="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rPr>
      </w:pPr>
      <w:bookmarkStart w:id="1522" w:name="_Toc13835"/>
      <w:bookmarkStart w:id="1523" w:name="_Toc5955"/>
      <w:bookmarkStart w:id="1524" w:name="_Toc385427839"/>
      <w:bookmarkStart w:id="1525" w:name="_Toc15944"/>
      <w:bookmarkStart w:id="1526" w:name="_Toc23247"/>
      <w:bookmarkStart w:id="1527" w:name="_Toc4212"/>
      <w:bookmarkStart w:id="1528" w:name="_Toc4301"/>
      <w:bookmarkStart w:id="1529" w:name="_Toc25826"/>
      <w:bookmarkStart w:id="1530" w:name="_Toc7813"/>
      <w:bookmarkStart w:id="1531" w:name="_Toc19899"/>
      <w:bookmarkStart w:id="1532" w:name="_Toc30815"/>
      <w:bookmarkStart w:id="1533" w:name="_Toc1169"/>
      <w:bookmarkStart w:id="1534" w:name="_Toc8477"/>
      <w:bookmarkStart w:id="1535" w:name="_Toc75276856"/>
      <w:bookmarkStart w:id="1536" w:name="_Toc492478764"/>
      <w:bookmarkStart w:id="1537" w:name="_Toc4255"/>
      <w:bookmarkStart w:id="1538" w:name="_Toc25750636"/>
      <w:bookmarkStart w:id="1539" w:name="_Toc18178"/>
      <w:bookmarkStart w:id="1540" w:name="_Toc23305"/>
      <w:bookmarkStart w:id="1541" w:name="_Toc23112"/>
      <w:bookmarkStart w:id="1542" w:name="_Toc370933856"/>
      <w:bookmarkStart w:id="1543" w:name="_Toc378514953"/>
      <w:bookmarkStart w:id="1544" w:name="_Toc3180"/>
      <w:bookmarkStart w:id="1545" w:name="_Toc390098465"/>
      <w:bookmarkStart w:id="1546" w:name="_Toc7059"/>
      <w:r>
        <w:rPr>
          <w:rFonts w:hint="eastAsia" w:ascii="宋体" w:hAnsi="宋体"/>
          <w:b/>
        </w:rPr>
        <w:t>2.适用性</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numPr>
          <w:ilvl w:val="1"/>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rPr>
      </w:pPr>
      <w:bookmarkStart w:id="1547" w:name="_Toc9864"/>
      <w:bookmarkStart w:id="1548" w:name="_Toc75276857"/>
      <w:bookmarkStart w:id="1549" w:name="_Toc370933857"/>
      <w:bookmarkStart w:id="1550" w:name="_Toc21603"/>
      <w:bookmarkStart w:id="1551" w:name="_Toc3397"/>
      <w:bookmarkStart w:id="1552" w:name="_Toc385427840"/>
      <w:bookmarkStart w:id="1553" w:name="_Toc15308"/>
      <w:bookmarkStart w:id="1554" w:name="_Toc3131"/>
      <w:bookmarkStart w:id="1555" w:name="_Toc18092"/>
      <w:bookmarkStart w:id="1556" w:name="_Toc14437"/>
      <w:bookmarkStart w:id="1557" w:name="_Toc12248"/>
      <w:bookmarkStart w:id="1558" w:name="_Toc26983"/>
      <w:bookmarkStart w:id="1559" w:name="_Toc5253"/>
      <w:bookmarkStart w:id="1560" w:name="_Toc4738"/>
      <w:bookmarkStart w:id="1561" w:name="_Toc492478765"/>
      <w:bookmarkStart w:id="1562" w:name="_Toc13801"/>
      <w:bookmarkStart w:id="1563" w:name="_Toc9306"/>
      <w:bookmarkStart w:id="1564" w:name="_Toc4969"/>
      <w:bookmarkStart w:id="1565" w:name="_Toc25750637"/>
      <w:bookmarkStart w:id="1566" w:name="_Toc390098466"/>
      <w:bookmarkStart w:id="1567" w:name="_Toc11803"/>
      <w:bookmarkStart w:id="1568" w:name="_Toc4898"/>
      <w:bookmarkStart w:id="1569" w:name="_Toc378514954"/>
      <w:bookmarkStart w:id="1570" w:name="_Toc3674"/>
      <w:bookmarkStart w:id="1571" w:name="_Toc21065"/>
      <w:r>
        <w:rPr>
          <w:rFonts w:hint="eastAsia" w:ascii="宋体" w:hAnsi="宋体"/>
          <w:b/>
        </w:rPr>
        <w:t>3.来源地</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numPr>
          <w:ilvl w:val="1"/>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rPr>
      </w:pPr>
      <w:bookmarkStart w:id="1572" w:name="_Toc390098467"/>
      <w:bookmarkStart w:id="1573" w:name="_Toc370933858"/>
      <w:bookmarkStart w:id="1574" w:name="_Toc21641"/>
      <w:bookmarkStart w:id="1575" w:name="_Toc378514955"/>
      <w:bookmarkStart w:id="1576" w:name="_Toc16646"/>
      <w:bookmarkStart w:id="1577" w:name="_Toc12180"/>
      <w:bookmarkStart w:id="1578" w:name="_Toc385427841"/>
      <w:bookmarkStart w:id="1579" w:name="_Toc10807"/>
      <w:bookmarkStart w:id="1580" w:name="_Toc11626"/>
      <w:bookmarkStart w:id="1581" w:name="_Toc75276858"/>
      <w:bookmarkStart w:id="1582" w:name="_Toc19514"/>
      <w:bookmarkStart w:id="1583" w:name="_Toc18548"/>
      <w:bookmarkStart w:id="1584" w:name="_Toc14713"/>
      <w:bookmarkStart w:id="1585" w:name="_Toc23258"/>
      <w:bookmarkStart w:id="1586" w:name="_Toc25311"/>
      <w:bookmarkStart w:id="1587" w:name="_Toc14273"/>
      <w:bookmarkStart w:id="1588" w:name="_Toc492478766"/>
      <w:bookmarkStart w:id="1589" w:name="_Toc21289"/>
      <w:bookmarkStart w:id="1590" w:name="_Toc25750638"/>
      <w:bookmarkStart w:id="1591" w:name="_Toc2708"/>
      <w:bookmarkStart w:id="1592" w:name="_Toc3318"/>
      <w:bookmarkStart w:id="1593" w:name="_Toc21356"/>
      <w:bookmarkStart w:id="1594" w:name="_Toc11524"/>
      <w:bookmarkStart w:id="1595" w:name="_Toc27450"/>
      <w:bookmarkStart w:id="1596" w:name="_Toc23249"/>
      <w:r>
        <w:rPr>
          <w:rFonts w:hint="eastAsia" w:ascii="宋体" w:hAnsi="宋体"/>
          <w:b/>
        </w:rPr>
        <w:t>4.标准</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numPr>
          <w:ilvl w:val="1"/>
          <w:numId w:val="13"/>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3"/>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13"/>
        </w:numPr>
        <w:tabs>
          <w:tab w:val="left" w:pos="840"/>
          <w:tab w:val="clear" w:pos="1134"/>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rPr>
      </w:pPr>
      <w:bookmarkStart w:id="1597" w:name="_Toc19358"/>
      <w:bookmarkStart w:id="1598" w:name="_Toc24783"/>
      <w:bookmarkStart w:id="1599" w:name="_Toc370933859"/>
      <w:bookmarkStart w:id="1600" w:name="_Toc18813"/>
      <w:bookmarkStart w:id="1601" w:name="_Toc492478767"/>
      <w:bookmarkStart w:id="1602" w:name="_Toc17081"/>
      <w:bookmarkStart w:id="1603" w:name="_Toc27620"/>
      <w:bookmarkStart w:id="1604" w:name="_Toc10995"/>
      <w:bookmarkStart w:id="1605" w:name="_Toc2304"/>
      <w:bookmarkStart w:id="1606" w:name="_Toc14089"/>
      <w:bookmarkStart w:id="1607" w:name="_Toc390098468"/>
      <w:bookmarkStart w:id="1608" w:name="_Toc385427842"/>
      <w:bookmarkStart w:id="1609" w:name="_Toc3165"/>
      <w:bookmarkStart w:id="1610" w:name="_Toc75276859"/>
      <w:bookmarkStart w:id="1611" w:name="_Toc22040"/>
      <w:bookmarkStart w:id="1612" w:name="_Toc13516"/>
      <w:bookmarkStart w:id="1613" w:name="_Toc2352"/>
      <w:bookmarkStart w:id="1614" w:name="_Toc23539"/>
      <w:bookmarkStart w:id="1615" w:name="_Toc20372"/>
      <w:bookmarkStart w:id="1616" w:name="_Toc25750639"/>
      <w:bookmarkStart w:id="1617" w:name="_Toc18617"/>
      <w:bookmarkStart w:id="1618" w:name="_Toc31912"/>
      <w:bookmarkStart w:id="1619" w:name="_Toc11487"/>
      <w:bookmarkStart w:id="1620" w:name="_Toc378514956"/>
      <w:bookmarkStart w:id="1621" w:name="_Toc4048"/>
      <w:r>
        <w:rPr>
          <w:rFonts w:hint="eastAsia" w:ascii="宋体" w:hAnsi="宋体"/>
          <w:b/>
        </w:rPr>
        <w:t>5.合同文件、资料及使用</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w:t>
      </w:r>
      <w:r>
        <w:rPr>
          <w:rFonts w:ascii="宋体" w:hAnsi="宋体"/>
        </w:rPr>
        <w:t>南宁轨道交通</w:t>
      </w:r>
      <w:r>
        <w:rPr>
          <w:rFonts w:hint="eastAsia" w:ascii="宋体" w:hAnsi="宋体"/>
        </w:rPr>
        <w:t>运营有限公司有关部门立卷的规定文件）。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rPr>
      </w:pPr>
      <w:bookmarkStart w:id="1622" w:name="_Toc18946"/>
      <w:bookmarkStart w:id="1623" w:name="_Toc16891"/>
      <w:bookmarkStart w:id="1624" w:name="_Toc24189"/>
      <w:bookmarkStart w:id="1625" w:name="_Toc385427843"/>
      <w:bookmarkStart w:id="1626" w:name="_Toc2340"/>
      <w:bookmarkStart w:id="1627" w:name="_Toc378514957"/>
      <w:bookmarkStart w:id="1628" w:name="_Toc25750640"/>
      <w:bookmarkStart w:id="1629" w:name="_Toc5930"/>
      <w:bookmarkStart w:id="1630" w:name="_Toc25049"/>
      <w:bookmarkStart w:id="1631" w:name="_Toc15801"/>
      <w:bookmarkStart w:id="1632" w:name="_Toc17102"/>
      <w:bookmarkStart w:id="1633" w:name="_Toc17100"/>
      <w:bookmarkStart w:id="1634" w:name="_Toc390098469"/>
      <w:bookmarkStart w:id="1635" w:name="_Toc16793"/>
      <w:bookmarkStart w:id="1636" w:name="_Toc4739"/>
      <w:bookmarkStart w:id="1637" w:name="_Toc370933860"/>
      <w:bookmarkStart w:id="1638" w:name="_Toc75276860"/>
      <w:bookmarkStart w:id="1639" w:name="_Toc23274"/>
      <w:bookmarkStart w:id="1640" w:name="_Toc492478768"/>
      <w:bookmarkStart w:id="1641" w:name="_Toc23542"/>
      <w:bookmarkStart w:id="1642" w:name="_Toc2096"/>
      <w:bookmarkStart w:id="1643" w:name="_Toc12048"/>
      <w:bookmarkStart w:id="1644" w:name="_Toc8848"/>
      <w:bookmarkStart w:id="1645" w:name="_Toc17908"/>
      <w:bookmarkStart w:id="1646" w:name="_Toc25104"/>
      <w:r>
        <w:rPr>
          <w:rFonts w:hint="eastAsia" w:ascii="宋体" w:hAnsi="宋体"/>
          <w:b/>
        </w:rPr>
        <w:t>6.知识产权</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numPr>
          <w:ilvl w:val="0"/>
          <w:numId w:val="15"/>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15"/>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15"/>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rPr>
      </w:pPr>
      <w:bookmarkStart w:id="1647" w:name="_Toc459797496"/>
      <w:bookmarkEnd w:id="1647"/>
      <w:bookmarkStart w:id="1648" w:name="_Toc459797503"/>
      <w:bookmarkEnd w:id="1648"/>
      <w:bookmarkStart w:id="1649" w:name="_Toc459730457"/>
      <w:bookmarkEnd w:id="1649"/>
      <w:bookmarkStart w:id="1650" w:name="_Toc459730459"/>
      <w:bookmarkEnd w:id="1650"/>
      <w:bookmarkStart w:id="1651" w:name="_Toc459730446"/>
      <w:bookmarkEnd w:id="1651"/>
      <w:bookmarkStart w:id="1652" w:name="_Toc459730456"/>
      <w:bookmarkEnd w:id="1652"/>
      <w:bookmarkStart w:id="1653" w:name="_Toc459730448"/>
      <w:bookmarkEnd w:id="1653"/>
      <w:bookmarkStart w:id="1654" w:name="_Toc459797509"/>
      <w:bookmarkEnd w:id="1654"/>
      <w:bookmarkStart w:id="1655" w:name="_Toc459730455"/>
      <w:bookmarkEnd w:id="1655"/>
      <w:bookmarkStart w:id="1656" w:name="_Toc459730445"/>
      <w:bookmarkEnd w:id="1656"/>
      <w:bookmarkStart w:id="1657" w:name="_Toc459797510"/>
      <w:bookmarkEnd w:id="1657"/>
      <w:bookmarkStart w:id="1658" w:name="_Toc459797498"/>
      <w:bookmarkEnd w:id="1658"/>
      <w:bookmarkStart w:id="1659" w:name="_Toc459730458"/>
      <w:bookmarkEnd w:id="1659"/>
      <w:bookmarkStart w:id="1660" w:name="_Toc459797499"/>
      <w:bookmarkEnd w:id="1660"/>
      <w:bookmarkStart w:id="1661" w:name="_Toc459797504"/>
      <w:bookmarkEnd w:id="1661"/>
      <w:bookmarkStart w:id="1662" w:name="_Toc459730451"/>
      <w:bookmarkEnd w:id="1662"/>
      <w:bookmarkStart w:id="1663" w:name="_Toc459730453"/>
      <w:bookmarkEnd w:id="1663"/>
      <w:bookmarkStart w:id="1664" w:name="_Toc459797505"/>
      <w:bookmarkEnd w:id="1664"/>
      <w:bookmarkStart w:id="1665" w:name="_Toc459797507"/>
      <w:bookmarkEnd w:id="1665"/>
      <w:bookmarkStart w:id="1666" w:name="_Toc459730454"/>
      <w:bookmarkEnd w:id="1666"/>
      <w:bookmarkStart w:id="1667" w:name="_Toc459797506"/>
      <w:bookmarkEnd w:id="1667"/>
      <w:bookmarkStart w:id="1668" w:name="_Toc459797495"/>
      <w:bookmarkEnd w:id="1668"/>
      <w:bookmarkStart w:id="1669" w:name="_Toc459730449"/>
      <w:bookmarkEnd w:id="1669"/>
      <w:bookmarkStart w:id="1670" w:name="_Toc459730447"/>
      <w:bookmarkEnd w:id="1670"/>
      <w:bookmarkStart w:id="1671" w:name="_Toc459797508"/>
      <w:bookmarkEnd w:id="1671"/>
      <w:bookmarkStart w:id="1672" w:name="_Toc459797500"/>
      <w:bookmarkEnd w:id="1672"/>
      <w:bookmarkStart w:id="1673" w:name="_Toc459797497"/>
      <w:bookmarkEnd w:id="1673"/>
      <w:bookmarkStart w:id="1674" w:name="_Toc459730443"/>
      <w:bookmarkEnd w:id="1674"/>
      <w:bookmarkStart w:id="1675" w:name="_Toc459797512"/>
      <w:bookmarkEnd w:id="1675"/>
      <w:bookmarkStart w:id="1676" w:name="_Toc459797501"/>
      <w:bookmarkEnd w:id="1676"/>
      <w:bookmarkStart w:id="1677" w:name="_Toc459797502"/>
      <w:bookmarkEnd w:id="1677"/>
      <w:bookmarkStart w:id="1678" w:name="_Toc459730450"/>
      <w:bookmarkEnd w:id="1678"/>
      <w:bookmarkStart w:id="1679" w:name="_Toc459730442"/>
      <w:bookmarkEnd w:id="1679"/>
      <w:bookmarkStart w:id="1680" w:name="_Toc459730444"/>
      <w:bookmarkEnd w:id="1680"/>
      <w:bookmarkStart w:id="1681" w:name="_Toc459730452"/>
      <w:bookmarkEnd w:id="1681"/>
      <w:bookmarkStart w:id="1682" w:name="_Toc459797511"/>
      <w:bookmarkEnd w:id="1682"/>
      <w:bookmarkStart w:id="1683" w:name="_Toc75276861"/>
      <w:bookmarkStart w:id="1684" w:name="_Toc26034"/>
      <w:bookmarkStart w:id="1685" w:name="_Toc31795"/>
      <w:bookmarkStart w:id="1686" w:name="_Toc20252"/>
      <w:bookmarkStart w:id="1687" w:name="_Toc15512"/>
      <w:bookmarkStart w:id="1688" w:name="_Toc97"/>
      <w:bookmarkStart w:id="1689" w:name="_Toc5676"/>
      <w:bookmarkStart w:id="1690" w:name="_Toc20899"/>
      <w:bookmarkStart w:id="1691" w:name="_Toc1990"/>
      <w:bookmarkStart w:id="1692" w:name="_Toc7801"/>
      <w:bookmarkStart w:id="1693" w:name="_Toc32711"/>
      <w:bookmarkStart w:id="1694" w:name="_Toc30234"/>
      <w:bookmarkStart w:id="1695" w:name="_Toc21872"/>
      <w:bookmarkStart w:id="1696" w:name="_Toc20550"/>
      <w:bookmarkStart w:id="1697" w:name="_Toc29729"/>
      <w:bookmarkStart w:id="1698" w:name="_Toc25750642"/>
      <w:bookmarkStart w:id="1699" w:name="_Toc12113"/>
      <w:bookmarkStart w:id="1700" w:name="_Toc25873"/>
      <w:bookmarkStart w:id="1701" w:name="_Toc2613"/>
      <w:bookmarkStart w:id="1702" w:name="_Toc32382"/>
      <w:bookmarkStart w:id="1703" w:name="_Toc492478777"/>
      <w:bookmarkStart w:id="1704" w:name="_Toc28005"/>
      <w:bookmarkStart w:id="1705" w:name="_Toc385427853"/>
      <w:bookmarkStart w:id="1706" w:name="_Toc19108"/>
      <w:bookmarkStart w:id="1707" w:name="_Toc19245"/>
      <w:bookmarkStart w:id="1708" w:name="_Toc20368"/>
      <w:bookmarkStart w:id="1709" w:name="_Toc370933870"/>
      <w:bookmarkStart w:id="1710" w:name="_Toc29198"/>
      <w:bookmarkStart w:id="1711" w:name="_Toc23897"/>
      <w:bookmarkStart w:id="1712" w:name="_Toc378514967"/>
      <w:bookmarkStart w:id="1713" w:name="_Toc25253"/>
      <w:bookmarkStart w:id="1714" w:name="_Toc25750648"/>
      <w:bookmarkStart w:id="1715" w:name="_Toc28676"/>
      <w:bookmarkStart w:id="1716" w:name="_Toc4379"/>
      <w:bookmarkStart w:id="1717" w:name="_Toc28755"/>
      <w:bookmarkStart w:id="1718" w:name="_Toc1101"/>
      <w:bookmarkStart w:id="1719" w:name="_Toc390098479"/>
      <w:bookmarkStart w:id="1720" w:name="_Toc8003"/>
      <w:bookmarkStart w:id="1721" w:name="_Toc7041"/>
      <w:bookmarkStart w:id="1722" w:name="_Toc27587"/>
      <w:bookmarkStart w:id="1723" w:name="_Toc10410"/>
      <w:bookmarkStart w:id="1724" w:name="_Toc26522"/>
      <w:bookmarkStart w:id="1725" w:name="_Toc18790"/>
      <w:bookmarkStart w:id="1726" w:name="_Toc14019"/>
      <w:r>
        <w:rPr>
          <w:rFonts w:hint="eastAsia" w:ascii="宋体" w:hAnsi="宋体"/>
          <w:b/>
        </w:rPr>
        <w:t>7.履约担保</w:t>
      </w:r>
      <w:bookmarkEnd w:id="1683"/>
    </w:p>
    <w:p>
      <w:pPr>
        <w:tabs>
          <w:tab w:val="left" w:pos="840"/>
        </w:tabs>
        <w:spacing w:before="0" w:after="0" w:afterAutospacing="0"/>
        <w:ind w:left="0" w:leftChars="0" w:right="0" w:firstLine="420" w:firstLineChars="200"/>
        <w:rPr>
          <w:rFonts w:hint="eastAsia" w:ascii="宋体" w:hAnsi="宋体" w:cs="Times New Roman"/>
          <w:color w:val="000000" w:themeColor="text1"/>
        </w:rPr>
      </w:pPr>
      <w:bookmarkStart w:id="1727" w:name="_Toc75276863"/>
      <w:r>
        <w:rPr>
          <w:rFonts w:hint="eastAsia" w:ascii="宋体" w:hAnsi="宋体"/>
          <w:color w:val="000000" w:themeColor="text1"/>
          <w:lang w:val="en-US" w:eastAsia="zh-CN"/>
        </w:rPr>
        <w:t>7.1</w:t>
      </w:r>
      <w:r>
        <w:rPr>
          <w:rFonts w:hint="eastAsia" w:ascii="宋体" w:hAnsi="宋体"/>
          <w:color w:val="000000" w:themeColor="text1"/>
        </w:rPr>
        <w:t>以合同金额总价的</w:t>
      </w:r>
      <w:r>
        <w:rPr>
          <w:rFonts w:hint="eastAsia" w:ascii="宋体" w:hAnsi="宋体"/>
          <w:color w:val="000000" w:themeColor="text1"/>
          <w:lang w:val="en-US" w:eastAsia="zh-CN"/>
        </w:rPr>
        <w:t>2.</w:t>
      </w:r>
      <w:r>
        <w:rPr>
          <w:rFonts w:hint="eastAsia" w:ascii="宋体" w:hAnsi="宋体"/>
          <w:color w:val="000000" w:themeColor="text1"/>
        </w:rPr>
        <w:t>5%作为履约保证金（四舍五入，精确到元），要求在中选通知发出之日起30日内合同签订之前交纳。如中选人未能按约定时间足额缴纳，视为自动放弃中选资格。</w:t>
      </w:r>
    </w:p>
    <w:p>
      <w:pPr>
        <w:tabs>
          <w:tab w:val="left" w:pos="640"/>
          <w:tab w:val="left" w:pos="1843"/>
        </w:tabs>
        <w:spacing w:before="0" w:after="0" w:afterAutospacing="0"/>
        <w:ind w:left="422" w:right="0" w:firstLine="0"/>
        <w:outlineLvl w:val="1"/>
        <w:rPr>
          <w:rFonts w:ascii="宋体" w:hAnsi="宋体"/>
          <w:b/>
          <w:color w:val="000000" w:themeColor="text1"/>
        </w:rPr>
      </w:pPr>
      <w:r>
        <w:rPr>
          <w:rFonts w:hint="eastAsia" w:ascii="宋体" w:hAnsi="宋体"/>
          <w:b/>
          <w:color w:val="000000" w:themeColor="text1"/>
        </w:rPr>
        <w:t>8.检验</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27"/>
    </w:p>
    <w:p>
      <w:pPr>
        <w:tabs>
          <w:tab w:val="left" w:pos="840"/>
        </w:tabs>
        <w:spacing w:before="0" w:after="0" w:afterAutospacing="0"/>
        <w:ind w:left="0" w:right="0" w:firstLine="420" w:firstLineChars="200"/>
        <w:rPr>
          <w:rFonts w:ascii="宋体" w:hAnsi="宋体"/>
        </w:rPr>
      </w:pPr>
      <w:r>
        <w:rPr>
          <w:rFonts w:hint="eastAsia" w:ascii="宋体" w:hAnsi="宋体"/>
        </w:rPr>
        <w:t>8.1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用户需求书规定要求计量检定检验的物资，交货时每件货物均须提供检验报告、并粘贴检定/校准合格标签；检验报告须为有国家计量认证资质（CMA）的第三方机构出具的原件，检验委托方为“</w:t>
      </w:r>
      <w:r>
        <w:rPr>
          <w:rFonts w:ascii="宋体" w:hAnsi="宋体"/>
        </w:rPr>
        <w:t>南宁轨道交通</w:t>
      </w:r>
      <w:r>
        <w:rPr>
          <w:rFonts w:hint="eastAsia" w:ascii="宋体" w:hAnsi="宋体"/>
        </w:rPr>
        <w:t>运营有限公司”，检验产生的所有费用包含在项目报价中。中华人民共和国强制检定的工作计量器具明细目录内的仪器仪表必须出具第三方计量检定报告。（如有）</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用户需求书规定要求绝缘耐压检验的物资，交货时每件货物均须提供具有国家认定检验资质的第三方检验机构出具的绝缘耐压检验报告原件，检验委托方为“</w:t>
      </w:r>
      <w:r>
        <w:rPr>
          <w:rFonts w:ascii="宋体" w:hAnsi="宋体"/>
        </w:rPr>
        <w:t>南宁轨道交通</w:t>
      </w:r>
      <w:r>
        <w:rPr>
          <w:rFonts w:hint="eastAsia" w:ascii="宋体" w:hAnsi="宋体"/>
        </w:rPr>
        <w:t>运营有限公司”，检验产生的所有费用包含在项目报价中。（如有）</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甲方负责的部分</w:t>
      </w:r>
    </w:p>
    <w:p>
      <w:pPr>
        <w:spacing w:before="0" w:after="0" w:afterAutospacing="0"/>
        <w:ind w:left="0" w:right="0" w:firstLine="420" w:firstLineChars="200"/>
        <w:rPr>
          <w:rFonts w:ascii="宋体" w:hAnsi="宋体"/>
        </w:rPr>
      </w:pPr>
      <w:r>
        <w:rPr>
          <w:rFonts w:hint="eastAsia" w:ascii="宋体" w:hAnsi="宋体"/>
        </w:rPr>
        <w:t>甲方参加到货检查、开箱检验等工作直至全部货物验收合格。</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为检验提供货物</w:t>
      </w:r>
    </w:p>
    <w:p>
      <w:pPr>
        <w:spacing w:before="0" w:after="0" w:afterAutospacing="0"/>
        <w:ind w:left="0"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检验和验收过程中涉及的赔偿条款在合同条款第</w:t>
      </w:r>
      <w:r>
        <w:rPr>
          <w:rFonts w:ascii="宋体" w:hAnsi="宋体"/>
        </w:rPr>
        <w:t>3</w:t>
      </w:r>
      <w:r>
        <w:rPr>
          <w:rFonts w:hint="eastAsia" w:ascii="宋体" w:hAnsi="宋体"/>
        </w:rPr>
        <w:t>2条中规定。</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rPr>
      </w:pPr>
      <w:bookmarkStart w:id="1728" w:name="_Toc1637"/>
      <w:bookmarkStart w:id="1729" w:name="_Toc385427846"/>
      <w:bookmarkStart w:id="1730" w:name="_Toc17625"/>
      <w:bookmarkStart w:id="1731" w:name="_Toc6736"/>
      <w:bookmarkStart w:id="1732" w:name="_Toc492478771"/>
      <w:bookmarkStart w:id="1733" w:name="_Toc19218"/>
      <w:bookmarkStart w:id="1734" w:name="_Toc24667"/>
      <w:bookmarkStart w:id="1735" w:name="_Toc8743"/>
      <w:bookmarkStart w:id="1736" w:name="_Toc22940"/>
      <w:bookmarkStart w:id="1737" w:name="_Toc28074"/>
      <w:bookmarkStart w:id="1738" w:name="_Toc25750643"/>
      <w:bookmarkStart w:id="1739" w:name="_Toc13241"/>
      <w:bookmarkStart w:id="1740" w:name="_Toc15199"/>
      <w:bookmarkStart w:id="1741" w:name="_Toc378514960"/>
      <w:bookmarkStart w:id="1742" w:name="_Toc8820"/>
      <w:bookmarkStart w:id="1743" w:name="_Toc489"/>
      <w:bookmarkStart w:id="1744" w:name="_Toc15424"/>
      <w:bookmarkStart w:id="1745" w:name="_Toc75276864"/>
      <w:bookmarkStart w:id="1746" w:name="_Toc17673"/>
      <w:bookmarkStart w:id="1747" w:name="_Toc4089"/>
      <w:bookmarkStart w:id="1748" w:name="_Toc4466"/>
      <w:bookmarkStart w:id="1749" w:name="_Toc370933863"/>
      <w:bookmarkStart w:id="1750" w:name="_Toc16105"/>
      <w:bookmarkStart w:id="1751" w:name="_Toc23750"/>
      <w:bookmarkStart w:id="1752" w:name="_Toc390098472"/>
      <w:r>
        <w:rPr>
          <w:rFonts w:hint="eastAsia" w:ascii="宋体" w:hAnsi="宋体"/>
          <w:b/>
        </w:rPr>
        <w:t>9.包装</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rPr>
      </w:pPr>
      <w:bookmarkStart w:id="1753" w:name="_Toc1543"/>
      <w:bookmarkStart w:id="1754" w:name="_Toc11827"/>
      <w:bookmarkStart w:id="1755" w:name="_Toc14727"/>
      <w:bookmarkStart w:id="1756" w:name="_Toc31936"/>
      <w:bookmarkStart w:id="1757" w:name="_Toc390098473"/>
      <w:bookmarkStart w:id="1758" w:name="_Toc25234"/>
      <w:bookmarkStart w:id="1759" w:name="_Toc75276865"/>
      <w:bookmarkStart w:id="1760" w:name="_Toc1828"/>
      <w:bookmarkStart w:id="1761" w:name="_Toc18168"/>
      <w:bookmarkStart w:id="1762" w:name="_Toc30933"/>
      <w:bookmarkStart w:id="1763" w:name="_Toc25134"/>
      <w:bookmarkStart w:id="1764" w:name="_Toc24077"/>
      <w:bookmarkStart w:id="1765" w:name="_Toc15856"/>
      <w:bookmarkStart w:id="1766" w:name="_Toc7316"/>
      <w:bookmarkStart w:id="1767" w:name="_Toc25750644"/>
      <w:bookmarkStart w:id="1768" w:name="_Toc14492"/>
      <w:bookmarkStart w:id="1769" w:name="_Toc378514961"/>
      <w:bookmarkStart w:id="1770" w:name="_Toc9928"/>
      <w:bookmarkStart w:id="1771" w:name="_Toc6233"/>
      <w:bookmarkStart w:id="1772" w:name="_Toc492478772"/>
      <w:bookmarkStart w:id="1773" w:name="_Toc29215"/>
      <w:bookmarkStart w:id="1774" w:name="_Toc385427847"/>
      <w:bookmarkStart w:id="1775" w:name="_Toc3212"/>
      <w:bookmarkStart w:id="1776" w:name="_Toc20949"/>
      <w:bookmarkStart w:id="1777" w:name="_Toc370933864"/>
      <w:r>
        <w:rPr>
          <w:rFonts w:hint="eastAsia" w:ascii="宋体" w:hAnsi="宋体"/>
          <w:b/>
        </w:rPr>
        <w:t>10交货和单据</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numPr>
          <w:ilvl w:val="1"/>
          <w:numId w:val="1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交货期：合同签订且</w:t>
      </w:r>
      <w:r>
        <w:rPr>
          <w:rFonts w:ascii="宋体" w:hAnsi="宋体"/>
        </w:rPr>
        <w:t>交货通知书发出后</w:t>
      </w:r>
      <w:r>
        <w:rPr>
          <w:rFonts w:hint="eastAsia" w:ascii="宋体" w:hAnsi="宋体"/>
          <w:color w:val="FF0000"/>
        </w:rPr>
        <w:t>90</w:t>
      </w:r>
      <w:r>
        <w:rPr>
          <w:rFonts w:hint="eastAsia" w:ascii="宋体" w:hAnsi="宋体"/>
        </w:rPr>
        <w:t>天内分批交货，如遇春节期间，交货期可适当延长，但不得超过4个月，具体按交货通知为准。具体详见用户需求书。</w:t>
      </w:r>
    </w:p>
    <w:p>
      <w:pPr>
        <w:numPr>
          <w:ilvl w:val="1"/>
          <w:numId w:val="18"/>
        </w:numPr>
        <w:tabs>
          <w:tab w:val="left" w:pos="840"/>
          <w:tab w:val="clear" w:pos="1134"/>
        </w:tabs>
        <w:spacing w:before="0" w:after="0" w:afterAutospacing="0"/>
        <w:ind w:left="0" w:right="0" w:firstLine="420" w:firstLineChars="200"/>
        <w:rPr>
          <w:rFonts w:ascii="宋体" w:hAnsi="宋体"/>
        </w:rPr>
      </w:pPr>
      <w:r>
        <w:rPr>
          <w:rFonts w:ascii="宋体" w:hAnsi="宋体"/>
        </w:rPr>
        <w:t>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numPr>
          <w:ilvl w:val="1"/>
          <w:numId w:val="1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numPr>
          <w:ilvl w:val="1"/>
          <w:numId w:val="18"/>
        </w:numPr>
        <w:tabs>
          <w:tab w:val="left" w:pos="840"/>
          <w:tab w:val="clear" w:pos="1134"/>
        </w:tabs>
        <w:spacing w:before="0" w:after="0" w:afterAutospacing="0"/>
        <w:ind w:left="0" w:right="0" w:firstLine="420" w:firstLineChars="200"/>
        <w:rPr>
          <w:rFonts w:ascii="宋体" w:hAnsi="宋体"/>
          <w:color w:val="000000" w:themeColor="text1"/>
        </w:rPr>
      </w:pPr>
      <w:r>
        <w:rPr>
          <w:rFonts w:hint="eastAsia" w:ascii="宋体" w:hAnsi="宋体"/>
          <w:color w:val="000000" w:themeColor="text1"/>
        </w:rPr>
        <w:t xml:space="preserve"> 乙方应提交的单据执行合同条款的具体规定。</w:t>
      </w:r>
    </w:p>
    <w:p>
      <w:pPr>
        <w:numPr>
          <w:ilvl w:val="1"/>
          <w:numId w:val="18"/>
        </w:numPr>
        <w:tabs>
          <w:tab w:val="left" w:pos="840"/>
          <w:tab w:val="left" w:pos="1276"/>
          <w:tab w:val="clear" w:pos="1134"/>
        </w:tabs>
        <w:spacing w:before="0" w:after="0" w:afterAutospacing="0"/>
        <w:ind w:left="0" w:right="0" w:firstLine="420" w:firstLineChars="200"/>
        <w:rPr>
          <w:rFonts w:ascii="宋体" w:hAnsi="宋体"/>
          <w:color w:val="000000" w:themeColor="text1"/>
        </w:rPr>
      </w:pPr>
      <w:r>
        <w:rPr>
          <w:rFonts w:hint="eastAsia" w:ascii="宋体" w:hAnsi="宋体"/>
          <w:color w:val="000000" w:themeColor="text1"/>
        </w:rPr>
        <w:t xml:space="preserve"> 乙方按照投标时候提供样品进行供货，如果实际供货和投标时候样品不一致，甲方有权拒绝接受乙方提供货物。</w:t>
      </w:r>
    </w:p>
    <w:p>
      <w:pPr>
        <w:tabs>
          <w:tab w:val="left" w:pos="840"/>
          <w:tab w:val="left" w:pos="1843"/>
        </w:tabs>
        <w:spacing w:before="0" w:after="0" w:afterAutospacing="0"/>
        <w:ind w:left="422" w:right="0" w:firstLine="0"/>
        <w:outlineLvl w:val="1"/>
        <w:rPr>
          <w:rFonts w:ascii="宋体" w:hAnsi="宋体"/>
          <w:b/>
        </w:rPr>
      </w:pPr>
      <w:bookmarkStart w:id="1778" w:name="_Toc2014"/>
      <w:bookmarkStart w:id="1779" w:name="_Toc11638"/>
      <w:bookmarkStart w:id="1780" w:name="_Toc492478773"/>
      <w:bookmarkStart w:id="1781" w:name="_Toc370933865"/>
      <w:bookmarkStart w:id="1782" w:name="_Toc25434"/>
      <w:bookmarkStart w:id="1783" w:name="_Toc390098474"/>
      <w:bookmarkStart w:id="1784" w:name="_Toc3365"/>
      <w:bookmarkStart w:id="1785" w:name="_Toc75276866"/>
      <w:bookmarkStart w:id="1786" w:name="_Toc23304"/>
      <w:bookmarkStart w:id="1787" w:name="_Toc385427848"/>
      <w:bookmarkStart w:id="1788" w:name="_Toc22446"/>
      <w:bookmarkStart w:id="1789" w:name="_Toc11528"/>
      <w:bookmarkStart w:id="1790" w:name="_Toc9877"/>
      <w:bookmarkStart w:id="1791" w:name="_Toc18844"/>
      <w:bookmarkStart w:id="1792" w:name="_Toc22801"/>
      <w:bookmarkStart w:id="1793" w:name="_Toc29174"/>
      <w:bookmarkStart w:id="1794" w:name="_Toc378514962"/>
      <w:bookmarkStart w:id="1795" w:name="_Toc14212"/>
      <w:bookmarkStart w:id="1796" w:name="_Toc23906"/>
      <w:bookmarkStart w:id="1797" w:name="_Toc20395"/>
      <w:bookmarkStart w:id="1798" w:name="_Toc25750645"/>
      <w:bookmarkStart w:id="1799" w:name="_Toc3042"/>
      <w:bookmarkStart w:id="1800" w:name="_Toc23157"/>
      <w:bookmarkStart w:id="1801" w:name="_Toc26573"/>
      <w:bookmarkStart w:id="1802" w:name="_Toc10285"/>
      <w:r>
        <w:rPr>
          <w:rFonts w:hint="eastAsia" w:ascii="宋体" w:hAnsi="宋体"/>
          <w:b/>
        </w:rPr>
        <w:t>11.所有权与风险转移</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numPr>
          <w:ilvl w:val="1"/>
          <w:numId w:val="19"/>
        </w:numPr>
        <w:tabs>
          <w:tab w:val="left" w:pos="920"/>
          <w:tab w:val="clear" w:pos="1985"/>
        </w:tabs>
        <w:spacing w:before="0" w:after="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9"/>
        </w:numPr>
        <w:tabs>
          <w:tab w:val="left" w:pos="920"/>
          <w:tab w:val="clear" w:pos="1985"/>
        </w:tabs>
        <w:spacing w:before="0" w:after="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9"/>
        </w:numPr>
        <w:tabs>
          <w:tab w:val="left" w:pos="920"/>
          <w:tab w:val="clear" w:pos="1985"/>
        </w:tabs>
        <w:spacing w:before="0" w:after="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9"/>
        </w:numPr>
        <w:tabs>
          <w:tab w:val="left" w:pos="920"/>
          <w:tab w:val="clear" w:pos="1985"/>
        </w:tabs>
        <w:spacing w:before="0" w:after="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rPr>
      </w:pPr>
      <w:bookmarkStart w:id="1803" w:name="_Toc390098476"/>
      <w:bookmarkStart w:id="1804" w:name="_Toc385427850"/>
      <w:bookmarkStart w:id="1805" w:name="_Toc5445"/>
      <w:bookmarkStart w:id="1806" w:name="_Toc3640"/>
      <w:bookmarkStart w:id="1807" w:name="_Toc28209"/>
      <w:bookmarkStart w:id="1808" w:name="_Toc1991"/>
      <w:bookmarkStart w:id="1809" w:name="_Toc2366"/>
      <w:bookmarkStart w:id="1810" w:name="_Toc492478775"/>
      <w:bookmarkStart w:id="1811" w:name="_Toc20300"/>
      <w:bookmarkStart w:id="1812" w:name="_Toc5208"/>
      <w:bookmarkStart w:id="1813" w:name="_Toc26080"/>
      <w:bookmarkStart w:id="1814" w:name="_Toc26828"/>
      <w:bookmarkStart w:id="1815" w:name="_Toc25750646"/>
      <w:bookmarkStart w:id="1816" w:name="_Toc12408"/>
      <w:bookmarkStart w:id="1817" w:name="_Toc13663"/>
      <w:bookmarkStart w:id="1818" w:name="_Toc370933867"/>
      <w:bookmarkStart w:id="1819" w:name="_Toc28122"/>
      <w:bookmarkStart w:id="1820" w:name="_Toc378514964"/>
      <w:bookmarkStart w:id="1821" w:name="_Toc22984"/>
      <w:bookmarkStart w:id="1822" w:name="_Toc5330"/>
      <w:bookmarkStart w:id="1823" w:name="_Toc31008"/>
      <w:bookmarkStart w:id="1824" w:name="_Toc17205"/>
      <w:bookmarkStart w:id="1825" w:name="_Toc75276867"/>
      <w:bookmarkStart w:id="1826" w:name="_Toc22558"/>
      <w:bookmarkStart w:id="1827" w:name="_Toc28032"/>
      <w:r>
        <w:rPr>
          <w:rFonts w:hint="eastAsia" w:ascii="宋体" w:hAnsi="宋体"/>
          <w:b/>
        </w:rPr>
        <w:t>12.运输</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numPr>
          <w:ilvl w:val="0"/>
          <w:numId w:val="20"/>
        </w:numPr>
        <w:tabs>
          <w:tab w:val="left" w:pos="960"/>
          <w:tab w:val="left" w:pos="8364"/>
          <w:tab w:val="clear" w:pos="1702"/>
        </w:tabs>
        <w:spacing w:before="0" w:after="0" w:afterAutospacing="0"/>
        <w:ind w:left="0" w:right="0" w:firstLine="420" w:firstLineChars="200"/>
        <w:rPr>
          <w:rFonts w:ascii="宋体" w:hAnsi="宋体"/>
        </w:rPr>
      </w:pPr>
      <w:r>
        <w:rPr>
          <w:rFonts w:hint="eastAsia" w:ascii="宋体" w:hAnsi="宋体"/>
        </w:rPr>
        <w:t>乙方应在任何货物运送至甲方指定现场日期前</w:t>
      </w:r>
      <w:r>
        <w:rPr>
          <w:rFonts w:hint="eastAsia" w:ascii="宋体" w:hAnsi="宋体"/>
          <w:u w:val="single"/>
        </w:rPr>
        <w:t>7天</w:t>
      </w:r>
      <w:r>
        <w:rPr>
          <w:rFonts w:hint="eastAsia" w:ascii="宋体" w:hAnsi="宋体"/>
        </w:rPr>
        <w:t>通知甲方。</w:t>
      </w:r>
    </w:p>
    <w:p>
      <w:pPr>
        <w:numPr>
          <w:ilvl w:val="0"/>
          <w:numId w:val="20"/>
        </w:numPr>
        <w:tabs>
          <w:tab w:val="left" w:pos="960"/>
          <w:tab w:val="left" w:pos="8364"/>
          <w:tab w:val="clear" w:pos="1702"/>
        </w:tabs>
        <w:spacing w:before="0" w:after="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rPr>
      </w:pPr>
      <w:bookmarkStart w:id="1828" w:name="_Toc28552"/>
      <w:bookmarkStart w:id="1829" w:name="_Toc23523"/>
      <w:bookmarkStart w:id="1830" w:name="_Toc18029"/>
      <w:bookmarkStart w:id="1831" w:name="_Toc23350"/>
      <w:bookmarkStart w:id="1832" w:name="_Toc75276868"/>
      <w:bookmarkStart w:id="1833" w:name="_Toc25750647"/>
      <w:bookmarkStart w:id="1834" w:name="_Toc10693"/>
      <w:bookmarkStart w:id="1835" w:name="_Toc28351"/>
      <w:bookmarkStart w:id="1836" w:name="_Toc370933868"/>
      <w:bookmarkStart w:id="1837" w:name="_Toc13163"/>
      <w:bookmarkStart w:id="1838" w:name="_Toc15819"/>
      <w:bookmarkStart w:id="1839" w:name="_Toc31553"/>
      <w:bookmarkStart w:id="1840" w:name="_Toc23976"/>
      <w:bookmarkStart w:id="1841" w:name="_Toc378514965"/>
      <w:bookmarkStart w:id="1842" w:name="_Toc2108"/>
      <w:bookmarkStart w:id="1843" w:name="_Toc7764"/>
      <w:bookmarkStart w:id="1844" w:name="_Toc10639"/>
      <w:bookmarkStart w:id="1845" w:name="_Toc492478776"/>
      <w:bookmarkStart w:id="1846" w:name="_Toc385427851"/>
      <w:bookmarkStart w:id="1847" w:name="_Toc21300"/>
      <w:bookmarkStart w:id="1848" w:name="_Toc20434"/>
      <w:bookmarkStart w:id="1849" w:name="_Toc25004"/>
      <w:bookmarkStart w:id="1850" w:name="_Toc25594"/>
      <w:bookmarkStart w:id="1851" w:name="_Toc606"/>
      <w:bookmarkStart w:id="1852" w:name="_Toc390098477"/>
      <w:r>
        <w:rPr>
          <w:rFonts w:hint="eastAsia" w:ascii="宋体" w:hAnsi="宋体"/>
          <w:b/>
        </w:rPr>
        <w:t>13.服务</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numPr>
          <w:ilvl w:val="1"/>
          <w:numId w:val="21"/>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21"/>
        </w:numPr>
        <w:tabs>
          <w:tab w:val="left" w:pos="1020"/>
          <w:tab w:val="clear" w:pos="1134"/>
        </w:tabs>
        <w:spacing w:before="0" w:after="0" w:afterAutospacing="0"/>
        <w:ind w:left="0" w:right="0" w:firstLine="420" w:firstLineChars="200"/>
        <w:rPr>
          <w:rFonts w:ascii="宋体" w:hAnsi="宋体"/>
        </w:rPr>
      </w:pPr>
      <w:r>
        <w:rPr>
          <w:rFonts w:hint="eastAsia" w:ascii="宋体" w:hAnsi="宋体"/>
        </w:rPr>
        <w:t>具体服务内容与范围详见以下条款。</w:t>
      </w:r>
    </w:p>
    <w:p>
      <w:pPr>
        <w:numPr>
          <w:ilvl w:val="1"/>
          <w:numId w:val="21"/>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21"/>
        </w:numPr>
        <w:tabs>
          <w:tab w:val="clear" w:pos="720"/>
        </w:tabs>
        <w:spacing w:before="0" w:after="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21"/>
        </w:numPr>
        <w:tabs>
          <w:tab w:val="clear" w:pos="720"/>
        </w:tabs>
        <w:spacing w:before="0" w:after="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21"/>
        </w:numPr>
        <w:tabs>
          <w:tab w:val="clear" w:pos="720"/>
        </w:tabs>
        <w:spacing w:before="0" w:after="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rPr>
      </w:pPr>
      <w:bookmarkStart w:id="1853" w:name="_Toc75276869"/>
      <w:r>
        <w:rPr>
          <w:rFonts w:hint="eastAsia" w:ascii="宋体" w:hAnsi="宋体"/>
          <w:b/>
        </w:rPr>
        <w:t>14.保证</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853"/>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22"/>
        </w:numPr>
        <w:spacing w:before="0" w:after="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22"/>
        </w:numPr>
        <w:spacing w:before="0" w:after="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22"/>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22"/>
        </w:numPr>
        <w:tabs>
          <w:tab w:val="left" w:pos="940"/>
          <w:tab w:val="clear" w:pos="1134"/>
        </w:tabs>
        <w:spacing w:before="0" w:after="0" w:afterAutospacing="0"/>
        <w:ind w:left="0" w:right="0" w:firstLine="420" w:firstLineChars="200"/>
        <w:rPr>
          <w:rFonts w:ascii="宋体" w:hAnsi="宋体"/>
        </w:rPr>
      </w:pPr>
      <w:r>
        <w:rPr>
          <w:rFonts w:hint="eastAsia" w:ascii="宋体" w:hAnsi="宋体"/>
        </w:rPr>
        <w:t>质量保证期</w:t>
      </w:r>
    </w:p>
    <w:p>
      <w:pPr>
        <w:numPr>
          <w:ilvl w:val="2"/>
          <w:numId w:val="22"/>
        </w:numPr>
        <w:spacing w:before="0" w:after="0" w:afterAutospacing="0"/>
        <w:ind w:left="0" w:right="0" w:firstLine="420" w:firstLineChars="200"/>
        <w:rPr>
          <w:rFonts w:ascii="宋体" w:hAnsi="宋体"/>
        </w:rPr>
      </w:pPr>
      <w:r>
        <w:rPr>
          <w:rFonts w:hint="eastAsia" w:ascii="宋体" w:hAnsi="宋体"/>
        </w:rPr>
        <w:t>正常质量保证期</w:t>
      </w:r>
    </w:p>
    <w:p>
      <w:pPr>
        <w:tabs>
          <w:tab w:val="left" w:pos="840"/>
          <w:tab w:val="left" w:pos="4678"/>
        </w:tabs>
        <w:spacing w:before="0" w:after="0" w:afterAutospacing="0"/>
        <w:ind w:left="0"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w:t>
      </w:r>
      <w:r>
        <w:rPr>
          <w:rFonts w:hint="eastAsia" w:ascii="宋体" w:hAnsi="宋体"/>
          <w:b/>
          <w:color w:val="000000" w:themeColor="text1"/>
        </w:rPr>
        <w:t>起</w:t>
      </w:r>
      <w:r>
        <w:rPr>
          <w:rFonts w:hint="eastAsia" w:ascii="宋体" w:hAnsi="宋体"/>
          <w:b/>
          <w:color w:val="000000" w:themeColor="text1"/>
          <w:u w:val="single"/>
        </w:rPr>
        <w:t>24</w:t>
      </w:r>
      <w:r>
        <w:rPr>
          <w:rFonts w:hint="eastAsia" w:ascii="宋体" w:hAnsi="宋体"/>
          <w:b/>
          <w:color w:val="000000" w:themeColor="text1"/>
        </w:rPr>
        <w:t>个</w:t>
      </w:r>
      <w:r>
        <w:rPr>
          <w:rFonts w:hint="eastAsia" w:ascii="宋体" w:hAnsi="宋体"/>
          <w:b/>
        </w:rPr>
        <w:t>月（如中选人比选申请文件中承诺的质量保证期优于比选文件要求，按比选申请人承诺的质量保证期执行）</w:t>
      </w:r>
      <w:r>
        <w:rPr>
          <w:rFonts w:hint="eastAsia" w:ascii="宋体" w:hAnsi="宋体"/>
        </w:rPr>
        <w:t>。</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2在正常质量保证期内，乙方应对在合同条款之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3若同一货物在质量保证期内返修次数达到或超过三次的，甲方有权要求乙方更换、重新设计、修改或更新，这部分货物的质量保证期自双方确认的修复完成日起重新计算24个月的质量保证期。</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4本合同项下的货物（包含所有零部件）正常质量保</w:t>
      </w:r>
      <w:r>
        <w:rPr>
          <w:rFonts w:hint="eastAsia" w:ascii="宋体" w:hAnsi="宋体"/>
          <w:color w:val="000000" w:themeColor="text1"/>
        </w:rPr>
        <w:t>证期24个月</w:t>
      </w:r>
      <w:r>
        <w:rPr>
          <w:rFonts w:hint="eastAsia" w:ascii="宋体" w:hAnsi="宋体"/>
          <w:b/>
        </w:rPr>
        <w:t>（如中选人比选申请文件中承诺的质量保证期优于比选文件要求，按比选申请人承诺的质量保证期执行）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w:t>
      </w:r>
      <w:r>
        <w:rPr>
          <w:rFonts w:hint="eastAsia" w:ascii="宋体" w:hAnsi="宋体"/>
        </w:rPr>
        <w:t>（保质期为1年的，有效保质期须大于等于6个月）</w:t>
      </w:r>
      <w:r>
        <w:rPr>
          <w:rFonts w:ascii="宋体" w:hAnsi="宋体"/>
        </w:rPr>
        <w:t>；无保质期的产品，乙方所供货物须为交货时2年以内生产的货物。如涉及到特殊物品，由双方协商决定。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6乙方提供的货物必须是全新原装正品，质量保证期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w:t>
      </w:r>
      <w:r>
        <w:rPr>
          <w:rFonts w:hint="eastAsia" w:ascii="宋体" w:hAnsi="宋体"/>
        </w:rPr>
        <w:t>2条规定的时间内没有以合理的速度弥补缺陷，甲方可采取必要的补救措施，但其风险和费用将由乙方承担，甲方根据合同规定对乙方行使的其他权力不受影响。</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w:t>
      </w:r>
      <w:r>
        <w:rPr>
          <w:rFonts w:hint="eastAsia" w:ascii="宋体" w:hAnsi="宋体"/>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22"/>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22"/>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22"/>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rPr>
      </w:pPr>
      <w:bookmarkStart w:id="1854" w:name="_Toc13916"/>
      <w:bookmarkStart w:id="1855" w:name="_Toc10179"/>
      <w:bookmarkStart w:id="1856" w:name="_Toc30070"/>
      <w:bookmarkStart w:id="1857" w:name="_Toc3299"/>
      <w:bookmarkStart w:id="1858" w:name="_Toc16602"/>
      <w:bookmarkStart w:id="1859" w:name="_Toc32206"/>
      <w:bookmarkStart w:id="1860" w:name="_Toc28560"/>
      <w:bookmarkStart w:id="1861" w:name="_Toc32188"/>
      <w:bookmarkStart w:id="1862" w:name="_Toc385427854"/>
      <w:bookmarkStart w:id="1863" w:name="_Toc378514968"/>
      <w:bookmarkStart w:id="1864" w:name="_Toc1295"/>
      <w:bookmarkStart w:id="1865" w:name="_Toc23773"/>
      <w:bookmarkStart w:id="1866" w:name="_Toc390098480"/>
      <w:bookmarkStart w:id="1867" w:name="_Toc370933871"/>
      <w:bookmarkStart w:id="1868" w:name="_Toc11315"/>
      <w:bookmarkStart w:id="1869" w:name="_Toc492478778"/>
      <w:bookmarkStart w:id="1870" w:name="_Toc26721"/>
      <w:bookmarkStart w:id="1871" w:name="_Toc886"/>
      <w:bookmarkStart w:id="1872" w:name="_Toc25750649"/>
      <w:bookmarkStart w:id="1873" w:name="_Toc23162"/>
      <w:bookmarkStart w:id="1874" w:name="_Toc21624"/>
      <w:bookmarkStart w:id="1875" w:name="_Toc75276870"/>
      <w:bookmarkStart w:id="1876" w:name="_Toc13238"/>
      <w:bookmarkStart w:id="1877" w:name="_Toc24420"/>
      <w:bookmarkStart w:id="1878" w:name="_Toc19053"/>
      <w:r>
        <w:rPr>
          <w:rFonts w:hint="eastAsia" w:ascii="宋体" w:hAnsi="宋体"/>
          <w:b/>
        </w:rPr>
        <w:t>15.付款</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numPr>
          <w:ilvl w:val="1"/>
          <w:numId w:val="23"/>
        </w:numPr>
        <w:tabs>
          <w:tab w:val="left" w:pos="960"/>
          <w:tab w:val="left" w:pos="8364"/>
        </w:tabs>
        <w:spacing w:before="0" w:after="0" w:afterAutospacing="0"/>
        <w:ind w:left="0" w:right="0" w:firstLine="420" w:firstLineChars="200"/>
        <w:rPr>
          <w:rFonts w:ascii="宋体" w:hAnsi="宋体"/>
        </w:rPr>
      </w:pPr>
      <w:bookmarkStart w:id="1879" w:name="_Toc370933872"/>
      <w:bookmarkStart w:id="1880" w:name="_Toc378514969"/>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23"/>
        </w:numPr>
        <w:tabs>
          <w:tab w:val="left" w:pos="960"/>
          <w:tab w:val="left" w:pos="8364"/>
        </w:tabs>
        <w:spacing w:before="0" w:after="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23"/>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付款方式。</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15.3.1全部货物到货安装并验收合格后，乙方根据甲方要求完成档案归档及合同结算经甲方审定后，甲方在收到乙方提供的以下材料后4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③全部货物验收合格证明。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15.3.2全部货物质保期满，经甲方确认所有批次产品均无质量问题或乙方已更换有质量问题产品经甲方确认合格后，甲方在收到由乙方提供的以下材料后4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②双方确认的质保期满后产品合格证明。</w:t>
      </w:r>
    </w:p>
    <w:p>
      <w:pPr>
        <w:numPr>
          <w:ilvl w:val="1"/>
          <w:numId w:val="23"/>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23"/>
        </w:numPr>
        <w:tabs>
          <w:tab w:val="left" w:pos="960"/>
          <w:tab w:val="left" w:pos="8364"/>
        </w:tabs>
        <w:spacing w:before="0" w:after="0" w:afterAutospacing="0"/>
        <w:ind w:right="0"/>
        <w:rPr>
          <w:rFonts w:ascii="宋体" w:hAnsi="宋体" w:cs="Arial"/>
        </w:rPr>
      </w:pPr>
      <w:r>
        <w:rPr>
          <w:rFonts w:hint="eastAsia" w:ascii="宋体" w:hAnsi="宋体" w:cs="Arial"/>
        </w:rPr>
        <w:t>支付的货币为人民币支付，支付形式包括但不限于……。</w:t>
      </w:r>
    </w:p>
    <w:p>
      <w:pPr>
        <w:tabs>
          <w:tab w:val="left" w:pos="8364"/>
        </w:tabs>
        <w:spacing w:before="0" w:after="0" w:afterAutospacing="0"/>
        <w:ind w:left="0" w:right="0" w:firstLine="420" w:firstLineChars="200"/>
        <w:rPr>
          <w:rFonts w:ascii="宋体" w:hAnsi="宋体"/>
        </w:rPr>
      </w:pPr>
      <w:r>
        <w:rPr>
          <w:rFonts w:hint="eastAsia" w:ascii="宋体" w:hAnsi="宋体" w:cs="Arial"/>
        </w:rPr>
        <w:t>本合同项下涉及第三方付款的，由甲方组织签订三方协议，乙方按本合同规定的程序向第三方开具发票（开票信息另行提供），由第三方向乙方支付经甲方核准的合同应付价款。</w:t>
      </w:r>
    </w:p>
    <w:p>
      <w:pPr>
        <w:tabs>
          <w:tab w:val="left" w:pos="840"/>
          <w:tab w:val="left" w:pos="1134"/>
        </w:tabs>
        <w:spacing w:before="0" w:after="0" w:afterAutospacing="0"/>
        <w:ind w:left="426" w:right="0" w:firstLine="0"/>
        <w:outlineLvl w:val="1"/>
        <w:rPr>
          <w:rFonts w:ascii="宋体" w:hAnsi="宋体"/>
        </w:rPr>
      </w:pPr>
      <w:bookmarkStart w:id="1881" w:name="_Toc75276871"/>
      <w:bookmarkStart w:id="1882" w:name="_Toc12729"/>
      <w:bookmarkStart w:id="1883" w:name="_Toc18054"/>
      <w:bookmarkStart w:id="1884" w:name="_Toc492478779"/>
      <w:bookmarkStart w:id="1885" w:name="_Toc2957"/>
      <w:bookmarkStart w:id="1886" w:name="_Toc24274"/>
      <w:bookmarkStart w:id="1887" w:name="_Toc12979"/>
      <w:bookmarkStart w:id="1888" w:name="_Toc16641"/>
      <w:bookmarkStart w:id="1889" w:name="_Toc25750650"/>
      <w:bookmarkStart w:id="1890" w:name="_Toc13281"/>
      <w:bookmarkStart w:id="1891" w:name="_Toc26222"/>
      <w:bookmarkStart w:id="1892" w:name="_Toc385427855"/>
      <w:bookmarkStart w:id="1893" w:name="_Toc27798"/>
      <w:bookmarkStart w:id="1894" w:name="_Toc30094"/>
      <w:bookmarkStart w:id="1895" w:name="_Toc19387"/>
      <w:bookmarkStart w:id="1896" w:name="_Toc18890"/>
      <w:bookmarkStart w:id="1897" w:name="_Toc390098481"/>
      <w:bookmarkStart w:id="1898" w:name="_Toc22179"/>
      <w:bookmarkStart w:id="1899" w:name="_Toc28757"/>
      <w:bookmarkStart w:id="1900" w:name="_Toc2069"/>
      <w:bookmarkStart w:id="1901" w:name="_Toc9642"/>
      <w:bookmarkStart w:id="1902" w:name="_Toc9852"/>
      <w:bookmarkStart w:id="1903" w:name="_Toc4697"/>
      <w:r>
        <w:rPr>
          <w:rFonts w:hint="eastAsia" w:ascii="宋体" w:hAnsi="宋体"/>
          <w:b/>
        </w:rPr>
        <w:t>16.价格</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合同价格执行以下条款的规定。</w:t>
      </w:r>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本合同价格中合同不含税单价为固定价，不得以任何理由予以合同价格上浮、上调、上涨，但如属经双方协商同意变更的情况除外</w:t>
      </w:r>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在合同履约过程中，本合同税率将遵照国家现行税法执行。本合同最终税金在结算阶段，按实际产生的税金进行核算，但合同不含税价格不因国家税率调整而调整</w:t>
      </w:r>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现场知晓</w:t>
      </w:r>
    </w:p>
    <w:p>
      <w:pPr>
        <w:spacing w:before="0" w:after="0" w:afterAutospacing="0"/>
        <w:ind w:left="0" w:right="0" w:firstLine="420" w:firstLineChars="200"/>
        <w:rPr>
          <w:rFonts w:ascii="宋体" w:hAnsi="宋体"/>
        </w:rPr>
      </w:pPr>
      <w:r>
        <w:rPr>
          <w:rFonts w:hint="eastAsia" w:ascii="宋体" w:hAnsi="宋体"/>
        </w:rPr>
        <w:t>应当认为，乙方对本合同现场的综合条件以及用于项目运行的资料完全知晓，并对国家及地方法律法规完全知晓。</w:t>
      </w:r>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numPr>
          <w:ilvl w:val="255"/>
          <w:numId w:val="0"/>
        </w:numPr>
        <w:tabs>
          <w:tab w:val="left" w:pos="8364"/>
        </w:tabs>
        <w:spacing w:before="0" w:after="0" w:afterAutospacing="0"/>
        <w:ind w:left="1129" w:leftChars="200" w:right="0"/>
        <w:rPr>
          <w:rFonts w:ascii="宋体" w:hAnsi="宋体"/>
        </w:rPr>
      </w:pPr>
      <w:r>
        <w:rPr>
          <w:rFonts w:hint="eastAsia" w:ascii="宋体" w:hAnsi="宋体"/>
        </w:rPr>
        <w:t>16.6.1影响合同价格的全部条件和情况；</w:t>
      </w:r>
    </w:p>
    <w:p>
      <w:pPr>
        <w:numPr>
          <w:ilvl w:val="255"/>
          <w:numId w:val="0"/>
        </w:numPr>
        <w:tabs>
          <w:tab w:val="left" w:pos="8364"/>
        </w:tabs>
        <w:spacing w:before="0" w:after="0" w:afterAutospacing="0"/>
        <w:ind w:left="1129" w:leftChars="200" w:right="0"/>
        <w:rPr>
          <w:rFonts w:ascii="宋体" w:hAnsi="宋体"/>
        </w:rPr>
      </w:pPr>
      <w:r>
        <w:rPr>
          <w:rFonts w:hint="eastAsia" w:ascii="宋体" w:hAnsi="宋体"/>
        </w:rPr>
        <w:t>16.6.2完成合同中所述项目的可能性；</w:t>
      </w:r>
    </w:p>
    <w:p>
      <w:pPr>
        <w:numPr>
          <w:ilvl w:val="255"/>
          <w:numId w:val="0"/>
        </w:numPr>
        <w:tabs>
          <w:tab w:val="left" w:pos="8364"/>
        </w:tabs>
        <w:spacing w:before="0" w:after="0" w:afterAutospacing="0"/>
        <w:ind w:left="1129" w:leftChars="200" w:right="0"/>
        <w:rPr>
          <w:rFonts w:ascii="宋体" w:hAnsi="宋体"/>
        </w:rPr>
      </w:pPr>
      <w:r>
        <w:rPr>
          <w:rFonts w:hint="eastAsia" w:ascii="宋体" w:hAnsi="宋体"/>
        </w:rPr>
        <w:t>16.6.3现场的综合情况；</w:t>
      </w:r>
    </w:p>
    <w:p>
      <w:pPr>
        <w:numPr>
          <w:ilvl w:val="255"/>
          <w:numId w:val="0"/>
        </w:numPr>
        <w:tabs>
          <w:tab w:val="left" w:pos="8364"/>
        </w:tabs>
        <w:spacing w:before="0" w:after="0" w:afterAutospacing="0"/>
        <w:ind w:left="1129" w:leftChars="200" w:right="0"/>
        <w:rPr>
          <w:rFonts w:ascii="宋体" w:hAnsi="宋体"/>
        </w:rPr>
      </w:pPr>
      <w:r>
        <w:rPr>
          <w:rFonts w:hint="eastAsia" w:ascii="宋体" w:hAnsi="宋体"/>
        </w:rPr>
        <w:t>16.6.4现场总的劳务情况；</w:t>
      </w:r>
    </w:p>
    <w:p>
      <w:pPr>
        <w:numPr>
          <w:ilvl w:val="255"/>
          <w:numId w:val="0"/>
        </w:numPr>
        <w:tabs>
          <w:tab w:val="left" w:pos="8364"/>
        </w:tabs>
        <w:spacing w:before="0" w:after="0" w:afterAutospacing="0"/>
        <w:ind w:left="1129" w:leftChars="200" w:right="0"/>
        <w:rPr>
          <w:rFonts w:ascii="宋体" w:hAnsi="宋体"/>
        </w:rPr>
      </w:pPr>
      <w:r>
        <w:rPr>
          <w:rFonts w:hint="eastAsia" w:ascii="宋体" w:hAnsi="宋体"/>
        </w:rPr>
        <w:t>16.6.5</w:t>
      </w: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rPr>
      </w:pPr>
      <w:bookmarkStart w:id="1904" w:name="_Toc6771"/>
      <w:bookmarkStart w:id="1905" w:name="_Toc385427856"/>
      <w:bookmarkStart w:id="1906" w:name="_Toc27489"/>
      <w:bookmarkStart w:id="1907" w:name="_Toc370933873"/>
      <w:bookmarkStart w:id="1908" w:name="_Toc14851"/>
      <w:bookmarkStart w:id="1909" w:name="_Toc25230"/>
      <w:bookmarkStart w:id="1910" w:name="_Toc32028"/>
      <w:bookmarkStart w:id="1911" w:name="_Toc26418"/>
      <w:bookmarkStart w:id="1912" w:name="_Toc10545"/>
      <w:bookmarkStart w:id="1913" w:name="_Toc21856"/>
      <w:bookmarkStart w:id="1914" w:name="_Toc30611"/>
      <w:bookmarkStart w:id="1915" w:name="_Toc3558"/>
      <w:bookmarkStart w:id="1916" w:name="_Toc29593"/>
      <w:bookmarkStart w:id="1917" w:name="_Toc12825"/>
      <w:bookmarkStart w:id="1918" w:name="_Toc2295"/>
      <w:bookmarkStart w:id="1919" w:name="_Toc75276872"/>
      <w:bookmarkStart w:id="1920" w:name="_Toc29106"/>
      <w:bookmarkStart w:id="1921" w:name="_Toc23070"/>
      <w:bookmarkStart w:id="1922" w:name="_Toc24113"/>
      <w:bookmarkStart w:id="1923" w:name="_Toc25441"/>
      <w:bookmarkStart w:id="1924" w:name="_Toc492478780"/>
      <w:bookmarkStart w:id="1925" w:name="_Toc769"/>
      <w:bookmarkStart w:id="1926" w:name="_Toc390098482"/>
      <w:bookmarkStart w:id="1927" w:name="_Toc25750651"/>
      <w:bookmarkStart w:id="1928" w:name="_Toc378514970"/>
      <w:r>
        <w:rPr>
          <w:rFonts w:hint="eastAsia" w:ascii="宋体" w:hAnsi="宋体"/>
          <w:b/>
        </w:rPr>
        <w:t>17.合同变更与修改</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numPr>
          <w:ilvl w:val="1"/>
          <w:numId w:val="25"/>
        </w:numPr>
        <w:tabs>
          <w:tab w:val="left" w:pos="960"/>
        </w:tabs>
        <w:spacing w:before="0" w:after="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25"/>
        </w:numPr>
        <w:tabs>
          <w:tab w:val="left" w:pos="960"/>
        </w:tabs>
        <w:spacing w:before="0" w:after="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5"/>
        </w:numPr>
        <w:tabs>
          <w:tab w:val="left" w:pos="960"/>
        </w:tabs>
        <w:spacing w:before="0" w:after="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25"/>
        </w:numPr>
        <w:tabs>
          <w:tab w:val="left" w:pos="980"/>
        </w:tabs>
        <w:spacing w:before="0" w:after="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26"/>
        </w:numPr>
        <w:spacing w:before="0" w:after="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26"/>
        </w:numPr>
        <w:spacing w:before="0" w:after="0" w:afterAutospacing="0"/>
        <w:ind w:left="0" w:right="0" w:firstLine="420" w:firstLineChars="200"/>
        <w:rPr>
          <w:rFonts w:ascii="宋体" w:hAnsi="宋体"/>
        </w:rPr>
      </w:pPr>
      <w:r>
        <w:rPr>
          <w:rFonts w:hint="eastAsia" w:ascii="宋体" w:hAnsi="宋体"/>
        </w:rPr>
        <w:t>运输或包装的方法；</w:t>
      </w:r>
    </w:p>
    <w:p>
      <w:pPr>
        <w:numPr>
          <w:ilvl w:val="1"/>
          <w:numId w:val="26"/>
        </w:numPr>
        <w:spacing w:before="0" w:after="0" w:afterAutospacing="0"/>
        <w:ind w:left="0" w:right="0" w:firstLine="420" w:firstLineChars="200"/>
        <w:rPr>
          <w:rFonts w:ascii="宋体" w:hAnsi="宋体"/>
        </w:rPr>
      </w:pPr>
      <w:r>
        <w:rPr>
          <w:rFonts w:hint="eastAsia" w:ascii="宋体" w:hAnsi="宋体"/>
        </w:rPr>
        <w:t>交货时间；</w:t>
      </w:r>
    </w:p>
    <w:p>
      <w:pPr>
        <w:numPr>
          <w:ilvl w:val="1"/>
          <w:numId w:val="26"/>
        </w:numPr>
        <w:spacing w:before="0" w:after="0" w:afterAutospacing="0"/>
        <w:ind w:left="0" w:right="0" w:firstLine="420" w:firstLineChars="200"/>
        <w:rPr>
          <w:rFonts w:ascii="宋体" w:hAnsi="宋体"/>
        </w:rPr>
      </w:pPr>
      <w:r>
        <w:rPr>
          <w:rFonts w:hint="eastAsia" w:ascii="宋体" w:hAnsi="宋体"/>
        </w:rPr>
        <w:t>交货地点；</w:t>
      </w:r>
    </w:p>
    <w:p>
      <w:pPr>
        <w:numPr>
          <w:ilvl w:val="1"/>
          <w:numId w:val="26"/>
        </w:numPr>
        <w:spacing w:before="0" w:after="0" w:afterAutospacing="0"/>
        <w:ind w:left="0" w:right="0" w:firstLine="420" w:firstLineChars="200"/>
        <w:rPr>
          <w:rFonts w:ascii="宋体" w:hAnsi="宋体"/>
        </w:rPr>
      </w:pPr>
      <w:r>
        <w:rPr>
          <w:rFonts w:hint="eastAsia" w:ascii="宋体" w:hAnsi="宋体"/>
        </w:rPr>
        <w:t>供货期；</w:t>
      </w:r>
    </w:p>
    <w:p>
      <w:pPr>
        <w:numPr>
          <w:ilvl w:val="1"/>
          <w:numId w:val="26"/>
        </w:numPr>
        <w:spacing w:before="0" w:after="0" w:afterAutospacing="0"/>
        <w:ind w:left="0" w:right="0" w:firstLine="420" w:firstLineChars="200"/>
        <w:rPr>
          <w:rFonts w:ascii="宋体" w:hAnsi="宋体"/>
        </w:rPr>
      </w:pPr>
      <w:r>
        <w:rPr>
          <w:rFonts w:hint="eastAsia" w:ascii="宋体" w:hAnsi="宋体"/>
        </w:rPr>
        <w:t>乙方提供的货物数量及服务；</w:t>
      </w:r>
    </w:p>
    <w:p>
      <w:pPr>
        <w:numPr>
          <w:ilvl w:val="1"/>
          <w:numId w:val="26"/>
        </w:numPr>
        <w:spacing w:before="0" w:after="0" w:afterAutospacing="0"/>
        <w:ind w:left="0" w:right="0" w:firstLine="420" w:firstLineChars="200"/>
        <w:rPr>
          <w:rFonts w:ascii="宋体" w:hAnsi="宋体"/>
        </w:rPr>
      </w:pPr>
      <w:r>
        <w:rPr>
          <w:rFonts w:hint="eastAsia" w:ascii="宋体" w:hAnsi="宋体"/>
        </w:rPr>
        <w:t>以及甲方认为需要变更的项目。</w:t>
      </w:r>
    </w:p>
    <w:p>
      <w:pPr>
        <w:numPr>
          <w:ilvl w:val="1"/>
          <w:numId w:val="25"/>
        </w:numPr>
        <w:tabs>
          <w:tab w:val="left" w:pos="980"/>
        </w:tabs>
        <w:spacing w:before="0" w:after="0" w:afterAutospacing="0"/>
        <w:ind w:left="0" w:right="0" w:firstLine="420" w:firstLineChars="200"/>
        <w:rPr>
          <w:rFonts w:ascii="宋体" w:hAnsi="宋体"/>
        </w:rPr>
      </w:pPr>
      <w:r>
        <w:rPr>
          <w:rFonts w:hint="eastAsia" w:ascii="宋体" w:hAnsi="宋体"/>
        </w:rPr>
        <w:t>当出现以下几种情况时，经甲乙双方协商，可进行合同变更：</w:t>
      </w:r>
    </w:p>
    <w:p>
      <w:pPr>
        <w:tabs>
          <w:tab w:val="left" w:pos="820"/>
        </w:tabs>
        <w:spacing w:before="0" w:after="0" w:afterAutospacing="0"/>
        <w:ind w:left="0" w:right="0" w:firstLine="420" w:firstLineChars="200"/>
        <w:rPr>
          <w:rFonts w:ascii="宋体" w:hAnsi="宋体"/>
        </w:rPr>
      </w:pPr>
      <w:r>
        <w:rPr>
          <w:rFonts w:hint="eastAsia" w:ascii="宋体" w:hAnsi="宋体"/>
        </w:rPr>
        <w:t>1）</w:t>
      </w:r>
      <w:r>
        <w:rPr>
          <w:rFonts w:hint="eastAsia"/>
        </w:rPr>
        <w:t>因乙方比选申请时填报错误导致清单项不满足甲方需求的，变更的品牌型号需满足甲方需求，技术指标同等或优于</w:t>
      </w:r>
      <w:r>
        <w:rPr>
          <w:rFonts w:hint="eastAsia" w:ascii="宋体" w:hAnsi="宋体"/>
        </w:rPr>
        <w:t>“技术需求及数量表”中的要求</w:t>
      </w:r>
      <w:r>
        <w:rPr>
          <w:rFonts w:hint="eastAsia"/>
        </w:rPr>
        <w:t>，市场价格原则上同等或高于原填报价格；</w:t>
      </w:r>
    </w:p>
    <w:p>
      <w:pPr>
        <w:tabs>
          <w:tab w:val="left" w:pos="540"/>
          <w:tab w:val="left" w:pos="980"/>
        </w:tabs>
        <w:spacing w:before="0" w:after="0" w:afterAutospacing="0"/>
        <w:ind w:left="420" w:right="0" w:firstLine="0"/>
        <w:rPr>
          <w:rFonts w:ascii="宋体" w:hAnsi="宋体"/>
        </w:rPr>
      </w:pPr>
      <w:r>
        <w:rPr>
          <w:rFonts w:hint="eastAsia"/>
        </w:rPr>
        <w:t>2）因原填报品牌型号停产或升级的导致市场采购不到的。变更的品牌型号需提供原厂出具的其品牌型号停产证明或型号升级证明。</w:t>
      </w:r>
    </w:p>
    <w:p>
      <w:pPr>
        <w:numPr>
          <w:ilvl w:val="1"/>
          <w:numId w:val="25"/>
        </w:numPr>
        <w:tabs>
          <w:tab w:val="left" w:pos="980"/>
        </w:tabs>
        <w:spacing w:before="0" w:after="0" w:afterAutospacing="0"/>
        <w:ind w:left="0" w:right="0" w:firstLine="420" w:firstLineChars="200"/>
        <w:rPr>
          <w:rFonts w:ascii="宋体" w:hAnsi="宋体"/>
        </w:rPr>
      </w:pPr>
      <w:r>
        <w:rPr>
          <w:rFonts w:hint="eastAsia" w:ascii="宋体" w:hAnsi="宋体"/>
        </w:rPr>
        <w:t>乙方收到甲方通知后应在十天内向甲方提供变更所带来的费用变化，乙方所提的费用应是最优惠的，如果只是货物数量的变化乙方应按合同中规定的货物单价计算。</w:t>
      </w:r>
    </w:p>
    <w:p>
      <w:pPr>
        <w:numPr>
          <w:ilvl w:val="1"/>
          <w:numId w:val="25"/>
        </w:numPr>
        <w:tabs>
          <w:tab w:val="left" w:pos="980"/>
        </w:tabs>
        <w:spacing w:before="0" w:after="0" w:afterAutospacing="0"/>
        <w:ind w:left="0" w:right="0" w:firstLine="420" w:firstLineChars="200"/>
        <w:rPr>
          <w:rFonts w:ascii="宋体" w:hAnsi="宋体"/>
        </w:rPr>
      </w:pPr>
      <w:r>
        <w:rPr>
          <w:rFonts w:hint="eastAsia" w:ascii="宋体" w:hAnsi="宋体"/>
        </w:rPr>
        <w:t>变更费用的确认：</w:t>
      </w:r>
    </w:p>
    <w:p>
      <w:pPr>
        <w:tabs>
          <w:tab w:val="left" w:pos="820"/>
        </w:tabs>
        <w:spacing w:before="0" w:after="0" w:afterAutospacing="0"/>
        <w:ind w:left="0" w:right="0" w:firstLine="420" w:firstLineChars="200"/>
      </w:pPr>
      <w:r>
        <w:rPr>
          <w:rFonts w:hint="eastAsia"/>
        </w:rPr>
        <w:t>17.7.1变更后的费用经甲乙双方协商确认后，如低于原合同价格，则按照变更后的费用来执行；</w:t>
      </w:r>
    </w:p>
    <w:p>
      <w:pPr>
        <w:tabs>
          <w:tab w:val="left" w:pos="820"/>
        </w:tabs>
        <w:spacing w:before="0" w:after="0" w:afterAutospacing="0"/>
        <w:ind w:left="0" w:right="0" w:firstLine="420" w:firstLineChars="200"/>
      </w:pPr>
      <w:r>
        <w:rPr>
          <w:rFonts w:hint="eastAsia"/>
        </w:rPr>
        <w:t>17.7.2变更后的费用经甲乙双方协商确认后，如高于原合同价格，则按照原合同价格来执行。</w:t>
      </w:r>
    </w:p>
    <w:p>
      <w:pPr>
        <w:numPr>
          <w:ilvl w:val="1"/>
          <w:numId w:val="25"/>
        </w:numPr>
        <w:tabs>
          <w:tab w:val="left" w:pos="960"/>
        </w:tabs>
        <w:spacing w:before="0" w:after="0" w:afterAutospacing="0"/>
        <w:ind w:left="0" w:right="0" w:firstLine="420" w:firstLineChars="200"/>
        <w:rPr>
          <w:rFonts w:ascii="宋体" w:hAnsi="宋体"/>
        </w:rPr>
      </w:pPr>
      <w:r>
        <w:rPr>
          <w:rFonts w:hint="eastAsia" w:ascii="宋体" w:hAnsi="宋体"/>
        </w:rPr>
        <w:t>合同变更时，买卖双方按下述方式确定调整货物合同价格：</w:t>
      </w:r>
    </w:p>
    <w:p>
      <w:pPr>
        <w:tabs>
          <w:tab w:val="left" w:pos="540"/>
          <w:tab w:val="left" w:pos="1134"/>
        </w:tabs>
        <w:spacing w:before="0" w:after="0" w:afterAutospacing="0"/>
        <w:ind w:left="420" w:right="0" w:firstLine="0"/>
        <w:rPr>
          <w:rFonts w:ascii="宋体" w:hAnsi="宋体"/>
        </w:rPr>
      </w:pPr>
      <w:r>
        <w:rPr>
          <w:rFonts w:hint="eastAsia" w:ascii="宋体" w:hAnsi="宋体"/>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rPr>
      </w:pPr>
      <w:r>
        <w:rPr>
          <w:rFonts w:hint="eastAsia" w:ascii="宋体" w:hAnsi="宋体"/>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rPr>
      </w:pPr>
      <w:r>
        <w:rPr>
          <w:rFonts w:hint="eastAsia" w:ascii="宋体" w:hAnsi="宋体"/>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rPr>
      </w:pPr>
      <w:r>
        <w:rPr>
          <w:rFonts w:hint="eastAsia" w:ascii="宋体" w:hAnsi="宋体"/>
        </w:rPr>
        <w:t>17.8.3.1 根据合同规定的原则计出总价；</w:t>
      </w:r>
    </w:p>
    <w:p>
      <w:pPr>
        <w:tabs>
          <w:tab w:val="left" w:pos="820"/>
        </w:tabs>
        <w:spacing w:before="0" w:after="0" w:afterAutospacing="0"/>
        <w:ind w:left="0" w:right="0" w:firstLine="420" w:firstLineChars="200"/>
        <w:rPr>
          <w:rFonts w:ascii="宋体" w:hAnsi="宋体"/>
        </w:rPr>
      </w:pPr>
      <w:r>
        <w:rPr>
          <w:rFonts w:hint="eastAsia" w:ascii="宋体" w:hAnsi="宋体"/>
        </w:rPr>
        <w:t>17.8.3.2 根据合同中类似货物单价和</w:t>
      </w:r>
      <w:r>
        <w:rPr>
          <w:rFonts w:ascii="宋体" w:hAnsi="宋体"/>
        </w:rPr>
        <w:t>/</w:t>
      </w:r>
      <w:r>
        <w:rPr>
          <w:rFonts w:hint="eastAsia" w:ascii="宋体" w:hAnsi="宋体"/>
        </w:rPr>
        <w:t>或单位费率计算而计出总价；</w:t>
      </w:r>
    </w:p>
    <w:p>
      <w:pPr>
        <w:tabs>
          <w:tab w:val="left" w:pos="820"/>
        </w:tabs>
        <w:spacing w:before="0" w:after="0" w:afterAutospacing="0"/>
        <w:ind w:left="0" w:right="0" w:firstLine="420" w:firstLineChars="200"/>
        <w:rPr>
          <w:rFonts w:ascii="宋体" w:hAnsi="宋体"/>
        </w:rPr>
      </w:pPr>
      <w:r>
        <w:rPr>
          <w:rFonts w:hint="eastAsia" w:ascii="宋体" w:hAnsi="宋体"/>
        </w:rPr>
        <w:t>17.8.3.3 根据合同价格类推和</w:t>
      </w:r>
      <w:r>
        <w:rPr>
          <w:rFonts w:ascii="宋体" w:hAnsi="宋体"/>
        </w:rPr>
        <w:t>/</w:t>
      </w:r>
      <w:r>
        <w:rPr>
          <w:rFonts w:hint="eastAsia" w:ascii="宋体" w:hAnsi="宋体"/>
        </w:rPr>
        <w:t>或按比例计算而计出总价；</w:t>
      </w:r>
    </w:p>
    <w:p>
      <w:pPr>
        <w:tabs>
          <w:tab w:val="left" w:pos="820"/>
        </w:tabs>
        <w:spacing w:before="0" w:after="0" w:afterAutospacing="0"/>
        <w:ind w:left="0" w:right="0" w:firstLine="420" w:firstLineChars="200"/>
        <w:rPr>
          <w:rFonts w:ascii="宋体" w:hAnsi="宋体"/>
        </w:rPr>
      </w:pPr>
      <w:r>
        <w:rPr>
          <w:rFonts w:hint="eastAsia" w:ascii="宋体" w:hAnsi="宋体"/>
        </w:rPr>
        <w:t>17.8.3.4 根据合同规定的相应成本确定；</w:t>
      </w:r>
    </w:p>
    <w:p>
      <w:pPr>
        <w:tabs>
          <w:tab w:val="left" w:pos="820"/>
        </w:tabs>
        <w:spacing w:before="0" w:after="0" w:afterAutospacing="0"/>
        <w:ind w:left="0" w:right="0" w:firstLine="420" w:firstLineChars="200"/>
        <w:rPr>
          <w:rFonts w:ascii="宋体" w:hAnsi="宋体"/>
        </w:rPr>
      </w:pPr>
      <w:r>
        <w:rPr>
          <w:rFonts w:hint="eastAsia" w:ascii="宋体" w:hAnsi="宋体"/>
        </w:rPr>
        <w:t>17.8.3.5 根据当时的市场价格计算。</w:t>
      </w:r>
    </w:p>
    <w:p>
      <w:pPr>
        <w:numPr>
          <w:ilvl w:val="1"/>
          <w:numId w:val="25"/>
        </w:numPr>
        <w:tabs>
          <w:tab w:val="left" w:pos="980"/>
        </w:tabs>
        <w:spacing w:before="0" w:after="0" w:afterAutospacing="0"/>
        <w:ind w:left="0" w:right="0" w:firstLine="420" w:firstLineChars="200"/>
        <w:rPr>
          <w:rFonts w:ascii="宋体" w:hAnsi="宋体"/>
        </w:rPr>
      </w:pPr>
      <w:r>
        <w:rPr>
          <w:rFonts w:hint="eastAsia" w:ascii="宋体" w:hAnsi="宋体"/>
        </w:rPr>
        <w:t>乙方必须在甲方按</w:t>
      </w:r>
      <w:r>
        <w:rPr>
          <w:rFonts w:ascii="宋体" w:hAnsi="宋体"/>
        </w:rPr>
        <w:t>1</w:t>
      </w:r>
      <w:r>
        <w:rPr>
          <w:rFonts w:hint="eastAsia" w:ascii="宋体" w:hAnsi="宋体"/>
        </w:rPr>
        <w:t>7</w:t>
      </w:r>
      <w:r>
        <w:rPr>
          <w:rFonts w:ascii="宋体" w:hAnsi="宋体"/>
        </w:rPr>
        <w:t>.</w:t>
      </w:r>
      <w:r>
        <w:rPr>
          <w:rFonts w:hint="eastAsia" w:ascii="宋体" w:hAnsi="宋体"/>
        </w:rPr>
        <w:t>6的预算为依据提出正式书面修改后才能开始实施这种变更。</w:t>
      </w:r>
    </w:p>
    <w:p>
      <w:pPr>
        <w:numPr>
          <w:ilvl w:val="1"/>
          <w:numId w:val="25"/>
        </w:numPr>
        <w:tabs>
          <w:tab w:val="left" w:pos="980"/>
        </w:tabs>
        <w:spacing w:before="0" w:after="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25"/>
        </w:numPr>
        <w:tabs>
          <w:tab w:val="left" w:pos="980"/>
        </w:tabs>
        <w:spacing w:before="0" w:after="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rPr>
      </w:pPr>
      <w:r>
        <w:rPr>
          <w:rFonts w:hint="eastAsia" w:ascii="宋体" w:hAnsi="宋体"/>
        </w:rPr>
        <w:t>17.11.1将要实施的工作的说明（如有时）以及工作的实施进度计划；</w:t>
      </w:r>
    </w:p>
    <w:p>
      <w:pPr>
        <w:tabs>
          <w:tab w:val="left" w:pos="540"/>
          <w:tab w:val="left" w:pos="1134"/>
        </w:tabs>
        <w:spacing w:before="0" w:after="0" w:afterAutospacing="0"/>
        <w:ind w:left="420" w:right="0" w:firstLine="0"/>
        <w:rPr>
          <w:rFonts w:ascii="宋体" w:hAnsi="宋体"/>
        </w:rPr>
      </w:pPr>
      <w:r>
        <w:rPr>
          <w:rFonts w:hint="eastAsia" w:ascii="宋体" w:hAnsi="宋体"/>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rPr>
      </w:pPr>
      <w:r>
        <w:rPr>
          <w:rFonts w:hint="eastAsia" w:ascii="宋体" w:hAnsi="宋体"/>
        </w:rPr>
        <w:t>17.11.3乙方对合同价格调整的建议。</w:t>
      </w:r>
    </w:p>
    <w:p>
      <w:pPr>
        <w:tabs>
          <w:tab w:val="left" w:pos="1558"/>
        </w:tabs>
        <w:spacing w:before="0" w:after="0" w:afterAutospacing="0"/>
        <w:ind w:left="0" w:right="0" w:firstLine="420" w:firstLineChars="200"/>
      </w:pPr>
      <w:r>
        <w:rPr>
          <w:rFonts w:hint="eastAsia" w:ascii="宋体" w:hAnsi="宋体"/>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rPr>
      </w:pPr>
      <w:bookmarkStart w:id="1929" w:name="_Toc2307"/>
      <w:bookmarkStart w:id="1930" w:name="_Toc29664"/>
      <w:bookmarkStart w:id="1931" w:name="_Toc3081"/>
      <w:bookmarkStart w:id="1932" w:name="_Toc21302"/>
      <w:bookmarkStart w:id="1933" w:name="_Toc18453"/>
      <w:bookmarkStart w:id="1934" w:name="_Toc16088"/>
      <w:bookmarkStart w:id="1935" w:name="_Toc17820"/>
      <w:bookmarkStart w:id="1936" w:name="_Toc4403"/>
      <w:bookmarkStart w:id="1937" w:name="_Toc15094"/>
      <w:bookmarkStart w:id="1938" w:name="_Toc1259"/>
      <w:bookmarkStart w:id="1939" w:name="_Toc370933874"/>
      <w:bookmarkStart w:id="1940" w:name="_Toc25195"/>
      <w:bookmarkStart w:id="1941" w:name="_Toc11895"/>
      <w:bookmarkStart w:id="1942" w:name="_Toc378514971"/>
      <w:bookmarkStart w:id="1943" w:name="_Toc24029"/>
      <w:bookmarkStart w:id="1944" w:name="_Toc28641"/>
      <w:bookmarkStart w:id="1945" w:name="_Toc385427857"/>
      <w:bookmarkStart w:id="1946" w:name="_Toc492478781"/>
      <w:bookmarkStart w:id="1947" w:name="_Toc29029"/>
      <w:bookmarkStart w:id="1948" w:name="_Toc25965"/>
      <w:bookmarkStart w:id="1949" w:name="_Toc390098483"/>
      <w:bookmarkStart w:id="1950" w:name="_Toc25750652"/>
      <w:bookmarkStart w:id="1951" w:name="_Toc75276873"/>
      <w:bookmarkStart w:id="1952" w:name="_Toc18239"/>
      <w:bookmarkStart w:id="1953" w:name="_Toc27980"/>
      <w:r>
        <w:rPr>
          <w:rFonts w:hint="eastAsia" w:ascii="宋体" w:hAnsi="宋体"/>
          <w:b/>
        </w:rPr>
        <w:t>18.转让和分包</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tabs>
          <w:tab w:val="left" w:pos="1120"/>
        </w:tabs>
        <w:spacing w:before="0" w:after="0" w:afterAutospacing="0"/>
        <w:ind w:left="0" w:right="0" w:firstLine="420" w:firstLineChars="200"/>
        <w:rPr>
          <w:rFonts w:ascii="宋体" w:hAnsi="宋体"/>
        </w:rPr>
      </w:pPr>
      <w:r>
        <w:rPr>
          <w:rFonts w:hint="eastAsia" w:ascii="宋体" w:hAnsi="宋体"/>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hint="eastAsia" w:ascii="宋体" w:hAnsi="宋体"/>
        </w:rPr>
        <w:t>18.2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0" w:afterAutospacing="0"/>
        <w:ind w:left="422" w:right="0" w:firstLine="0"/>
        <w:outlineLvl w:val="1"/>
        <w:rPr>
          <w:rFonts w:ascii="宋体" w:hAnsi="宋体"/>
          <w:b/>
        </w:rPr>
      </w:pPr>
      <w:bookmarkStart w:id="1954" w:name="_Toc24037"/>
      <w:bookmarkStart w:id="1955" w:name="_Toc385427858"/>
      <w:bookmarkStart w:id="1956" w:name="_Toc492478782"/>
      <w:bookmarkStart w:id="1957" w:name="_Toc378514972"/>
      <w:bookmarkStart w:id="1958" w:name="_Toc25750653"/>
      <w:bookmarkStart w:id="1959" w:name="_Toc390098484"/>
      <w:bookmarkStart w:id="1960" w:name="_Toc18508"/>
      <w:bookmarkStart w:id="1961" w:name="_Toc4396"/>
      <w:bookmarkStart w:id="1962" w:name="_Toc24065"/>
      <w:bookmarkStart w:id="1963" w:name="_Toc13416"/>
      <w:bookmarkStart w:id="1964" w:name="_Toc12432"/>
      <w:bookmarkStart w:id="1965" w:name="_Toc661"/>
      <w:bookmarkStart w:id="1966" w:name="_Toc75276874"/>
      <w:bookmarkStart w:id="1967" w:name="_Toc3130"/>
      <w:bookmarkStart w:id="1968" w:name="_Toc21413"/>
      <w:bookmarkStart w:id="1969" w:name="_Toc11530"/>
      <w:bookmarkStart w:id="1970" w:name="_Toc19987"/>
      <w:bookmarkStart w:id="1971" w:name="_Toc8696"/>
      <w:bookmarkStart w:id="1972" w:name="_Toc6234"/>
      <w:bookmarkStart w:id="1973" w:name="_Toc32343"/>
      <w:bookmarkStart w:id="1974" w:name="_Toc13888"/>
      <w:bookmarkStart w:id="1975" w:name="_Toc25342"/>
      <w:bookmarkStart w:id="1976" w:name="_Toc16315"/>
      <w:bookmarkStart w:id="1977" w:name="_Toc370933875"/>
      <w:bookmarkStart w:id="1978" w:name="_Toc17029"/>
      <w:r>
        <w:rPr>
          <w:rFonts w:hint="eastAsia" w:ascii="宋体" w:hAnsi="宋体"/>
          <w:b/>
        </w:rPr>
        <w:t>19.不可抗力</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numPr>
          <w:ilvl w:val="1"/>
          <w:numId w:val="27"/>
        </w:numPr>
        <w:tabs>
          <w:tab w:val="left" w:pos="960"/>
          <w:tab w:val="clear" w:pos="1143"/>
        </w:tabs>
        <w:spacing w:before="0" w:after="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7"/>
        </w:numPr>
        <w:tabs>
          <w:tab w:val="left" w:pos="960"/>
          <w:tab w:val="clear" w:pos="1143"/>
        </w:tabs>
        <w:spacing w:before="0" w:after="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7"/>
        </w:numPr>
        <w:tabs>
          <w:tab w:val="left" w:pos="960"/>
          <w:tab w:val="clear" w:pos="1143"/>
        </w:tabs>
        <w:spacing w:before="0" w:after="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7"/>
        </w:numPr>
        <w:tabs>
          <w:tab w:val="left" w:pos="960"/>
          <w:tab w:val="clear" w:pos="1143"/>
        </w:tabs>
        <w:spacing w:before="0" w:after="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7"/>
        </w:numPr>
        <w:tabs>
          <w:tab w:val="left" w:pos="960"/>
          <w:tab w:val="clear" w:pos="1143"/>
        </w:tabs>
        <w:spacing w:before="0" w:after="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7"/>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tabs>
          <w:tab w:val="left" w:pos="800"/>
          <w:tab w:val="left" w:pos="1843"/>
        </w:tabs>
        <w:spacing w:before="0" w:after="0" w:afterAutospacing="0"/>
        <w:ind w:leftChars="200" w:right="0" w:hanging="289" w:hangingChars="137"/>
        <w:outlineLvl w:val="1"/>
        <w:rPr>
          <w:rFonts w:ascii="宋体" w:hAnsi="宋体"/>
          <w:b/>
        </w:rPr>
      </w:pPr>
      <w:bookmarkStart w:id="1979" w:name="_Toc25750654"/>
      <w:bookmarkStart w:id="1980" w:name="_Toc75276875"/>
      <w:r>
        <w:rPr>
          <w:rFonts w:hint="eastAsia" w:ascii="宋体" w:hAnsi="宋体"/>
          <w:b/>
        </w:rPr>
        <w:t>20.</w:t>
      </w:r>
      <w:bookmarkStart w:id="1981" w:name="_Toc17808"/>
      <w:bookmarkStart w:id="1982" w:name="_Toc13899"/>
      <w:bookmarkStart w:id="1983" w:name="_Toc4788"/>
      <w:bookmarkStart w:id="1984" w:name="_Toc385427859"/>
      <w:bookmarkStart w:id="1985" w:name="_Toc28028"/>
      <w:bookmarkStart w:id="1986" w:name="_Toc14033"/>
      <w:bookmarkStart w:id="1987" w:name="_Toc29383"/>
      <w:bookmarkStart w:id="1988" w:name="_Toc19935"/>
      <w:bookmarkStart w:id="1989" w:name="_Toc15746"/>
      <w:bookmarkStart w:id="1990" w:name="_Toc2649"/>
      <w:bookmarkStart w:id="1991" w:name="_Toc27564"/>
      <w:bookmarkStart w:id="1992" w:name="_Toc10334"/>
      <w:bookmarkStart w:id="1993" w:name="_Toc6046"/>
      <w:bookmarkStart w:id="1994" w:name="_Toc390098485"/>
      <w:bookmarkStart w:id="1995" w:name="_Toc370933876"/>
      <w:bookmarkStart w:id="1996" w:name="_Toc7028"/>
      <w:bookmarkStart w:id="1997" w:name="_Toc19672"/>
      <w:bookmarkStart w:id="1998" w:name="_Toc8769"/>
      <w:bookmarkStart w:id="1999" w:name="_Toc492478783"/>
      <w:bookmarkStart w:id="2000" w:name="_Toc4745"/>
      <w:bookmarkStart w:id="2001" w:name="_Toc22045"/>
      <w:bookmarkStart w:id="2002" w:name="_Toc378514973"/>
      <w:bookmarkStart w:id="2003" w:name="_Toc25233"/>
      <w:r>
        <w:rPr>
          <w:rFonts w:hint="eastAsia" w:ascii="宋体" w:hAnsi="宋体"/>
          <w:b/>
        </w:rPr>
        <w:t>乙方履约展期</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numPr>
          <w:ilvl w:val="1"/>
          <w:numId w:val="28"/>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8"/>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乙方在下列情况下可要求延期交货：</w:t>
      </w:r>
    </w:p>
    <w:p>
      <w:pPr>
        <w:numPr>
          <w:ilvl w:val="1"/>
          <w:numId w:val="29"/>
        </w:numPr>
        <w:spacing w:before="0" w:after="0" w:afterAutospacing="0"/>
        <w:ind w:left="0" w:right="0" w:firstLine="420" w:firstLineChars="200"/>
        <w:rPr>
          <w:rFonts w:ascii="宋体" w:hAnsi="宋体"/>
        </w:rPr>
      </w:pPr>
      <w:r>
        <w:rPr>
          <w:rFonts w:hint="eastAsia" w:ascii="宋体" w:hAnsi="宋体"/>
        </w:rPr>
        <w:t>第</w:t>
      </w:r>
      <w:r>
        <w:rPr>
          <w:rFonts w:ascii="宋体" w:hAnsi="宋体"/>
        </w:rPr>
        <w:t>1</w:t>
      </w:r>
      <w:r>
        <w:rPr>
          <w:rFonts w:hint="eastAsia" w:ascii="宋体" w:hAnsi="宋体"/>
        </w:rPr>
        <w:t>7条中的变更；</w:t>
      </w:r>
    </w:p>
    <w:p>
      <w:pPr>
        <w:numPr>
          <w:ilvl w:val="1"/>
          <w:numId w:val="29"/>
        </w:numPr>
        <w:spacing w:before="0" w:after="0" w:afterAutospacing="0"/>
        <w:ind w:left="0" w:right="0" w:firstLine="420" w:firstLineChars="200"/>
        <w:rPr>
          <w:rFonts w:ascii="宋体" w:hAnsi="宋体"/>
        </w:rPr>
      </w:pPr>
      <w:r>
        <w:rPr>
          <w:rFonts w:hint="eastAsia" w:ascii="宋体" w:hAnsi="宋体"/>
        </w:rPr>
        <w:t>第19条所述之不可抗力；</w:t>
      </w:r>
    </w:p>
    <w:p>
      <w:pPr>
        <w:numPr>
          <w:ilvl w:val="1"/>
          <w:numId w:val="29"/>
        </w:numPr>
        <w:spacing w:before="0" w:after="0" w:afterAutospacing="0"/>
        <w:ind w:left="0" w:right="0" w:firstLine="420" w:firstLineChars="200"/>
        <w:rPr>
          <w:rFonts w:ascii="宋体" w:hAnsi="宋体"/>
        </w:rPr>
      </w:pPr>
      <w:r>
        <w:rPr>
          <w:rFonts w:hint="eastAsia" w:ascii="宋体" w:hAnsi="宋体"/>
        </w:rPr>
        <w:t>甲方签发的延期执行合同的指令；</w:t>
      </w:r>
    </w:p>
    <w:p>
      <w:pPr>
        <w:pStyle w:val="20"/>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w:t>
      </w:r>
      <w:r>
        <w:rPr>
          <w:rFonts w:hint="eastAsia" w:ascii="宋体" w:hAnsi="宋体"/>
        </w:rPr>
        <w:t>0</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rPr>
      </w:pPr>
      <w:bookmarkStart w:id="2004" w:name="_Toc492478784"/>
      <w:bookmarkStart w:id="2005" w:name="_Toc3952"/>
      <w:bookmarkStart w:id="2006" w:name="_Toc1527"/>
      <w:bookmarkStart w:id="2007" w:name="_Toc19750"/>
      <w:bookmarkStart w:id="2008" w:name="_Toc28565"/>
      <w:bookmarkStart w:id="2009" w:name="_Toc378514974"/>
      <w:bookmarkStart w:id="2010" w:name="_Toc18253"/>
      <w:bookmarkStart w:id="2011" w:name="_Toc8598"/>
      <w:bookmarkStart w:id="2012" w:name="_Toc3878"/>
      <w:bookmarkStart w:id="2013" w:name="_Toc75276876"/>
      <w:bookmarkStart w:id="2014" w:name="_Toc25987"/>
      <w:bookmarkStart w:id="2015" w:name="_Toc390098486"/>
      <w:bookmarkStart w:id="2016" w:name="_Toc11763"/>
      <w:bookmarkStart w:id="2017" w:name="_Toc26944"/>
      <w:bookmarkStart w:id="2018" w:name="_Toc18456"/>
      <w:bookmarkStart w:id="2019" w:name="_Toc26165"/>
      <w:bookmarkStart w:id="2020" w:name="_Toc385427860"/>
      <w:bookmarkStart w:id="2021" w:name="_Toc3388"/>
      <w:bookmarkStart w:id="2022" w:name="_Toc9775"/>
      <w:bookmarkStart w:id="2023" w:name="_Toc20929"/>
      <w:bookmarkStart w:id="2024" w:name="_Toc25750655"/>
      <w:bookmarkStart w:id="2025" w:name="_Toc16474"/>
      <w:bookmarkStart w:id="2026" w:name="_Toc28820"/>
      <w:bookmarkStart w:id="2027" w:name="_Toc24446"/>
      <w:bookmarkStart w:id="2028" w:name="_Toc370933877"/>
      <w:r>
        <w:rPr>
          <w:rFonts w:hint="eastAsia" w:ascii="宋体" w:hAnsi="宋体"/>
          <w:b/>
        </w:rPr>
        <w:t>21.损失补偿</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numPr>
          <w:ilvl w:val="1"/>
          <w:numId w:val="30"/>
        </w:numPr>
        <w:tabs>
          <w:tab w:val="left" w:pos="960"/>
          <w:tab w:val="clear" w:pos="1134"/>
        </w:tabs>
        <w:spacing w:before="0" w:after="0" w:afterAutospacing="0"/>
        <w:ind w:left="0" w:right="0" w:firstLine="420" w:firstLineChars="200"/>
        <w:rPr>
          <w:rFonts w:ascii="宋体" w:hAnsi="宋体"/>
        </w:rPr>
      </w:pPr>
      <w:r>
        <w:rPr>
          <w:rFonts w:hint="eastAsia" w:ascii="宋体" w:hAnsi="宋体"/>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hint="eastAsia" w:ascii="宋体" w:hAnsi="宋体"/>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rPr>
      </w:pPr>
      <w:bookmarkStart w:id="2029" w:name="_Toc28076"/>
      <w:bookmarkStart w:id="2030" w:name="_Toc10295"/>
      <w:bookmarkStart w:id="2031" w:name="_Toc25750656"/>
      <w:bookmarkStart w:id="2032" w:name="_Toc11756"/>
      <w:bookmarkStart w:id="2033" w:name="_Toc12693"/>
      <w:bookmarkStart w:id="2034" w:name="_Toc390098487"/>
      <w:bookmarkStart w:id="2035" w:name="_Toc75276877"/>
      <w:bookmarkStart w:id="2036" w:name="_Toc8146"/>
      <w:bookmarkStart w:id="2037" w:name="_Toc10649"/>
      <w:bookmarkStart w:id="2038" w:name="_Toc20303"/>
      <w:bookmarkStart w:id="2039" w:name="_Toc26678"/>
      <w:bookmarkStart w:id="2040" w:name="_Toc492478785"/>
      <w:bookmarkStart w:id="2041" w:name="_Toc25945"/>
      <w:bookmarkStart w:id="2042" w:name="_Toc31151"/>
      <w:bookmarkStart w:id="2043" w:name="_Toc8154"/>
      <w:bookmarkStart w:id="2044" w:name="_Toc4252"/>
      <w:bookmarkStart w:id="2045" w:name="_Toc4139"/>
      <w:bookmarkStart w:id="2046" w:name="_Toc11613"/>
      <w:bookmarkStart w:id="2047" w:name="_Toc378514975"/>
      <w:bookmarkStart w:id="2048" w:name="_Toc370933878"/>
      <w:bookmarkStart w:id="2049" w:name="_Toc15242"/>
      <w:bookmarkStart w:id="2050" w:name="_Toc24190"/>
      <w:bookmarkStart w:id="2051" w:name="_Toc385427861"/>
      <w:bookmarkStart w:id="2052" w:name="_Toc6938"/>
      <w:bookmarkStart w:id="2053" w:name="_Toc32687"/>
      <w:r>
        <w:rPr>
          <w:rFonts w:ascii="宋体" w:hAnsi="宋体"/>
          <w:b/>
        </w:rPr>
        <w:t>2</w:t>
      </w:r>
      <w:r>
        <w:rPr>
          <w:rFonts w:hint="eastAsia" w:ascii="宋体" w:hAnsi="宋体"/>
          <w:b/>
        </w:rPr>
        <w:t>2</w:t>
      </w:r>
      <w:r>
        <w:rPr>
          <w:rFonts w:ascii="宋体" w:hAnsi="宋体"/>
          <w:b/>
        </w:rPr>
        <w:t>.</w:t>
      </w:r>
      <w:r>
        <w:rPr>
          <w:rFonts w:hint="eastAsia" w:ascii="宋体" w:hAnsi="宋体"/>
          <w:b/>
        </w:rPr>
        <w:t>拖期终止</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pPr>
        <w:numPr>
          <w:ilvl w:val="1"/>
          <w:numId w:val="31"/>
        </w:numPr>
        <w:tabs>
          <w:tab w:val="left" w:pos="940"/>
          <w:tab w:val="clear" w:pos="1134"/>
        </w:tabs>
        <w:spacing w:before="0" w:after="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32"/>
        </w:numPr>
        <w:spacing w:before="0" w:after="0" w:afterAutospacing="0"/>
        <w:ind w:left="0" w:right="0" w:firstLine="420" w:firstLineChars="200"/>
        <w:rPr>
          <w:rFonts w:ascii="宋体" w:hAnsi="宋体"/>
        </w:rPr>
      </w:pPr>
      <w:r>
        <w:rPr>
          <w:rFonts w:hint="eastAsia" w:ascii="宋体" w:hAnsi="宋体"/>
        </w:rPr>
        <w:t>如果乙方不能在合同规定的交货期内或甲方按第20条同意的延期期限内交货；</w:t>
      </w:r>
    </w:p>
    <w:p>
      <w:pPr>
        <w:numPr>
          <w:ilvl w:val="1"/>
          <w:numId w:val="32"/>
        </w:numPr>
        <w:spacing w:before="0" w:after="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32"/>
        </w:numPr>
        <w:spacing w:before="0" w:after="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31"/>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rPr>
      </w:pPr>
      <w:bookmarkStart w:id="2054" w:name="_Toc17552"/>
      <w:bookmarkStart w:id="2055" w:name="_Toc370933879"/>
      <w:bookmarkStart w:id="2056" w:name="_Toc378514976"/>
      <w:bookmarkStart w:id="2057" w:name="_Toc10559"/>
      <w:bookmarkStart w:id="2058" w:name="_Toc18674"/>
      <w:bookmarkStart w:id="2059" w:name="_Toc15636"/>
      <w:bookmarkStart w:id="2060" w:name="_Toc19811"/>
      <w:bookmarkStart w:id="2061" w:name="_Toc27804"/>
      <w:bookmarkStart w:id="2062" w:name="_Toc29284"/>
      <w:bookmarkStart w:id="2063" w:name="_Toc9699"/>
      <w:bookmarkStart w:id="2064" w:name="_Toc390098488"/>
      <w:bookmarkStart w:id="2065" w:name="_Toc27131"/>
      <w:bookmarkStart w:id="2066" w:name="_Toc18938"/>
      <w:bookmarkStart w:id="2067" w:name="_Toc19130"/>
      <w:bookmarkStart w:id="2068" w:name="_Toc492478786"/>
      <w:bookmarkStart w:id="2069" w:name="_Toc385427862"/>
      <w:bookmarkStart w:id="2070" w:name="_Toc23635"/>
      <w:bookmarkStart w:id="2071" w:name="_Toc2356"/>
      <w:bookmarkStart w:id="2072" w:name="_Toc26166"/>
      <w:bookmarkStart w:id="2073" w:name="_Toc26288"/>
      <w:bookmarkStart w:id="2074" w:name="_Toc75276878"/>
      <w:bookmarkStart w:id="2075" w:name="_Toc13372"/>
      <w:bookmarkStart w:id="2076" w:name="_Toc1299"/>
      <w:bookmarkStart w:id="2077" w:name="_Toc9989"/>
      <w:bookmarkStart w:id="2078" w:name="_Toc25750657"/>
      <w:r>
        <w:rPr>
          <w:rFonts w:hint="eastAsia" w:ascii="宋体" w:hAnsi="宋体"/>
          <w:b/>
        </w:rPr>
        <w:t>23.破产终止</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numPr>
          <w:ilvl w:val="1"/>
          <w:numId w:val="33"/>
        </w:numPr>
        <w:tabs>
          <w:tab w:val="left" w:pos="940"/>
          <w:tab w:val="clear" w:pos="1134"/>
        </w:tabs>
        <w:spacing w:before="0" w:after="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rPr>
      </w:pPr>
      <w:bookmarkStart w:id="2079" w:name="_Toc370933880"/>
      <w:bookmarkStart w:id="2080" w:name="_Toc5847"/>
      <w:bookmarkStart w:id="2081" w:name="_Toc14059"/>
      <w:bookmarkStart w:id="2082" w:name="_Toc24032"/>
      <w:bookmarkStart w:id="2083" w:name="_Toc385427863"/>
      <w:bookmarkStart w:id="2084" w:name="_Toc31954"/>
      <w:bookmarkStart w:id="2085" w:name="_Toc11490"/>
      <w:bookmarkStart w:id="2086" w:name="_Toc14761"/>
      <w:bookmarkStart w:id="2087" w:name="_Toc22731"/>
      <w:bookmarkStart w:id="2088" w:name="_Toc31893"/>
      <w:bookmarkStart w:id="2089" w:name="_Toc390098489"/>
      <w:bookmarkStart w:id="2090" w:name="_Toc8795"/>
      <w:bookmarkStart w:id="2091" w:name="_Toc8002"/>
      <w:bookmarkStart w:id="2092" w:name="_Toc28919"/>
      <w:bookmarkStart w:id="2093" w:name="_Toc10887"/>
      <w:bookmarkStart w:id="2094" w:name="_Toc5275"/>
      <w:bookmarkStart w:id="2095" w:name="_Toc28429"/>
      <w:bookmarkStart w:id="2096" w:name="_Toc492478787"/>
      <w:bookmarkStart w:id="2097" w:name="_Toc25750658"/>
      <w:bookmarkStart w:id="2098" w:name="_Toc13603"/>
      <w:bookmarkStart w:id="2099" w:name="_Toc378514977"/>
      <w:bookmarkStart w:id="2100" w:name="_Toc32601"/>
      <w:bookmarkStart w:id="2101" w:name="_Toc12574"/>
      <w:bookmarkStart w:id="2102" w:name="_Toc75276879"/>
      <w:bookmarkStart w:id="2103" w:name="_Toc24054"/>
      <w:r>
        <w:rPr>
          <w:rFonts w:hint="eastAsia" w:ascii="宋体" w:hAnsi="宋体"/>
          <w:b/>
        </w:rPr>
        <w:t>24.方便终止</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rPr>
      </w:pPr>
      <w:r>
        <w:rPr>
          <w:rFonts w:hint="eastAsia" w:ascii="宋体" w:hAnsi="宋体"/>
        </w:rPr>
        <w:t>24.1.1  任意比例按原合同条款及价格交货；</w:t>
      </w:r>
    </w:p>
    <w:p>
      <w:pPr>
        <w:tabs>
          <w:tab w:val="left" w:pos="420"/>
          <w:tab w:val="left" w:pos="1100"/>
        </w:tabs>
        <w:spacing w:before="0" w:after="0" w:afterAutospacing="0"/>
        <w:ind w:left="0" w:right="0" w:firstLine="420" w:firstLineChars="200"/>
        <w:rPr>
          <w:rFonts w:ascii="宋体" w:hAnsi="宋体"/>
        </w:rPr>
      </w:pPr>
      <w:r>
        <w:rPr>
          <w:rFonts w:hint="eastAsia" w:ascii="宋体" w:hAnsi="宋体"/>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rPr>
      </w:pPr>
      <w:bookmarkStart w:id="2104" w:name="_Toc4002"/>
      <w:bookmarkStart w:id="2105" w:name="_Toc26831"/>
      <w:bookmarkStart w:id="2106" w:name="_Toc19072"/>
      <w:bookmarkStart w:id="2107" w:name="_Toc21718"/>
      <w:bookmarkStart w:id="2108" w:name="_Toc10805"/>
      <w:bookmarkStart w:id="2109" w:name="_Toc15991"/>
      <w:bookmarkStart w:id="2110" w:name="_Toc20058"/>
      <w:bookmarkStart w:id="2111" w:name="_Toc20850"/>
      <w:bookmarkStart w:id="2112" w:name="_Toc25750659"/>
      <w:bookmarkStart w:id="2113" w:name="_Toc7691"/>
      <w:bookmarkStart w:id="2114" w:name="_Toc378514978"/>
      <w:bookmarkStart w:id="2115" w:name="_Toc1972"/>
      <w:bookmarkStart w:id="2116" w:name="_Toc29365"/>
      <w:bookmarkStart w:id="2117" w:name="_Toc24354"/>
      <w:bookmarkStart w:id="2118" w:name="_Toc16121"/>
      <w:bookmarkStart w:id="2119" w:name="_Toc15352"/>
      <w:bookmarkStart w:id="2120" w:name="_Toc385427864"/>
      <w:bookmarkStart w:id="2121" w:name="_Toc370933881"/>
      <w:bookmarkStart w:id="2122" w:name="_Toc26667"/>
      <w:bookmarkStart w:id="2123" w:name="_Toc1503"/>
      <w:bookmarkStart w:id="2124" w:name="_Toc492478788"/>
      <w:bookmarkStart w:id="2125" w:name="_Toc390098490"/>
      <w:bookmarkStart w:id="2126" w:name="_Toc17213"/>
      <w:bookmarkStart w:id="2127" w:name="_Toc10764"/>
      <w:bookmarkStart w:id="2128" w:name="_Toc75276880"/>
      <w:r>
        <w:rPr>
          <w:rFonts w:hint="eastAsia" w:ascii="宋体" w:hAnsi="宋体"/>
          <w:b/>
        </w:rPr>
        <w:t>25.争端的解决</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numPr>
          <w:ilvl w:val="1"/>
          <w:numId w:val="35"/>
        </w:numPr>
        <w:tabs>
          <w:tab w:val="left" w:pos="960"/>
          <w:tab w:val="clear" w:pos="1134"/>
        </w:tabs>
        <w:spacing w:before="0" w:after="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35"/>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35"/>
        </w:numPr>
        <w:tabs>
          <w:tab w:val="left" w:pos="960"/>
          <w:tab w:val="clear" w:pos="1134"/>
        </w:tabs>
        <w:spacing w:before="0" w:after="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35"/>
        </w:numPr>
        <w:tabs>
          <w:tab w:val="left" w:pos="960"/>
          <w:tab w:val="clear" w:pos="1134"/>
        </w:tabs>
        <w:spacing w:before="0" w:after="0" w:afterAutospacing="0"/>
        <w:ind w:left="0" w:right="0" w:firstLine="420" w:firstLineChars="200"/>
        <w:rPr>
          <w:rFonts w:ascii="宋体" w:hAnsi="宋体"/>
        </w:rPr>
      </w:pPr>
      <w:r>
        <w:rPr>
          <w:rFonts w:hint="eastAsia" w:ascii="宋体" w:hAnsi="宋体"/>
        </w:rPr>
        <w:t>诉讼费应由败诉方负担。</w:t>
      </w:r>
    </w:p>
    <w:p>
      <w:pPr>
        <w:numPr>
          <w:ilvl w:val="1"/>
          <w:numId w:val="35"/>
        </w:numPr>
        <w:tabs>
          <w:tab w:val="left" w:pos="960"/>
          <w:tab w:val="clear" w:pos="1134"/>
        </w:tabs>
        <w:spacing w:before="0" w:after="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rPr>
      </w:pPr>
      <w:bookmarkStart w:id="2129" w:name="_Toc1271"/>
      <w:bookmarkStart w:id="2130" w:name="_Toc26624"/>
      <w:bookmarkStart w:id="2131" w:name="_Toc23425"/>
      <w:bookmarkStart w:id="2132" w:name="_Toc385427865"/>
      <w:bookmarkStart w:id="2133" w:name="_Toc26376"/>
      <w:bookmarkStart w:id="2134" w:name="_Toc12179"/>
      <w:bookmarkStart w:id="2135" w:name="_Toc21064"/>
      <w:bookmarkStart w:id="2136" w:name="_Toc22003"/>
      <w:bookmarkStart w:id="2137" w:name="_Toc75276881"/>
      <w:bookmarkStart w:id="2138" w:name="_Toc27659"/>
      <w:bookmarkStart w:id="2139" w:name="_Toc19227"/>
      <w:bookmarkStart w:id="2140" w:name="_Toc16475"/>
      <w:bookmarkStart w:id="2141" w:name="_Toc9395"/>
      <w:bookmarkStart w:id="2142" w:name="_Toc16769"/>
      <w:bookmarkStart w:id="2143" w:name="_Toc25750660"/>
      <w:bookmarkStart w:id="2144" w:name="_Toc370933882"/>
      <w:bookmarkStart w:id="2145" w:name="_Toc25167"/>
      <w:bookmarkStart w:id="2146" w:name="_Toc6134"/>
      <w:bookmarkStart w:id="2147" w:name="_Toc28145"/>
      <w:bookmarkStart w:id="2148" w:name="_Toc492478789"/>
      <w:bookmarkStart w:id="2149" w:name="_Toc28185"/>
      <w:bookmarkStart w:id="2150" w:name="_Toc378514979"/>
      <w:bookmarkStart w:id="2151" w:name="_Toc16935"/>
      <w:bookmarkStart w:id="2152" w:name="_Toc390098491"/>
      <w:bookmarkStart w:id="2153" w:name="_Toc11947"/>
      <w:r>
        <w:rPr>
          <w:rFonts w:hint="eastAsia" w:ascii="宋体" w:hAnsi="宋体"/>
          <w:b/>
        </w:rPr>
        <w:t>26.语言</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numPr>
          <w:ilvl w:val="1"/>
          <w:numId w:val="36"/>
        </w:numPr>
        <w:tabs>
          <w:tab w:val="left" w:pos="940"/>
          <w:tab w:val="clear" w:pos="1134"/>
        </w:tabs>
        <w:spacing w:before="0" w:after="0" w:afterAutospacing="0"/>
        <w:ind w:left="0" w:right="0" w:firstLine="420" w:firstLineChars="200"/>
        <w:rPr>
          <w:rFonts w:ascii="宋体" w:hAnsi="宋体"/>
        </w:rPr>
      </w:pPr>
      <w:r>
        <w:rPr>
          <w:rFonts w:hint="eastAsia" w:ascii="宋体" w:hAnsi="宋体"/>
        </w:rPr>
        <w:t>本合同语言为中文。</w:t>
      </w:r>
    </w:p>
    <w:p>
      <w:pPr>
        <w:numPr>
          <w:ilvl w:val="1"/>
          <w:numId w:val="36"/>
        </w:numPr>
        <w:tabs>
          <w:tab w:val="left" w:pos="940"/>
          <w:tab w:val="clear" w:pos="1134"/>
        </w:tabs>
        <w:spacing w:before="0" w:after="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36"/>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rPr>
      </w:pPr>
      <w:bookmarkStart w:id="2154" w:name="_Toc19166"/>
      <w:bookmarkStart w:id="2155" w:name="_Toc14784"/>
      <w:bookmarkStart w:id="2156" w:name="_Toc10832"/>
      <w:bookmarkStart w:id="2157" w:name="_Toc390098492"/>
      <w:bookmarkStart w:id="2158" w:name="_Toc75276882"/>
      <w:bookmarkStart w:id="2159" w:name="_Toc10482"/>
      <w:bookmarkStart w:id="2160" w:name="_Toc12823"/>
      <w:bookmarkStart w:id="2161" w:name="_Toc492478790"/>
      <w:bookmarkStart w:id="2162" w:name="_Toc25750661"/>
      <w:bookmarkStart w:id="2163" w:name="_Toc21361"/>
      <w:bookmarkStart w:id="2164" w:name="_Toc10209"/>
      <w:bookmarkStart w:id="2165" w:name="_Toc2075"/>
      <w:bookmarkStart w:id="2166" w:name="_Toc2898"/>
      <w:bookmarkStart w:id="2167" w:name="_Toc27111"/>
      <w:bookmarkStart w:id="2168" w:name="_Toc14320"/>
      <w:bookmarkStart w:id="2169" w:name="_Toc27380"/>
      <w:bookmarkStart w:id="2170" w:name="_Toc385427866"/>
      <w:bookmarkStart w:id="2171" w:name="_Toc12520"/>
      <w:bookmarkStart w:id="2172" w:name="_Toc23513"/>
      <w:bookmarkStart w:id="2173" w:name="_Toc8756"/>
      <w:bookmarkStart w:id="2174" w:name="_Toc6951"/>
      <w:bookmarkStart w:id="2175" w:name="_Toc25403"/>
      <w:bookmarkStart w:id="2176" w:name="_Toc18902"/>
      <w:bookmarkStart w:id="2177" w:name="_Toc378514980"/>
      <w:bookmarkStart w:id="2178" w:name="_Toc370933883"/>
      <w:r>
        <w:rPr>
          <w:rFonts w:hint="eastAsia" w:ascii="宋体" w:hAnsi="宋体"/>
          <w:b/>
        </w:rPr>
        <w:t>27.适用法律</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numPr>
          <w:ilvl w:val="1"/>
          <w:numId w:val="37"/>
        </w:numPr>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0" w:afterAutospacing="0"/>
        <w:ind w:left="422" w:right="0" w:firstLine="0"/>
        <w:outlineLvl w:val="1"/>
        <w:rPr>
          <w:rFonts w:ascii="宋体" w:hAnsi="宋体"/>
          <w:b/>
        </w:rPr>
      </w:pPr>
      <w:bookmarkStart w:id="2179" w:name="_Toc3019"/>
      <w:bookmarkStart w:id="2180" w:name="_Toc75276883"/>
      <w:bookmarkStart w:id="2181" w:name="_Toc25750662"/>
      <w:bookmarkStart w:id="2182" w:name="_Toc390098493"/>
      <w:bookmarkStart w:id="2183" w:name="_Toc2458"/>
      <w:bookmarkStart w:id="2184" w:name="_Toc26295"/>
      <w:bookmarkStart w:id="2185" w:name="_Toc13343"/>
      <w:bookmarkStart w:id="2186" w:name="_Toc385427867"/>
      <w:bookmarkStart w:id="2187" w:name="_Toc3785"/>
      <w:bookmarkStart w:id="2188" w:name="_Toc32638"/>
      <w:bookmarkStart w:id="2189" w:name="_Toc492478791"/>
      <w:bookmarkStart w:id="2190" w:name="_Toc23442"/>
      <w:bookmarkStart w:id="2191" w:name="_Toc32071"/>
      <w:bookmarkStart w:id="2192" w:name="_Toc19209"/>
      <w:bookmarkStart w:id="2193" w:name="_Toc378514981"/>
      <w:bookmarkStart w:id="2194" w:name="_Toc25119"/>
      <w:bookmarkStart w:id="2195" w:name="_Toc28875"/>
      <w:bookmarkStart w:id="2196" w:name="_Toc370933884"/>
      <w:bookmarkStart w:id="2197" w:name="_Toc15635"/>
      <w:bookmarkStart w:id="2198" w:name="_Toc10304"/>
      <w:bookmarkStart w:id="2199" w:name="_Toc22330"/>
      <w:bookmarkStart w:id="2200" w:name="_Toc864"/>
      <w:bookmarkStart w:id="2201" w:name="_Toc6421"/>
      <w:bookmarkStart w:id="2202" w:name="_Toc6374"/>
      <w:bookmarkStart w:id="2203" w:name="_Toc17344"/>
      <w:r>
        <w:rPr>
          <w:rFonts w:hint="eastAsia" w:ascii="宋体" w:hAnsi="宋体"/>
          <w:b/>
        </w:rPr>
        <w:t>28.通知</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numPr>
          <w:ilvl w:val="1"/>
          <w:numId w:val="3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8"/>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8"/>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rPr>
      </w:pPr>
      <w:bookmarkStart w:id="2204" w:name="_Toc378514982"/>
      <w:bookmarkStart w:id="2205" w:name="_Toc370933885"/>
      <w:bookmarkStart w:id="2206" w:name="_Toc29046"/>
      <w:bookmarkStart w:id="2207" w:name="_Toc12126"/>
      <w:bookmarkStart w:id="2208" w:name="_Toc21067"/>
      <w:bookmarkStart w:id="2209" w:name="_Toc13922"/>
      <w:bookmarkStart w:id="2210" w:name="_Toc25750663"/>
      <w:bookmarkStart w:id="2211" w:name="_Toc385427868"/>
      <w:bookmarkStart w:id="2212" w:name="_Toc12697"/>
      <w:bookmarkStart w:id="2213" w:name="_Toc75276884"/>
      <w:bookmarkStart w:id="2214" w:name="_Toc27428"/>
      <w:bookmarkStart w:id="2215" w:name="_Toc11314"/>
      <w:bookmarkStart w:id="2216" w:name="_Toc31709"/>
      <w:bookmarkStart w:id="2217" w:name="_Toc492478792"/>
      <w:bookmarkStart w:id="2218" w:name="_Toc7810"/>
      <w:bookmarkStart w:id="2219" w:name="_Toc6110"/>
      <w:bookmarkStart w:id="2220" w:name="_Toc1446"/>
      <w:bookmarkStart w:id="2221" w:name="_Toc32680"/>
      <w:bookmarkStart w:id="2222" w:name="_Toc8544"/>
      <w:bookmarkStart w:id="2223" w:name="_Toc11726"/>
      <w:bookmarkStart w:id="2224" w:name="_Toc390098494"/>
      <w:bookmarkStart w:id="2225" w:name="_Toc6793"/>
      <w:bookmarkStart w:id="2226" w:name="_Toc17127"/>
      <w:bookmarkStart w:id="2227" w:name="_Toc1881"/>
      <w:bookmarkStart w:id="2228" w:name="_Toc30549"/>
      <w:r>
        <w:rPr>
          <w:rFonts w:hint="eastAsia" w:ascii="宋体" w:hAnsi="宋体"/>
          <w:b/>
        </w:rPr>
        <w:t>29.税</w:t>
      </w:r>
      <w:bookmarkEnd w:id="2204"/>
      <w:bookmarkEnd w:id="2205"/>
      <w:r>
        <w:rPr>
          <w:rFonts w:hint="eastAsia" w:ascii="宋体" w:hAnsi="宋体"/>
          <w:b/>
        </w:rPr>
        <w:t>费</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numPr>
          <w:ilvl w:val="1"/>
          <w:numId w:val="39"/>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9"/>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9"/>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9"/>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rPr>
      </w:pPr>
      <w:bookmarkStart w:id="2229" w:name="_Toc32531"/>
      <w:bookmarkStart w:id="2230" w:name="_Toc5973"/>
      <w:bookmarkStart w:id="2231" w:name="_Toc25511"/>
      <w:bookmarkStart w:id="2232" w:name="_Toc16469"/>
      <w:bookmarkStart w:id="2233" w:name="_Toc11029"/>
      <w:bookmarkStart w:id="2234" w:name="_Toc25750664"/>
      <w:bookmarkStart w:id="2235" w:name="_Toc15813"/>
      <w:bookmarkStart w:id="2236" w:name="_Toc30561"/>
      <w:bookmarkStart w:id="2237" w:name="_Toc1879"/>
      <w:bookmarkStart w:id="2238" w:name="_Toc22849"/>
      <w:bookmarkStart w:id="2239" w:name="_Toc26494"/>
      <w:bookmarkStart w:id="2240" w:name="_Toc2240"/>
      <w:bookmarkStart w:id="2241" w:name="_Toc24876"/>
      <w:bookmarkStart w:id="2242" w:name="_Toc75276885"/>
      <w:bookmarkStart w:id="2243" w:name="_Toc3244"/>
      <w:bookmarkStart w:id="2244" w:name="_Toc3630"/>
      <w:bookmarkStart w:id="2245" w:name="_Toc7487"/>
      <w:bookmarkStart w:id="2246" w:name="_Toc3452"/>
      <w:bookmarkStart w:id="2247" w:name="_Toc21199"/>
      <w:bookmarkStart w:id="2248" w:name="_Toc14950"/>
      <w:r>
        <w:rPr>
          <w:rFonts w:hint="eastAsia" w:ascii="宋体" w:hAnsi="宋体"/>
          <w:b/>
        </w:rPr>
        <w:t>30.合同标的</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numPr>
          <w:ilvl w:val="1"/>
          <w:numId w:val="40"/>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40"/>
        </w:numPr>
        <w:tabs>
          <w:tab w:val="left" w:pos="1040"/>
          <w:tab w:val="clear" w:pos="1134"/>
        </w:tabs>
        <w:spacing w:before="0" w:after="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40"/>
        </w:numPr>
        <w:tabs>
          <w:tab w:val="left" w:pos="1040"/>
          <w:tab w:val="clear" w:pos="1134"/>
        </w:tabs>
        <w:spacing w:before="0" w:after="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40"/>
        </w:numPr>
        <w:tabs>
          <w:tab w:val="left" w:pos="1040"/>
          <w:tab w:val="clear" w:pos="1134"/>
        </w:tabs>
        <w:spacing w:before="0" w:after="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40"/>
        </w:numPr>
        <w:spacing w:before="0" w:after="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rPr>
      </w:pPr>
      <w:bookmarkStart w:id="2249" w:name="_Toc6314"/>
      <w:bookmarkStart w:id="2250" w:name="_Toc7733"/>
      <w:bookmarkStart w:id="2251" w:name="_Toc16044"/>
      <w:bookmarkStart w:id="2252" w:name="_Toc25750665"/>
      <w:bookmarkStart w:id="2253" w:name="_Toc23498"/>
      <w:bookmarkStart w:id="2254" w:name="_Toc23455"/>
      <w:bookmarkStart w:id="2255" w:name="_Toc23078"/>
      <w:bookmarkStart w:id="2256" w:name="_Toc18828"/>
      <w:bookmarkStart w:id="2257" w:name="_Toc17632"/>
      <w:bookmarkStart w:id="2258" w:name="_Toc75276886"/>
      <w:bookmarkStart w:id="2259" w:name="_Toc7765"/>
      <w:bookmarkStart w:id="2260" w:name="_Toc10309"/>
      <w:bookmarkStart w:id="2261" w:name="_Toc15369"/>
      <w:bookmarkStart w:id="2262" w:name="_Toc3619"/>
      <w:bookmarkStart w:id="2263" w:name="_Toc26"/>
      <w:bookmarkStart w:id="2264" w:name="_Toc12112"/>
      <w:bookmarkStart w:id="2265" w:name="_Toc26768"/>
      <w:bookmarkStart w:id="2266" w:name="_Toc11108"/>
      <w:bookmarkStart w:id="2267" w:name="_Toc1507"/>
      <w:bookmarkStart w:id="2268" w:name="_Toc26232"/>
      <w:r>
        <w:rPr>
          <w:rFonts w:hint="eastAsia" w:ascii="宋体" w:hAnsi="宋体"/>
          <w:b/>
        </w:rPr>
        <w:t>31.开箱验收及现场保管</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numPr>
          <w:ilvl w:val="1"/>
          <w:numId w:val="41"/>
        </w:numPr>
        <w:tabs>
          <w:tab w:val="left" w:pos="960"/>
          <w:tab w:val="clear" w:pos="1134"/>
        </w:tabs>
        <w:spacing w:before="0" w:after="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41"/>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甲方将在到货后10个工作日内组织验收。</w:t>
      </w:r>
    </w:p>
    <w:p>
      <w:pPr>
        <w:numPr>
          <w:ilvl w:val="1"/>
          <w:numId w:val="41"/>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rPr>
      </w:pPr>
      <w:bookmarkStart w:id="2269" w:name="_Toc21485"/>
      <w:bookmarkStart w:id="2270" w:name="_Toc75276887"/>
      <w:bookmarkStart w:id="2271" w:name="_Toc24951"/>
      <w:bookmarkStart w:id="2272" w:name="_Toc20830"/>
      <w:bookmarkStart w:id="2273" w:name="_Toc22055"/>
      <w:bookmarkStart w:id="2274" w:name="_Toc1011"/>
      <w:bookmarkStart w:id="2275" w:name="_Toc492478796"/>
      <w:bookmarkStart w:id="2276" w:name="_Toc29368"/>
      <w:bookmarkStart w:id="2277" w:name="_Toc385427873"/>
      <w:bookmarkStart w:id="2278" w:name="_Toc27069"/>
      <w:bookmarkStart w:id="2279" w:name="_Toc2474"/>
      <w:bookmarkStart w:id="2280" w:name="_Toc6480"/>
      <w:bookmarkStart w:id="2281" w:name="_Toc572"/>
      <w:bookmarkStart w:id="2282" w:name="_Toc1489"/>
      <w:bookmarkStart w:id="2283" w:name="_Toc18491"/>
      <w:bookmarkStart w:id="2284" w:name="_Toc8992"/>
      <w:bookmarkStart w:id="2285" w:name="_Toc25577"/>
      <w:bookmarkStart w:id="2286" w:name="_Toc2372"/>
      <w:bookmarkStart w:id="2287" w:name="_Toc23740"/>
      <w:bookmarkStart w:id="2288" w:name="_Toc10177"/>
      <w:bookmarkStart w:id="2289" w:name="_Toc25750666"/>
      <w:bookmarkStart w:id="2290" w:name="_Toc378514987"/>
      <w:bookmarkStart w:id="2291" w:name="_Toc24673"/>
      <w:bookmarkStart w:id="2292" w:name="_Toc390098499"/>
      <w:r>
        <w:rPr>
          <w:rFonts w:ascii="宋体" w:hAnsi="宋体"/>
          <w:b/>
        </w:rPr>
        <w:t>3</w:t>
      </w:r>
      <w:r>
        <w:rPr>
          <w:rFonts w:hint="eastAsia" w:ascii="宋体" w:hAnsi="宋体"/>
          <w:b/>
        </w:rPr>
        <w:t>2</w:t>
      </w:r>
      <w:r>
        <w:rPr>
          <w:rFonts w:ascii="宋体" w:hAnsi="宋体"/>
          <w:b/>
        </w:rPr>
        <w:t>.</w:t>
      </w:r>
      <w:r>
        <w:rPr>
          <w:rFonts w:hint="eastAsia" w:ascii="宋体" w:hAnsi="宋体"/>
          <w:b/>
        </w:rPr>
        <w:t>索赔与赔偿</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34"/>
        <w:numPr>
          <w:ilvl w:val="0"/>
          <w:numId w:val="42"/>
        </w:numPr>
        <w:tabs>
          <w:tab w:val="left" w:pos="920"/>
          <w:tab w:val="left" w:pos="1440"/>
        </w:tabs>
        <w:spacing w:before="0" w:after="0" w:afterAutospacing="0"/>
        <w:ind w:left="0" w:right="0" w:firstLine="420" w:firstLineChars="200"/>
        <w:rPr>
          <w:rFonts w:ascii="宋体" w:hAnsi="宋体"/>
        </w:rPr>
      </w:pPr>
      <w:r>
        <w:rPr>
          <w:rFonts w:hint="eastAsia" w:ascii="宋体" w:hAnsi="宋体"/>
        </w:rPr>
        <w:t>短装索赔</w:t>
      </w:r>
    </w:p>
    <w:p>
      <w:pPr>
        <w:pStyle w:val="34"/>
        <w:numPr>
          <w:ilvl w:val="0"/>
          <w:numId w:val="43"/>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4"/>
        <w:numPr>
          <w:ilvl w:val="0"/>
          <w:numId w:val="43"/>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w:t>
      </w:r>
      <w:r>
        <w:rPr>
          <w:rFonts w:hint="eastAsia" w:ascii="宋体" w:hAnsi="宋体"/>
        </w:rPr>
        <w:t>执行。</w:t>
      </w:r>
    </w:p>
    <w:p>
      <w:pPr>
        <w:pStyle w:val="34"/>
        <w:numPr>
          <w:ilvl w:val="0"/>
          <w:numId w:val="43"/>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34"/>
        <w:numPr>
          <w:ilvl w:val="0"/>
          <w:numId w:val="42"/>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质量索赔</w:t>
      </w:r>
    </w:p>
    <w:p>
      <w:pPr>
        <w:pStyle w:val="34"/>
        <w:numPr>
          <w:ilvl w:val="0"/>
          <w:numId w:val="44"/>
        </w:numPr>
        <w:tabs>
          <w:tab w:val="left" w:pos="1134"/>
          <w:tab w:val="left" w:pos="1440"/>
        </w:tabs>
        <w:spacing w:before="0" w:after="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条所述之检验过程中，发现系统及货物材料的质量不能达到用户需求书中的技术要求，则甲方应事先以书面文件的方式向乙方提出索赔，并附上下列文件之一作为向乙方进行索赔：</w:t>
      </w:r>
    </w:p>
    <w:p>
      <w:pPr>
        <w:pStyle w:val="34"/>
        <w:numPr>
          <w:ilvl w:val="0"/>
          <w:numId w:val="45"/>
        </w:numPr>
        <w:tabs>
          <w:tab w:val="left" w:pos="1134"/>
          <w:tab w:val="left" w:pos="1440"/>
        </w:tabs>
        <w:spacing w:before="0" w:after="0" w:afterAutospacing="0"/>
        <w:ind w:left="0" w:right="0" w:firstLine="420" w:firstLineChars="200"/>
        <w:rPr>
          <w:rFonts w:ascii="宋体" w:hAnsi="宋体"/>
        </w:rPr>
      </w:pPr>
      <w:r>
        <w:rPr>
          <w:rFonts w:hint="eastAsia" w:ascii="宋体" w:hAnsi="宋体"/>
        </w:rPr>
        <w:t>国家确定的认证机构出具的检验证书。</w:t>
      </w:r>
    </w:p>
    <w:p>
      <w:pPr>
        <w:pStyle w:val="34"/>
        <w:numPr>
          <w:ilvl w:val="0"/>
          <w:numId w:val="45"/>
        </w:numPr>
        <w:tabs>
          <w:tab w:val="left" w:pos="1134"/>
          <w:tab w:val="left" w:pos="1440"/>
        </w:tabs>
        <w:spacing w:before="0" w:after="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34"/>
        <w:numPr>
          <w:ilvl w:val="0"/>
          <w:numId w:val="44"/>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34"/>
        <w:numPr>
          <w:ilvl w:val="0"/>
          <w:numId w:val="44"/>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.2.3.1</w:t>
      </w:r>
      <w:r>
        <w:rPr>
          <w:rFonts w:hint="eastAsia" w:ascii="宋体" w:hAnsi="宋体"/>
        </w:rPr>
        <w:t>和</w:t>
      </w:r>
      <w:r>
        <w:rPr>
          <w:rFonts w:ascii="宋体" w:hAnsi="宋体"/>
        </w:rPr>
        <w:t>3</w:t>
      </w:r>
      <w:r>
        <w:rPr>
          <w:rFonts w:hint="eastAsia" w:ascii="宋体" w:hAnsi="宋体"/>
        </w:rPr>
        <w:t>2</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2</w:t>
      </w:r>
      <w:r>
        <w:rPr>
          <w:rFonts w:ascii="宋体" w:hAnsi="宋体"/>
        </w:rPr>
        <w:t>.2.3.3</w:t>
      </w:r>
      <w:r>
        <w:rPr>
          <w:rFonts w:hint="eastAsia" w:ascii="宋体" w:hAnsi="宋体"/>
        </w:rPr>
        <w:t>和</w:t>
      </w:r>
      <w:r>
        <w:rPr>
          <w:rFonts w:ascii="宋体" w:hAnsi="宋体"/>
        </w:rPr>
        <w:t>3</w:t>
      </w:r>
      <w:r>
        <w:rPr>
          <w:rFonts w:hint="eastAsia" w:ascii="宋体" w:hAnsi="宋体"/>
        </w:rPr>
        <w:t>2</w:t>
      </w:r>
      <w:r>
        <w:rPr>
          <w:rFonts w:ascii="宋体" w:hAnsi="宋体"/>
        </w:rPr>
        <w:t>.2.3.4</w:t>
      </w:r>
      <w:r>
        <w:rPr>
          <w:rFonts w:hint="eastAsia" w:ascii="宋体" w:hAnsi="宋体"/>
        </w:rPr>
        <w:t>两者之一的方式处理。</w:t>
      </w:r>
    </w:p>
    <w:p>
      <w:pPr>
        <w:pStyle w:val="34"/>
        <w:numPr>
          <w:ilvl w:val="0"/>
          <w:numId w:val="46"/>
        </w:numPr>
        <w:tabs>
          <w:tab w:val="left" w:pos="1134"/>
          <w:tab w:val="left" w:pos="1440"/>
        </w:tabs>
        <w:spacing w:before="0" w:after="0" w:afterAutospacing="0"/>
        <w:ind w:left="0" w:right="0" w:firstLine="420" w:firstLineChars="200"/>
        <w:rPr>
          <w:rFonts w:ascii="宋体" w:hAnsi="宋体"/>
        </w:rPr>
      </w:pPr>
      <w:r>
        <w:rPr>
          <w:rFonts w:hint="eastAsia" w:ascii="宋体" w:hAnsi="宋体"/>
        </w:rPr>
        <w:t>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34"/>
        <w:numPr>
          <w:ilvl w:val="0"/>
          <w:numId w:val="46"/>
        </w:numPr>
        <w:tabs>
          <w:tab w:val="left" w:pos="1134"/>
          <w:tab w:val="left" w:pos="1440"/>
        </w:tabs>
        <w:spacing w:before="0" w:after="0" w:afterAutospacing="0"/>
        <w:ind w:left="0" w:right="0" w:firstLine="420" w:firstLineChars="200"/>
        <w:rPr>
          <w:rFonts w:ascii="宋体" w:hAnsi="宋体"/>
        </w:rPr>
      </w:pPr>
      <w:r>
        <w:rPr>
          <w:rFonts w:hint="eastAsia" w:ascii="宋体" w:hAnsi="宋体"/>
        </w:rPr>
        <w:t>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34"/>
        <w:numPr>
          <w:ilvl w:val="0"/>
          <w:numId w:val="46"/>
        </w:numPr>
        <w:tabs>
          <w:tab w:val="left" w:pos="1134"/>
          <w:tab w:val="left" w:pos="1440"/>
        </w:tabs>
        <w:spacing w:before="0" w:after="0" w:afterAutospacing="0"/>
        <w:ind w:left="0" w:right="0" w:firstLine="420" w:firstLineChars="200"/>
        <w:rPr>
          <w:rFonts w:ascii="宋体" w:hAnsi="宋体"/>
        </w:rPr>
      </w:pPr>
      <w:r>
        <w:rPr>
          <w:rFonts w:hint="eastAsia" w:ascii="宋体" w:hAnsi="宋体"/>
        </w:rPr>
        <w:t>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rPr>
      </w:pPr>
      <w:r>
        <w:rPr>
          <w:rFonts w:hint="eastAsia" w:ascii="宋体" w:hAnsi="宋体"/>
        </w:rPr>
        <w:t>拒收货物的运输和保险费及其它杂费应由乙方支付。</w:t>
      </w:r>
    </w:p>
    <w:p>
      <w:pPr>
        <w:pStyle w:val="34"/>
        <w:numPr>
          <w:ilvl w:val="0"/>
          <w:numId w:val="46"/>
        </w:numPr>
        <w:tabs>
          <w:tab w:val="left" w:pos="1134"/>
          <w:tab w:val="left" w:pos="1440"/>
        </w:tabs>
        <w:spacing w:before="0" w:after="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w:t>
      </w:r>
      <w:r>
        <w:rPr>
          <w:rFonts w:hint="eastAsia" w:ascii="宋体" w:hAnsi="宋体"/>
        </w:rPr>
        <w:t>2</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rPr>
        <w:t>5</w:t>
      </w:r>
      <w:r>
        <w:rPr>
          <w:rFonts w:hint="eastAsia" w:ascii="宋体" w:hAnsi="宋体"/>
        </w:rPr>
        <w:t>%的赔偿。此外，乙方还应全额承担由于该货物未能到位而造成的其他全部损失。</w:t>
      </w:r>
    </w:p>
    <w:p>
      <w:pPr>
        <w:pStyle w:val="34"/>
        <w:numPr>
          <w:ilvl w:val="0"/>
          <w:numId w:val="42"/>
        </w:numPr>
        <w:tabs>
          <w:tab w:val="left" w:pos="980"/>
          <w:tab w:val="left" w:pos="1440"/>
        </w:tabs>
        <w:spacing w:before="0" w:after="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34"/>
        <w:numPr>
          <w:ilvl w:val="0"/>
          <w:numId w:val="42"/>
        </w:numPr>
        <w:tabs>
          <w:tab w:val="left" w:pos="980"/>
          <w:tab w:val="left" w:pos="1440"/>
        </w:tabs>
        <w:spacing w:before="0" w:after="0" w:afterAutospacing="0"/>
        <w:ind w:left="0" w:right="0" w:firstLine="420" w:firstLineChars="200"/>
        <w:rPr>
          <w:rFonts w:ascii="宋体" w:hAnsi="宋体"/>
        </w:rPr>
      </w:pPr>
      <w:r>
        <w:rPr>
          <w:rFonts w:hint="eastAsia" w:ascii="宋体" w:hAnsi="宋体"/>
        </w:rPr>
        <w:t>延迟违约金</w:t>
      </w:r>
    </w:p>
    <w:p>
      <w:pPr>
        <w:spacing w:before="0" w:after="0" w:afterAutospacing="0"/>
        <w:ind w:left="0"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34"/>
        <w:numPr>
          <w:ilvl w:val="0"/>
          <w:numId w:val="47"/>
        </w:numPr>
        <w:tabs>
          <w:tab w:val="left" w:pos="1134"/>
          <w:tab w:val="left" w:pos="1440"/>
        </w:tabs>
        <w:spacing w:before="0" w:after="0" w:afterAutospacing="0"/>
        <w:ind w:left="0" w:right="0" w:firstLine="420" w:firstLineChars="200"/>
        <w:rPr>
          <w:rFonts w:ascii="宋体" w:hAnsi="宋体"/>
        </w:rPr>
      </w:pPr>
      <w:r>
        <w:rPr>
          <w:rFonts w:hint="eastAsia" w:ascii="宋体" w:hAnsi="宋体"/>
        </w:rPr>
        <w:t>延迟交付使用的，每天加收合同总价的千分之三的违约金；</w:t>
      </w:r>
    </w:p>
    <w:p>
      <w:pPr>
        <w:pStyle w:val="34"/>
        <w:numPr>
          <w:ilvl w:val="0"/>
          <w:numId w:val="42"/>
        </w:numPr>
        <w:tabs>
          <w:tab w:val="left" w:pos="980"/>
          <w:tab w:val="left" w:pos="1440"/>
        </w:tabs>
        <w:spacing w:before="0" w:after="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若因乙方提供的货物不满足验收标准和技术需求，并拒绝更换符合甲方技术需求的货物，乙方须支付本批次货物的20%的违约金，同时甲方重新采购因价格差所造成的损失由乙方承担。</w:t>
      </w:r>
    </w:p>
    <w:p>
      <w:pPr>
        <w:pStyle w:val="34"/>
        <w:numPr>
          <w:ilvl w:val="0"/>
          <w:numId w:val="42"/>
        </w:numPr>
        <w:tabs>
          <w:tab w:val="left" w:pos="980"/>
          <w:tab w:val="left" w:pos="1440"/>
        </w:tabs>
        <w:spacing w:before="0" w:after="0" w:afterAutospacing="0"/>
        <w:ind w:left="0" w:right="0" w:firstLine="420" w:firstLineChars="200"/>
        <w:rPr>
          <w:rFonts w:ascii="宋体" w:hAnsi="宋体"/>
        </w:rPr>
      </w:pPr>
      <w:r>
        <w:rPr>
          <w:rFonts w:hint="eastAsia" w:ascii="宋体" w:hAnsi="宋体"/>
        </w:rPr>
        <w:t>文件提交延误违约金</w:t>
      </w:r>
    </w:p>
    <w:p>
      <w:pPr>
        <w:pStyle w:val="34"/>
        <w:numPr>
          <w:ilvl w:val="-1"/>
          <w:numId w:val="0"/>
        </w:numPr>
        <w:tabs>
          <w:tab w:val="left" w:pos="1134"/>
          <w:tab w:val="left" w:pos="1440"/>
        </w:tabs>
        <w:spacing w:before="0" w:after="0" w:afterAutospacing="0"/>
        <w:ind w:left="420" w:leftChars="200" w:right="0" w:firstLine="0" w:firstLineChars="0"/>
        <w:rPr>
          <w:rFonts w:ascii="宋体" w:hAnsi="宋体"/>
        </w:rPr>
      </w:pPr>
      <w:r>
        <w:rPr>
          <w:rFonts w:hint="eastAsia" w:ascii="宋体" w:hAnsi="宋体"/>
          <w:lang w:val="en-US" w:eastAsia="zh-CN"/>
        </w:rPr>
        <w:t>32.6.1</w:t>
      </w: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w:t>
      </w:r>
    </w:p>
    <w:p>
      <w:pPr>
        <w:pStyle w:val="34"/>
        <w:numPr>
          <w:ilvl w:val="0"/>
          <w:numId w:val="42"/>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4条和</w:t>
      </w:r>
      <w:r>
        <w:rPr>
          <w:rFonts w:ascii="宋体" w:hAnsi="宋体"/>
        </w:rPr>
        <w:t>3</w:t>
      </w:r>
      <w:r>
        <w:rPr>
          <w:rFonts w:hint="eastAsia" w:ascii="宋体" w:hAnsi="宋体"/>
        </w:rPr>
        <w:t>2条的规定进行处理。</w:t>
      </w:r>
    </w:p>
    <w:p>
      <w:pPr>
        <w:pStyle w:val="34"/>
        <w:numPr>
          <w:ilvl w:val="0"/>
          <w:numId w:val="42"/>
        </w:numPr>
        <w:tabs>
          <w:tab w:val="left" w:pos="980"/>
          <w:tab w:val="left" w:pos="1440"/>
        </w:tabs>
        <w:spacing w:before="0" w:after="0" w:afterAutospacing="0"/>
        <w:ind w:left="0" w:right="0" w:firstLine="420" w:firstLineChars="200"/>
        <w:rPr>
          <w:rFonts w:ascii="宋体" w:hAnsi="宋体"/>
        </w:rPr>
      </w:pPr>
      <w:r>
        <w:rPr>
          <w:rFonts w:hint="eastAsia" w:ascii="宋体" w:hAnsi="宋体"/>
        </w:rPr>
        <w:t>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34"/>
        <w:numPr>
          <w:ilvl w:val="0"/>
          <w:numId w:val="42"/>
        </w:numPr>
        <w:tabs>
          <w:tab w:val="left" w:pos="1000"/>
          <w:tab w:val="left" w:pos="1440"/>
        </w:tabs>
        <w:spacing w:before="0" w:after="0" w:afterAutospacing="0"/>
        <w:ind w:left="0" w:right="0" w:firstLine="420" w:firstLineChars="200"/>
        <w:rPr>
          <w:rFonts w:ascii="宋体" w:hAnsi="宋体"/>
        </w:rPr>
      </w:pPr>
      <w:r>
        <w:rPr>
          <w:rFonts w:hint="eastAsia" w:ascii="宋体" w:hAnsi="宋体"/>
        </w:rPr>
        <w:t>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任何一笔应支付给乙方的款项中扣除，或要求乙方以电汇方式向甲方支付偿还。在后一种情况下乙方应在一个月内凭甲方索赔文件以电汇方式向甲方支付所有违约金和赔偿金。</w:t>
      </w:r>
    </w:p>
    <w:p>
      <w:pPr>
        <w:pStyle w:val="34"/>
        <w:numPr>
          <w:ilvl w:val="0"/>
          <w:numId w:val="42"/>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34"/>
        <w:numPr>
          <w:ilvl w:val="0"/>
          <w:numId w:val="42"/>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34"/>
        <w:numPr>
          <w:ilvl w:val="0"/>
          <w:numId w:val="42"/>
        </w:numPr>
        <w:tabs>
          <w:tab w:val="left" w:pos="1000"/>
          <w:tab w:val="left" w:pos="1440"/>
        </w:tabs>
        <w:spacing w:before="0" w:after="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34"/>
        <w:numPr>
          <w:ilvl w:val="0"/>
          <w:numId w:val="42"/>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5条执行。但异议的协商不能影响合同项下的其它工作的继续进行。</w:t>
      </w:r>
    </w:p>
    <w:p>
      <w:pPr>
        <w:pStyle w:val="34"/>
        <w:numPr>
          <w:ilvl w:val="0"/>
          <w:numId w:val="42"/>
        </w:numPr>
        <w:tabs>
          <w:tab w:val="left" w:pos="1134"/>
          <w:tab w:val="left" w:pos="1440"/>
        </w:tabs>
        <w:spacing w:before="0" w:after="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rPr>
      </w:pPr>
      <w:bookmarkStart w:id="2293" w:name="_Toc1872"/>
      <w:bookmarkStart w:id="2294" w:name="_Toc22724"/>
      <w:bookmarkStart w:id="2295" w:name="_Toc378514988"/>
      <w:bookmarkStart w:id="2296" w:name="_Toc6517"/>
      <w:bookmarkStart w:id="2297" w:name="_Toc16726"/>
      <w:bookmarkStart w:id="2298" w:name="_Toc385427874"/>
      <w:bookmarkStart w:id="2299" w:name="_Toc26296"/>
      <w:bookmarkStart w:id="2300" w:name="_Toc4656"/>
      <w:bookmarkStart w:id="2301" w:name="_Toc75276888"/>
      <w:bookmarkStart w:id="2302" w:name="_Toc12538"/>
      <w:bookmarkStart w:id="2303" w:name="_Toc5528"/>
      <w:bookmarkStart w:id="2304" w:name="_Toc27531"/>
      <w:bookmarkStart w:id="2305" w:name="_Toc6197"/>
      <w:bookmarkStart w:id="2306" w:name="_Toc30838"/>
      <w:bookmarkStart w:id="2307" w:name="_Toc4586"/>
      <w:bookmarkStart w:id="2308" w:name="_Toc19741"/>
      <w:bookmarkStart w:id="2309" w:name="_Toc5367"/>
      <w:bookmarkStart w:id="2310" w:name="_Toc25750667"/>
      <w:bookmarkStart w:id="2311" w:name="_Toc492478797"/>
      <w:bookmarkStart w:id="2312" w:name="_Toc390098500"/>
      <w:bookmarkStart w:id="2313" w:name="_Toc28622"/>
      <w:bookmarkStart w:id="2314" w:name="_Toc30987"/>
      <w:bookmarkStart w:id="2315" w:name="_Toc23798"/>
      <w:bookmarkStart w:id="2316" w:name="_Toc2735"/>
      <w:r>
        <w:rPr>
          <w:rFonts w:hint="eastAsia" w:ascii="宋体" w:hAnsi="宋体"/>
          <w:b/>
        </w:rPr>
        <w:t>33.合同终止与暂停</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numPr>
          <w:ilvl w:val="1"/>
          <w:numId w:val="48"/>
        </w:numPr>
        <w:tabs>
          <w:tab w:val="left" w:pos="980"/>
          <w:tab w:val="clear" w:pos="1134"/>
        </w:tabs>
        <w:spacing w:before="0" w:after="0" w:afterAutospacing="0"/>
        <w:ind w:left="0" w:right="0" w:firstLine="420" w:firstLineChars="200"/>
        <w:rPr>
          <w:rFonts w:ascii="宋体" w:hAnsi="宋体"/>
        </w:rPr>
      </w:pPr>
      <w:r>
        <w:rPr>
          <w:rFonts w:hint="eastAsia" w:ascii="宋体" w:hAnsi="宋体"/>
        </w:rPr>
        <w:t>合同终止</w:t>
      </w:r>
    </w:p>
    <w:p>
      <w:pPr>
        <w:spacing w:before="0" w:after="0" w:afterAutospacing="0"/>
        <w:ind w:left="0" w:right="0" w:firstLine="420" w:firstLineChars="200"/>
        <w:rPr>
          <w:rFonts w:ascii="宋体" w:hAnsi="宋体"/>
        </w:rPr>
      </w:pPr>
      <w:r>
        <w:rPr>
          <w:rFonts w:hint="eastAsia" w:ascii="宋体" w:hAnsi="宋体"/>
        </w:rPr>
        <w:t>合同终止包括以下几种情形：</w:t>
      </w:r>
    </w:p>
    <w:p>
      <w:pPr>
        <w:numPr>
          <w:ilvl w:val="1"/>
          <w:numId w:val="49"/>
        </w:numPr>
        <w:spacing w:before="0" w:after="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9"/>
        </w:numPr>
        <w:spacing w:before="0" w:after="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9"/>
        </w:numPr>
        <w:spacing w:before="0" w:after="0" w:afterAutospacing="0"/>
        <w:ind w:left="0" w:right="0" w:firstLine="420" w:firstLineChars="200"/>
        <w:rPr>
          <w:rFonts w:ascii="宋体" w:hAnsi="宋体"/>
        </w:rPr>
      </w:pPr>
      <w:r>
        <w:rPr>
          <w:rFonts w:hint="eastAsia" w:ascii="宋体" w:hAnsi="宋体"/>
        </w:rPr>
        <w:t>因甲方的便利而终止合同。</w:t>
      </w:r>
    </w:p>
    <w:p>
      <w:pPr>
        <w:numPr>
          <w:ilvl w:val="1"/>
          <w:numId w:val="48"/>
        </w:numPr>
        <w:tabs>
          <w:tab w:val="left" w:pos="1080"/>
          <w:tab w:val="clear" w:pos="1134"/>
        </w:tabs>
        <w:spacing w:before="0" w:after="0" w:afterAutospacing="0"/>
        <w:ind w:left="0" w:right="0" w:firstLine="420" w:firstLineChars="200"/>
        <w:rPr>
          <w:rFonts w:ascii="宋体" w:hAnsi="宋体"/>
        </w:rPr>
      </w:pPr>
      <w:r>
        <w:rPr>
          <w:rFonts w:hint="eastAsia" w:ascii="宋体" w:hAnsi="宋体"/>
        </w:rPr>
        <w:t>违约通知</w:t>
      </w:r>
    </w:p>
    <w:p>
      <w:pPr>
        <w:spacing w:before="0" w:after="0" w:afterAutospacing="0"/>
        <w:ind w:left="0"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8"/>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乙方违约时的终止</w:t>
      </w:r>
    </w:p>
    <w:p>
      <w:pPr>
        <w:numPr>
          <w:ilvl w:val="1"/>
          <w:numId w:val="50"/>
        </w:numPr>
        <w:spacing w:before="0" w:after="0" w:afterAutospacing="0"/>
        <w:ind w:left="0" w:right="0" w:firstLine="420" w:firstLineChars="200"/>
        <w:rPr>
          <w:rFonts w:ascii="宋体" w:hAnsi="宋体"/>
        </w:rPr>
      </w:pPr>
      <w:r>
        <w:rPr>
          <w:rFonts w:hint="eastAsia" w:ascii="宋体" w:hAnsi="宋体"/>
        </w:rPr>
        <w:t>如果乙方有以下情形之一：</w:t>
      </w:r>
    </w:p>
    <w:p>
      <w:pPr>
        <w:spacing w:before="0" w:after="0" w:afterAutospacing="0"/>
        <w:ind w:left="0" w:right="0" w:firstLine="420" w:firstLineChars="200"/>
        <w:rPr>
          <w:rFonts w:ascii="宋体" w:hAnsi="宋体"/>
        </w:rPr>
      </w:pPr>
      <w:r>
        <w:rPr>
          <w:rFonts w:hint="eastAsia" w:ascii="宋体" w:hAnsi="宋体"/>
        </w:rPr>
        <w:t>33.3.1.1 在收到本合同条款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hint="eastAsia" w:ascii="宋体" w:hAnsi="宋体"/>
        </w:rPr>
        <w:t>33.3.1.2没有甲方的书面同意转让合同或将项目的全部或部分分包出去。</w:t>
      </w:r>
    </w:p>
    <w:p>
      <w:pPr>
        <w:spacing w:before="0" w:after="0" w:afterAutospacing="0"/>
        <w:ind w:left="0" w:right="0" w:firstLine="420" w:firstLineChars="200"/>
        <w:rPr>
          <w:rFonts w:ascii="宋体" w:hAnsi="宋体"/>
        </w:rPr>
      </w:pPr>
      <w:r>
        <w:rPr>
          <w:rFonts w:hint="eastAsia" w:ascii="宋体" w:hAnsi="宋体"/>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33.3.1.4 乙方在本合同的竞争和实施过程中有腐败行为和欺诈行为。</w:t>
      </w:r>
    </w:p>
    <w:p>
      <w:pPr>
        <w:spacing w:before="0" w:after="0" w:afterAutospacing="0"/>
        <w:ind w:left="0" w:right="0" w:firstLine="420" w:firstLineChars="200"/>
        <w:rPr>
          <w:rFonts w:ascii="宋体" w:hAnsi="宋体"/>
        </w:rPr>
      </w:pPr>
      <w:r>
        <w:rPr>
          <w:rFonts w:hint="eastAsia" w:ascii="宋体" w:hAnsi="宋体"/>
        </w:rPr>
        <w:t>为此目的，定义下述条件：</w:t>
      </w:r>
    </w:p>
    <w:p>
      <w:pPr>
        <w:tabs>
          <w:tab w:val="left" w:pos="1800"/>
        </w:tabs>
        <w:spacing w:before="0" w:after="0" w:afterAutospacing="0"/>
        <w:ind w:left="0"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0" w:afterAutospacing="0"/>
        <w:ind w:left="0" w:right="0" w:firstLine="420" w:firstLineChars="200"/>
        <w:rPr>
          <w:rFonts w:ascii="宋体" w:hAnsi="宋体"/>
        </w:rPr>
      </w:pPr>
      <w:r>
        <w:rPr>
          <w:rFonts w:hint="eastAsia" w:ascii="宋体" w:hAnsi="宋体"/>
        </w:rPr>
        <w:t>33.3.1.5 由于乙方违约而导致乙方支付违约金达到合同条款</w:t>
      </w:r>
      <w:r>
        <w:rPr>
          <w:rFonts w:ascii="宋体" w:hAnsi="宋体"/>
        </w:rPr>
        <w:t>3</w:t>
      </w:r>
      <w:r>
        <w:rPr>
          <w:rFonts w:hint="eastAsia" w:ascii="宋体" w:hAnsi="宋体"/>
        </w:rPr>
        <w:t>2条规定的限额。</w:t>
      </w:r>
    </w:p>
    <w:p>
      <w:pPr>
        <w:spacing w:before="0" w:after="0" w:afterAutospacing="0"/>
        <w:ind w:left="0"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0" w:afterAutospacing="0"/>
        <w:ind w:left="0"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rPr>
      </w:pPr>
      <w:r>
        <w:rPr>
          <w:rFonts w:hint="eastAsia" w:ascii="宋体" w:hAnsi="宋体"/>
        </w:rPr>
        <w:t>33.3.1.6 按本合同条款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.3.1.1</w:t>
      </w:r>
      <w:r>
        <w:rPr>
          <w:rFonts w:hint="eastAsia" w:ascii="宋体" w:hAnsi="宋体"/>
        </w:rPr>
        <w:t>、</w:t>
      </w:r>
      <w:r>
        <w:rPr>
          <w:rFonts w:ascii="宋体" w:hAnsi="宋体"/>
        </w:rPr>
        <w:t>3</w:t>
      </w:r>
      <w:r>
        <w:rPr>
          <w:rFonts w:hint="eastAsia" w:ascii="宋体" w:hAnsi="宋体"/>
        </w:rPr>
        <w:t>3</w:t>
      </w:r>
      <w:r>
        <w:rPr>
          <w:rFonts w:ascii="宋体" w:hAnsi="宋体"/>
        </w:rPr>
        <w:t>.3.1.2</w:t>
      </w:r>
      <w:r>
        <w:rPr>
          <w:rFonts w:hint="eastAsia" w:ascii="宋体" w:hAnsi="宋体"/>
        </w:rPr>
        <w:t>和</w:t>
      </w:r>
      <w:r>
        <w:rPr>
          <w:rFonts w:ascii="宋体" w:hAnsi="宋体"/>
        </w:rPr>
        <w:t>3</w:t>
      </w:r>
      <w:r>
        <w:rPr>
          <w:rFonts w:hint="eastAsia" w:ascii="宋体" w:hAnsi="宋体"/>
        </w:rPr>
        <w:t>3</w:t>
      </w:r>
      <w:r>
        <w:rPr>
          <w:rFonts w:ascii="宋体" w:hAnsi="宋体"/>
        </w:rPr>
        <w:t>.3.1.5</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color w:val="000000" w:themeColor="text1"/>
        </w:rPr>
      </w:pPr>
      <w:r>
        <w:rPr>
          <w:rFonts w:hint="eastAsia" w:ascii="宋体" w:hAnsi="宋体"/>
          <w:color w:val="000000" w:themeColor="text1"/>
        </w:rPr>
        <w:t>但在本项目完成之前，甲方没有义务向乙方支付任何进一步的款项。本项目完成后，甲方有权从乙方应得款项中扣除为完成项目所招致的额外费用</w:t>
      </w:r>
      <w:r>
        <w:rPr>
          <w:rFonts w:ascii="宋体" w:hAnsi="宋体"/>
          <w:color w:val="000000" w:themeColor="text1"/>
        </w:rPr>
        <w:t>(</w:t>
      </w:r>
      <w:r>
        <w:rPr>
          <w:rFonts w:hint="eastAsia" w:ascii="宋体" w:hAnsi="宋体"/>
          <w:color w:val="000000" w:themeColor="text1"/>
        </w:rPr>
        <w:t>如果有的话</w:t>
      </w:r>
      <w:r>
        <w:rPr>
          <w:rFonts w:ascii="宋体" w:hAnsi="宋体"/>
          <w:color w:val="000000" w:themeColor="text1"/>
        </w:rPr>
        <w:t>)</w:t>
      </w:r>
      <w:r>
        <w:rPr>
          <w:rFonts w:hint="eastAsia" w:ascii="宋体" w:hAnsi="宋体"/>
          <w:color w:val="000000" w:themeColor="text1"/>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.3.1.3</w:t>
      </w:r>
      <w:r>
        <w:rPr>
          <w:rFonts w:hint="eastAsia" w:ascii="宋体" w:hAnsi="宋体"/>
        </w:rPr>
        <w:t>和</w:t>
      </w:r>
      <w:r>
        <w:rPr>
          <w:rFonts w:ascii="宋体" w:hAnsi="宋体"/>
        </w:rPr>
        <w:t>3</w:t>
      </w:r>
      <w:r>
        <w:rPr>
          <w:rFonts w:hint="eastAsia" w:ascii="宋体" w:hAnsi="宋体"/>
        </w:rPr>
        <w:t>3</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numPr>
          <w:ilvl w:val="1"/>
          <w:numId w:val="48"/>
        </w:numPr>
        <w:tabs>
          <w:tab w:val="left" w:pos="1020"/>
          <w:tab w:val="clear" w:pos="1134"/>
        </w:tabs>
        <w:spacing w:before="0" w:after="0" w:afterAutospacing="0"/>
        <w:ind w:left="0" w:right="0" w:firstLine="420" w:firstLineChars="200"/>
        <w:rPr>
          <w:rFonts w:ascii="宋体" w:hAnsi="宋体"/>
        </w:rPr>
      </w:pPr>
      <w:r>
        <w:rPr>
          <w:rFonts w:hint="eastAsia" w:ascii="宋体" w:hAnsi="宋体"/>
        </w:rPr>
        <w:t>甲方违约时的终止</w:t>
      </w:r>
    </w:p>
    <w:p>
      <w:pPr>
        <w:numPr>
          <w:ilvl w:val="1"/>
          <w:numId w:val="51"/>
        </w:numPr>
        <w:spacing w:before="0" w:after="0" w:afterAutospacing="0"/>
        <w:ind w:left="0" w:right="0" w:firstLine="420" w:firstLineChars="200"/>
        <w:rPr>
          <w:rFonts w:ascii="宋体" w:hAnsi="宋体"/>
        </w:rPr>
      </w:pPr>
      <w:r>
        <w:rPr>
          <w:rFonts w:hint="eastAsia"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0" w:afterAutospacing="0"/>
        <w:ind w:left="0" w:right="0" w:firstLine="420" w:firstLineChars="200"/>
        <w:rPr>
          <w:rFonts w:ascii="宋体" w:hAnsi="宋体"/>
        </w:rPr>
      </w:pPr>
      <w:r>
        <w:rPr>
          <w:rFonts w:hint="eastAsia" w:ascii="宋体" w:hAnsi="宋体"/>
        </w:rPr>
        <w:t>任何此类终止均不应损害本合同项下甲方的任何其它权利。</w:t>
      </w:r>
    </w:p>
    <w:p>
      <w:pPr>
        <w:numPr>
          <w:ilvl w:val="1"/>
          <w:numId w:val="51"/>
        </w:numPr>
        <w:spacing w:before="0" w:after="0" w:afterAutospacing="0"/>
        <w:ind w:left="0" w:right="0" w:firstLine="420" w:firstLineChars="200"/>
        <w:rPr>
          <w:rFonts w:ascii="宋体" w:hAnsi="宋体"/>
        </w:rPr>
      </w:pPr>
      <w:r>
        <w:rPr>
          <w:rFonts w:hint="eastAsia" w:ascii="宋体" w:hAnsi="宋体"/>
        </w:rPr>
        <w:t xml:space="preserve"> 倘若发生本合同条款第</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rPr>
      </w:pPr>
      <w:bookmarkStart w:id="2317" w:name="_Toc459730496"/>
      <w:bookmarkEnd w:id="2317"/>
      <w:bookmarkStart w:id="2318" w:name="_Toc459797560"/>
      <w:bookmarkEnd w:id="2318"/>
      <w:bookmarkStart w:id="2319" w:name="_Toc459797566"/>
      <w:bookmarkEnd w:id="2319"/>
      <w:bookmarkStart w:id="2320" w:name="_Toc459797554"/>
      <w:bookmarkEnd w:id="2320"/>
      <w:bookmarkStart w:id="2321" w:name="_Toc459730512"/>
      <w:bookmarkEnd w:id="2321"/>
      <w:bookmarkStart w:id="2322" w:name="_Toc459797561"/>
      <w:bookmarkEnd w:id="2322"/>
      <w:bookmarkStart w:id="2323" w:name="_Toc459797555"/>
      <w:bookmarkEnd w:id="2323"/>
      <w:bookmarkStart w:id="2324" w:name="_Toc459797538"/>
      <w:bookmarkEnd w:id="2324"/>
      <w:bookmarkStart w:id="2325" w:name="_Toc459797551"/>
      <w:bookmarkEnd w:id="2325"/>
      <w:bookmarkStart w:id="2326" w:name="_Toc459797568"/>
      <w:bookmarkEnd w:id="2326"/>
      <w:bookmarkStart w:id="2327" w:name="_Toc459797545"/>
      <w:bookmarkEnd w:id="2327"/>
      <w:bookmarkStart w:id="2328" w:name="_Toc459730507"/>
      <w:bookmarkEnd w:id="2328"/>
      <w:bookmarkStart w:id="2329" w:name="_Toc459730509"/>
      <w:bookmarkEnd w:id="2329"/>
      <w:bookmarkStart w:id="2330" w:name="_Toc459797547"/>
      <w:bookmarkEnd w:id="2330"/>
      <w:bookmarkStart w:id="2331" w:name="_Toc459797550"/>
      <w:bookmarkEnd w:id="2331"/>
      <w:bookmarkStart w:id="2332" w:name="_Toc459797565"/>
      <w:bookmarkEnd w:id="2332"/>
      <w:bookmarkStart w:id="2333" w:name="_Toc459797553"/>
      <w:bookmarkEnd w:id="2333"/>
      <w:bookmarkStart w:id="2334" w:name="_Toc459797539"/>
      <w:bookmarkEnd w:id="2334"/>
      <w:bookmarkStart w:id="2335" w:name="_Toc459797549"/>
      <w:bookmarkEnd w:id="2335"/>
      <w:bookmarkStart w:id="2336" w:name="_Toc459730517"/>
      <w:bookmarkEnd w:id="2336"/>
      <w:bookmarkStart w:id="2337" w:name="_Toc459730490"/>
      <w:bookmarkEnd w:id="2337"/>
      <w:bookmarkStart w:id="2338" w:name="_Toc459797542"/>
      <w:bookmarkEnd w:id="2338"/>
      <w:bookmarkStart w:id="2339" w:name="_Toc459730497"/>
      <w:bookmarkEnd w:id="2339"/>
      <w:bookmarkStart w:id="2340" w:name="_Toc459730493"/>
      <w:bookmarkEnd w:id="2340"/>
      <w:bookmarkStart w:id="2341" w:name="_Toc459730502"/>
      <w:bookmarkEnd w:id="2341"/>
      <w:bookmarkStart w:id="2342" w:name="_Toc459797569"/>
      <w:bookmarkEnd w:id="2342"/>
      <w:bookmarkStart w:id="2343" w:name="_Toc459797562"/>
      <w:bookmarkEnd w:id="2343"/>
      <w:bookmarkStart w:id="2344" w:name="_Toc459730514"/>
      <w:bookmarkEnd w:id="2344"/>
      <w:bookmarkStart w:id="2345" w:name="_Toc459797570"/>
      <w:bookmarkEnd w:id="2345"/>
      <w:bookmarkStart w:id="2346" w:name="_Toc459730489"/>
      <w:bookmarkEnd w:id="2346"/>
      <w:bookmarkStart w:id="2347" w:name="_Toc459730495"/>
      <w:bookmarkEnd w:id="2347"/>
      <w:bookmarkStart w:id="2348" w:name="_Toc459730513"/>
      <w:bookmarkEnd w:id="2348"/>
      <w:bookmarkStart w:id="2349" w:name="_Toc459797544"/>
      <w:bookmarkEnd w:id="2349"/>
      <w:bookmarkStart w:id="2350" w:name="_Toc459730494"/>
      <w:bookmarkEnd w:id="2350"/>
      <w:bookmarkStart w:id="2351" w:name="_Toc459797543"/>
      <w:bookmarkEnd w:id="2351"/>
      <w:bookmarkStart w:id="2352" w:name="_Toc459730504"/>
      <w:bookmarkEnd w:id="2352"/>
      <w:bookmarkStart w:id="2353" w:name="_Toc459730511"/>
      <w:bookmarkEnd w:id="2353"/>
      <w:bookmarkStart w:id="2354" w:name="_Toc459797552"/>
      <w:bookmarkEnd w:id="2354"/>
      <w:bookmarkStart w:id="2355" w:name="_Toc459730488"/>
      <w:bookmarkEnd w:id="2355"/>
      <w:bookmarkStart w:id="2356" w:name="_Toc459797563"/>
      <w:bookmarkEnd w:id="2356"/>
      <w:bookmarkStart w:id="2357" w:name="_Toc459730485"/>
      <w:bookmarkEnd w:id="2357"/>
      <w:bookmarkStart w:id="2358" w:name="_Toc459730492"/>
      <w:bookmarkEnd w:id="2358"/>
      <w:bookmarkStart w:id="2359" w:name="_Toc459730487"/>
      <w:bookmarkEnd w:id="2359"/>
      <w:bookmarkStart w:id="2360" w:name="_Toc459797557"/>
      <w:bookmarkEnd w:id="2360"/>
      <w:bookmarkStart w:id="2361" w:name="_Toc459797540"/>
      <w:bookmarkEnd w:id="2361"/>
      <w:bookmarkStart w:id="2362" w:name="_Toc459797567"/>
      <w:bookmarkEnd w:id="2362"/>
      <w:bookmarkStart w:id="2363" w:name="_Toc459730498"/>
      <w:bookmarkEnd w:id="2363"/>
      <w:bookmarkStart w:id="2364" w:name="_Toc459797541"/>
      <w:bookmarkEnd w:id="2364"/>
      <w:bookmarkStart w:id="2365" w:name="_Toc459797548"/>
      <w:bookmarkEnd w:id="2365"/>
      <w:bookmarkStart w:id="2366" w:name="_Toc459730501"/>
      <w:bookmarkEnd w:id="2366"/>
      <w:bookmarkStart w:id="2367" w:name="_Toc459730515"/>
      <w:bookmarkEnd w:id="2367"/>
      <w:bookmarkStart w:id="2368" w:name="_Toc459797546"/>
      <w:bookmarkEnd w:id="2368"/>
      <w:bookmarkStart w:id="2369" w:name="_Toc459797564"/>
      <w:bookmarkEnd w:id="2369"/>
      <w:bookmarkStart w:id="2370" w:name="_Toc459730491"/>
      <w:bookmarkEnd w:id="2370"/>
      <w:bookmarkStart w:id="2371" w:name="_Toc459730510"/>
      <w:bookmarkEnd w:id="2371"/>
      <w:bookmarkStart w:id="2372" w:name="_Toc459730505"/>
      <w:bookmarkEnd w:id="2372"/>
      <w:bookmarkStart w:id="2373" w:name="_Toc459797559"/>
      <w:bookmarkEnd w:id="2373"/>
      <w:bookmarkStart w:id="2374" w:name="_Toc459730506"/>
      <w:bookmarkEnd w:id="2374"/>
      <w:bookmarkStart w:id="2375" w:name="_Toc459730516"/>
      <w:bookmarkEnd w:id="2375"/>
      <w:bookmarkStart w:id="2376" w:name="_Toc459730500"/>
      <w:bookmarkEnd w:id="2376"/>
      <w:bookmarkStart w:id="2377" w:name="_Toc459730486"/>
      <w:bookmarkEnd w:id="2377"/>
      <w:bookmarkStart w:id="2378" w:name="_Toc459730503"/>
      <w:bookmarkEnd w:id="2378"/>
      <w:bookmarkStart w:id="2379" w:name="_Toc459797558"/>
      <w:bookmarkEnd w:id="2379"/>
      <w:bookmarkStart w:id="2380" w:name="_Toc459730499"/>
      <w:bookmarkEnd w:id="2380"/>
      <w:bookmarkStart w:id="2381" w:name="_Toc459797556"/>
      <w:bookmarkEnd w:id="2381"/>
      <w:bookmarkStart w:id="2382" w:name="_Toc459730508"/>
      <w:bookmarkEnd w:id="2382"/>
      <w:bookmarkStart w:id="2383" w:name="_Toc29090"/>
      <w:bookmarkStart w:id="2384" w:name="_Toc31943"/>
      <w:bookmarkStart w:id="2385" w:name="_Toc24047"/>
      <w:bookmarkStart w:id="2386" w:name="_Toc11735"/>
      <w:bookmarkStart w:id="2387" w:name="_Toc25750668"/>
      <w:bookmarkStart w:id="2388" w:name="_Toc2164"/>
      <w:bookmarkStart w:id="2389" w:name="_Toc16556"/>
      <w:bookmarkStart w:id="2390" w:name="_Toc17551"/>
      <w:bookmarkStart w:id="2391" w:name="_Toc30952"/>
      <w:bookmarkStart w:id="2392" w:name="_Toc75276889"/>
      <w:bookmarkStart w:id="2393" w:name="_Toc10048"/>
      <w:bookmarkStart w:id="2394" w:name="_Toc10055"/>
      <w:bookmarkStart w:id="2395" w:name="_Toc2267"/>
      <w:bookmarkStart w:id="2396" w:name="_Toc28448"/>
      <w:bookmarkStart w:id="2397" w:name="_Toc28979"/>
      <w:bookmarkStart w:id="2398" w:name="_Toc492478798"/>
      <w:bookmarkStart w:id="2399" w:name="_Toc16585"/>
      <w:bookmarkStart w:id="2400" w:name="_Toc22885"/>
      <w:bookmarkStart w:id="2401" w:name="_Toc12929"/>
      <w:bookmarkStart w:id="2402" w:name="_Toc13350"/>
      <w:bookmarkStart w:id="2403" w:name="_Toc3622"/>
      <w:r>
        <w:rPr>
          <w:rFonts w:hint="eastAsia" w:ascii="宋体" w:hAnsi="宋体"/>
          <w:b/>
        </w:rPr>
        <w:t>34.验收</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numPr>
          <w:ilvl w:val="1"/>
          <w:numId w:val="52"/>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52"/>
        </w:numPr>
        <w:spacing w:before="0" w:after="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52"/>
        </w:numPr>
        <w:tabs>
          <w:tab w:val="left" w:pos="1080"/>
          <w:tab w:val="clear" w:pos="1134"/>
        </w:tabs>
        <w:spacing w:before="0" w:after="0" w:afterAutospacing="0"/>
        <w:ind w:left="0" w:right="0" w:firstLine="420" w:firstLineChars="200"/>
        <w:rPr>
          <w:rFonts w:ascii="宋体" w:hAnsi="宋体"/>
        </w:rPr>
      </w:pPr>
      <w:r>
        <w:rPr>
          <w:rFonts w:hint="eastAsia" w:ascii="宋体" w:hAnsi="宋体"/>
        </w:rPr>
        <w:t>验收标准</w:t>
      </w:r>
    </w:p>
    <w:p>
      <w:pPr>
        <w:numPr>
          <w:ilvl w:val="1"/>
          <w:numId w:val="53"/>
        </w:numPr>
        <w:spacing w:before="0" w:after="0" w:afterAutospacing="0"/>
        <w:ind w:left="0" w:right="0" w:firstLine="420" w:firstLineChars="200"/>
        <w:rPr>
          <w:rFonts w:ascii="宋体" w:hAnsi="宋体"/>
        </w:rPr>
      </w:pPr>
      <w:r>
        <w:rPr>
          <w:rFonts w:hint="eastAsia" w:ascii="宋体" w:hAnsi="宋体"/>
        </w:rPr>
        <w:t xml:space="preserve"> 甲方对货物制订的检验标准。</w:t>
      </w:r>
    </w:p>
    <w:p>
      <w:pPr>
        <w:numPr>
          <w:ilvl w:val="1"/>
          <w:numId w:val="53"/>
        </w:numPr>
        <w:spacing w:before="0" w:after="0" w:afterAutospacing="0"/>
        <w:ind w:left="0" w:right="0" w:firstLine="420" w:firstLineChars="200"/>
        <w:rPr>
          <w:rFonts w:ascii="宋体" w:hAnsi="宋体"/>
        </w:rPr>
      </w:pPr>
      <w:r>
        <w:rPr>
          <w:rFonts w:hint="eastAsia" w:ascii="宋体" w:hAnsi="宋体"/>
        </w:rPr>
        <w:t xml:space="preserve"> 以合格证书、技术性能参数、质量参数和国家质量标准作为对货物的检验标准。</w:t>
      </w:r>
    </w:p>
    <w:p>
      <w:pPr>
        <w:numPr>
          <w:ilvl w:val="1"/>
          <w:numId w:val="53"/>
        </w:numPr>
        <w:spacing w:before="0" w:after="0" w:afterAutospacing="0"/>
        <w:ind w:left="0" w:right="0" w:firstLine="420" w:firstLineChars="200"/>
        <w:rPr>
          <w:rFonts w:ascii="宋体" w:hAnsi="宋体"/>
          <w:color w:val="000000" w:themeColor="text1"/>
        </w:rPr>
      </w:pPr>
      <w:r>
        <w:rPr>
          <w:rFonts w:hint="eastAsia" w:ascii="宋体" w:hAnsi="宋体"/>
        </w:rPr>
        <w:t xml:space="preserve"> 验收时，乙方需保证交付货物满足技术需求和验收标准，</w:t>
      </w:r>
      <w:r>
        <w:rPr>
          <w:rFonts w:hint="eastAsia" w:hAnsi="宋体" w:cstheme="minorBidi"/>
          <w:color w:val="000000" w:themeColor="text1"/>
        </w:rPr>
        <w:t>所有货物尺寸正负</w:t>
      </w:r>
      <w:r>
        <w:rPr>
          <w:rFonts w:hint="eastAsia" w:hAnsi="宋体" w:cstheme="minorBidi"/>
          <w:color w:val="000000" w:themeColor="text1"/>
          <w:lang w:eastAsia="zh-CN"/>
        </w:rPr>
        <w:t>误差</w:t>
      </w:r>
      <w:r>
        <w:rPr>
          <w:rFonts w:hint="eastAsia" w:hAnsi="宋体" w:cstheme="minorBidi"/>
          <w:color w:val="000000" w:themeColor="text1"/>
        </w:rPr>
        <w:t>值不超过</w:t>
      </w:r>
      <w:r>
        <w:rPr>
          <w:rFonts w:hint="eastAsia" w:hAnsi="宋体" w:cstheme="minorBidi"/>
          <w:color w:val="000000" w:themeColor="text1"/>
          <w:lang w:val="en-US" w:eastAsia="zh-CN"/>
        </w:rPr>
        <w:t>5mm</w:t>
      </w:r>
      <w:r>
        <w:rPr>
          <w:rFonts w:hint="eastAsia" w:hAnsi="宋体" w:cstheme="minorBidi"/>
          <w:color w:val="000000" w:themeColor="text1"/>
          <w:lang w:eastAsia="zh-CN"/>
        </w:rPr>
        <w:t>，</w:t>
      </w:r>
      <w:r>
        <w:rPr>
          <w:rFonts w:hint="eastAsia" w:ascii="宋体" w:hAnsi="宋体"/>
          <w:color w:val="000000" w:themeColor="text1"/>
        </w:rPr>
        <w:t>否则甲方可以拒收，并要求乙方提供符合要求的货物。</w:t>
      </w:r>
    </w:p>
    <w:p>
      <w:pPr>
        <w:snapToGrid w:val="0"/>
        <w:spacing w:before="0" w:after="0" w:afterAutospacing="0"/>
        <w:ind w:left="0"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52"/>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rPr>
      </w:pPr>
      <w:bookmarkStart w:id="2404" w:name="_Toc408"/>
      <w:bookmarkStart w:id="2405" w:name="_Toc6005"/>
      <w:bookmarkStart w:id="2406" w:name="_Toc6868"/>
      <w:bookmarkStart w:id="2407" w:name="_Toc13500"/>
      <w:bookmarkStart w:id="2408" w:name="_Toc5694"/>
      <w:bookmarkStart w:id="2409" w:name="_Toc12087"/>
      <w:bookmarkStart w:id="2410" w:name="_Toc14941"/>
      <w:bookmarkStart w:id="2411" w:name="_Toc30922"/>
      <w:bookmarkStart w:id="2412" w:name="_Toc12478"/>
      <w:bookmarkStart w:id="2413" w:name="_Toc75276890"/>
      <w:bookmarkStart w:id="2414" w:name="_Toc15820"/>
      <w:bookmarkStart w:id="2415" w:name="_Toc21038"/>
      <w:bookmarkStart w:id="2416" w:name="_Toc25750669"/>
      <w:bookmarkStart w:id="2417" w:name="_Toc30584"/>
      <w:bookmarkStart w:id="2418" w:name="_Toc23559"/>
      <w:bookmarkStart w:id="2419" w:name="_Toc1713"/>
      <w:bookmarkStart w:id="2420" w:name="_Toc21060"/>
      <w:bookmarkStart w:id="2421" w:name="_Toc9798"/>
      <w:bookmarkStart w:id="2422" w:name="_Toc13751"/>
      <w:bookmarkStart w:id="2423" w:name="_Toc492478799"/>
      <w:bookmarkStart w:id="2424" w:name="_Toc31498"/>
      <w:r>
        <w:rPr>
          <w:rFonts w:hint="eastAsia" w:ascii="宋体" w:hAnsi="宋体"/>
          <w:b/>
        </w:rPr>
        <w:t>35.时间保证</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pPr>
        <w:numPr>
          <w:ilvl w:val="2"/>
          <w:numId w:val="54"/>
        </w:numPr>
        <w:tabs>
          <w:tab w:val="left" w:pos="940"/>
          <w:tab w:val="clear" w:pos="1080"/>
        </w:tabs>
        <w:snapToGrid w:val="0"/>
        <w:spacing w:before="0" w:after="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rPr>
      </w:pPr>
      <w:bookmarkStart w:id="2425" w:name="_Toc370933887"/>
      <w:bookmarkStart w:id="2426" w:name="_Toc26446"/>
      <w:bookmarkStart w:id="2427" w:name="_Toc27029"/>
      <w:bookmarkStart w:id="2428" w:name="_Toc25859"/>
      <w:bookmarkStart w:id="2429" w:name="_Toc24789"/>
      <w:bookmarkStart w:id="2430" w:name="_Toc27400"/>
      <w:bookmarkStart w:id="2431" w:name="_Toc378514990"/>
      <w:bookmarkStart w:id="2432" w:name="_Toc75276891"/>
      <w:bookmarkStart w:id="2433" w:name="_Toc25750670"/>
      <w:bookmarkStart w:id="2434" w:name="_Toc20780"/>
      <w:bookmarkStart w:id="2435" w:name="_Toc25406"/>
      <w:bookmarkStart w:id="2436" w:name="_Toc925"/>
      <w:bookmarkStart w:id="2437" w:name="_Toc385427876"/>
      <w:bookmarkStart w:id="2438" w:name="_Toc492478800"/>
      <w:bookmarkStart w:id="2439" w:name="_Toc2427"/>
      <w:bookmarkStart w:id="2440" w:name="_Toc4370"/>
      <w:bookmarkStart w:id="2441" w:name="_Toc390098502"/>
      <w:bookmarkStart w:id="2442" w:name="_Toc20826"/>
      <w:bookmarkStart w:id="2443" w:name="_Toc11286"/>
      <w:bookmarkStart w:id="2444" w:name="_Toc11322"/>
      <w:bookmarkStart w:id="2445" w:name="_Toc6462"/>
      <w:bookmarkStart w:id="2446" w:name="_Toc14240"/>
      <w:bookmarkStart w:id="2447" w:name="_Toc16845"/>
      <w:bookmarkStart w:id="2448" w:name="_Toc8642"/>
      <w:bookmarkStart w:id="2449" w:name="_Toc309"/>
      <w:r>
        <w:rPr>
          <w:rFonts w:hint="eastAsia" w:ascii="宋体" w:hAnsi="宋体"/>
          <w:b/>
        </w:rPr>
        <w:t>36.其他</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34"/>
        <w:numPr>
          <w:ilvl w:val="0"/>
          <w:numId w:val="55"/>
        </w:numPr>
        <w:tabs>
          <w:tab w:val="left" w:pos="960"/>
          <w:tab w:val="left" w:pos="8364"/>
        </w:tabs>
        <w:spacing w:before="0" w:after="0" w:afterAutospacing="0"/>
        <w:ind w:left="0" w:right="0" w:firstLine="420" w:firstLineChars="200"/>
        <w:rPr>
          <w:rFonts w:ascii="宋体" w:hAnsi="宋体"/>
        </w:rPr>
      </w:pPr>
      <w:r>
        <w:rPr>
          <w:rFonts w:hint="eastAsia" w:ascii="宋体" w:hAnsi="宋体"/>
        </w:rPr>
        <w:t>乙方确认并认知：</w:t>
      </w:r>
    </w:p>
    <w:p>
      <w:pPr>
        <w:pStyle w:val="34"/>
        <w:numPr>
          <w:ilvl w:val="0"/>
          <w:numId w:val="56"/>
        </w:numPr>
        <w:tabs>
          <w:tab w:val="left" w:pos="1134"/>
          <w:tab w:val="left" w:pos="8364"/>
        </w:tabs>
        <w:spacing w:before="0" w:after="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34"/>
        <w:numPr>
          <w:ilvl w:val="0"/>
          <w:numId w:val="56"/>
        </w:numPr>
        <w:tabs>
          <w:tab w:val="left" w:pos="1134"/>
          <w:tab w:val="left" w:pos="8364"/>
        </w:tabs>
        <w:spacing w:before="0" w:after="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34"/>
        <w:numPr>
          <w:ilvl w:val="0"/>
          <w:numId w:val="56"/>
        </w:numPr>
        <w:tabs>
          <w:tab w:val="left" w:pos="1134"/>
          <w:tab w:val="left" w:pos="8364"/>
        </w:tabs>
        <w:spacing w:before="0" w:after="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34"/>
        <w:numPr>
          <w:ilvl w:val="0"/>
          <w:numId w:val="56"/>
        </w:numPr>
        <w:tabs>
          <w:tab w:val="left" w:pos="1134"/>
          <w:tab w:val="left" w:pos="8364"/>
        </w:tabs>
        <w:spacing w:before="0" w:after="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34"/>
        <w:numPr>
          <w:ilvl w:val="0"/>
          <w:numId w:val="55"/>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34"/>
        <w:numPr>
          <w:ilvl w:val="0"/>
          <w:numId w:val="55"/>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rPr>
      </w:pPr>
      <w:bookmarkStart w:id="2450" w:name="_Toc560"/>
      <w:bookmarkStart w:id="2451" w:name="_Toc5033"/>
      <w:bookmarkStart w:id="2452" w:name="_Toc13499"/>
      <w:bookmarkStart w:id="2453" w:name="_Toc7637"/>
      <w:bookmarkStart w:id="2454" w:name="_Toc8007"/>
      <w:bookmarkStart w:id="2455" w:name="_Toc24622"/>
      <w:bookmarkStart w:id="2456" w:name="_Toc19698"/>
      <w:bookmarkStart w:id="2457" w:name="_Toc13166"/>
      <w:bookmarkStart w:id="2458" w:name="_Toc2305"/>
      <w:bookmarkStart w:id="2459" w:name="_Toc75276892"/>
      <w:bookmarkStart w:id="2460" w:name="_Toc25750671"/>
      <w:bookmarkStart w:id="2461" w:name="_Toc16684"/>
      <w:bookmarkStart w:id="2462" w:name="_Toc18173"/>
      <w:bookmarkStart w:id="2463" w:name="_Toc22187"/>
      <w:bookmarkStart w:id="2464" w:name="_Toc7437"/>
      <w:bookmarkStart w:id="2465" w:name="_Toc2266"/>
      <w:bookmarkStart w:id="2466" w:name="_Toc4615"/>
      <w:bookmarkStart w:id="2467" w:name="_Toc24724"/>
      <w:bookmarkStart w:id="2468" w:name="_Toc16195"/>
      <w:bookmarkStart w:id="2469" w:name="_Toc15121"/>
      <w:r>
        <w:rPr>
          <w:rFonts w:hint="eastAsia" w:ascii="宋体" w:hAnsi="宋体"/>
          <w:b/>
        </w:rPr>
        <w:t>37.合同生效和签约地</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34"/>
        <w:numPr>
          <w:ilvl w:val="0"/>
          <w:numId w:val="57"/>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34"/>
        <w:numPr>
          <w:ilvl w:val="0"/>
          <w:numId w:val="57"/>
        </w:numPr>
        <w:shd w:val="clear" w:color="auto" w:fill="FFFFFF" w:themeFill="background1"/>
        <w:tabs>
          <w:tab w:val="left" w:pos="960"/>
          <w:tab w:val="left" w:pos="8364"/>
        </w:tabs>
        <w:spacing w:before="0" w:after="0" w:afterAutospacing="0"/>
        <w:ind w:left="0" w:right="0" w:firstLine="420" w:firstLineChars="200"/>
        <w:rPr>
          <w:rFonts w:ascii="宋体" w:hAnsi="宋体"/>
        </w:rPr>
      </w:pPr>
      <w:r>
        <w:rPr>
          <w:rFonts w:hint="eastAsia" w:ascii="宋体" w:hAnsi="宋体"/>
        </w:rPr>
        <w:t>本合同签约地为广西南宁市青秀区云景路83号。</w:t>
      </w:r>
    </w:p>
    <w:p>
      <w:pPr>
        <w:pStyle w:val="34"/>
        <w:numPr>
          <w:ilvl w:val="0"/>
          <w:numId w:val="57"/>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本合同将在各方授权代表签字后方可生效。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1"/>
        <w:rPr>
          <w:rFonts w:ascii="宋体" w:hAnsi="宋体"/>
          <w:b/>
        </w:rPr>
        <w:sectPr>
          <w:pgSz w:w="11905" w:h="16838"/>
          <w:pgMar w:top="1417" w:right="1417" w:bottom="1417" w:left="1417" w:header="454" w:footer="567" w:gutter="0"/>
          <w:cols w:space="720" w:num="1"/>
          <w:docGrid w:linePitch="312" w:charSpace="0"/>
        </w:sectPr>
      </w:pPr>
      <w:bookmarkStart w:id="2470" w:name="_Toc21372"/>
      <w:bookmarkStart w:id="2471" w:name="_Toc27316"/>
      <w:bookmarkStart w:id="2472" w:name="_Toc5186"/>
      <w:bookmarkStart w:id="2473" w:name="_Toc5644"/>
      <w:bookmarkStart w:id="2474" w:name="_Toc21033"/>
      <w:bookmarkStart w:id="2475" w:name="_Toc6194"/>
      <w:bookmarkStart w:id="2476" w:name="_Toc21659"/>
      <w:bookmarkStart w:id="2477" w:name="_Toc27258"/>
      <w:bookmarkStart w:id="2478" w:name="_Toc19448"/>
      <w:bookmarkStart w:id="2479" w:name="_Toc21635"/>
      <w:bookmarkStart w:id="2480" w:name="_Toc12470"/>
      <w:bookmarkStart w:id="2481" w:name="_Toc16443"/>
      <w:bookmarkStart w:id="2482" w:name="_Toc16716"/>
      <w:bookmarkStart w:id="2483" w:name="_Toc13288"/>
      <w:bookmarkStart w:id="2484" w:name="_Toc2753"/>
      <w:bookmarkStart w:id="2485" w:name="_Toc29249"/>
      <w:bookmarkStart w:id="2486" w:name="_Toc12983548"/>
      <w:bookmarkStart w:id="2487" w:name="_Toc14997"/>
    </w:p>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Pr>
        <w:tabs>
          <w:tab w:val="left" w:pos="1134"/>
          <w:tab w:val="left" w:pos="8364"/>
        </w:tabs>
        <w:spacing w:before="0"/>
        <w:ind w:right="-57" w:firstLine="0"/>
        <w:rPr>
          <w:rFonts w:ascii="宋体" w:hAnsi="宋体"/>
        </w:rPr>
      </w:pPr>
      <w:r>
        <w:rPr>
          <w:rFonts w:hint="eastAsia" w:ascii="宋体" w:hAnsi="宋体"/>
          <w:b/>
          <w:sz w:val="24"/>
          <w:szCs w:val="24"/>
        </w:rPr>
        <w:t>附件1：</w:t>
      </w:r>
    </w:p>
    <w:p>
      <w:pPr>
        <w:ind w:right="-57" w:firstLine="0"/>
        <w:jc w:val="center"/>
        <w:rPr>
          <w:rFonts w:ascii="宋体" w:hAnsi="宋体"/>
          <w:b/>
          <w:sz w:val="24"/>
          <w:szCs w:val="24"/>
        </w:rPr>
      </w:pPr>
      <w:r>
        <w:rPr>
          <w:rFonts w:hint="eastAsia" w:ascii="宋体" w:hAnsi="宋体"/>
          <w:b/>
          <w:sz w:val="24"/>
          <w:szCs w:val="24"/>
        </w:rPr>
        <w:t>供货证明（格式，供货时提供）</w:t>
      </w:r>
    </w:p>
    <w:p>
      <w:pPr>
        <w:ind w:right="-57" w:firstLine="0"/>
        <w:rPr>
          <w:rFonts w:ascii="宋体" w:hAnsi="宋体"/>
          <w:sz w:val="24"/>
          <w:szCs w:val="24"/>
        </w:rPr>
      </w:pPr>
      <w:r>
        <w:rPr>
          <w:rFonts w:hint="eastAsia" w:ascii="宋体" w:hAnsi="宋体"/>
          <w:sz w:val="24"/>
          <w:szCs w:val="24"/>
        </w:rPr>
        <w:t>南宁轨道交通运营有限公司：</w:t>
      </w:r>
    </w:p>
    <w:p>
      <w:pPr>
        <w:tabs>
          <w:tab w:val="left" w:pos="1134"/>
          <w:tab w:val="left" w:pos="8364"/>
        </w:tabs>
        <w:spacing w:before="0" w:after="0"/>
        <w:ind w:right="0" w:firstLine="200"/>
        <w:rPr>
          <w:rFonts w:ascii="宋体" w:hAnsi="宋体"/>
        </w:rPr>
      </w:pPr>
      <w:r>
        <w:rPr>
          <w:rFonts w:hint="eastAsia" w:ascii="宋体" w:hAnsi="宋体"/>
        </w:rPr>
        <w:t>兹证明（单位）</w:t>
      </w:r>
      <w:r>
        <w:rPr>
          <w:rFonts w:ascii="宋体" w:hAnsi="宋体"/>
          <w:u w:val="single"/>
        </w:rPr>
        <w:t xml:space="preserve">          　　    </w:t>
      </w:r>
      <w:r>
        <w:rPr>
          <w:rFonts w:ascii="宋体" w:hAnsi="宋体"/>
        </w:rPr>
        <w:t xml:space="preserve"> 在</w:t>
      </w:r>
      <w:r>
        <w:rPr>
          <w:rFonts w:hint="eastAsia" w:ascii="宋体" w:hAnsi="宋体"/>
        </w:rPr>
        <w:t>贵公</w:t>
      </w:r>
      <w:r>
        <w:rPr>
          <w:rFonts w:hint="eastAsia" w:ascii="宋体" w:hAnsi="宋体"/>
          <w:color w:val="000000" w:themeColor="text1"/>
        </w:rPr>
        <w:t>司</w:t>
      </w:r>
      <w:r>
        <w:rPr>
          <w:rFonts w:hint="eastAsia" w:ascii="宋体" w:hAnsi="宋体"/>
          <w:color w:val="000000" w:themeColor="text1"/>
          <w:u w:val="single"/>
        </w:rPr>
        <w:t>南宁轨道交通运营有限公司2022年办公家具采购项目</w:t>
      </w:r>
      <w:r>
        <w:rPr>
          <w:rFonts w:hint="eastAsia" w:ascii="宋体" w:hAnsi="宋体"/>
          <w:color w:val="000000" w:themeColor="text1"/>
        </w:rPr>
        <w:t>（项目编号：</w:t>
      </w:r>
      <w:r>
        <w:rPr>
          <w:rFonts w:hint="eastAsia" w:ascii="宋体" w:hAnsi="宋体"/>
          <w:b w:val="0"/>
          <w:bCs/>
          <w:color w:val="000000" w:themeColor="text1"/>
          <w:sz w:val="21"/>
          <w:szCs w:val="21"/>
          <w:u w:val="single"/>
        </w:rPr>
        <w:t>202208260004</w:t>
      </w:r>
      <w:r>
        <w:rPr>
          <w:rFonts w:hint="eastAsia" w:ascii="宋体" w:hAnsi="宋体"/>
          <w:color w:val="000000" w:themeColor="text1"/>
        </w:rPr>
        <w:t>）中，向贵方交付的以下货物为我公司生产（提供</w:t>
      </w:r>
      <w:r>
        <w:rPr>
          <w:rFonts w:hint="eastAsia" w:ascii="宋体" w:hAnsi="宋体"/>
        </w:rPr>
        <w:t>）：</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1292"/>
        <w:gridCol w:w="1391"/>
        <w:gridCol w:w="2136"/>
        <w:gridCol w:w="851"/>
        <w:gridCol w:w="709"/>
        <w:gridCol w:w="1223"/>
        <w:gridCol w:w="770"/>
      </w:tblGrid>
      <w:tr>
        <w:tblPrEx>
          <w:tblCellMar>
            <w:top w:w="0" w:type="dxa"/>
            <w:left w:w="108" w:type="dxa"/>
            <w:bottom w:w="0" w:type="dxa"/>
            <w:right w:w="108" w:type="dxa"/>
          </w:tblCellMar>
        </w:tblPrEx>
        <w:trPr>
          <w:gridAfter w:val="1"/>
          <w:wAfter w:w="770" w:type="dxa"/>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序号</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品牌</w:t>
            </w:r>
            <w:r>
              <w:rPr>
                <w:rFonts w:ascii="宋体" w:hAnsi="宋体"/>
              </w:rPr>
              <w:t>/</w:t>
            </w:r>
            <w:r>
              <w:rPr>
                <w:rFonts w:hint="eastAsia" w:ascii="宋体" w:hAnsi="宋体"/>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规格型号</w:t>
            </w:r>
            <w:r>
              <w:rPr>
                <w:rFonts w:ascii="宋体" w:hAnsi="宋体"/>
              </w:rPr>
              <w:t>/</w:t>
            </w:r>
            <w:r>
              <w:rPr>
                <w:rFonts w:hint="eastAsia" w:ascii="宋体" w:hAnsi="宋体"/>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备注</w:t>
            </w: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1</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2</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3</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4</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5</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rPr>
            </w:pPr>
            <w:r>
              <w:rPr>
                <w:rFonts w:hint="eastAsia" w:ascii="宋体" w:hAnsi="宋体"/>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rPr>
            </w:pPr>
            <w:r>
              <w:rPr>
                <w:rFonts w:hint="eastAsia" w:ascii="宋体" w:hAnsi="宋体"/>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rPr>
            </w:pPr>
            <w:r>
              <w:rPr>
                <w:rFonts w:hint="eastAsia" w:ascii="宋体" w:hAnsi="宋体"/>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rPr>
            </w:pPr>
            <w:r>
              <w:rPr>
                <w:rFonts w:hint="eastAsia" w:ascii="宋体" w:hAnsi="宋体"/>
              </w:rPr>
              <w:t>联系电话（手机）：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rPr>
            </w:pPr>
            <w:r>
              <w:rPr>
                <w:rFonts w:hint="eastAsia" w:ascii="宋体" w:hAnsi="宋体"/>
              </w:rPr>
              <w:t>单位：（公章）                       日期：</w:t>
            </w:r>
          </w:p>
          <w:p>
            <w:pPr>
              <w:ind w:left="0" w:firstLine="0"/>
              <w:rPr>
                <w:rFonts w:ascii="宋体" w:hAnsi="宋体"/>
              </w:rPr>
            </w:pPr>
            <w:r>
              <w:rPr>
                <w:rFonts w:hint="eastAsia" w:ascii="宋体" w:hAnsi="宋体"/>
              </w:rPr>
              <w:t>　　</w:t>
            </w:r>
          </w:p>
          <w:p>
            <w:pPr>
              <w:ind w:left="0" w:firstLine="0"/>
              <w:rPr>
                <w:rFonts w:ascii="宋体" w:hAnsi="宋体"/>
              </w:rPr>
            </w:pPr>
          </w:p>
          <w:p>
            <w:pPr>
              <w:ind w:left="0" w:firstLine="0"/>
              <w:rPr>
                <w:rFonts w:ascii="宋体" w:hAnsi="宋体"/>
              </w:rPr>
            </w:pPr>
          </w:p>
          <w:p>
            <w:pPr>
              <w:ind w:left="0" w:firstLine="0"/>
              <w:rPr>
                <w:rFonts w:ascii="宋体" w:hAnsi="宋体"/>
              </w:rPr>
            </w:pPr>
          </w:p>
          <w:p>
            <w:pPr>
              <w:widowControl w:val="0"/>
              <w:spacing w:before="0" w:after="0" w:afterAutospacing="0"/>
              <w:ind w:left="0" w:right="0" w:firstLine="0"/>
              <w:rPr>
                <w:rFonts w:ascii="宋体" w:hAnsi="宋体"/>
                <w:b/>
                <w:kern w:val="2"/>
                <w:sz w:val="24"/>
                <w:szCs w:val="24"/>
              </w:rPr>
            </w:pPr>
          </w:p>
          <w:p>
            <w:pPr>
              <w:widowControl w:val="0"/>
              <w:spacing w:before="0" w:after="0" w:afterAutospacing="0"/>
              <w:ind w:left="0" w:right="0" w:firstLine="0"/>
              <w:rPr>
                <w:rFonts w:ascii="宋体" w:hAnsi="宋体"/>
                <w:b/>
                <w:kern w:val="2"/>
                <w:sz w:val="24"/>
                <w:szCs w:val="24"/>
              </w:rPr>
            </w:pPr>
            <w:r>
              <w:rPr>
                <w:rFonts w:hint="eastAsia" w:ascii="宋体" w:hAnsi="宋体"/>
                <w:b/>
                <w:kern w:val="2"/>
                <w:sz w:val="24"/>
                <w:szCs w:val="24"/>
              </w:rPr>
              <w:t>附件2：</w:t>
            </w:r>
          </w:p>
          <w:p>
            <w:pPr>
              <w:widowControl w:val="0"/>
              <w:spacing w:before="0" w:after="0" w:afterAutospacing="0"/>
              <w:ind w:left="0" w:right="0" w:firstLine="0"/>
              <w:jc w:val="center"/>
              <w:rPr>
                <w:rFonts w:ascii="宋体" w:hAnsi="宋体"/>
                <w:b/>
                <w:kern w:val="2"/>
                <w:sz w:val="24"/>
                <w:szCs w:val="24"/>
              </w:rPr>
            </w:pPr>
            <w:r>
              <w:rPr>
                <w:rFonts w:ascii="宋体" w:hAnsi="宋体" w:cs="宋体"/>
                <w:b/>
                <w:kern w:val="2"/>
                <w:sz w:val="24"/>
                <w:szCs w:val="24"/>
              </w:rPr>
              <w:t>交货通知 （格式）</w:t>
            </w:r>
          </w:p>
          <w:tbl>
            <w:tblPr>
              <w:tblStyle w:val="26"/>
              <w:tblW w:w="9541" w:type="dxa"/>
              <w:tblInd w:w="0" w:type="dxa"/>
              <w:tblLayout w:type="fixed"/>
              <w:tblCellMar>
                <w:top w:w="0" w:type="dxa"/>
                <w:left w:w="108" w:type="dxa"/>
                <w:bottom w:w="0" w:type="dxa"/>
                <w:right w:w="108" w:type="dxa"/>
              </w:tblCellMar>
            </w:tblPr>
            <w:tblGrid>
              <w:gridCol w:w="15"/>
              <w:gridCol w:w="1079"/>
              <w:gridCol w:w="91"/>
              <w:gridCol w:w="1328"/>
              <w:gridCol w:w="197"/>
              <w:gridCol w:w="976"/>
              <w:gridCol w:w="1276"/>
              <w:gridCol w:w="1134"/>
              <w:gridCol w:w="1134"/>
              <w:gridCol w:w="1275"/>
              <w:gridCol w:w="1036"/>
            </w:tblGrid>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nil"/>
                    <w:left w:val="nil"/>
                    <w:bottom w:val="nil"/>
                    <w:right w:val="nil"/>
                  </w:tcBorders>
                  <w:shd w:val="clear" w:color="auto" w:fill="auto"/>
                  <w:noWrap/>
                  <w:vAlign w:val="center"/>
                </w:tcPr>
                <w:p>
                  <w:pPr>
                    <w:jc w:val="center"/>
                    <w:rPr>
                      <w:rFonts w:ascii="宋体" w:hAnsi="宋体" w:cs="宋体"/>
                      <w:b/>
                      <w:bCs/>
                      <w:color w:val="000000"/>
                    </w:rPr>
                  </w:pPr>
                  <w:r>
                    <w:rPr>
                      <w:rFonts w:hint="eastAsia"/>
                      <w:b/>
                      <w:bCs/>
                      <w:color w:val="000000"/>
                    </w:rPr>
                    <w:t>运营公司采购项目号线第批交货通知</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供应商：　　　　　　　　　　　　　　　　　供应商联系人及电话：</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交货通知号：</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交货地点：</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收货联系人及电话：</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合同序号</w:t>
                  </w:r>
                </w:p>
              </w:tc>
              <w:tc>
                <w:tcPr>
                  <w:tcW w:w="1328"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货物名称</w:t>
                  </w:r>
                </w:p>
              </w:tc>
              <w:tc>
                <w:tcPr>
                  <w:tcW w:w="1173" w:type="dxa"/>
                  <w:gridSpan w:val="2"/>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单位</w:t>
                  </w:r>
                </w:p>
              </w:tc>
              <w:tc>
                <w:tcPr>
                  <w:tcW w:w="1276"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合同数量</w:t>
                  </w:r>
                </w:p>
              </w:tc>
              <w:tc>
                <w:tcPr>
                  <w:tcW w:w="1134"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交货数量</w:t>
                  </w:r>
                </w:p>
              </w:tc>
              <w:tc>
                <w:tcPr>
                  <w:tcW w:w="1134" w:type="dxa"/>
                  <w:tcBorders>
                    <w:top w:val="nil"/>
                    <w:left w:val="nil"/>
                    <w:bottom w:val="single" w:color="auto" w:sz="4" w:space="0"/>
                    <w:right w:val="single" w:color="auto" w:sz="4" w:space="0"/>
                  </w:tcBorders>
                  <w:shd w:val="clear" w:color="000000" w:fill="CCE8CF"/>
                  <w:vAlign w:val="center"/>
                </w:tcPr>
                <w:p>
                  <w:pPr>
                    <w:jc w:val="center"/>
                    <w:rPr>
                      <w:rFonts w:ascii="宋体" w:hAnsi="宋体" w:cs="宋体"/>
                      <w:color w:val="000000"/>
                    </w:rPr>
                  </w:pPr>
                  <w:r>
                    <w:rPr>
                      <w:rFonts w:hint="eastAsia"/>
                      <w:color w:val="000000"/>
                    </w:rPr>
                    <w:t>交货时间</w:t>
                  </w:r>
                </w:p>
              </w:tc>
              <w:tc>
                <w:tcPr>
                  <w:tcW w:w="1275"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备注</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1</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2</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3</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4</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5</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6</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7</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8</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9</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10</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4962"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合计</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说明：</w:t>
                  </w:r>
                </w:p>
              </w:tc>
              <w:tc>
                <w:tcPr>
                  <w:tcW w:w="7320" w:type="dxa"/>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rPr>
                  </w:pPr>
                  <w:r>
                    <w:rPr>
                      <w:rFonts w:hint="eastAsia"/>
                      <w:color w:val="000000"/>
                    </w:rPr>
                    <w:t>1.本通知未列明的性能参数等其他要求详见合同。</w:t>
                  </w:r>
                </w:p>
              </w:tc>
            </w:tr>
            <w:tr>
              <w:tblPrEx>
                <w:tblCellMar>
                  <w:top w:w="0" w:type="dxa"/>
                  <w:left w:w="108" w:type="dxa"/>
                  <w:bottom w:w="0" w:type="dxa"/>
                  <w:right w:w="108" w:type="dxa"/>
                </w:tblCellMar>
              </w:tblPrEx>
              <w:trPr>
                <w:gridAfter w:val="1"/>
                <w:wAfter w:w="1036" w:type="dxa"/>
                <w:trHeight w:val="270" w:hRule="atLeast"/>
              </w:trPr>
              <w:tc>
                <w:tcPr>
                  <w:tcW w:w="1185" w:type="dxa"/>
                  <w:gridSpan w:val="3"/>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7320" w:type="dxa"/>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rPr>
                  </w:pPr>
                  <w:r>
                    <w:rPr>
                      <w:rFonts w:hint="eastAsia"/>
                      <w:color w:val="000000"/>
                    </w:rPr>
                    <w:t>2.本通知加盖运营公司XX部公章后有效，送货时携带纸质版一份。</w:t>
                  </w:r>
                </w:p>
              </w:tc>
            </w:tr>
            <w:tr>
              <w:tblPrEx>
                <w:tblCellMar>
                  <w:top w:w="0" w:type="dxa"/>
                  <w:left w:w="108" w:type="dxa"/>
                  <w:bottom w:w="0" w:type="dxa"/>
                  <w:right w:w="108" w:type="dxa"/>
                </w:tblCellMar>
              </w:tblPrEx>
              <w:trPr>
                <w:gridAfter w:val="1"/>
                <w:wAfter w:w="1036" w:type="dxa"/>
                <w:trHeight w:val="270" w:hRule="atLeast"/>
              </w:trPr>
              <w:tc>
                <w:tcPr>
                  <w:tcW w:w="1185" w:type="dxa"/>
                  <w:gridSpan w:val="3"/>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7320" w:type="dxa"/>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rPr>
                  </w:pPr>
                  <w:r>
                    <w:rPr>
                      <w:rFonts w:hint="eastAsia"/>
                      <w:color w:val="000000"/>
                    </w:rPr>
                    <w:t>3.本通知如有涂改须经甲方签名认可，否则无效。</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nil"/>
                    <w:bottom w:val="nil"/>
                    <w:right w:val="nil"/>
                  </w:tcBorders>
                  <w:shd w:val="clear" w:color="auto" w:fill="auto"/>
                  <w:noWrap/>
                  <w:vAlign w:val="center"/>
                </w:tcPr>
                <w:p>
                  <w:pPr>
                    <w:rPr>
                      <w:rFonts w:ascii="宋体" w:hAnsi="宋体" w:cs="宋体"/>
                      <w:color w:val="000000"/>
                    </w:rPr>
                  </w:pPr>
                </w:p>
              </w:tc>
              <w:tc>
                <w:tcPr>
                  <w:tcW w:w="1328" w:type="dxa"/>
                  <w:tcBorders>
                    <w:top w:val="nil"/>
                    <w:left w:val="nil"/>
                    <w:bottom w:val="nil"/>
                    <w:right w:val="nil"/>
                  </w:tcBorders>
                  <w:shd w:val="clear" w:color="auto" w:fill="auto"/>
                  <w:noWrap/>
                  <w:vAlign w:val="center"/>
                </w:tcPr>
                <w:p>
                  <w:pPr>
                    <w:rPr>
                      <w:rFonts w:ascii="宋体" w:hAnsi="宋体" w:cs="宋体"/>
                      <w:color w:val="000000"/>
                    </w:rPr>
                  </w:pPr>
                </w:p>
              </w:tc>
              <w:tc>
                <w:tcPr>
                  <w:tcW w:w="5992" w:type="dxa"/>
                  <w:gridSpan w:val="6"/>
                  <w:tcBorders>
                    <w:top w:val="nil"/>
                    <w:left w:val="nil"/>
                    <w:bottom w:val="nil"/>
                    <w:right w:val="nil"/>
                  </w:tcBorders>
                  <w:shd w:val="clear" w:color="auto" w:fill="auto"/>
                  <w:noWrap/>
                  <w:vAlign w:val="center"/>
                </w:tcPr>
                <w:p>
                  <w:pPr>
                    <w:jc w:val="center"/>
                    <w:rPr>
                      <w:rFonts w:ascii="宋体" w:hAnsi="宋体" w:cs="宋体"/>
                      <w:color w:val="000000"/>
                    </w:rPr>
                  </w:pPr>
                  <w:r>
                    <w:rPr>
                      <w:rFonts w:hint="eastAsia"/>
                      <w:color w:val="000000"/>
                    </w:rPr>
                    <w:t>南宁轨道交通运营公司XX部</w:t>
                  </w:r>
                </w:p>
              </w:tc>
            </w:tr>
            <w:tr>
              <w:tblPrEx>
                <w:tblCellMar>
                  <w:top w:w="0" w:type="dxa"/>
                  <w:left w:w="0" w:type="dxa"/>
                  <w:bottom w:w="0" w:type="dxa"/>
                  <w:right w:w="0" w:type="dxa"/>
                </w:tblCellMar>
              </w:tblPrEx>
              <w:trPr>
                <w:gridBefore w:val="1"/>
                <w:wBefore w:w="15" w:type="dxa"/>
                <w:trHeight w:val="418" w:hRule="atLeast"/>
              </w:trPr>
              <w:tc>
                <w:tcPr>
                  <w:tcW w:w="1079" w:type="dxa"/>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tc>
              <w:tc>
                <w:tcPr>
                  <w:tcW w:w="1616" w:type="dxa"/>
                  <w:gridSpan w:val="3"/>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kern w:val="2"/>
                    </w:rPr>
                  </w:pPr>
                </w:p>
              </w:tc>
              <w:tc>
                <w:tcPr>
                  <w:tcW w:w="6831" w:type="dxa"/>
                  <w:gridSpan w:val="6"/>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rPr>
                  </w:pPr>
                  <w:r>
                    <w:rPr>
                      <w:rFonts w:hint="eastAsia" w:ascii="宋体" w:hAnsi="宋体" w:cs="宋体"/>
                    </w:rPr>
                    <w:t xml:space="preserve">     通知日期：      年    月    日</w:t>
                  </w:r>
                </w:p>
                <w:p>
                  <w:pPr>
                    <w:spacing w:before="0" w:after="0" w:afterAutospacing="0" w:line="240" w:lineRule="auto"/>
                    <w:ind w:left="0" w:right="-57" w:rightChars="-27" w:firstLine="0"/>
                    <w:textAlignment w:val="center"/>
                    <w:rPr>
                      <w:rFonts w:ascii="宋体" w:hAnsi="宋体" w:cs="宋体"/>
                      <w:kern w:val="2"/>
                    </w:rPr>
                  </w:pPr>
                </w:p>
              </w:tc>
            </w:tr>
          </w:tbl>
          <w:p>
            <w:pPr>
              <w:widowControl w:val="0"/>
              <w:spacing w:before="0" w:after="0" w:afterAutospacing="0" w:line="240" w:lineRule="auto"/>
              <w:ind w:left="0" w:right="0" w:firstLine="0"/>
              <w:rPr>
                <w:rFonts w:ascii="宋体" w:hAnsi="宋体"/>
                <w:b/>
                <w:kern w:val="2"/>
                <w:sz w:val="24"/>
                <w:szCs w:val="24"/>
              </w:rPr>
            </w:pPr>
            <w:r>
              <w:rPr>
                <w:rFonts w:hint="eastAsia" w:ascii="宋体" w:hAnsi="宋体"/>
                <w:b/>
                <w:kern w:val="2"/>
                <w:sz w:val="24"/>
                <w:szCs w:val="24"/>
              </w:rPr>
              <w:t>附件3：</w:t>
            </w:r>
          </w:p>
          <w:p>
            <w:pPr>
              <w:widowControl w:val="0"/>
              <w:spacing w:before="0" w:after="0" w:afterAutospacing="0" w:line="240" w:lineRule="auto"/>
              <w:ind w:left="0" w:right="0" w:firstLine="0"/>
              <w:jc w:val="center"/>
              <w:rPr>
                <w:rFonts w:ascii="宋体" w:hAnsi="宋体" w:cs="宋体"/>
                <w:b/>
                <w:kern w:val="2"/>
                <w:sz w:val="24"/>
                <w:szCs w:val="24"/>
              </w:rPr>
            </w:pPr>
            <w:r>
              <w:rPr>
                <w:rFonts w:ascii="宋体" w:hAnsi="宋体" w:cs="宋体"/>
                <w:b/>
                <w:kern w:val="2"/>
                <w:sz w:val="24"/>
                <w:szCs w:val="24"/>
              </w:rPr>
              <w:t>送货单（格式）</w:t>
            </w:r>
          </w:p>
          <w:tbl>
            <w:tblPr>
              <w:tblStyle w:val="26"/>
              <w:tblW w:w="8670" w:type="dxa"/>
              <w:tblInd w:w="0" w:type="dxa"/>
              <w:tblLayout w:type="fixed"/>
              <w:tblCellMar>
                <w:top w:w="0" w:type="dxa"/>
                <w:left w:w="108" w:type="dxa"/>
                <w:bottom w:w="0" w:type="dxa"/>
                <w:right w:w="108" w:type="dxa"/>
              </w:tblCellMar>
            </w:tblPr>
            <w:tblGrid>
              <w:gridCol w:w="756"/>
              <w:gridCol w:w="1463"/>
              <w:gridCol w:w="680"/>
              <w:gridCol w:w="1306"/>
              <w:gridCol w:w="1931"/>
              <w:gridCol w:w="1306"/>
              <w:gridCol w:w="1228"/>
            </w:tblGrid>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运营公司  采购项目 号线 第  批 送货单</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rPr>
                  </w:pPr>
                  <w:r>
                    <w:rPr>
                      <w:rFonts w:hint="eastAsia" w:ascii="宋体" w:hAnsi="宋体" w:cs="宋体"/>
                      <w:color w:val="000000"/>
                    </w:rPr>
                    <w:t>供应商(章)：　　　　　　　　　　　　　　　　　供应商联系人及电话：</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rPr>
                  </w:pPr>
                  <w:r>
                    <w:rPr>
                      <w:rFonts w:hint="eastAsia" w:ascii="宋体" w:hAnsi="宋体" w:cs="宋体"/>
                      <w:color w:val="000000"/>
                    </w:rPr>
                    <w:t>交货通知号：</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合同序号</w:t>
                  </w:r>
                </w:p>
              </w:tc>
              <w:tc>
                <w:tcPr>
                  <w:tcW w:w="1463"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货物名称</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单位</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合同数量</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通知交货数量</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实收数量</w:t>
                  </w:r>
                </w:p>
              </w:tc>
              <w:tc>
                <w:tcPr>
                  <w:tcW w:w="1228"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备注</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1</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2</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3</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4</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5</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6</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7</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8</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9</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10</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42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合计</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　</w:t>
                  </w:r>
                </w:p>
              </w:tc>
              <w:tc>
                <w:tcPr>
                  <w:tcW w:w="1228"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　</w:t>
                  </w:r>
                </w:p>
              </w:tc>
            </w:tr>
            <w:tr>
              <w:tblPrEx>
                <w:tblCellMar>
                  <w:top w:w="0" w:type="dxa"/>
                  <w:left w:w="108" w:type="dxa"/>
                  <w:bottom w:w="0" w:type="dxa"/>
                  <w:right w:w="108" w:type="dxa"/>
                </w:tblCellMar>
              </w:tblPrEx>
              <w:trPr>
                <w:trHeight w:val="270" w:hRule="atLeast"/>
              </w:trPr>
              <w:tc>
                <w:tcPr>
                  <w:tcW w:w="756"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说明：</w:t>
                  </w:r>
                </w:p>
              </w:tc>
              <w:tc>
                <w:tcPr>
                  <w:tcW w:w="7914" w:type="dxa"/>
                  <w:gridSpan w:val="6"/>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1.送货时携带纸质版一式两份，仅做收货凭据，不做为验收合格和结算凭证；本单未列明的性能参数等其他要求详见合同。</w:t>
                  </w:r>
                </w:p>
              </w:tc>
            </w:tr>
            <w:tr>
              <w:tblPrEx>
                <w:tblCellMar>
                  <w:top w:w="0" w:type="dxa"/>
                  <w:left w:w="108" w:type="dxa"/>
                  <w:bottom w:w="0" w:type="dxa"/>
                  <w:right w:w="108" w:type="dxa"/>
                </w:tblCellMar>
              </w:tblPrEx>
              <w:trPr>
                <w:trHeight w:val="270" w:hRule="atLeast"/>
              </w:trPr>
              <w:tc>
                <w:tcPr>
                  <w:tcW w:w="75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000000"/>
                    </w:rPr>
                  </w:pPr>
                </w:p>
              </w:tc>
              <w:tc>
                <w:tcPr>
                  <w:tcW w:w="7914" w:type="dxa"/>
                  <w:gridSpan w:val="6"/>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2.实收数量栏不能留空，数量为“0”时用“/”表示；“合计”栏中的"实收数量"为必填项。</w:t>
                  </w:r>
                </w:p>
              </w:tc>
            </w:tr>
            <w:tr>
              <w:tblPrEx>
                <w:tblCellMar>
                  <w:top w:w="0" w:type="dxa"/>
                  <w:left w:w="108" w:type="dxa"/>
                  <w:bottom w:w="0" w:type="dxa"/>
                  <w:right w:w="108" w:type="dxa"/>
                </w:tblCellMar>
              </w:tblPrEx>
              <w:trPr>
                <w:trHeight w:val="270" w:hRule="atLeast"/>
              </w:trPr>
              <w:tc>
                <w:tcPr>
                  <w:tcW w:w="75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000000"/>
                    </w:rPr>
                  </w:pPr>
                </w:p>
              </w:tc>
              <w:tc>
                <w:tcPr>
                  <w:tcW w:w="7914" w:type="dxa"/>
                  <w:gridSpan w:val="6"/>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3.本清单如有涂改必须有双方签名认可，否则无效。</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送货人（签名）：　　　　　　　　　　　　　　　运输工具及车号：</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收货人（签名）：　　　　　　　　　　　　　　　收货时间：</w:t>
                  </w:r>
                </w:p>
              </w:tc>
            </w:tr>
          </w:tbl>
          <w:p>
            <w:pPr>
              <w:rPr>
                <w:rFonts w:ascii="宋体" w:hAnsi="宋体"/>
              </w:rPr>
            </w:pPr>
          </w:p>
        </w:tc>
      </w:tr>
    </w:tbl>
    <w:p>
      <w:pPr>
        <w:jc w:val="center"/>
        <w:outlineLvl w:val="0"/>
        <w:rPr>
          <w:rStyle w:val="39"/>
          <w:rFonts w:ascii="宋体" w:hAnsi="宋体" w:eastAsia="宋体"/>
        </w:rPr>
      </w:pPr>
    </w:p>
    <w:p>
      <w:pPr>
        <w:tabs>
          <w:tab w:val="left" w:pos="420"/>
          <w:tab w:val="left" w:pos="1134"/>
        </w:tabs>
        <w:spacing w:before="0" w:after="0" w:afterAutospacing="0"/>
        <w:ind w:left="0" w:right="0" w:firstLine="420" w:firstLineChars="200"/>
        <w:jc w:val="left"/>
        <w:rPr>
          <w:rFonts w:ascii="宋体" w:hAnsi="宋体"/>
        </w:rPr>
      </w:pPr>
    </w:p>
    <w:sectPr>
      <w:headerReference r:id="rId10" w:type="default"/>
      <w:pgSz w:w="11905" w:h="16838"/>
      <w:pgMar w:top="1418" w:right="1418" w:bottom="1418" w:left="1418" w:header="454" w:footer="567"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4"/>
          <w:jc w:val="center"/>
        </w:pPr>
        <w:r>
          <w:fldChar w:fldCharType="begin"/>
        </w:r>
        <w:r>
          <w:instrText xml:space="preserve">PAGE   \* MERGEFORMAT</w:instrText>
        </w:r>
        <w:r>
          <w:fldChar w:fldCharType="separate"/>
        </w:r>
        <w:r>
          <w:rPr>
            <w:lang w:val="zh-CN"/>
          </w:rPr>
          <w:t>59</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7865687"/>
    </w:sdtPr>
    <w:sdtContent>
      <w:p>
        <w:pPr>
          <w:pStyle w:val="14"/>
          <w:pBdr>
            <w:bottom w:val="none" w:color="auto" w:sz="0" w:space="0"/>
          </w:pBdr>
          <w:ind w:left="0" w:right="343" w:firstLine="0"/>
          <w:jc w:val="center"/>
        </w:pPr>
        <w:r>
          <w:fldChar w:fldCharType="begin"/>
        </w:r>
        <w:r>
          <w:instrText xml:space="preserve">PAGE   \* MERGEFORMAT</w:instrText>
        </w:r>
        <w:r>
          <w:fldChar w:fldCharType="separate"/>
        </w:r>
        <w:r>
          <w:rPr>
            <w:lang w:val="zh-CN"/>
          </w:rPr>
          <w:t>88</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37391"/>
    <w:multiLevelType w:val="singleLevel"/>
    <w:tmpl w:val="CAD37391"/>
    <w:lvl w:ilvl="0" w:tentative="0">
      <w:start w:val="2"/>
      <w:numFmt w:val="chineseCounting"/>
      <w:suff w:val="nothing"/>
      <w:lvlText w:val="%1、"/>
      <w:lvlJc w:val="left"/>
      <w:rPr>
        <w:rFonts w:hint="eastAsia"/>
      </w:rPr>
    </w:lvl>
  </w:abstractNum>
  <w:abstractNum w:abstractNumId="1">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844"/>
        </w:tabs>
        <w:ind w:left="184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985"/>
        </w:tabs>
        <w:ind w:left="1985"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1">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418"/>
        </w:tabs>
        <w:ind w:left="1418"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2">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6">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7">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2F000012"/>
    <w:multiLevelType w:val="multilevel"/>
    <w:tmpl w:val="2F000012"/>
    <w:lvl w:ilvl="0" w:tentative="0">
      <w:start w:val="1"/>
      <w:numFmt w:val="decimal"/>
      <w:lvlText w:val="12.%1"/>
      <w:lvlJc w:val="left"/>
      <w:pPr>
        <w:tabs>
          <w:tab w:val="left" w:pos="1702"/>
        </w:tabs>
        <w:ind w:left="1702" w:hanging="1134"/>
      </w:pPr>
      <w:rPr>
        <w:rFonts w:hint="eastAsia" w:cs="Times New Roman"/>
        <w:b w:val="0"/>
        <w:i w:val="0"/>
        <w:sz w:val="21"/>
        <w:szCs w:val="21"/>
      </w:rPr>
    </w:lvl>
    <w:lvl w:ilvl="1" w:tentative="0">
      <w:start w:val="1"/>
      <w:numFmt w:val="lowerLetter"/>
      <w:lvlText w:val="%2)"/>
      <w:lvlJc w:val="left"/>
      <w:pPr>
        <w:tabs>
          <w:tab w:val="left" w:pos="1408"/>
        </w:tabs>
        <w:ind w:left="1408" w:hanging="420"/>
      </w:pPr>
      <w:rPr>
        <w:rFonts w:cs="Times New Roman"/>
      </w:rPr>
    </w:lvl>
    <w:lvl w:ilvl="2" w:tentative="0">
      <w:start w:val="1"/>
      <w:numFmt w:val="lowerRoman"/>
      <w:lvlText w:val="%3."/>
      <w:lvlJc w:val="right"/>
      <w:pPr>
        <w:tabs>
          <w:tab w:val="left" w:pos="1828"/>
        </w:tabs>
        <w:ind w:left="1828" w:hanging="420"/>
      </w:pPr>
      <w:rPr>
        <w:rFonts w:cs="Times New Roman"/>
      </w:rPr>
    </w:lvl>
    <w:lvl w:ilvl="3" w:tentative="0">
      <w:start w:val="1"/>
      <w:numFmt w:val="decimal"/>
      <w:lvlText w:val="%4."/>
      <w:lvlJc w:val="left"/>
      <w:pPr>
        <w:tabs>
          <w:tab w:val="left" w:pos="2248"/>
        </w:tabs>
        <w:ind w:left="2248" w:hanging="420"/>
      </w:pPr>
      <w:rPr>
        <w:rFonts w:cs="Times New Roman"/>
      </w:rPr>
    </w:lvl>
    <w:lvl w:ilvl="4" w:tentative="0">
      <w:start w:val="1"/>
      <w:numFmt w:val="lowerLetter"/>
      <w:lvlText w:val="%5)"/>
      <w:lvlJc w:val="left"/>
      <w:pPr>
        <w:tabs>
          <w:tab w:val="left" w:pos="2668"/>
        </w:tabs>
        <w:ind w:left="2668" w:hanging="420"/>
      </w:pPr>
      <w:rPr>
        <w:rFonts w:cs="Times New Roman"/>
      </w:rPr>
    </w:lvl>
    <w:lvl w:ilvl="5" w:tentative="0">
      <w:start w:val="1"/>
      <w:numFmt w:val="lowerRoman"/>
      <w:lvlText w:val="%6."/>
      <w:lvlJc w:val="right"/>
      <w:pPr>
        <w:tabs>
          <w:tab w:val="left" w:pos="3088"/>
        </w:tabs>
        <w:ind w:left="3088" w:hanging="420"/>
      </w:pPr>
      <w:rPr>
        <w:rFonts w:cs="Times New Roman"/>
      </w:rPr>
    </w:lvl>
    <w:lvl w:ilvl="6" w:tentative="0">
      <w:start w:val="1"/>
      <w:numFmt w:val="decimal"/>
      <w:lvlText w:val="%7."/>
      <w:lvlJc w:val="left"/>
      <w:pPr>
        <w:tabs>
          <w:tab w:val="left" w:pos="3508"/>
        </w:tabs>
        <w:ind w:left="3508" w:hanging="420"/>
      </w:pPr>
      <w:rPr>
        <w:rFonts w:cs="Times New Roman"/>
      </w:rPr>
    </w:lvl>
    <w:lvl w:ilvl="7" w:tentative="0">
      <w:start w:val="1"/>
      <w:numFmt w:val="lowerLetter"/>
      <w:lvlText w:val="%8)"/>
      <w:lvlJc w:val="left"/>
      <w:pPr>
        <w:tabs>
          <w:tab w:val="left" w:pos="3928"/>
        </w:tabs>
        <w:ind w:left="3928" w:hanging="420"/>
      </w:pPr>
      <w:rPr>
        <w:rFonts w:cs="Times New Roman"/>
      </w:rPr>
    </w:lvl>
    <w:lvl w:ilvl="8" w:tentative="0">
      <w:start w:val="1"/>
      <w:numFmt w:val="lowerRoman"/>
      <w:lvlText w:val="%9."/>
      <w:lvlJc w:val="right"/>
      <w:pPr>
        <w:tabs>
          <w:tab w:val="left" w:pos="4348"/>
        </w:tabs>
        <w:ind w:left="4348" w:hanging="420"/>
      </w:pPr>
      <w:rPr>
        <w:rFonts w:cs="Times New Roman"/>
      </w:rPr>
    </w:lvl>
  </w:abstractNum>
  <w:abstractNum w:abstractNumId="19">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1">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2"/>
      <w:numFmt w:val="decimal"/>
      <w:lvlText w:val="8.%2"/>
      <w:lvlJc w:val="left"/>
      <w:pPr>
        <w:tabs>
          <w:tab w:val="left" w:pos="1418"/>
        </w:tabs>
        <w:ind w:left="1418"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9">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0">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2">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33">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6">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7">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8">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9">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41">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2">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3">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4">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5">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46">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7">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8">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9">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50">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1">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2">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3">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4">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5">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6">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17"/>
  </w:num>
  <w:num w:numId="2">
    <w:abstractNumId w:val="52"/>
  </w:num>
  <w:num w:numId="3">
    <w:abstractNumId w:val="3"/>
  </w:num>
  <w:num w:numId="4">
    <w:abstractNumId w:val="2"/>
  </w:num>
  <w:num w:numId="5">
    <w:abstractNumId w:val="45"/>
  </w:num>
  <w:num w:numId="6">
    <w:abstractNumId w:val="32"/>
  </w:num>
  <w:num w:numId="7">
    <w:abstractNumId w:val="21"/>
  </w:num>
  <w:num w:numId="8">
    <w:abstractNumId w:val="1"/>
  </w:num>
  <w:num w:numId="9">
    <w:abstractNumId w:val="0"/>
  </w:num>
  <w:num w:numId="10">
    <w:abstractNumId w:val="9"/>
  </w:num>
  <w:num w:numId="11">
    <w:abstractNumId w:val="25"/>
  </w:num>
  <w:num w:numId="12">
    <w:abstractNumId w:val="13"/>
  </w:num>
  <w:num w:numId="13">
    <w:abstractNumId w:val="22"/>
  </w:num>
  <w:num w:numId="14">
    <w:abstractNumId w:val="5"/>
  </w:num>
  <w:num w:numId="15">
    <w:abstractNumId w:val="24"/>
  </w:num>
  <w:num w:numId="16">
    <w:abstractNumId w:val="23"/>
  </w:num>
  <w:num w:numId="17">
    <w:abstractNumId w:val="11"/>
  </w:num>
  <w:num w:numId="18">
    <w:abstractNumId w:val="26"/>
  </w:num>
  <w:num w:numId="19">
    <w:abstractNumId w:val="8"/>
  </w:num>
  <w:num w:numId="20">
    <w:abstractNumId w:val="18"/>
  </w:num>
  <w:num w:numId="21">
    <w:abstractNumId w:val="19"/>
  </w:num>
  <w:num w:numId="22">
    <w:abstractNumId w:val="14"/>
  </w:num>
  <w:num w:numId="23">
    <w:abstractNumId w:val="28"/>
  </w:num>
  <w:num w:numId="24">
    <w:abstractNumId w:val="7"/>
  </w:num>
  <w:num w:numId="25">
    <w:abstractNumId w:val="4"/>
  </w:num>
  <w:num w:numId="26">
    <w:abstractNumId w:val="41"/>
  </w:num>
  <w:num w:numId="27">
    <w:abstractNumId w:val="53"/>
  </w:num>
  <w:num w:numId="28">
    <w:abstractNumId w:val="6"/>
  </w:num>
  <w:num w:numId="29">
    <w:abstractNumId w:val="31"/>
  </w:num>
  <w:num w:numId="30">
    <w:abstractNumId w:val="12"/>
  </w:num>
  <w:num w:numId="31">
    <w:abstractNumId w:val="15"/>
  </w:num>
  <w:num w:numId="32">
    <w:abstractNumId w:val="42"/>
  </w:num>
  <w:num w:numId="33">
    <w:abstractNumId w:val="29"/>
  </w:num>
  <w:num w:numId="34">
    <w:abstractNumId w:val="46"/>
  </w:num>
  <w:num w:numId="35">
    <w:abstractNumId w:val="27"/>
  </w:num>
  <w:num w:numId="36">
    <w:abstractNumId w:val="20"/>
  </w:num>
  <w:num w:numId="37">
    <w:abstractNumId w:val="51"/>
  </w:num>
  <w:num w:numId="38">
    <w:abstractNumId w:val="10"/>
  </w:num>
  <w:num w:numId="39">
    <w:abstractNumId w:val="55"/>
  </w:num>
  <w:num w:numId="40">
    <w:abstractNumId w:val="48"/>
  </w:num>
  <w:num w:numId="41">
    <w:abstractNumId w:val="50"/>
  </w:num>
  <w:num w:numId="42">
    <w:abstractNumId w:val="34"/>
  </w:num>
  <w:num w:numId="43">
    <w:abstractNumId w:val="47"/>
  </w:num>
  <w:num w:numId="44">
    <w:abstractNumId w:val="33"/>
  </w:num>
  <w:num w:numId="45">
    <w:abstractNumId w:val="39"/>
  </w:num>
  <w:num w:numId="46">
    <w:abstractNumId w:val="30"/>
  </w:num>
  <w:num w:numId="47">
    <w:abstractNumId w:val="38"/>
  </w:num>
  <w:num w:numId="48">
    <w:abstractNumId w:val="35"/>
  </w:num>
  <w:num w:numId="49">
    <w:abstractNumId w:val="36"/>
  </w:num>
  <w:num w:numId="50">
    <w:abstractNumId w:val="37"/>
  </w:num>
  <w:num w:numId="51">
    <w:abstractNumId w:val="49"/>
  </w:num>
  <w:num w:numId="52">
    <w:abstractNumId w:val="16"/>
  </w:num>
  <w:num w:numId="53">
    <w:abstractNumId w:val="43"/>
  </w:num>
  <w:num w:numId="54">
    <w:abstractNumId w:val="40"/>
  </w:num>
  <w:num w:numId="55">
    <w:abstractNumId w:val="44"/>
  </w:num>
  <w:num w:numId="56">
    <w:abstractNumId w:val="56"/>
  </w:num>
  <w:num w:numId="57">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trackRevisions w:val="1"/>
  <w:documentProtection w:enforcement="0"/>
  <w:defaultTabStop w:val="42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YwZWNiOGFkY2JjYzE5MGI3MTRhMzMwMWFkY2IzODUifQ=="/>
  </w:docVars>
  <w:rsids>
    <w:rsidRoot w:val="00BA3124"/>
    <w:rsid w:val="00000139"/>
    <w:rsid w:val="000045EA"/>
    <w:rsid w:val="00010069"/>
    <w:rsid w:val="00012398"/>
    <w:rsid w:val="00012B22"/>
    <w:rsid w:val="0001342D"/>
    <w:rsid w:val="000143B4"/>
    <w:rsid w:val="00015C8F"/>
    <w:rsid w:val="00022F88"/>
    <w:rsid w:val="000243EC"/>
    <w:rsid w:val="00032578"/>
    <w:rsid w:val="00033D3A"/>
    <w:rsid w:val="00036F5F"/>
    <w:rsid w:val="00040FDA"/>
    <w:rsid w:val="000437E6"/>
    <w:rsid w:val="00043E88"/>
    <w:rsid w:val="0004741C"/>
    <w:rsid w:val="000500AE"/>
    <w:rsid w:val="000530CD"/>
    <w:rsid w:val="0005753D"/>
    <w:rsid w:val="00070470"/>
    <w:rsid w:val="0007059C"/>
    <w:rsid w:val="00074337"/>
    <w:rsid w:val="0008222E"/>
    <w:rsid w:val="0008566C"/>
    <w:rsid w:val="00090C9C"/>
    <w:rsid w:val="00092045"/>
    <w:rsid w:val="00092270"/>
    <w:rsid w:val="0009493E"/>
    <w:rsid w:val="00095B78"/>
    <w:rsid w:val="000A1767"/>
    <w:rsid w:val="000A17BF"/>
    <w:rsid w:val="000A49C9"/>
    <w:rsid w:val="000B34C7"/>
    <w:rsid w:val="000C1668"/>
    <w:rsid w:val="000C20C1"/>
    <w:rsid w:val="000C2708"/>
    <w:rsid w:val="000C32A2"/>
    <w:rsid w:val="000C53FF"/>
    <w:rsid w:val="000C56A1"/>
    <w:rsid w:val="000C68D6"/>
    <w:rsid w:val="000D2B9F"/>
    <w:rsid w:val="000D3045"/>
    <w:rsid w:val="000E072A"/>
    <w:rsid w:val="000E7DA5"/>
    <w:rsid w:val="000F3490"/>
    <w:rsid w:val="000F40F3"/>
    <w:rsid w:val="000F5907"/>
    <w:rsid w:val="000F5E28"/>
    <w:rsid w:val="000F65FE"/>
    <w:rsid w:val="000F6EB3"/>
    <w:rsid w:val="000F7B65"/>
    <w:rsid w:val="00106B4E"/>
    <w:rsid w:val="0011106B"/>
    <w:rsid w:val="0011296C"/>
    <w:rsid w:val="00116ED2"/>
    <w:rsid w:val="001207B4"/>
    <w:rsid w:val="00126DC3"/>
    <w:rsid w:val="001315CE"/>
    <w:rsid w:val="0013403A"/>
    <w:rsid w:val="00135B62"/>
    <w:rsid w:val="0013653B"/>
    <w:rsid w:val="00136844"/>
    <w:rsid w:val="00136FF6"/>
    <w:rsid w:val="00141001"/>
    <w:rsid w:val="00142DC9"/>
    <w:rsid w:val="00150081"/>
    <w:rsid w:val="00150AFE"/>
    <w:rsid w:val="0015160E"/>
    <w:rsid w:val="001520D4"/>
    <w:rsid w:val="00154813"/>
    <w:rsid w:val="00155FC3"/>
    <w:rsid w:val="00155FD4"/>
    <w:rsid w:val="0016407F"/>
    <w:rsid w:val="001672EC"/>
    <w:rsid w:val="0017077E"/>
    <w:rsid w:val="001708CC"/>
    <w:rsid w:val="0017175E"/>
    <w:rsid w:val="00174114"/>
    <w:rsid w:val="00175147"/>
    <w:rsid w:val="001819D8"/>
    <w:rsid w:val="00186A28"/>
    <w:rsid w:val="00186E30"/>
    <w:rsid w:val="001A33E4"/>
    <w:rsid w:val="001A37D3"/>
    <w:rsid w:val="001A3FCA"/>
    <w:rsid w:val="001A688D"/>
    <w:rsid w:val="001B07CC"/>
    <w:rsid w:val="001B0893"/>
    <w:rsid w:val="001B77A3"/>
    <w:rsid w:val="001C0C50"/>
    <w:rsid w:val="001C3E2C"/>
    <w:rsid w:val="001C43A4"/>
    <w:rsid w:val="001D1469"/>
    <w:rsid w:val="001D2744"/>
    <w:rsid w:val="001D350E"/>
    <w:rsid w:val="001D5C41"/>
    <w:rsid w:val="001E0D82"/>
    <w:rsid w:val="001E0D93"/>
    <w:rsid w:val="001E52A9"/>
    <w:rsid w:val="001E5985"/>
    <w:rsid w:val="001E5F4A"/>
    <w:rsid w:val="001F456D"/>
    <w:rsid w:val="001F68C3"/>
    <w:rsid w:val="002041A6"/>
    <w:rsid w:val="002053F7"/>
    <w:rsid w:val="002060F6"/>
    <w:rsid w:val="00206D2E"/>
    <w:rsid w:val="002078A1"/>
    <w:rsid w:val="00210D44"/>
    <w:rsid w:val="00211077"/>
    <w:rsid w:val="002127F2"/>
    <w:rsid w:val="00212AF9"/>
    <w:rsid w:val="00213425"/>
    <w:rsid w:val="0022306B"/>
    <w:rsid w:val="00223847"/>
    <w:rsid w:val="002253DE"/>
    <w:rsid w:val="00226768"/>
    <w:rsid w:val="00226771"/>
    <w:rsid w:val="00226B2E"/>
    <w:rsid w:val="00226C29"/>
    <w:rsid w:val="00226D0E"/>
    <w:rsid w:val="00232D19"/>
    <w:rsid w:val="00234C52"/>
    <w:rsid w:val="002375CE"/>
    <w:rsid w:val="0023791E"/>
    <w:rsid w:val="00237A98"/>
    <w:rsid w:val="0024287B"/>
    <w:rsid w:val="0024741B"/>
    <w:rsid w:val="0025126B"/>
    <w:rsid w:val="00261C93"/>
    <w:rsid w:val="002625A9"/>
    <w:rsid w:val="0026439E"/>
    <w:rsid w:val="002722AD"/>
    <w:rsid w:val="00272F80"/>
    <w:rsid w:val="00273C1E"/>
    <w:rsid w:val="0027764C"/>
    <w:rsid w:val="002776B2"/>
    <w:rsid w:val="00281BFF"/>
    <w:rsid w:val="0028321C"/>
    <w:rsid w:val="0028366D"/>
    <w:rsid w:val="002903D0"/>
    <w:rsid w:val="00293BF6"/>
    <w:rsid w:val="002A20A0"/>
    <w:rsid w:val="002A3760"/>
    <w:rsid w:val="002B1394"/>
    <w:rsid w:val="002C556E"/>
    <w:rsid w:val="002C580B"/>
    <w:rsid w:val="002C5B0F"/>
    <w:rsid w:val="002D23D9"/>
    <w:rsid w:val="002D2931"/>
    <w:rsid w:val="002D32C0"/>
    <w:rsid w:val="002D6706"/>
    <w:rsid w:val="002D6B30"/>
    <w:rsid w:val="002D6D0E"/>
    <w:rsid w:val="002E190D"/>
    <w:rsid w:val="002E6BE3"/>
    <w:rsid w:val="002F0662"/>
    <w:rsid w:val="002F4524"/>
    <w:rsid w:val="003006CA"/>
    <w:rsid w:val="00300B49"/>
    <w:rsid w:val="00302B9D"/>
    <w:rsid w:val="00316D6F"/>
    <w:rsid w:val="0031753A"/>
    <w:rsid w:val="003207F4"/>
    <w:rsid w:val="00320BB7"/>
    <w:rsid w:val="00325547"/>
    <w:rsid w:val="00327DDB"/>
    <w:rsid w:val="00330D78"/>
    <w:rsid w:val="00332346"/>
    <w:rsid w:val="003336A5"/>
    <w:rsid w:val="003354EE"/>
    <w:rsid w:val="00337C6A"/>
    <w:rsid w:val="00341348"/>
    <w:rsid w:val="00341D19"/>
    <w:rsid w:val="00343406"/>
    <w:rsid w:val="00343A06"/>
    <w:rsid w:val="00345B72"/>
    <w:rsid w:val="003464E7"/>
    <w:rsid w:val="00353318"/>
    <w:rsid w:val="00353E7E"/>
    <w:rsid w:val="00354E36"/>
    <w:rsid w:val="003568E4"/>
    <w:rsid w:val="00361313"/>
    <w:rsid w:val="003618FE"/>
    <w:rsid w:val="0036732D"/>
    <w:rsid w:val="003706A5"/>
    <w:rsid w:val="003712A4"/>
    <w:rsid w:val="00395A23"/>
    <w:rsid w:val="003976F0"/>
    <w:rsid w:val="003A0526"/>
    <w:rsid w:val="003A0C71"/>
    <w:rsid w:val="003A170B"/>
    <w:rsid w:val="003A58D2"/>
    <w:rsid w:val="003A7F1A"/>
    <w:rsid w:val="003B097F"/>
    <w:rsid w:val="003B2656"/>
    <w:rsid w:val="003B3099"/>
    <w:rsid w:val="003B43D3"/>
    <w:rsid w:val="003B6BE9"/>
    <w:rsid w:val="003C241B"/>
    <w:rsid w:val="003C296C"/>
    <w:rsid w:val="003C312A"/>
    <w:rsid w:val="003C4653"/>
    <w:rsid w:val="003D0506"/>
    <w:rsid w:val="003D10A8"/>
    <w:rsid w:val="003D3A75"/>
    <w:rsid w:val="003D6118"/>
    <w:rsid w:val="003E5835"/>
    <w:rsid w:val="003F2270"/>
    <w:rsid w:val="003F2B37"/>
    <w:rsid w:val="003F5D12"/>
    <w:rsid w:val="003F7333"/>
    <w:rsid w:val="003F746F"/>
    <w:rsid w:val="00401C31"/>
    <w:rsid w:val="00403AB7"/>
    <w:rsid w:val="004043A2"/>
    <w:rsid w:val="004117BD"/>
    <w:rsid w:val="00412A48"/>
    <w:rsid w:val="00414B71"/>
    <w:rsid w:val="00415EA0"/>
    <w:rsid w:val="00417574"/>
    <w:rsid w:val="004215F1"/>
    <w:rsid w:val="0042215D"/>
    <w:rsid w:val="00427321"/>
    <w:rsid w:val="0043285C"/>
    <w:rsid w:val="00440F9A"/>
    <w:rsid w:val="00442157"/>
    <w:rsid w:val="004421BE"/>
    <w:rsid w:val="00443ADE"/>
    <w:rsid w:val="00446BE0"/>
    <w:rsid w:val="00450E3B"/>
    <w:rsid w:val="0045479E"/>
    <w:rsid w:val="00456B51"/>
    <w:rsid w:val="00460E97"/>
    <w:rsid w:val="00461B90"/>
    <w:rsid w:val="004632AA"/>
    <w:rsid w:val="00470A5A"/>
    <w:rsid w:val="00470A5B"/>
    <w:rsid w:val="004720C1"/>
    <w:rsid w:val="00476FBE"/>
    <w:rsid w:val="00483264"/>
    <w:rsid w:val="00493C78"/>
    <w:rsid w:val="004A0080"/>
    <w:rsid w:val="004A0D30"/>
    <w:rsid w:val="004A1A4E"/>
    <w:rsid w:val="004A590C"/>
    <w:rsid w:val="004B0863"/>
    <w:rsid w:val="004B1567"/>
    <w:rsid w:val="004B1E96"/>
    <w:rsid w:val="004B36DB"/>
    <w:rsid w:val="004B404B"/>
    <w:rsid w:val="004B508D"/>
    <w:rsid w:val="004B62C0"/>
    <w:rsid w:val="004B6F3F"/>
    <w:rsid w:val="004C10D1"/>
    <w:rsid w:val="004C2BD5"/>
    <w:rsid w:val="004C3A95"/>
    <w:rsid w:val="004C46F2"/>
    <w:rsid w:val="004C63B1"/>
    <w:rsid w:val="004C7017"/>
    <w:rsid w:val="004D063F"/>
    <w:rsid w:val="004D1018"/>
    <w:rsid w:val="004D210D"/>
    <w:rsid w:val="004D449E"/>
    <w:rsid w:val="004D5BAD"/>
    <w:rsid w:val="004D6BD1"/>
    <w:rsid w:val="004E07EE"/>
    <w:rsid w:val="004E12DE"/>
    <w:rsid w:val="004E17AA"/>
    <w:rsid w:val="004E2379"/>
    <w:rsid w:val="004F53FD"/>
    <w:rsid w:val="004F6E95"/>
    <w:rsid w:val="00505261"/>
    <w:rsid w:val="00507A8A"/>
    <w:rsid w:val="00510E4D"/>
    <w:rsid w:val="00512A45"/>
    <w:rsid w:val="00514C39"/>
    <w:rsid w:val="005215F1"/>
    <w:rsid w:val="00523F83"/>
    <w:rsid w:val="0052634A"/>
    <w:rsid w:val="00527D8D"/>
    <w:rsid w:val="00532ACF"/>
    <w:rsid w:val="005344B4"/>
    <w:rsid w:val="00537EFB"/>
    <w:rsid w:val="00541401"/>
    <w:rsid w:val="005418DB"/>
    <w:rsid w:val="0054269C"/>
    <w:rsid w:val="00545844"/>
    <w:rsid w:val="00550160"/>
    <w:rsid w:val="00553E86"/>
    <w:rsid w:val="005547A9"/>
    <w:rsid w:val="005573E9"/>
    <w:rsid w:val="005576F2"/>
    <w:rsid w:val="00564C20"/>
    <w:rsid w:val="00566C11"/>
    <w:rsid w:val="00574C3B"/>
    <w:rsid w:val="00575AB8"/>
    <w:rsid w:val="0057690D"/>
    <w:rsid w:val="005812DA"/>
    <w:rsid w:val="00582912"/>
    <w:rsid w:val="00583B9A"/>
    <w:rsid w:val="00583DA9"/>
    <w:rsid w:val="0058760D"/>
    <w:rsid w:val="00587B70"/>
    <w:rsid w:val="005955FC"/>
    <w:rsid w:val="00595DB0"/>
    <w:rsid w:val="005A2E67"/>
    <w:rsid w:val="005A5415"/>
    <w:rsid w:val="005A7D49"/>
    <w:rsid w:val="005B16ED"/>
    <w:rsid w:val="005B6E0E"/>
    <w:rsid w:val="005C08C2"/>
    <w:rsid w:val="005C21A0"/>
    <w:rsid w:val="005C226A"/>
    <w:rsid w:val="005C4026"/>
    <w:rsid w:val="005C54E2"/>
    <w:rsid w:val="005C5B0E"/>
    <w:rsid w:val="005D0BB2"/>
    <w:rsid w:val="005D416B"/>
    <w:rsid w:val="005D62B0"/>
    <w:rsid w:val="005E1653"/>
    <w:rsid w:val="005E5398"/>
    <w:rsid w:val="005E5912"/>
    <w:rsid w:val="005F26AD"/>
    <w:rsid w:val="005F2C46"/>
    <w:rsid w:val="005F5B89"/>
    <w:rsid w:val="005F5BA5"/>
    <w:rsid w:val="00606397"/>
    <w:rsid w:val="006173A4"/>
    <w:rsid w:val="00617F81"/>
    <w:rsid w:val="00621606"/>
    <w:rsid w:val="00622520"/>
    <w:rsid w:val="006279D1"/>
    <w:rsid w:val="006279E7"/>
    <w:rsid w:val="006305FC"/>
    <w:rsid w:val="00634596"/>
    <w:rsid w:val="00642B95"/>
    <w:rsid w:val="006440C3"/>
    <w:rsid w:val="0065460D"/>
    <w:rsid w:val="0066001D"/>
    <w:rsid w:val="0066497B"/>
    <w:rsid w:val="006679DC"/>
    <w:rsid w:val="00670400"/>
    <w:rsid w:val="006724B7"/>
    <w:rsid w:val="00673AF8"/>
    <w:rsid w:val="00677925"/>
    <w:rsid w:val="00677A8A"/>
    <w:rsid w:val="006900C5"/>
    <w:rsid w:val="00690467"/>
    <w:rsid w:val="006922EC"/>
    <w:rsid w:val="00694388"/>
    <w:rsid w:val="00695F09"/>
    <w:rsid w:val="0069626E"/>
    <w:rsid w:val="006A0CC4"/>
    <w:rsid w:val="006A23E9"/>
    <w:rsid w:val="006A2F07"/>
    <w:rsid w:val="006A330B"/>
    <w:rsid w:val="006A4D72"/>
    <w:rsid w:val="006A543A"/>
    <w:rsid w:val="006B355E"/>
    <w:rsid w:val="006B6BD4"/>
    <w:rsid w:val="006B6F3C"/>
    <w:rsid w:val="006C1701"/>
    <w:rsid w:val="006C2D0C"/>
    <w:rsid w:val="006C5A4F"/>
    <w:rsid w:val="006C664D"/>
    <w:rsid w:val="006D298A"/>
    <w:rsid w:val="006D67F0"/>
    <w:rsid w:val="006D6FF0"/>
    <w:rsid w:val="006F48AD"/>
    <w:rsid w:val="006F519F"/>
    <w:rsid w:val="006F5EC4"/>
    <w:rsid w:val="006F629E"/>
    <w:rsid w:val="006F70F0"/>
    <w:rsid w:val="007014D4"/>
    <w:rsid w:val="00703F0B"/>
    <w:rsid w:val="007063E4"/>
    <w:rsid w:val="007076B1"/>
    <w:rsid w:val="0071151B"/>
    <w:rsid w:val="0071330B"/>
    <w:rsid w:val="00713FDB"/>
    <w:rsid w:val="00720451"/>
    <w:rsid w:val="00722A6B"/>
    <w:rsid w:val="00722F66"/>
    <w:rsid w:val="00722FCE"/>
    <w:rsid w:val="007258A2"/>
    <w:rsid w:val="00727089"/>
    <w:rsid w:val="00730890"/>
    <w:rsid w:val="00732AFC"/>
    <w:rsid w:val="00733EDA"/>
    <w:rsid w:val="007345D7"/>
    <w:rsid w:val="00735BD4"/>
    <w:rsid w:val="00737A61"/>
    <w:rsid w:val="00741B8D"/>
    <w:rsid w:val="0074315D"/>
    <w:rsid w:val="007458E1"/>
    <w:rsid w:val="00746901"/>
    <w:rsid w:val="00751CDD"/>
    <w:rsid w:val="00752C69"/>
    <w:rsid w:val="00753178"/>
    <w:rsid w:val="00757E70"/>
    <w:rsid w:val="007605CE"/>
    <w:rsid w:val="00762147"/>
    <w:rsid w:val="00762CB8"/>
    <w:rsid w:val="007646F8"/>
    <w:rsid w:val="00765191"/>
    <w:rsid w:val="007746D5"/>
    <w:rsid w:val="007764FC"/>
    <w:rsid w:val="007834DF"/>
    <w:rsid w:val="00785F88"/>
    <w:rsid w:val="00792362"/>
    <w:rsid w:val="00797C8E"/>
    <w:rsid w:val="007A04DC"/>
    <w:rsid w:val="007A1F1F"/>
    <w:rsid w:val="007A2463"/>
    <w:rsid w:val="007A2EB0"/>
    <w:rsid w:val="007A3224"/>
    <w:rsid w:val="007B04DD"/>
    <w:rsid w:val="007B04FF"/>
    <w:rsid w:val="007B0844"/>
    <w:rsid w:val="007B16B1"/>
    <w:rsid w:val="007B2F9F"/>
    <w:rsid w:val="007B66A7"/>
    <w:rsid w:val="007B684E"/>
    <w:rsid w:val="007B6DA0"/>
    <w:rsid w:val="007C15ED"/>
    <w:rsid w:val="007C2CCC"/>
    <w:rsid w:val="007C33E8"/>
    <w:rsid w:val="007C6769"/>
    <w:rsid w:val="007D0AE9"/>
    <w:rsid w:val="007D2FAE"/>
    <w:rsid w:val="007D399D"/>
    <w:rsid w:val="007D4087"/>
    <w:rsid w:val="007D59AF"/>
    <w:rsid w:val="007D685B"/>
    <w:rsid w:val="007D7350"/>
    <w:rsid w:val="007D7982"/>
    <w:rsid w:val="007E26E0"/>
    <w:rsid w:val="007E347C"/>
    <w:rsid w:val="007F03FA"/>
    <w:rsid w:val="007F28DB"/>
    <w:rsid w:val="007F3BDC"/>
    <w:rsid w:val="007F6179"/>
    <w:rsid w:val="00802DAE"/>
    <w:rsid w:val="00802E5D"/>
    <w:rsid w:val="00803C1E"/>
    <w:rsid w:val="00804954"/>
    <w:rsid w:val="00810B98"/>
    <w:rsid w:val="00811589"/>
    <w:rsid w:val="0081164E"/>
    <w:rsid w:val="0081607E"/>
    <w:rsid w:val="00816129"/>
    <w:rsid w:val="008177BD"/>
    <w:rsid w:val="00824189"/>
    <w:rsid w:val="00826C77"/>
    <w:rsid w:val="0083668C"/>
    <w:rsid w:val="00836CA9"/>
    <w:rsid w:val="00840622"/>
    <w:rsid w:val="00840E0D"/>
    <w:rsid w:val="00855782"/>
    <w:rsid w:val="00856873"/>
    <w:rsid w:val="008608D8"/>
    <w:rsid w:val="00861912"/>
    <w:rsid w:val="00863275"/>
    <w:rsid w:val="00863D7D"/>
    <w:rsid w:val="008657A4"/>
    <w:rsid w:val="00865CD7"/>
    <w:rsid w:val="0086730C"/>
    <w:rsid w:val="00875B9B"/>
    <w:rsid w:val="0088026D"/>
    <w:rsid w:val="008803BE"/>
    <w:rsid w:val="00881EB7"/>
    <w:rsid w:val="00884884"/>
    <w:rsid w:val="0088570D"/>
    <w:rsid w:val="00887902"/>
    <w:rsid w:val="008908D3"/>
    <w:rsid w:val="00891420"/>
    <w:rsid w:val="00897207"/>
    <w:rsid w:val="008A0C18"/>
    <w:rsid w:val="008A2FDE"/>
    <w:rsid w:val="008A4BD0"/>
    <w:rsid w:val="008A5CEF"/>
    <w:rsid w:val="008B0302"/>
    <w:rsid w:val="008B224C"/>
    <w:rsid w:val="008C77F8"/>
    <w:rsid w:val="008D24D8"/>
    <w:rsid w:val="008D2976"/>
    <w:rsid w:val="008E4C94"/>
    <w:rsid w:val="008E500C"/>
    <w:rsid w:val="008E7F87"/>
    <w:rsid w:val="008F5543"/>
    <w:rsid w:val="008F720F"/>
    <w:rsid w:val="00901B33"/>
    <w:rsid w:val="00904592"/>
    <w:rsid w:val="00906D34"/>
    <w:rsid w:val="0090790C"/>
    <w:rsid w:val="0091039A"/>
    <w:rsid w:val="009120C7"/>
    <w:rsid w:val="00916179"/>
    <w:rsid w:val="00917615"/>
    <w:rsid w:val="0091784F"/>
    <w:rsid w:val="00921F04"/>
    <w:rsid w:val="00922032"/>
    <w:rsid w:val="00925337"/>
    <w:rsid w:val="00931174"/>
    <w:rsid w:val="00937B1F"/>
    <w:rsid w:val="0094110B"/>
    <w:rsid w:val="009439C2"/>
    <w:rsid w:val="00944B82"/>
    <w:rsid w:val="00951BFC"/>
    <w:rsid w:val="00951CF8"/>
    <w:rsid w:val="00955E20"/>
    <w:rsid w:val="009560E7"/>
    <w:rsid w:val="00956B31"/>
    <w:rsid w:val="00957AA0"/>
    <w:rsid w:val="009604CB"/>
    <w:rsid w:val="0096402A"/>
    <w:rsid w:val="00964F69"/>
    <w:rsid w:val="00964FF7"/>
    <w:rsid w:val="00965538"/>
    <w:rsid w:val="00967A39"/>
    <w:rsid w:val="0097464F"/>
    <w:rsid w:val="00980D5D"/>
    <w:rsid w:val="00984BFB"/>
    <w:rsid w:val="00990DFA"/>
    <w:rsid w:val="00991C81"/>
    <w:rsid w:val="00991DC7"/>
    <w:rsid w:val="00995941"/>
    <w:rsid w:val="009A217C"/>
    <w:rsid w:val="009A2DE5"/>
    <w:rsid w:val="009A7B76"/>
    <w:rsid w:val="009B0988"/>
    <w:rsid w:val="009B4B91"/>
    <w:rsid w:val="009B65C2"/>
    <w:rsid w:val="009C37DD"/>
    <w:rsid w:val="009C4E4B"/>
    <w:rsid w:val="009C56D7"/>
    <w:rsid w:val="009C5DF4"/>
    <w:rsid w:val="009D3453"/>
    <w:rsid w:val="009D5D7F"/>
    <w:rsid w:val="009E1329"/>
    <w:rsid w:val="009E28E5"/>
    <w:rsid w:val="009E4CE3"/>
    <w:rsid w:val="009E7020"/>
    <w:rsid w:val="009F0FD0"/>
    <w:rsid w:val="009F214A"/>
    <w:rsid w:val="009F374F"/>
    <w:rsid w:val="009F44F2"/>
    <w:rsid w:val="009F588C"/>
    <w:rsid w:val="00A00E22"/>
    <w:rsid w:val="00A01CFC"/>
    <w:rsid w:val="00A0211F"/>
    <w:rsid w:val="00A02619"/>
    <w:rsid w:val="00A026A2"/>
    <w:rsid w:val="00A02C14"/>
    <w:rsid w:val="00A06812"/>
    <w:rsid w:val="00A1095F"/>
    <w:rsid w:val="00A112AD"/>
    <w:rsid w:val="00A11C51"/>
    <w:rsid w:val="00A1337E"/>
    <w:rsid w:val="00A141DE"/>
    <w:rsid w:val="00A15CEF"/>
    <w:rsid w:val="00A161EF"/>
    <w:rsid w:val="00A44150"/>
    <w:rsid w:val="00A44EBD"/>
    <w:rsid w:val="00A54F86"/>
    <w:rsid w:val="00A55D95"/>
    <w:rsid w:val="00A60B40"/>
    <w:rsid w:val="00A7045B"/>
    <w:rsid w:val="00A70C9D"/>
    <w:rsid w:val="00A722C5"/>
    <w:rsid w:val="00A859DC"/>
    <w:rsid w:val="00A91F36"/>
    <w:rsid w:val="00A93A7F"/>
    <w:rsid w:val="00AB4467"/>
    <w:rsid w:val="00AB6749"/>
    <w:rsid w:val="00AB6B27"/>
    <w:rsid w:val="00AD19BF"/>
    <w:rsid w:val="00AD23D2"/>
    <w:rsid w:val="00AD5596"/>
    <w:rsid w:val="00AD5797"/>
    <w:rsid w:val="00AD6B25"/>
    <w:rsid w:val="00AE084E"/>
    <w:rsid w:val="00AE135A"/>
    <w:rsid w:val="00AE29C2"/>
    <w:rsid w:val="00AE2C17"/>
    <w:rsid w:val="00AE3671"/>
    <w:rsid w:val="00AE5333"/>
    <w:rsid w:val="00AE6F3C"/>
    <w:rsid w:val="00AF196A"/>
    <w:rsid w:val="00AF54E1"/>
    <w:rsid w:val="00B04E81"/>
    <w:rsid w:val="00B14E6B"/>
    <w:rsid w:val="00B16089"/>
    <w:rsid w:val="00B17B5C"/>
    <w:rsid w:val="00B17BE4"/>
    <w:rsid w:val="00B22191"/>
    <w:rsid w:val="00B33D04"/>
    <w:rsid w:val="00B43CC4"/>
    <w:rsid w:val="00B457D5"/>
    <w:rsid w:val="00B46E1A"/>
    <w:rsid w:val="00B47764"/>
    <w:rsid w:val="00B4784E"/>
    <w:rsid w:val="00B52D63"/>
    <w:rsid w:val="00B63182"/>
    <w:rsid w:val="00B63A3B"/>
    <w:rsid w:val="00B64D54"/>
    <w:rsid w:val="00B6638C"/>
    <w:rsid w:val="00B70EE7"/>
    <w:rsid w:val="00B730E2"/>
    <w:rsid w:val="00B80CD9"/>
    <w:rsid w:val="00B80D2F"/>
    <w:rsid w:val="00B863FD"/>
    <w:rsid w:val="00B90EB4"/>
    <w:rsid w:val="00B92749"/>
    <w:rsid w:val="00B95026"/>
    <w:rsid w:val="00B95DBB"/>
    <w:rsid w:val="00B97802"/>
    <w:rsid w:val="00BA04B7"/>
    <w:rsid w:val="00BA1DB7"/>
    <w:rsid w:val="00BA3124"/>
    <w:rsid w:val="00BA37AA"/>
    <w:rsid w:val="00BB273B"/>
    <w:rsid w:val="00BB2B84"/>
    <w:rsid w:val="00BC0B59"/>
    <w:rsid w:val="00BC1840"/>
    <w:rsid w:val="00BC35B4"/>
    <w:rsid w:val="00BC6E4F"/>
    <w:rsid w:val="00BD1581"/>
    <w:rsid w:val="00BD389A"/>
    <w:rsid w:val="00BD6899"/>
    <w:rsid w:val="00BD6DBD"/>
    <w:rsid w:val="00BD7E1A"/>
    <w:rsid w:val="00BE2F9C"/>
    <w:rsid w:val="00BE3C13"/>
    <w:rsid w:val="00BF3812"/>
    <w:rsid w:val="00BF4099"/>
    <w:rsid w:val="00BF72E5"/>
    <w:rsid w:val="00C06124"/>
    <w:rsid w:val="00C06D7C"/>
    <w:rsid w:val="00C07A4F"/>
    <w:rsid w:val="00C07C28"/>
    <w:rsid w:val="00C11668"/>
    <w:rsid w:val="00C17F08"/>
    <w:rsid w:val="00C20590"/>
    <w:rsid w:val="00C209A2"/>
    <w:rsid w:val="00C21BA6"/>
    <w:rsid w:val="00C244BA"/>
    <w:rsid w:val="00C254EC"/>
    <w:rsid w:val="00C25AD7"/>
    <w:rsid w:val="00C2687B"/>
    <w:rsid w:val="00C26B5A"/>
    <w:rsid w:val="00C31620"/>
    <w:rsid w:val="00C3577B"/>
    <w:rsid w:val="00C3605A"/>
    <w:rsid w:val="00C4070E"/>
    <w:rsid w:val="00C46538"/>
    <w:rsid w:val="00C46568"/>
    <w:rsid w:val="00C524FA"/>
    <w:rsid w:val="00C53F6B"/>
    <w:rsid w:val="00C53F80"/>
    <w:rsid w:val="00C557E5"/>
    <w:rsid w:val="00C61DF1"/>
    <w:rsid w:val="00C636A8"/>
    <w:rsid w:val="00C64777"/>
    <w:rsid w:val="00C64C38"/>
    <w:rsid w:val="00C7170A"/>
    <w:rsid w:val="00C72DB8"/>
    <w:rsid w:val="00C733D7"/>
    <w:rsid w:val="00C7432E"/>
    <w:rsid w:val="00C75E69"/>
    <w:rsid w:val="00C76FE6"/>
    <w:rsid w:val="00C8124B"/>
    <w:rsid w:val="00C91765"/>
    <w:rsid w:val="00CA1C4D"/>
    <w:rsid w:val="00CA1CE4"/>
    <w:rsid w:val="00CA2378"/>
    <w:rsid w:val="00CA3F44"/>
    <w:rsid w:val="00CA4DB7"/>
    <w:rsid w:val="00CA6CAC"/>
    <w:rsid w:val="00CB3033"/>
    <w:rsid w:val="00CB3C9F"/>
    <w:rsid w:val="00CB4408"/>
    <w:rsid w:val="00CB532A"/>
    <w:rsid w:val="00CB5F47"/>
    <w:rsid w:val="00CC18DB"/>
    <w:rsid w:val="00CC1C15"/>
    <w:rsid w:val="00CC46A2"/>
    <w:rsid w:val="00CC490E"/>
    <w:rsid w:val="00CC6D92"/>
    <w:rsid w:val="00CC7F0B"/>
    <w:rsid w:val="00CD7D67"/>
    <w:rsid w:val="00CE01EF"/>
    <w:rsid w:val="00CE20CE"/>
    <w:rsid w:val="00CF001A"/>
    <w:rsid w:val="00CF355D"/>
    <w:rsid w:val="00CF53C6"/>
    <w:rsid w:val="00D0202D"/>
    <w:rsid w:val="00D05BD7"/>
    <w:rsid w:val="00D0648D"/>
    <w:rsid w:val="00D07E9C"/>
    <w:rsid w:val="00D124F1"/>
    <w:rsid w:val="00D14E99"/>
    <w:rsid w:val="00D1571D"/>
    <w:rsid w:val="00D17CF2"/>
    <w:rsid w:val="00D21E36"/>
    <w:rsid w:val="00D2321E"/>
    <w:rsid w:val="00D23492"/>
    <w:rsid w:val="00D26520"/>
    <w:rsid w:val="00D277F8"/>
    <w:rsid w:val="00D300DD"/>
    <w:rsid w:val="00D32917"/>
    <w:rsid w:val="00D341BC"/>
    <w:rsid w:val="00D37D4E"/>
    <w:rsid w:val="00D43AD3"/>
    <w:rsid w:val="00D44F13"/>
    <w:rsid w:val="00D479CD"/>
    <w:rsid w:val="00D54497"/>
    <w:rsid w:val="00D6486E"/>
    <w:rsid w:val="00D7118D"/>
    <w:rsid w:val="00D7214B"/>
    <w:rsid w:val="00D7622A"/>
    <w:rsid w:val="00D829D0"/>
    <w:rsid w:val="00D83796"/>
    <w:rsid w:val="00D841A1"/>
    <w:rsid w:val="00D84F11"/>
    <w:rsid w:val="00D92C17"/>
    <w:rsid w:val="00D930BB"/>
    <w:rsid w:val="00D932AD"/>
    <w:rsid w:val="00D93779"/>
    <w:rsid w:val="00D9579D"/>
    <w:rsid w:val="00D95A48"/>
    <w:rsid w:val="00D95A4C"/>
    <w:rsid w:val="00DA32C9"/>
    <w:rsid w:val="00DA679E"/>
    <w:rsid w:val="00DA73E0"/>
    <w:rsid w:val="00DB181C"/>
    <w:rsid w:val="00DB562B"/>
    <w:rsid w:val="00DC1F97"/>
    <w:rsid w:val="00DC3242"/>
    <w:rsid w:val="00DC5B2E"/>
    <w:rsid w:val="00DD430F"/>
    <w:rsid w:val="00DE249D"/>
    <w:rsid w:val="00DE688A"/>
    <w:rsid w:val="00DF12BF"/>
    <w:rsid w:val="00DF408A"/>
    <w:rsid w:val="00DF67B6"/>
    <w:rsid w:val="00DF7F8D"/>
    <w:rsid w:val="00E02431"/>
    <w:rsid w:val="00E02A9B"/>
    <w:rsid w:val="00E05363"/>
    <w:rsid w:val="00E11081"/>
    <w:rsid w:val="00E213E1"/>
    <w:rsid w:val="00E220E0"/>
    <w:rsid w:val="00E255AC"/>
    <w:rsid w:val="00E26053"/>
    <w:rsid w:val="00E309EA"/>
    <w:rsid w:val="00E312D2"/>
    <w:rsid w:val="00E33009"/>
    <w:rsid w:val="00E34818"/>
    <w:rsid w:val="00E41945"/>
    <w:rsid w:val="00E41B43"/>
    <w:rsid w:val="00E42EAA"/>
    <w:rsid w:val="00E449D8"/>
    <w:rsid w:val="00E44A3E"/>
    <w:rsid w:val="00E45D74"/>
    <w:rsid w:val="00E50536"/>
    <w:rsid w:val="00E51F99"/>
    <w:rsid w:val="00E52414"/>
    <w:rsid w:val="00E55177"/>
    <w:rsid w:val="00E56B70"/>
    <w:rsid w:val="00E57591"/>
    <w:rsid w:val="00E631C6"/>
    <w:rsid w:val="00E653F5"/>
    <w:rsid w:val="00E72F1F"/>
    <w:rsid w:val="00E763ED"/>
    <w:rsid w:val="00E8709E"/>
    <w:rsid w:val="00E93BCC"/>
    <w:rsid w:val="00E96E54"/>
    <w:rsid w:val="00E97F33"/>
    <w:rsid w:val="00EA28CB"/>
    <w:rsid w:val="00EC2D7B"/>
    <w:rsid w:val="00EC2F4A"/>
    <w:rsid w:val="00EC7653"/>
    <w:rsid w:val="00ED337F"/>
    <w:rsid w:val="00ED5241"/>
    <w:rsid w:val="00ED7DBB"/>
    <w:rsid w:val="00EF01F8"/>
    <w:rsid w:val="00EF1C44"/>
    <w:rsid w:val="00EF20F4"/>
    <w:rsid w:val="00EF5360"/>
    <w:rsid w:val="00EF5BD9"/>
    <w:rsid w:val="00EF6456"/>
    <w:rsid w:val="00EF7ADE"/>
    <w:rsid w:val="00F115E5"/>
    <w:rsid w:val="00F14527"/>
    <w:rsid w:val="00F1492D"/>
    <w:rsid w:val="00F15DD3"/>
    <w:rsid w:val="00F2140E"/>
    <w:rsid w:val="00F21440"/>
    <w:rsid w:val="00F236B1"/>
    <w:rsid w:val="00F275D0"/>
    <w:rsid w:val="00F27DBE"/>
    <w:rsid w:val="00F30429"/>
    <w:rsid w:val="00F30924"/>
    <w:rsid w:val="00F331FE"/>
    <w:rsid w:val="00F344D6"/>
    <w:rsid w:val="00F34528"/>
    <w:rsid w:val="00F34BB4"/>
    <w:rsid w:val="00F37250"/>
    <w:rsid w:val="00F3752A"/>
    <w:rsid w:val="00F37603"/>
    <w:rsid w:val="00F40FBF"/>
    <w:rsid w:val="00F41ABA"/>
    <w:rsid w:val="00F42CB5"/>
    <w:rsid w:val="00F43D41"/>
    <w:rsid w:val="00F516DE"/>
    <w:rsid w:val="00F52F5A"/>
    <w:rsid w:val="00F530A7"/>
    <w:rsid w:val="00F56501"/>
    <w:rsid w:val="00F603CC"/>
    <w:rsid w:val="00F675E2"/>
    <w:rsid w:val="00F74C15"/>
    <w:rsid w:val="00F74EBD"/>
    <w:rsid w:val="00F82ADB"/>
    <w:rsid w:val="00F831B3"/>
    <w:rsid w:val="00F86B8B"/>
    <w:rsid w:val="00F86F81"/>
    <w:rsid w:val="00F8733F"/>
    <w:rsid w:val="00F94057"/>
    <w:rsid w:val="00FA17F6"/>
    <w:rsid w:val="00FA755C"/>
    <w:rsid w:val="00FA7AF1"/>
    <w:rsid w:val="00FB2846"/>
    <w:rsid w:val="00FB3AAB"/>
    <w:rsid w:val="00FB66A4"/>
    <w:rsid w:val="00FB67A2"/>
    <w:rsid w:val="00FB7FA1"/>
    <w:rsid w:val="00FC02B4"/>
    <w:rsid w:val="00FD0331"/>
    <w:rsid w:val="00FD1370"/>
    <w:rsid w:val="00FD40B7"/>
    <w:rsid w:val="00FD5F55"/>
    <w:rsid w:val="00FE1E89"/>
    <w:rsid w:val="00FE3364"/>
    <w:rsid w:val="00FE6711"/>
    <w:rsid w:val="00FF2D5E"/>
    <w:rsid w:val="00FF3FB5"/>
    <w:rsid w:val="00FF45D3"/>
    <w:rsid w:val="018157A4"/>
    <w:rsid w:val="01AC5842"/>
    <w:rsid w:val="026B2025"/>
    <w:rsid w:val="031F0024"/>
    <w:rsid w:val="03CC652C"/>
    <w:rsid w:val="0498064F"/>
    <w:rsid w:val="049F739B"/>
    <w:rsid w:val="054E51FC"/>
    <w:rsid w:val="090959BE"/>
    <w:rsid w:val="092E4768"/>
    <w:rsid w:val="092F0CA8"/>
    <w:rsid w:val="0A49414A"/>
    <w:rsid w:val="0ACB4F8A"/>
    <w:rsid w:val="0BBC0BA8"/>
    <w:rsid w:val="0C667718"/>
    <w:rsid w:val="0C727C5A"/>
    <w:rsid w:val="0C74604D"/>
    <w:rsid w:val="0C955E45"/>
    <w:rsid w:val="0CB05131"/>
    <w:rsid w:val="0D460BF6"/>
    <w:rsid w:val="0D4A5F0F"/>
    <w:rsid w:val="0D5456B2"/>
    <w:rsid w:val="0EAB2F18"/>
    <w:rsid w:val="0EB00652"/>
    <w:rsid w:val="0EFA43DF"/>
    <w:rsid w:val="0FC103AD"/>
    <w:rsid w:val="0FE85D5B"/>
    <w:rsid w:val="115D7BDB"/>
    <w:rsid w:val="11BB6DB6"/>
    <w:rsid w:val="125161BB"/>
    <w:rsid w:val="12F63DBA"/>
    <w:rsid w:val="1312281D"/>
    <w:rsid w:val="13364AB8"/>
    <w:rsid w:val="140C583F"/>
    <w:rsid w:val="140C7965"/>
    <w:rsid w:val="142F43C4"/>
    <w:rsid w:val="14EE2F7E"/>
    <w:rsid w:val="151417DA"/>
    <w:rsid w:val="151C4634"/>
    <w:rsid w:val="161F3D65"/>
    <w:rsid w:val="16C327C0"/>
    <w:rsid w:val="16DB1AE8"/>
    <w:rsid w:val="16F62AD9"/>
    <w:rsid w:val="174C4C70"/>
    <w:rsid w:val="17A4250C"/>
    <w:rsid w:val="1839667F"/>
    <w:rsid w:val="18411556"/>
    <w:rsid w:val="184C0256"/>
    <w:rsid w:val="18AC7DEF"/>
    <w:rsid w:val="18DE40D8"/>
    <w:rsid w:val="18E02D2E"/>
    <w:rsid w:val="19255AA8"/>
    <w:rsid w:val="19FE1DD2"/>
    <w:rsid w:val="1A515B00"/>
    <w:rsid w:val="1AF03B8E"/>
    <w:rsid w:val="1B4E55E5"/>
    <w:rsid w:val="1C487756"/>
    <w:rsid w:val="1C580648"/>
    <w:rsid w:val="1C5823F6"/>
    <w:rsid w:val="1D5141EA"/>
    <w:rsid w:val="1EE933CA"/>
    <w:rsid w:val="1EF514BB"/>
    <w:rsid w:val="1F53250D"/>
    <w:rsid w:val="1FE03E2B"/>
    <w:rsid w:val="1FEA48AA"/>
    <w:rsid w:val="20B277C5"/>
    <w:rsid w:val="212424BE"/>
    <w:rsid w:val="218E16EA"/>
    <w:rsid w:val="21C503F7"/>
    <w:rsid w:val="225B679C"/>
    <w:rsid w:val="22645EEA"/>
    <w:rsid w:val="22FB50D5"/>
    <w:rsid w:val="233514EB"/>
    <w:rsid w:val="2359053B"/>
    <w:rsid w:val="23E159E9"/>
    <w:rsid w:val="240706A8"/>
    <w:rsid w:val="242D6430"/>
    <w:rsid w:val="24793816"/>
    <w:rsid w:val="265F6D88"/>
    <w:rsid w:val="26C750DF"/>
    <w:rsid w:val="277835FB"/>
    <w:rsid w:val="29001ACC"/>
    <w:rsid w:val="29C311AE"/>
    <w:rsid w:val="29CA1896"/>
    <w:rsid w:val="29CA5BB4"/>
    <w:rsid w:val="29D30B8C"/>
    <w:rsid w:val="2A2E5EF4"/>
    <w:rsid w:val="2BD3494B"/>
    <w:rsid w:val="2C36254C"/>
    <w:rsid w:val="2D156E43"/>
    <w:rsid w:val="2DEF5290"/>
    <w:rsid w:val="2E011A6B"/>
    <w:rsid w:val="2FB175E8"/>
    <w:rsid w:val="2FF40EFB"/>
    <w:rsid w:val="31CC6733"/>
    <w:rsid w:val="334565FE"/>
    <w:rsid w:val="35060552"/>
    <w:rsid w:val="35573E36"/>
    <w:rsid w:val="35820B55"/>
    <w:rsid w:val="360A565E"/>
    <w:rsid w:val="37081918"/>
    <w:rsid w:val="375D663C"/>
    <w:rsid w:val="37BA71ED"/>
    <w:rsid w:val="38752502"/>
    <w:rsid w:val="394A1545"/>
    <w:rsid w:val="398B1ECB"/>
    <w:rsid w:val="39EF62E9"/>
    <w:rsid w:val="3A2B2AA0"/>
    <w:rsid w:val="3A3A45FD"/>
    <w:rsid w:val="3AEC50AC"/>
    <w:rsid w:val="3B497682"/>
    <w:rsid w:val="3CCE755B"/>
    <w:rsid w:val="3D2F3994"/>
    <w:rsid w:val="3D875A0E"/>
    <w:rsid w:val="3E2609B2"/>
    <w:rsid w:val="3EFA5515"/>
    <w:rsid w:val="3F8537EF"/>
    <w:rsid w:val="3FAE5EA6"/>
    <w:rsid w:val="3FB26F01"/>
    <w:rsid w:val="40A8660C"/>
    <w:rsid w:val="40B32646"/>
    <w:rsid w:val="40D57DED"/>
    <w:rsid w:val="41115EE3"/>
    <w:rsid w:val="412768A8"/>
    <w:rsid w:val="416A1DE3"/>
    <w:rsid w:val="41BE1E20"/>
    <w:rsid w:val="4208548E"/>
    <w:rsid w:val="425429E7"/>
    <w:rsid w:val="426E3F54"/>
    <w:rsid w:val="429F3059"/>
    <w:rsid w:val="43FD33D4"/>
    <w:rsid w:val="440A750B"/>
    <w:rsid w:val="441B5B72"/>
    <w:rsid w:val="445556FB"/>
    <w:rsid w:val="455C6204"/>
    <w:rsid w:val="459540B4"/>
    <w:rsid w:val="460C2A31"/>
    <w:rsid w:val="46780A66"/>
    <w:rsid w:val="47316C71"/>
    <w:rsid w:val="47C23650"/>
    <w:rsid w:val="48654D28"/>
    <w:rsid w:val="495D2E34"/>
    <w:rsid w:val="49AF2F92"/>
    <w:rsid w:val="4BA33D85"/>
    <w:rsid w:val="4C5639AD"/>
    <w:rsid w:val="4C9A4A62"/>
    <w:rsid w:val="4D493511"/>
    <w:rsid w:val="4F1E7C5A"/>
    <w:rsid w:val="4FB630D4"/>
    <w:rsid w:val="506B6092"/>
    <w:rsid w:val="506E4FA2"/>
    <w:rsid w:val="50C51101"/>
    <w:rsid w:val="53650BBA"/>
    <w:rsid w:val="54190EF9"/>
    <w:rsid w:val="555512AB"/>
    <w:rsid w:val="55903F51"/>
    <w:rsid w:val="559C195E"/>
    <w:rsid w:val="55EB69DA"/>
    <w:rsid w:val="564E5E94"/>
    <w:rsid w:val="5697379F"/>
    <w:rsid w:val="570010E5"/>
    <w:rsid w:val="572A3DF2"/>
    <w:rsid w:val="573A5A93"/>
    <w:rsid w:val="57467DC2"/>
    <w:rsid w:val="57541DB8"/>
    <w:rsid w:val="581917C6"/>
    <w:rsid w:val="593335EC"/>
    <w:rsid w:val="5A422574"/>
    <w:rsid w:val="5A4F1854"/>
    <w:rsid w:val="5A9E7472"/>
    <w:rsid w:val="5AC5755D"/>
    <w:rsid w:val="5B096777"/>
    <w:rsid w:val="5BA31FE2"/>
    <w:rsid w:val="5BB46942"/>
    <w:rsid w:val="5C4E6F4D"/>
    <w:rsid w:val="5CA22BED"/>
    <w:rsid w:val="5CEE1A5F"/>
    <w:rsid w:val="5DBE7839"/>
    <w:rsid w:val="5DD46E27"/>
    <w:rsid w:val="5DE05449"/>
    <w:rsid w:val="5F173F86"/>
    <w:rsid w:val="5FCF3D4A"/>
    <w:rsid w:val="60821E77"/>
    <w:rsid w:val="60C9013C"/>
    <w:rsid w:val="6129748A"/>
    <w:rsid w:val="61354C2B"/>
    <w:rsid w:val="61B054B5"/>
    <w:rsid w:val="61DC079B"/>
    <w:rsid w:val="63537893"/>
    <w:rsid w:val="63565291"/>
    <w:rsid w:val="6382071C"/>
    <w:rsid w:val="6481290C"/>
    <w:rsid w:val="64C574CA"/>
    <w:rsid w:val="64C7265C"/>
    <w:rsid w:val="658D5423"/>
    <w:rsid w:val="659550EE"/>
    <w:rsid w:val="65BA5DC5"/>
    <w:rsid w:val="678B0D87"/>
    <w:rsid w:val="6A4575BB"/>
    <w:rsid w:val="6A830692"/>
    <w:rsid w:val="6A957DDB"/>
    <w:rsid w:val="6AF3563E"/>
    <w:rsid w:val="6AFF0A3C"/>
    <w:rsid w:val="6B8866C4"/>
    <w:rsid w:val="6BC8789F"/>
    <w:rsid w:val="6C6B3E60"/>
    <w:rsid w:val="6CA8457B"/>
    <w:rsid w:val="6E015C26"/>
    <w:rsid w:val="6F3847AD"/>
    <w:rsid w:val="6FD32774"/>
    <w:rsid w:val="6FDD5469"/>
    <w:rsid w:val="6FED07AD"/>
    <w:rsid w:val="70803334"/>
    <w:rsid w:val="71702B9B"/>
    <w:rsid w:val="7198505D"/>
    <w:rsid w:val="71C736AA"/>
    <w:rsid w:val="72954D13"/>
    <w:rsid w:val="730E62B9"/>
    <w:rsid w:val="73E0342E"/>
    <w:rsid w:val="74DD0CFE"/>
    <w:rsid w:val="76AF7225"/>
    <w:rsid w:val="76BE584D"/>
    <w:rsid w:val="76D63D72"/>
    <w:rsid w:val="77584CA8"/>
    <w:rsid w:val="795F1B8B"/>
    <w:rsid w:val="796C2B28"/>
    <w:rsid w:val="7A06163E"/>
    <w:rsid w:val="7A0D26AF"/>
    <w:rsid w:val="7A2523DC"/>
    <w:rsid w:val="7A6C5F58"/>
    <w:rsid w:val="7A960353"/>
    <w:rsid w:val="7AF56DA4"/>
    <w:rsid w:val="7B523D2E"/>
    <w:rsid w:val="7BBB53E1"/>
    <w:rsid w:val="7CC82155"/>
    <w:rsid w:val="7CE72C39"/>
    <w:rsid w:val="7D382D6D"/>
    <w:rsid w:val="7DDC3C8F"/>
    <w:rsid w:val="7DE36366"/>
    <w:rsid w:val="7E1150D6"/>
    <w:rsid w:val="7E4F4EC8"/>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0" w:semiHidden="0" w:name="Emphasis"/>
    <w:lsdException w:qFormat="1" w:uiPriority="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47"/>
    <w:unhideWhenUsed/>
    <w:qFormat/>
    <w:uiPriority w:val="0"/>
    <w:rPr>
      <w:rFonts w:ascii="宋体" w:hAnsi="Courier New" w:cs="宋体"/>
      <w:sz w:val="20"/>
      <w:szCs w:val="20"/>
    </w:r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semiHidden/>
    <w:unhideWhenUsed/>
    <w:qFormat/>
    <w:uiPriority w:val="0"/>
    <w:rPr>
      <w:rFonts w:ascii="宋体"/>
      <w:sz w:val="18"/>
      <w:szCs w:val="18"/>
    </w:rPr>
  </w:style>
  <w:style w:type="paragraph" w:styleId="8">
    <w:name w:val="annotation text"/>
    <w:basedOn w:val="1"/>
    <w:semiHidden/>
    <w:unhideWhenUsed/>
    <w:qFormat/>
    <w:uiPriority w:val="0"/>
    <w:pPr>
      <w:jc w:val="left"/>
    </w:pPr>
  </w:style>
  <w:style w:type="paragraph" w:styleId="9">
    <w:name w:val="Body Text"/>
    <w:basedOn w:val="1"/>
    <w:link w:val="49"/>
    <w:semiHidden/>
    <w:unhideWhenUsed/>
    <w:qFormat/>
    <w:uiPriority w:val="99"/>
    <w:pPr>
      <w:spacing w:after="120"/>
    </w:pPr>
  </w:style>
  <w:style w:type="paragraph" w:styleId="10">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1">
    <w:name w:val="toc 3"/>
    <w:basedOn w:val="1"/>
    <w:next w:val="1"/>
    <w:unhideWhenUsed/>
    <w:qFormat/>
    <w:uiPriority w:val="39"/>
    <w:pPr>
      <w:ind w:left="840" w:firstLine="0"/>
    </w:p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Normal (Web)"/>
    <w:basedOn w:val="1"/>
    <w:unhideWhenUsed/>
    <w:qFormat/>
    <w:uiPriority w:val="99"/>
    <w:pPr>
      <w:spacing w:before="100" w:beforeAutospacing="1" w:line="240" w:lineRule="auto"/>
      <w:ind w:left="0" w:right="0" w:firstLine="0"/>
      <w:jc w:val="left"/>
    </w:pPr>
    <w:rPr>
      <w:rFonts w:ascii="宋体" w:hAnsi="宋体" w:cs="宋体"/>
      <w:sz w:val="24"/>
      <w:szCs w:val="24"/>
    </w:rPr>
  </w:style>
  <w:style w:type="paragraph" w:styleId="25">
    <w:name w:val="annotation subject"/>
    <w:basedOn w:val="8"/>
    <w:next w:val="8"/>
    <w:semiHidden/>
    <w:unhideWhenUsed/>
    <w:qFormat/>
    <w:uiPriority w:val="0"/>
    <w:rPr>
      <w:b/>
    </w:rPr>
  </w:style>
  <w:style w:type="character" w:styleId="28">
    <w:name w:val="Strong"/>
    <w:qFormat/>
    <w:uiPriority w:val="20"/>
    <w:rPr>
      <w:rFonts w:cs="Times New Roman"/>
      <w:b/>
    </w:rPr>
  </w:style>
  <w:style w:type="character" w:styleId="29">
    <w:name w:val="page number"/>
    <w:basedOn w:val="27"/>
    <w:qFormat/>
    <w:uiPriority w:val="0"/>
  </w:style>
  <w:style w:type="character" w:styleId="30">
    <w:name w:val="Emphasis"/>
    <w:basedOn w:val="27"/>
    <w:qFormat/>
    <w:uiPriority w:val="0"/>
    <w:rPr>
      <w:i/>
    </w:rPr>
  </w:style>
  <w:style w:type="character" w:styleId="31">
    <w:name w:val="Hyperlink"/>
    <w:basedOn w:val="27"/>
    <w:unhideWhenUsed/>
    <w:qFormat/>
    <w:uiPriority w:val="99"/>
    <w:rPr>
      <w:color w:val="0000FF"/>
      <w:u w:val="single"/>
    </w:rPr>
  </w:style>
  <w:style w:type="character" w:styleId="32">
    <w:name w:val="annotation reference"/>
    <w:basedOn w:val="27"/>
    <w:semiHidden/>
    <w:unhideWhenUsed/>
    <w:qFormat/>
    <w:uiPriority w:val="0"/>
    <w:rPr>
      <w:sz w:val="21"/>
      <w:szCs w:val="21"/>
    </w:rPr>
  </w:style>
  <w:style w:type="character" w:styleId="33">
    <w:name w:val="footnote reference"/>
    <w:basedOn w:val="27"/>
    <w:semiHidden/>
    <w:unhideWhenUsed/>
    <w:qFormat/>
    <w:uiPriority w:val="0"/>
    <w:rPr>
      <w:vertAlign w:val="superscript"/>
    </w:r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7"/>
    <w:qFormat/>
    <w:uiPriority w:val="0"/>
    <w:rPr>
      <w:rFonts w:ascii="Times New Roman" w:hAnsi="Times New Roman" w:eastAsia="宋体" w:cs="Times New Roman"/>
    </w:rPr>
  </w:style>
  <w:style w:type="character" w:customStyle="1" w:styleId="36">
    <w:name w:val="16"/>
    <w:basedOn w:val="27"/>
    <w:qFormat/>
    <w:uiPriority w:val="0"/>
    <w:rPr>
      <w:rFonts w:hint="default" w:ascii="Times New Roman" w:hAnsi="Times New Roman" w:cs="Times New Roman"/>
      <w:color w:val="0000FF"/>
      <w:u w:val="single"/>
    </w:rPr>
  </w:style>
  <w:style w:type="character" w:customStyle="1" w:styleId="37">
    <w:name w:val="15"/>
    <w:basedOn w:val="27"/>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0"/>
    <w:rPr>
      <w:rFonts w:ascii="Arial" w:hAnsi="Arial" w:eastAsia="黑体"/>
      <w:b/>
      <w:sz w:val="32"/>
      <w:szCs w:val="32"/>
    </w:rPr>
  </w:style>
  <w:style w:type="character" w:customStyle="1" w:styleId="40">
    <w:name w:val="批注框文本 Char"/>
    <w:basedOn w:val="27"/>
    <w:semiHidden/>
    <w:qFormat/>
    <w:uiPriority w:val="0"/>
    <w:rPr>
      <w:sz w:val="18"/>
      <w:szCs w:val="18"/>
    </w:rPr>
  </w:style>
  <w:style w:type="character" w:customStyle="1" w:styleId="41">
    <w:name w:val="批注文字 Char"/>
    <w:basedOn w:val="27"/>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7"/>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7"/>
    <w:semiHidden/>
    <w:qFormat/>
    <w:uiPriority w:val="0"/>
    <w:rPr>
      <w:sz w:val="18"/>
      <w:szCs w:val="18"/>
    </w:rPr>
  </w:style>
  <w:style w:type="paragraph" w:customStyle="1" w:styleId="46">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7">
    <w:name w:val="纯文本 字符"/>
    <w:link w:val="2"/>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字符"/>
    <w:basedOn w:val="27"/>
    <w:link w:val="9"/>
    <w:semiHidden/>
    <w:qFormat/>
    <w:uiPriority w:val="99"/>
    <w:rPr>
      <w:sz w:val="21"/>
      <w:szCs w:val="21"/>
    </w:rPr>
  </w:style>
  <w:style w:type="paragraph" w:customStyle="1" w:styleId="50">
    <w:name w:val="修订2"/>
    <w:hidden/>
    <w:semiHidden/>
    <w:qFormat/>
    <w:uiPriority w:val="99"/>
    <w:rPr>
      <w:rFonts w:ascii="Times New Roman" w:hAnsi="Times New Roman" w:eastAsia="宋体" w:cs="Times New Roman"/>
      <w:sz w:val="21"/>
      <w:szCs w:val="21"/>
      <w:lang w:val="en-US" w:eastAsia="zh-CN" w:bidi="ar-SA"/>
    </w:rPr>
  </w:style>
  <w:style w:type="character" w:customStyle="1" w:styleId="51">
    <w:name w:val="font11"/>
    <w:basedOn w:val="27"/>
    <w:qFormat/>
    <w:uiPriority w:val="0"/>
    <w:rPr>
      <w:rFonts w:hint="eastAsia" w:ascii="宋体" w:hAnsi="宋体" w:eastAsia="宋体" w:cs="宋体"/>
      <w:color w:val="FF0000"/>
      <w:sz w:val="24"/>
      <w:szCs w:val="24"/>
      <w:u w:val="none"/>
    </w:rPr>
  </w:style>
  <w:style w:type="character" w:customStyle="1" w:styleId="52">
    <w:name w:val="font01"/>
    <w:basedOn w:val="27"/>
    <w:qFormat/>
    <w:uiPriority w:val="0"/>
    <w:rPr>
      <w:rFonts w:hint="eastAsia" w:ascii="宋体" w:hAnsi="宋体" w:eastAsia="宋体" w:cs="宋体"/>
      <w:color w:val="000000"/>
      <w:sz w:val="24"/>
      <w:szCs w:val="24"/>
      <w:u w:val="none"/>
    </w:rPr>
  </w:style>
  <w:style w:type="paragraph" w:customStyle="1" w:styleId="53">
    <w:name w:val="列出段落21"/>
    <w:basedOn w:val="1"/>
    <w:qFormat/>
    <w:uiPriority w:val="0"/>
    <w:pPr>
      <w:widowControl w:val="0"/>
      <w:spacing w:before="0" w:after="0" w:afterAutospacing="0" w:line="240" w:lineRule="auto"/>
      <w:ind w:left="0" w:right="0" w:firstLine="420" w:firstLineChars="200"/>
    </w:pPr>
    <w:rPr>
      <w:rFonts w:ascii="Calibri" w:hAnsi="Calibri"/>
      <w:kern w:val="2"/>
      <w:szCs w:val="22"/>
    </w:rPr>
  </w:style>
  <w:style w:type="paragraph" w:customStyle="1" w:styleId="54">
    <w:name w:val="TOC 标题2"/>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5">
    <w:name w:val="font81"/>
    <w:basedOn w:val="27"/>
    <w:qFormat/>
    <w:uiPriority w:val="0"/>
    <w:rPr>
      <w:rFonts w:hint="eastAsia" w:ascii="宋体" w:hAnsi="宋体" w:eastAsia="宋体" w:cs="宋体"/>
      <w:color w:val="000000"/>
      <w:sz w:val="20"/>
      <w:szCs w:val="20"/>
      <w:u w:val="none"/>
    </w:rPr>
  </w:style>
  <w:style w:type="character" w:customStyle="1" w:styleId="56">
    <w:name w:val="font41"/>
    <w:basedOn w:val="27"/>
    <w:qFormat/>
    <w:uiPriority w:val="0"/>
    <w:rPr>
      <w:rFonts w:hint="eastAsia" w:ascii="宋体" w:hAnsi="宋体" w:eastAsia="宋体" w:cs="宋体"/>
      <w:color w:val="000000"/>
      <w:sz w:val="20"/>
      <w:szCs w:val="20"/>
      <w:u w:val="none"/>
    </w:rPr>
  </w:style>
  <w:style w:type="character" w:customStyle="1" w:styleId="57">
    <w:name w:val="font61"/>
    <w:basedOn w:val="27"/>
    <w:qFormat/>
    <w:uiPriority w:val="0"/>
    <w:rPr>
      <w:rFonts w:hint="eastAsia" w:ascii="宋体" w:hAnsi="宋体" w:eastAsia="宋体" w:cs="宋体"/>
      <w:color w:val="000000"/>
      <w:sz w:val="20"/>
      <w:szCs w:val="20"/>
      <w:u w:val="none"/>
    </w:rPr>
  </w:style>
  <w:style w:type="character" w:customStyle="1" w:styleId="58">
    <w:name w:val="font91"/>
    <w:basedOn w:val="27"/>
    <w:qFormat/>
    <w:uiPriority w:val="0"/>
    <w:rPr>
      <w:rFonts w:hint="eastAsia" w:ascii="宋体" w:hAnsi="宋体" w:eastAsia="宋体" w:cs="宋体"/>
      <w:color w:val="FF0000"/>
      <w:sz w:val="20"/>
      <w:szCs w:val="20"/>
      <w:u w:val="none"/>
    </w:rPr>
  </w:style>
  <w:style w:type="character" w:customStyle="1" w:styleId="59">
    <w:name w:val="font101"/>
    <w:basedOn w:val="27"/>
    <w:qFormat/>
    <w:uiPriority w:val="0"/>
    <w:rPr>
      <w:rFonts w:hint="eastAsia" w:ascii="宋体" w:hAnsi="宋体" w:eastAsia="宋体" w:cs="宋体"/>
      <w:color w:val="000000"/>
      <w:sz w:val="20"/>
      <w:szCs w:val="20"/>
      <w:u w:val="none"/>
    </w:rPr>
  </w:style>
  <w:style w:type="character" w:customStyle="1" w:styleId="60">
    <w:name w:val="font112"/>
    <w:basedOn w:val="27"/>
    <w:qFormat/>
    <w:uiPriority w:val="0"/>
    <w:rPr>
      <w:rFonts w:hint="eastAsia" w:ascii="宋体" w:hAnsi="宋体" w:eastAsia="宋体" w:cs="宋体"/>
      <w:color w:val="FF0000"/>
      <w:sz w:val="20"/>
      <w:szCs w:val="20"/>
      <w:u w:val="none"/>
    </w:rPr>
  </w:style>
  <w:style w:type="character" w:customStyle="1" w:styleId="61">
    <w:name w:val="font131"/>
    <w:basedOn w:val="2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0" Type="http://schemas.openxmlformats.org/officeDocument/2006/relationships/fontTable" Target="fontTable.xml"/><Relationship Id="rId5" Type="http://schemas.openxmlformats.org/officeDocument/2006/relationships/footer" Target="footer1.xml"/><Relationship Id="rId49" Type="http://schemas.openxmlformats.org/officeDocument/2006/relationships/customXml" Target="../customXml/item1.xml"/><Relationship Id="rId48" Type="http://schemas.openxmlformats.org/officeDocument/2006/relationships/numbering" Target="numbering.xml"/><Relationship Id="rId47" Type="http://schemas.openxmlformats.org/officeDocument/2006/relationships/image" Target="media/image36.png"/><Relationship Id="rId46" Type="http://schemas.openxmlformats.org/officeDocument/2006/relationships/image" Target="media/image35.png"/><Relationship Id="rId45" Type="http://schemas.openxmlformats.org/officeDocument/2006/relationships/image" Target="media/image34.png"/><Relationship Id="rId44" Type="http://schemas.openxmlformats.org/officeDocument/2006/relationships/image" Target="media/image33.png"/><Relationship Id="rId43" Type="http://schemas.openxmlformats.org/officeDocument/2006/relationships/image" Target="media/image32.jpeg"/><Relationship Id="rId42" Type="http://schemas.openxmlformats.org/officeDocument/2006/relationships/image" Target="media/image31.png"/><Relationship Id="rId41" Type="http://schemas.openxmlformats.org/officeDocument/2006/relationships/image" Target="media/image30.png"/><Relationship Id="rId40" Type="http://schemas.openxmlformats.org/officeDocument/2006/relationships/image" Target="media/image29.png"/><Relationship Id="rId4" Type="http://schemas.openxmlformats.org/officeDocument/2006/relationships/endnotes" Target="endnotes.xml"/><Relationship Id="rId39" Type="http://schemas.openxmlformats.org/officeDocument/2006/relationships/image" Target="media/image28.png"/><Relationship Id="rId38" Type="http://schemas.openxmlformats.org/officeDocument/2006/relationships/image" Target="media/image27.png"/><Relationship Id="rId37" Type="http://schemas.openxmlformats.org/officeDocument/2006/relationships/image" Target="media/image26.png"/><Relationship Id="rId36" Type="http://schemas.openxmlformats.org/officeDocument/2006/relationships/image" Target="media/image25.png"/><Relationship Id="rId35" Type="http://schemas.openxmlformats.org/officeDocument/2006/relationships/image" Target="media/image24.png"/><Relationship Id="rId34" Type="http://schemas.openxmlformats.org/officeDocument/2006/relationships/image" Target="media/image23.png"/><Relationship Id="rId33" Type="http://schemas.openxmlformats.org/officeDocument/2006/relationships/image" Target="media/image22.png"/><Relationship Id="rId32" Type="http://schemas.openxmlformats.org/officeDocument/2006/relationships/image" Target="media/image21.png"/><Relationship Id="rId31" Type="http://schemas.openxmlformats.org/officeDocument/2006/relationships/image" Target="media/image20.png"/><Relationship Id="rId30" Type="http://schemas.openxmlformats.org/officeDocument/2006/relationships/image" Target="media/image19.png"/><Relationship Id="rId3" Type="http://schemas.openxmlformats.org/officeDocument/2006/relationships/footnotes" Target="footnotes.xml"/><Relationship Id="rId29" Type="http://schemas.openxmlformats.org/officeDocument/2006/relationships/image" Target="media/image18.png"/><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200E143-FED6-4416-AC1D-AED367D00D2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86</Pages>
  <Words>51911</Words>
  <Characters>55350</Characters>
  <Lines>447</Lines>
  <Paragraphs>125</Paragraphs>
  <TotalTime>53</TotalTime>
  <ScaleCrop>false</ScaleCrop>
  <LinksUpToDate>false</LinksUpToDate>
  <CharactersWithSpaces>57036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2021-07-12T02:57:00Z</dcterms:created>
  <dc:creator>NTKO</dc:creator>
  <cp:lastModifiedBy>NNRT</cp:lastModifiedBy>
  <cp:lastPrinted>2022-11-01T08:17:17Z</cp:lastPrinted>
  <dcterms:modified xsi:type="dcterms:W3CDTF">2022-11-01T08:52:30Z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B0393EAE2A6E4CDC9EA48A8E656A4B40</vt:lpwstr>
  </property>
</Properties>
</file>