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firstLine="2249" w:firstLineChars="700"/>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32"/>
          <w:szCs w:val="32"/>
          <w:highlight w:val="none"/>
        </w:rPr>
        <w:t>南宁</w:t>
      </w:r>
      <w:r>
        <w:rPr>
          <w:rFonts w:hint="eastAsia" w:ascii="宋体" w:hAnsi="宋体" w:cs="宋体"/>
          <w:b/>
          <w:bCs/>
          <w:color w:val="auto"/>
          <w:kern w:val="0"/>
          <w:sz w:val="32"/>
          <w:szCs w:val="32"/>
          <w:highlight w:val="none"/>
          <w:lang w:val="en-US" w:eastAsia="zh-CN"/>
        </w:rPr>
        <w:t>铁路枢纽投有限</w:t>
      </w:r>
      <w:r>
        <w:rPr>
          <w:rFonts w:hint="eastAsia" w:ascii="宋体" w:hAnsi="宋体" w:cs="宋体"/>
          <w:b/>
          <w:bCs/>
          <w:color w:val="auto"/>
          <w:kern w:val="0"/>
          <w:sz w:val="32"/>
          <w:szCs w:val="32"/>
          <w:highlight w:val="none"/>
        </w:rPr>
        <w:t>公司</w:t>
      </w:r>
    </w:p>
    <w:p>
      <w:pPr>
        <w:numPr>
          <w:ilvl w:val="0"/>
          <w:numId w:val="0"/>
        </w:numPr>
        <w:ind w:leftChars="0" w:firstLine="1285" w:firstLineChars="4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u w:val="single"/>
          <w:lang w:val="en-US" w:eastAsia="zh-CN"/>
        </w:rPr>
        <w:t>南宁火车北站东广场整理工程</w:t>
      </w:r>
      <w:r>
        <w:rPr>
          <w:rFonts w:hint="eastAsia" w:ascii="宋体" w:hAnsi="宋体" w:cs="宋体"/>
          <w:b/>
          <w:bCs/>
          <w:color w:val="auto"/>
          <w:kern w:val="0"/>
          <w:sz w:val="32"/>
          <w:szCs w:val="32"/>
          <w:highlight w:val="none"/>
          <w:u w:val="none"/>
          <w:lang w:val="en-US" w:eastAsia="zh-CN"/>
        </w:rPr>
        <w:t>监理</w:t>
      </w:r>
      <w:r>
        <w:rPr>
          <w:rFonts w:hint="eastAsia" w:ascii="宋体" w:hAnsi="宋体" w:cs="宋体"/>
          <w:b/>
          <w:bCs/>
          <w:color w:val="auto"/>
          <w:kern w:val="0"/>
          <w:sz w:val="32"/>
          <w:szCs w:val="32"/>
          <w:highlight w:val="none"/>
          <w:lang w:val="en-US" w:eastAsia="zh-CN"/>
        </w:rPr>
        <w:t>项目</w:t>
      </w:r>
    </w:p>
    <w:p>
      <w:pPr>
        <w:numPr>
          <w:ilvl w:val="0"/>
          <w:numId w:val="0"/>
        </w:numPr>
        <w:ind w:leftChars="0" w:firstLine="643" w:firstLineChars="2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 xml:space="preserve">             </w:t>
      </w:r>
    </w:p>
    <w:p>
      <w:pPr>
        <w:numPr>
          <w:ilvl w:val="0"/>
          <w:numId w:val="0"/>
        </w:numPr>
        <w:ind w:leftChars="0" w:firstLine="643" w:firstLineChars="2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72"/>
          <w:szCs w:val="72"/>
          <w:highlight w:val="none"/>
          <w:lang w:val="en-US" w:eastAsia="zh-CN"/>
        </w:rPr>
        <w:t xml:space="preserve"> </w:t>
      </w:r>
      <w:r>
        <w:rPr>
          <w:rFonts w:hint="eastAsia" w:ascii="宋体" w:hAnsi="宋体" w:cs="宋体"/>
          <w:b/>
          <w:bCs/>
          <w:color w:val="auto"/>
          <w:kern w:val="0"/>
          <w:sz w:val="52"/>
          <w:szCs w:val="52"/>
          <w:highlight w:val="none"/>
          <w:lang w:val="en-US" w:eastAsia="zh-CN"/>
        </w:rPr>
        <w:t xml:space="preserve">比 </w:t>
      </w:r>
    </w:p>
    <w:p>
      <w:pPr>
        <w:numPr>
          <w:ilvl w:val="0"/>
          <w:numId w:val="0"/>
        </w:numPr>
        <w:ind w:leftChars="0" w:firstLine="562" w:firstLineChars="200"/>
        <w:rPr>
          <w:rFonts w:hint="eastAsia" w:ascii="宋体" w:hAnsi="宋体" w:cs="宋体"/>
          <w:b/>
          <w:bCs/>
          <w:color w:val="auto"/>
          <w:kern w:val="0"/>
          <w:sz w:val="28"/>
          <w:szCs w:val="28"/>
          <w:highlight w:val="none"/>
          <w:lang w:val="en-US" w:eastAsia="zh-CN"/>
        </w:rPr>
      </w:pPr>
    </w:p>
    <w:p>
      <w:pPr>
        <w:numPr>
          <w:ilvl w:val="0"/>
          <w:numId w:val="0"/>
        </w:numPr>
        <w:ind w:leftChars="0" w:firstLine="1044" w:firstLineChars="200"/>
        <w:rPr>
          <w:rFonts w:hint="default"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选</w:t>
      </w:r>
      <w:bookmarkStart w:id="692" w:name="_GoBack"/>
      <w:bookmarkEnd w:id="692"/>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文</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件</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405" w:firstLineChars="5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比选发起人：南宁铁路枢纽投有限公司</w:t>
      </w:r>
    </w:p>
    <w:p>
      <w:pPr>
        <w:numPr>
          <w:ilvl w:val="0"/>
          <w:numId w:val="0"/>
        </w:numPr>
        <w:ind w:leftChars="0" w:firstLine="562" w:firstLineChars="200"/>
        <w:rPr>
          <w:rFonts w:hint="default"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 xml:space="preserve">               2022年  11 月 10  日</w:t>
      </w:r>
    </w:p>
    <w:p>
      <w:pPr>
        <w:pStyle w:val="3"/>
        <w:tabs>
          <w:tab w:val="right" w:leader="dot" w:pos="9219"/>
        </w:tabs>
        <w:rPr>
          <w:b w:val="0"/>
          <w:color w:val="auto"/>
          <w:highlight w:val="none"/>
        </w:rPr>
      </w:pPr>
      <w:bookmarkStart w:id="0" w:name="_Toc13122"/>
      <w:bookmarkStart w:id="1" w:name="_Toc14943"/>
      <w:bookmarkStart w:id="2" w:name="_Toc27692"/>
      <w:bookmarkStart w:id="3" w:name="_Toc461525293"/>
      <w:bookmarkStart w:id="4" w:name="_Toc18159"/>
      <w:bookmarkStart w:id="5" w:name="_Toc21106"/>
      <w:bookmarkStart w:id="6" w:name="_Toc30863"/>
      <w:bookmarkStart w:id="7" w:name="_Toc9760"/>
      <w:bookmarkStart w:id="8" w:name="_Toc32122"/>
      <w:bookmarkStart w:id="9" w:name="_Toc32247"/>
      <w:bookmarkStart w:id="10" w:name="_Toc25905"/>
      <w:bookmarkStart w:id="11" w:name="_Toc4954"/>
      <w:bookmarkStart w:id="12" w:name="_Toc9980"/>
      <w:bookmarkStart w:id="13" w:name="_Toc9454"/>
      <w:bookmarkStart w:id="14" w:name="_Toc12363"/>
      <w:bookmarkStart w:id="15" w:name="_Toc471482358"/>
      <w:bookmarkStart w:id="16" w:name="_Toc6597"/>
      <w:bookmarkStart w:id="17" w:name="_Toc23188"/>
      <w:bookmarkStart w:id="18" w:name="_Toc27074"/>
      <w:r>
        <w:rPr>
          <w:rFonts w:hint="eastAsia"/>
          <w:b w:val="0"/>
          <w:color w:val="auto"/>
          <w:highlight w:val="none"/>
        </w:rPr>
        <w:t>目</w:t>
      </w:r>
      <w:r>
        <w:rPr>
          <w:rFonts w:hint="eastAsia"/>
          <w:b w:val="0"/>
          <w:color w:val="auto"/>
          <w:highlight w:val="none"/>
          <w:lang w:val="en-US" w:eastAsia="zh-CN"/>
        </w:rPr>
        <w:t xml:space="preserve"> </w:t>
      </w:r>
      <w:r>
        <w:rPr>
          <w:rFonts w:hint="eastAsia"/>
          <w:b w:val="0"/>
          <w:color w:val="auto"/>
          <w:highlight w:val="none"/>
        </w:rPr>
        <w:t>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_Toc9454 </w:instrText>
      </w:r>
      <w:r>
        <w:rPr>
          <w:rFonts w:ascii="宋体" w:hAnsi="宋体" w:cs="宋体"/>
          <w:color w:val="auto"/>
          <w:szCs w:val="28"/>
          <w:highlight w:val="none"/>
        </w:rPr>
        <w:fldChar w:fldCharType="separate"/>
      </w:r>
      <w:r>
        <w:rPr>
          <w:rFonts w:hint="eastAsia"/>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_Toc9454 </w:instrText>
      </w:r>
      <w:r>
        <w:rPr>
          <w:color w:val="auto"/>
          <w:highlight w:val="none"/>
        </w:rPr>
        <w:fldChar w:fldCharType="separate"/>
      </w:r>
      <w:r>
        <w:rPr>
          <w:color w:val="auto"/>
          <w:highlight w:val="none"/>
        </w:rPr>
        <w:t>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_Toc10124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highlight w:val="none"/>
        </w:rPr>
        <w:tab/>
      </w:r>
      <w:r>
        <w:rPr>
          <w:color w:val="auto"/>
          <w:highlight w:val="none"/>
        </w:rPr>
        <w:fldChar w:fldCharType="begin"/>
      </w:r>
      <w:r>
        <w:rPr>
          <w:color w:val="auto"/>
          <w:highlight w:val="none"/>
        </w:rPr>
        <w:instrText xml:space="preserve"> PAGEREF _Toc10124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_Toc18948 </w:instrText>
      </w:r>
      <w:r>
        <w:rPr>
          <w:rFonts w:ascii="宋体" w:hAnsi="宋体" w:cs="宋体"/>
          <w:color w:val="auto"/>
          <w:szCs w:val="28"/>
          <w:highlight w:val="none"/>
        </w:rPr>
        <w:fldChar w:fldCharType="separate"/>
      </w:r>
      <w:r>
        <w:rPr>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_Toc18948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_Toc15190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highlight w:val="none"/>
        </w:rPr>
        <w:tab/>
      </w:r>
      <w:r>
        <w:rPr>
          <w:color w:val="auto"/>
          <w:highlight w:val="none"/>
        </w:rPr>
        <w:fldChar w:fldCharType="begin"/>
      </w:r>
      <w:r>
        <w:rPr>
          <w:color w:val="auto"/>
          <w:highlight w:val="none"/>
        </w:rPr>
        <w:instrText xml:space="preserve"> PAGEREF _Toc15190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_Toc5665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highlight w:val="none"/>
        </w:rPr>
        <w:tab/>
      </w:r>
      <w:r>
        <w:rPr>
          <w:color w:val="auto"/>
          <w:highlight w:val="none"/>
        </w:rPr>
        <w:fldChar w:fldCharType="begin"/>
      </w:r>
      <w:r>
        <w:rPr>
          <w:color w:val="auto"/>
          <w:highlight w:val="none"/>
        </w:rPr>
        <w:instrText xml:space="preserve"> PAGEREF _Toc5665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_Toc3750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_Toc3750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_Toc2776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_Toc2776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_Toc9139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highlight w:val="none"/>
        </w:rPr>
        <w:tab/>
      </w:r>
      <w:r>
        <w:rPr>
          <w:color w:val="auto"/>
          <w:highlight w:val="none"/>
        </w:rPr>
        <w:fldChar w:fldCharType="begin"/>
      </w:r>
      <w:r>
        <w:rPr>
          <w:color w:val="auto"/>
          <w:highlight w:val="none"/>
        </w:rPr>
        <w:instrText xml:space="preserve"> PAGEREF _Toc9139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_Toc13505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highlight w:val="none"/>
        </w:rPr>
        <w:tab/>
      </w:r>
      <w:r>
        <w:rPr>
          <w:color w:val="auto"/>
          <w:highlight w:val="none"/>
        </w:rPr>
        <w:fldChar w:fldCharType="begin"/>
      </w:r>
      <w:r>
        <w:rPr>
          <w:color w:val="auto"/>
          <w:highlight w:val="none"/>
        </w:rPr>
        <w:instrText xml:space="preserve"> PAGEREF _Toc13505 </w:instrText>
      </w:r>
      <w:r>
        <w:rPr>
          <w:color w:val="auto"/>
          <w:highlight w:val="none"/>
        </w:rPr>
        <w:fldChar w:fldCharType="separate"/>
      </w:r>
      <w:r>
        <w:rPr>
          <w:color w:val="auto"/>
          <w:highlight w:val="none"/>
        </w:rPr>
        <w:t>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_Toc8936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highlight w:val="none"/>
        </w:rPr>
        <w:tab/>
      </w:r>
      <w:r>
        <w:rPr>
          <w:color w:val="auto"/>
          <w:highlight w:val="none"/>
        </w:rPr>
        <w:fldChar w:fldCharType="begin"/>
      </w:r>
      <w:r>
        <w:rPr>
          <w:color w:val="auto"/>
          <w:highlight w:val="none"/>
        </w:rPr>
        <w:instrText xml:space="preserve"> PAGEREF _Toc8936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_Toc6126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_Toc6126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_Toc20509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highlight w:val="none"/>
        </w:rPr>
        <w:tab/>
      </w:r>
      <w:r>
        <w:rPr>
          <w:color w:val="auto"/>
          <w:highlight w:val="none"/>
        </w:rPr>
        <w:fldChar w:fldCharType="begin"/>
      </w:r>
      <w:r>
        <w:rPr>
          <w:color w:val="auto"/>
          <w:highlight w:val="none"/>
        </w:rPr>
        <w:instrText xml:space="preserve"> PAGEREF _Toc20509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_Toc8375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_Toc8375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_Toc18085 </w:instrText>
      </w:r>
      <w:r>
        <w:rPr>
          <w:rFonts w:ascii="宋体" w:hAnsi="宋体" w:cs="宋体"/>
          <w:color w:val="auto"/>
          <w:szCs w:val="28"/>
          <w:highlight w:val="none"/>
        </w:rPr>
        <w:fldChar w:fldCharType="separate"/>
      </w:r>
      <w:r>
        <w:rPr>
          <w:color w:val="auto"/>
          <w:highlight w:val="none"/>
        </w:rPr>
        <w:t>第三部分 专用条件</w:t>
      </w:r>
      <w:r>
        <w:rPr>
          <w:color w:val="auto"/>
          <w:highlight w:val="none"/>
        </w:rPr>
        <w:tab/>
      </w:r>
      <w:r>
        <w:rPr>
          <w:color w:val="auto"/>
          <w:highlight w:val="none"/>
        </w:rPr>
        <w:fldChar w:fldCharType="begin"/>
      </w:r>
      <w:r>
        <w:rPr>
          <w:color w:val="auto"/>
          <w:highlight w:val="none"/>
        </w:rPr>
        <w:instrText xml:space="preserve"> PAGEREF _Toc18085 </w:instrText>
      </w:r>
      <w:r>
        <w:rPr>
          <w:color w:val="auto"/>
          <w:highlight w:val="none"/>
        </w:rPr>
        <w:fldChar w:fldCharType="separate"/>
      </w:r>
      <w:r>
        <w:rPr>
          <w:color w:val="auto"/>
          <w:highlight w:val="none"/>
        </w:rPr>
        <w:t>14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_Toc17434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highlight w:val="none"/>
        </w:rPr>
        <w:tab/>
      </w:r>
      <w:r>
        <w:rPr>
          <w:color w:val="auto"/>
          <w:highlight w:val="none"/>
        </w:rPr>
        <w:fldChar w:fldCharType="begin"/>
      </w:r>
      <w:r>
        <w:rPr>
          <w:color w:val="auto"/>
          <w:highlight w:val="none"/>
        </w:rPr>
        <w:instrText xml:space="preserve"> PAGEREF _Toc17434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_Toc6828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_Toc6828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_Toc29351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第三章 </w:t>
      </w:r>
      <w:r>
        <w:rPr>
          <w:rFonts w:hint="eastAsia" w:ascii="宋体" w:hAnsi="宋体" w:cs="宋体"/>
          <w:color w:val="auto"/>
          <w:szCs w:val="28"/>
          <w:highlight w:val="none"/>
        </w:rPr>
        <w:t xml:space="preserve"> 监理工作任务</w:t>
      </w:r>
      <w:r>
        <w:rPr>
          <w:color w:val="auto"/>
          <w:highlight w:val="none"/>
        </w:rPr>
        <w:tab/>
      </w:r>
      <w:r>
        <w:rPr>
          <w:color w:val="auto"/>
          <w:highlight w:val="none"/>
        </w:rPr>
        <w:fldChar w:fldCharType="begin"/>
      </w:r>
      <w:r>
        <w:rPr>
          <w:color w:val="auto"/>
          <w:highlight w:val="none"/>
        </w:rPr>
        <w:instrText xml:space="preserve"> PAGEREF _Toc29351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_Toc22473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第四章 </w:t>
      </w:r>
      <w:r>
        <w:rPr>
          <w:rFonts w:hint="eastAsia" w:ascii="宋体" w:hAnsi="宋体" w:cs="宋体"/>
          <w:color w:val="auto"/>
          <w:szCs w:val="28"/>
          <w:highlight w:val="none"/>
        </w:rPr>
        <w:t xml:space="preserve"> 图纸</w:t>
      </w:r>
      <w:r>
        <w:rPr>
          <w:color w:val="auto"/>
          <w:highlight w:val="none"/>
        </w:rPr>
        <w:tab/>
      </w:r>
      <w:r>
        <w:rPr>
          <w:color w:val="auto"/>
          <w:highlight w:val="none"/>
        </w:rPr>
        <w:fldChar w:fldCharType="begin"/>
      </w:r>
      <w:r>
        <w:rPr>
          <w:color w:val="auto"/>
          <w:highlight w:val="none"/>
        </w:rPr>
        <w:instrText xml:space="preserve"> PAGEREF _Toc22473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_Toc13393 </w:instrText>
      </w:r>
      <w:r>
        <w:rPr>
          <w:rFonts w:ascii="宋体" w:hAnsi="宋体" w:cs="宋体"/>
          <w:color w:val="auto"/>
          <w:szCs w:val="28"/>
          <w:highlight w:val="none"/>
        </w:rPr>
        <w:fldChar w:fldCharType="separate"/>
      </w:r>
      <w:r>
        <w:rPr>
          <w:rFonts w:ascii="宋体" w:hAnsi="宋体" w:cs="宋体"/>
          <w:color w:val="auto"/>
          <w:szCs w:val="28"/>
          <w:highlight w:val="none"/>
        </w:rPr>
        <w:t xml:space="preserve">第五章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比选申请文件</w:t>
      </w:r>
      <w:r>
        <w:rPr>
          <w:color w:val="auto"/>
          <w:highlight w:val="none"/>
        </w:rPr>
        <w:tab/>
      </w:r>
      <w:r>
        <w:rPr>
          <w:color w:val="auto"/>
          <w:highlight w:val="none"/>
        </w:rPr>
        <w:fldChar w:fldCharType="begin"/>
      </w:r>
      <w:r>
        <w:rPr>
          <w:color w:val="auto"/>
          <w:highlight w:val="none"/>
        </w:rPr>
        <w:instrText xml:space="preserve"> PAGEREF _Toc13393 </w:instrText>
      </w:r>
      <w:r>
        <w:rPr>
          <w:color w:val="auto"/>
          <w:highlight w:val="none"/>
        </w:rPr>
        <w:fldChar w:fldCharType="separate"/>
      </w:r>
      <w:r>
        <w:rPr>
          <w:color w:val="auto"/>
          <w:highlight w:val="none"/>
        </w:rPr>
        <w:t>24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_Toc13726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highlight w:val="none"/>
        </w:rPr>
        <w:tab/>
      </w:r>
      <w:r>
        <w:rPr>
          <w:color w:val="auto"/>
          <w:highlight w:val="none"/>
        </w:rPr>
        <w:fldChar w:fldCharType="begin"/>
      </w:r>
      <w:r>
        <w:rPr>
          <w:color w:val="auto"/>
          <w:highlight w:val="none"/>
        </w:rPr>
        <w:instrText xml:space="preserve"> PAGEREF _Toc13726 </w:instrText>
      </w:r>
      <w:r>
        <w:rPr>
          <w:color w:val="auto"/>
          <w:highlight w:val="none"/>
        </w:rPr>
        <w:fldChar w:fldCharType="separate"/>
      </w:r>
      <w:r>
        <w:rPr>
          <w:color w:val="auto"/>
          <w:highlight w:val="none"/>
        </w:rPr>
        <w:t>25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_Toc31998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highlight w:val="none"/>
        </w:rPr>
        <w:tab/>
      </w:r>
      <w:r>
        <w:rPr>
          <w:color w:val="auto"/>
          <w:highlight w:val="none"/>
        </w:rPr>
        <w:fldChar w:fldCharType="begin"/>
      </w:r>
      <w:r>
        <w:rPr>
          <w:color w:val="auto"/>
          <w:highlight w:val="none"/>
        </w:rPr>
        <w:instrText xml:space="preserve"> PAGEREF _Toc31998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_Toc21818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highlight w:val="none"/>
        </w:rPr>
        <w:tab/>
      </w:r>
      <w:r>
        <w:rPr>
          <w:color w:val="auto"/>
          <w:highlight w:val="none"/>
        </w:rPr>
        <w:fldChar w:fldCharType="begin"/>
      </w:r>
      <w:r>
        <w:rPr>
          <w:color w:val="auto"/>
          <w:highlight w:val="none"/>
        </w:rPr>
        <w:instrText xml:space="preserve"> PAGEREF _Toc21818 </w:instrText>
      </w:r>
      <w:r>
        <w:rPr>
          <w:color w:val="auto"/>
          <w:highlight w:val="none"/>
        </w:rPr>
        <w:fldChar w:fldCharType="separate"/>
      </w:r>
      <w:r>
        <w:rPr>
          <w:color w:val="auto"/>
          <w:highlight w:val="none"/>
        </w:rPr>
        <w:t>43</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_Toc20703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highlight w:val="none"/>
        </w:rPr>
        <w:tab/>
      </w:r>
      <w:r>
        <w:rPr>
          <w:color w:val="auto"/>
          <w:highlight w:val="none"/>
        </w:rPr>
        <w:fldChar w:fldCharType="begin"/>
      </w:r>
      <w:r>
        <w:rPr>
          <w:color w:val="auto"/>
          <w:highlight w:val="none"/>
        </w:rPr>
        <w:instrText xml:space="preserve"> PAGEREF _Toc20703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_Toc25239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highlight w:val="none"/>
        </w:rPr>
        <w:tab/>
      </w:r>
      <w:r>
        <w:rPr>
          <w:color w:val="auto"/>
          <w:highlight w:val="none"/>
        </w:rPr>
        <w:fldChar w:fldCharType="begin"/>
      </w:r>
      <w:r>
        <w:rPr>
          <w:color w:val="auto"/>
          <w:highlight w:val="none"/>
        </w:rPr>
        <w:instrText xml:space="preserve"> PAGEREF _Toc25239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_Toc10860 </w:instrText>
      </w:r>
      <w:r>
        <w:rPr>
          <w:rFonts w:ascii="宋体" w:hAnsi="宋体" w:cs="宋体"/>
          <w:color w:val="auto"/>
          <w:szCs w:val="28"/>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_Toc10860 </w:instrText>
      </w:r>
      <w:r>
        <w:rPr>
          <w:color w:val="auto"/>
          <w:highlight w:val="none"/>
        </w:rPr>
        <w:fldChar w:fldCharType="separate"/>
      </w:r>
      <w:r>
        <w:rPr>
          <w:color w:val="auto"/>
          <w:highlight w:val="none"/>
        </w:rPr>
        <w:t>47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_Toc31522 </w:instrText>
      </w:r>
      <w:r>
        <w:rPr>
          <w:rFonts w:ascii="宋体" w:hAnsi="宋体" w:cs="宋体"/>
          <w:color w:val="auto"/>
          <w:szCs w:val="28"/>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_Toc31522 </w:instrText>
      </w:r>
      <w:r>
        <w:rPr>
          <w:color w:val="auto"/>
          <w:highlight w:val="none"/>
        </w:rPr>
        <w:fldChar w:fldCharType="separate"/>
      </w:r>
      <w:r>
        <w:rPr>
          <w:color w:val="auto"/>
          <w:highlight w:val="none"/>
        </w:rPr>
        <w:t>48</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_Toc29392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highlight w:val="none"/>
        </w:rPr>
        <w:tab/>
      </w:r>
      <w:r>
        <w:rPr>
          <w:color w:val="auto"/>
          <w:highlight w:val="none"/>
        </w:rPr>
        <w:fldChar w:fldCharType="begin"/>
      </w:r>
      <w:r>
        <w:rPr>
          <w:color w:val="auto"/>
          <w:highlight w:val="none"/>
        </w:rPr>
        <w:instrText xml:space="preserve"> PAGEREF _Toc29392 </w:instrText>
      </w:r>
      <w:r>
        <w:rPr>
          <w:color w:val="auto"/>
          <w:highlight w:val="none"/>
        </w:rPr>
        <w:fldChar w:fldCharType="separate"/>
      </w:r>
      <w:r>
        <w:rPr>
          <w:color w:val="auto"/>
          <w:highlight w:val="none"/>
        </w:rPr>
        <w:t>52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_Toc27074 </w:instrText>
      </w:r>
      <w:r>
        <w:rPr>
          <w:rFonts w:ascii="宋体" w:hAnsi="宋体" w:cs="宋体"/>
          <w:color w:val="auto"/>
          <w:szCs w:val="28"/>
          <w:highlight w:val="none"/>
        </w:rPr>
        <w:fldChar w:fldCharType="separate"/>
      </w:r>
      <w:r>
        <w:rPr>
          <w:rFonts w:hint="eastAsia"/>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_Toc27074 </w:instrText>
      </w:r>
      <w:r>
        <w:rPr>
          <w:color w:val="auto"/>
          <w:highlight w:val="none"/>
        </w:rPr>
        <w:fldChar w:fldCharType="separate"/>
      </w:r>
      <w:r>
        <w:rPr>
          <w:color w:val="auto"/>
          <w:highlight w:val="none"/>
        </w:rPr>
        <w:t>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_Toc7862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highlight w:val="none"/>
        </w:rPr>
        <w:tab/>
      </w:r>
      <w:r>
        <w:rPr>
          <w:color w:val="auto"/>
          <w:highlight w:val="none"/>
        </w:rPr>
        <w:fldChar w:fldCharType="begin"/>
      </w:r>
      <w:r>
        <w:rPr>
          <w:color w:val="auto"/>
          <w:highlight w:val="none"/>
        </w:rPr>
        <w:instrText xml:space="preserve"> PAGEREF _Toc7862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_Toc17317 </w:instrText>
      </w:r>
      <w:r>
        <w:rPr>
          <w:rFonts w:ascii="宋体" w:hAnsi="宋体" w:cs="宋体"/>
          <w:color w:val="auto"/>
          <w:szCs w:val="28"/>
          <w:highlight w:val="none"/>
        </w:rPr>
        <w:fldChar w:fldCharType="separate"/>
      </w:r>
      <w:r>
        <w:rPr>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_Toc17317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_Toc8560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highlight w:val="none"/>
        </w:rPr>
        <w:tab/>
      </w:r>
      <w:r>
        <w:rPr>
          <w:color w:val="auto"/>
          <w:highlight w:val="none"/>
        </w:rPr>
        <w:fldChar w:fldCharType="begin"/>
      </w:r>
      <w:r>
        <w:rPr>
          <w:color w:val="auto"/>
          <w:highlight w:val="none"/>
        </w:rPr>
        <w:instrText xml:space="preserve"> PAGEREF _Toc8560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_Toc6585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highlight w:val="none"/>
        </w:rPr>
        <w:tab/>
      </w:r>
      <w:r>
        <w:rPr>
          <w:color w:val="auto"/>
          <w:highlight w:val="none"/>
        </w:rPr>
        <w:fldChar w:fldCharType="begin"/>
      </w:r>
      <w:r>
        <w:rPr>
          <w:color w:val="auto"/>
          <w:highlight w:val="none"/>
        </w:rPr>
        <w:instrText xml:space="preserve"> PAGEREF _Toc6585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_Toc21902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_Toc21902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_Toc26352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_Toc26352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_Toc2906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highlight w:val="none"/>
        </w:rPr>
        <w:tab/>
      </w:r>
      <w:r>
        <w:rPr>
          <w:color w:val="auto"/>
          <w:highlight w:val="none"/>
        </w:rPr>
        <w:fldChar w:fldCharType="begin"/>
      </w:r>
      <w:r>
        <w:rPr>
          <w:color w:val="auto"/>
          <w:highlight w:val="none"/>
        </w:rPr>
        <w:instrText xml:space="preserve"> PAGEREF _Toc2906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_Toc24283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highlight w:val="none"/>
        </w:rPr>
        <w:tab/>
      </w:r>
      <w:r>
        <w:rPr>
          <w:color w:val="auto"/>
          <w:highlight w:val="none"/>
        </w:rPr>
        <w:fldChar w:fldCharType="begin"/>
      </w:r>
      <w:r>
        <w:rPr>
          <w:color w:val="auto"/>
          <w:highlight w:val="none"/>
        </w:rPr>
        <w:instrText xml:space="preserve"> PAGEREF _Toc24283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_Toc711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highlight w:val="none"/>
        </w:rPr>
        <w:tab/>
      </w:r>
      <w:r>
        <w:rPr>
          <w:color w:val="auto"/>
          <w:highlight w:val="none"/>
        </w:rPr>
        <w:fldChar w:fldCharType="begin"/>
      </w:r>
      <w:r>
        <w:rPr>
          <w:color w:val="auto"/>
          <w:highlight w:val="none"/>
        </w:rPr>
        <w:instrText xml:space="preserve"> PAGEREF _Toc711 </w:instrText>
      </w:r>
      <w:r>
        <w:rPr>
          <w:color w:val="auto"/>
          <w:highlight w:val="none"/>
        </w:rPr>
        <w:fldChar w:fldCharType="separate"/>
      </w:r>
      <w:r>
        <w:rPr>
          <w:color w:val="auto"/>
          <w:highlight w:val="none"/>
        </w:rPr>
        <w:t>8</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_Toc22951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_Toc22951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_Toc29515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highlight w:val="none"/>
        </w:rPr>
        <w:tab/>
      </w:r>
      <w:r>
        <w:rPr>
          <w:color w:val="auto"/>
          <w:highlight w:val="none"/>
        </w:rPr>
        <w:fldChar w:fldCharType="begin"/>
      </w:r>
      <w:r>
        <w:rPr>
          <w:color w:val="auto"/>
          <w:highlight w:val="none"/>
        </w:rPr>
        <w:instrText xml:space="preserve"> PAGEREF _Toc29515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_Toc22785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_Toc22785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_Toc10153 </w:instrText>
      </w:r>
      <w:r>
        <w:rPr>
          <w:rFonts w:ascii="宋体" w:hAnsi="宋体" w:cs="宋体"/>
          <w:color w:val="auto"/>
          <w:szCs w:val="28"/>
          <w:highlight w:val="none"/>
        </w:rPr>
        <w:fldChar w:fldCharType="separate"/>
      </w:r>
      <w:r>
        <w:rPr>
          <w:color w:val="auto"/>
          <w:highlight w:val="none"/>
        </w:rPr>
        <w:t>第三部分 专用条件</w:t>
      </w:r>
      <w:r>
        <w:rPr>
          <w:color w:val="auto"/>
          <w:highlight w:val="none"/>
        </w:rPr>
        <w:tab/>
      </w:r>
      <w:r>
        <w:rPr>
          <w:color w:val="auto"/>
          <w:highlight w:val="none"/>
        </w:rPr>
        <w:fldChar w:fldCharType="begin"/>
      </w:r>
      <w:r>
        <w:rPr>
          <w:color w:val="auto"/>
          <w:highlight w:val="none"/>
        </w:rPr>
        <w:instrText xml:space="preserve"> PAGEREF _Toc10153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_Toc13638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highlight w:val="none"/>
        </w:rPr>
        <w:tab/>
      </w:r>
      <w:r>
        <w:rPr>
          <w:color w:val="auto"/>
          <w:highlight w:val="none"/>
        </w:rPr>
        <w:fldChar w:fldCharType="begin"/>
      </w:r>
      <w:r>
        <w:rPr>
          <w:color w:val="auto"/>
          <w:highlight w:val="none"/>
        </w:rPr>
        <w:instrText xml:space="preserve"> PAGEREF _Toc13638 </w:instrText>
      </w:r>
      <w:r>
        <w:rPr>
          <w:color w:val="auto"/>
          <w:highlight w:val="none"/>
        </w:rPr>
        <w:fldChar w:fldCharType="separate"/>
      </w:r>
      <w:r>
        <w:rPr>
          <w:color w:val="auto"/>
          <w:highlight w:val="none"/>
        </w:rPr>
        <w:t>19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_Toc29923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_Toc29923 </w:instrText>
      </w:r>
      <w:r>
        <w:rPr>
          <w:color w:val="auto"/>
          <w:highlight w:val="none"/>
        </w:rPr>
        <w:fldChar w:fldCharType="separate"/>
      </w:r>
      <w:r>
        <w:rPr>
          <w:color w:val="auto"/>
          <w:highlight w:val="none"/>
        </w:rPr>
        <w:t>19</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_Toc11941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第三章 </w:t>
      </w:r>
      <w:r>
        <w:rPr>
          <w:rFonts w:hint="eastAsia" w:ascii="宋体" w:hAnsi="宋体" w:cs="宋体"/>
          <w:color w:val="auto"/>
          <w:szCs w:val="28"/>
          <w:highlight w:val="none"/>
        </w:rPr>
        <w:t>监理工作任务</w:t>
      </w:r>
      <w:r>
        <w:rPr>
          <w:color w:val="auto"/>
          <w:highlight w:val="none"/>
        </w:rPr>
        <w:tab/>
      </w:r>
      <w:r>
        <w:rPr>
          <w:color w:val="auto"/>
          <w:highlight w:val="none"/>
        </w:rPr>
        <w:fldChar w:fldCharType="begin"/>
      </w:r>
      <w:r>
        <w:rPr>
          <w:color w:val="auto"/>
          <w:highlight w:val="none"/>
        </w:rPr>
        <w:instrText xml:space="preserve"> PAGEREF _Toc11941 </w:instrText>
      </w:r>
      <w:r>
        <w:rPr>
          <w:color w:val="auto"/>
          <w:highlight w:val="none"/>
        </w:rPr>
        <w:fldChar w:fldCharType="separate"/>
      </w:r>
      <w:r>
        <w:rPr>
          <w:color w:val="auto"/>
          <w:highlight w:val="none"/>
        </w:rPr>
        <w:t>21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_Toc24773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第四章 </w:t>
      </w:r>
      <w:r>
        <w:rPr>
          <w:rFonts w:hint="eastAsia" w:ascii="宋体" w:hAnsi="宋体" w:cs="宋体"/>
          <w:color w:val="auto"/>
          <w:szCs w:val="28"/>
          <w:highlight w:val="none"/>
        </w:rPr>
        <w:t>图纸</w:t>
      </w:r>
      <w:r>
        <w:rPr>
          <w:color w:val="auto"/>
          <w:highlight w:val="none"/>
        </w:rPr>
        <w:tab/>
      </w:r>
      <w:r>
        <w:rPr>
          <w:color w:val="auto"/>
          <w:highlight w:val="none"/>
        </w:rPr>
        <w:fldChar w:fldCharType="begin"/>
      </w:r>
      <w:r>
        <w:rPr>
          <w:color w:val="auto"/>
          <w:highlight w:val="none"/>
        </w:rPr>
        <w:instrText xml:space="preserve"> PAGEREF _Toc24773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_Toc8284 </w:instrText>
      </w:r>
      <w:r>
        <w:rPr>
          <w:rFonts w:ascii="宋体" w:hAnsi="宋体" w:cs="宋体"/>
          <w:color w:val="auto"/>
          <w:szCs w:val="28"/>
          <w:highlight w:val="none"/>
        </w:rPr>
        <w:fldChar w:fldCharType="separate"/>
      </w:r>
      <w:r>
        <w:rPr>
          <w:rFonts w:ascii="宋体" w:hAnsi="宋体" w:cs="宋体"/>
          <w:color w:val="auto"/>
          <w:szCs w:val="28"/>
          <w:highlight w:val="none"/>
        </w:rPr>
        <w:t xml:space="preserve">第五章 </w:t>
      </w:r>
      <w:r>
        <w:rPr>
          <w:rFonts w:hint="eastAsia" w:ascii="宋体" w:hAnsi="宋体" w:cs="宋体"/>
          <w:color w:val="auto"/>
          <w:szCs w:val="28"/>
          <w:highlight w:val="none"/>
        </w:rPr>
        <w:t>比选申请文件</w:t>
      </w:r>
      <w:r>
        <w:rPr>
          <w:color w:val="auto"/>
          <w:highlight w:val="none"/>
        </w:rPr>
        <w:tab/>
      </w:r>
      <w:r>
        <w:rPr>
          <w:color w:val="auto"/>
          <w:highlight w:val="none"/>
        </w:rPr>
        <w:fldChar w:fldCharType="begin"/>
      </w:r>
      <w:r>
        <w:rPr>
          <w:color w:val="auto"/>
          <w:highlight w:val="none"/>
        </w:rPr>
        <w:instrText xml:space="preserve"> PAGEREF _Toc8284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_Toc8930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highlight w:val="none"/>
        </w:rPr>
        <w:tab/>
      </w:r>
      <w:r>
        <w:rPr>
          <w:color w:val="auto"/>
          <w:highlight w:val="none"/>
        </w:rPr>
        <w:fldChar w:fldCharType="begin"/>
      </w:r>
      <w:r>
        <w:rPr>
          <w:color w:val="auto"/>
          <w:highlight w:val="none"/>
        </w:rPr>
        <w:instrText xml:space="preserve"> PAGEREF _Toc8930 </w:instrText>
      </w:r>
      <w:r>
        <w:rPr>
          <w:color w:val="auto"/>
          <w:highlight w:val="none"/>
        </w:rPr>
        <w:fldChar w:fldCharType="separate"/>
      </w:r>
      <w:r>
        <w:rPr>
          <w:color w:val="auto"/>
          <w:highlight w:val="none"/>
        </w:rPr>
        <w:t>24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_Toc19934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highlight w:val="none"/>
        </w:rPr>
        <w:tab/>
      </w:r>
      <w:r>
        <w:rPr>
          <w:color w:val="auto"/>
          <w:highlight w:val="none"/>
        </w:rPr>
        <w:fldChar w:fldCharType="begin"/>
      </w:r>
      <w:r>
        <w:rPr>
          <w:color w:val="auto"/>
          <w:highlight w:val="none"/>
        </w:rPr>
        <w:instrText xml:space="preserve"> PAGEREF _Toc19934 </w:instrText>
      </w:r>
      <w:r>
        <w:rPr>
          <w:color w:val="auto"/>
          <w:highlight w:val="none"/>
        </w:rPr>
        <w:fldChar w:fldCharType="separate"/>
      </w:r>
      <w:r>
        <w:rPr>
          <w:color w:val="auto"/>
          <w:highlight w:val="none"/>
        </w:rPr>
        <w:t>36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_Toc4589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highlight w:val="none"/>
        </w:rPr>
        <w:tab/>
      </w:r>
      <w:r>
        <w:rPr>
          <w:color w:val="auto"/>
          <w:highlight w:val="none"/>
        </w:rPr>
        <w:fldChar w:fldCharType="begin"/>
      </w:r>
      <w:r>
        <w:rPr>
          <w:color w:val="auto"/>
          <w:highlight w:val="none"/>
        </w:rPr>
        <w:instrText xml:space="preserve"> PAGEREF _Toc4589 </w:instrText>
      </w:r>
      <w:r>
        <w:rPr>
          <w:color w:val="auto"/>
          <w:highlight w:val="none"/>
        </w:rPr>
        <w:fldChar w:fldCharType="separate"/>
      </w:r>
      <w:r>
        <w:rPr>
          <w:color w:val="auto"/>
          <w:highlight w:val="none"/>
        </w:rPr>
        <w:t>42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_Toc8362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highlight w:val="none"/>
        </w:rPr>
        <w:tab/>
      </w:r>
      <w:r>
        <w:rPr>
          <w:color w:val="auto"/>
          <w:highlight w:val="none"/>
        </w:rPr>
        <w:fldChar w:fldCharType="begin"/>
      </w:r>
      <w:r>
        <w:rPr>
          <w:color w:val="auto"/>
          <w:highlight w:val="none"/>
        </w:rPr>
        <w:instrText xml:space="preserve"> PAGEREF _Toc8362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_Toc9699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highlight w:val="none"/>
        </w:rPr>
        <w:tab/>
      </w:r>
      <w:r>
        <w:rPr>
          <w:color w:val="auto"/>
          <w:highlight w:val="none"/>
        </w:rPr>
        <w:fldChar w:fldCharType="begin"/>
      </w:r>
      <w:r>
        <w:rPr>
          <w:color w:val="auto"/>
          <w:highlight w:val="none"/>
        </w:rPr>
        <w:instrText xml:space="preserve"> PAGEREF _Toc9699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_Toc31578 </w:instrText>
      </w:r>
      <w:r>
        <w:rPr>
          <w:rFonts w:ascii="宋体" w:hAnsi="宋体" w:cs="宋体"/>
          <w:color w:val="auto"/>
          <w:szCs w:val="28"/>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_Toc31578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_Toc8001 </w:instrText>
      </w:r>
      <w:r>
        <w:rPr>
          <w:rFonts w:ascii="宋体" w:hAnsi="宋体" w:cs="宋体"/>
          <w:color w:val="auto"/>
          <w:szCs w:val="28"/>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_Toc8001 </w:instrText>
      </w:r>
      <w:r>
        <w:rPr>
          <w:color w:val="auto"/>
          <w:highlight w:val="none"/>
        </w:rPr>
        <w:fldChar w:fldCharType="separate"/>
      </w:r>
      <w:r>
        <w:rPr>
          <w:color w:val="auto"/>
          <w:highlight w:val="none"/>
        </w:rPr>
        <w:t>47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_Toc2968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highlight w:val="none"/>
        </w:rPr>
        <w:tab/>
      </w:r>
      <w:r>
        <w:rPr>
          <w:color w:val="auto"/>
          <w:highlight w:val="none"/>
        </w:rPr>
        <w:fldChar w:fldCharType="begin"/>
      </w:r>
      <w:r>
        <w:rPr>
          <w:color w:val="auto"/>
          <w:highlight w:val="none"/>
        </w:rPr>
        <w:instrText xml:space="preserve"> PAGEREF _Toc2968 </w:instrText>
      </w:r>
      <w:r>
        <w:rPr>
          <w:color w:val="auto"/>
          <w:highlight w:val="none"/>
        </w:rPr>
        <w:fldChar w:fldCharType="separate"/>
      </w:r>
      <w:r>
        <w:rPr>
          <w:color w:val="auto"/>
          <w:highlight w:val="none"/>
        </w:rPr>
        <w:t>51</w:t>
      </w:r>
      <w:r>
        <w:rPr>
          <w:color w:val="auto"/>
          <w:highlight w:val="none"/>
        </w:rPr>
        <w:fldChar w:fldCharType="end"/>
      </w:r>
      <w:r>
        <w:rPr>
          <w:rFonts w:ascii="宋体" w:hAnsi="宋体" w:cs="宋体"/>
          <w:color w:val="auto"/>
          <w:szCs w:val="28"/>
          <w:highlight w:val="none"/>
        </w:rPr>
        <w:fldChar w:fldCharType="end"/>
      </w:r>
    </w:p>
    <w:p>
      <w:pPr>
        <w:spacing w:line="360" w:lineRule="auto"/>
        <w:ind w:firstLine="420" w:firstLineChars="200"/>
        <w:rPr>
          <w:rFonts w:hint="eastAsia" w:cs="宋体"/>
          <w:bCs/>
          <w:color w:val="auto"/>
          <w:sz w:val="28"/>
          <w:szCs w:val="28"/>
          <w:highlight w:val="none"/>
          <w:lang w:eastAsia="zh-CN"/>
        </w:rPr>
      </w:pPr>
      <w:r>
        <w:rPr>
          <w:rFonts w:ascii="宋体" w:hAnsi="宋体" w:cs="宋体"/>
          <w:color w:val="auto"/>
          <w:szCs w:val="28"/>
          <w:highlight w:val="none"/>
        </w:rPr>
        <w:fldChar w:fldCharType="end"/>
      </w: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pStyle w:val="3"/>
        <w:numPr>
          <w:ilvl w:val="0"/>
          <w:numId w:val="1"/>
        </w:numPr>
        <w:rPr>
          <w:color w:val="auto"/>
          <w:highlight w:val="none"/>
        </w:rPr>
      </w:pPr>
      <w:bookmarkStart w:id="19" w:name="_Toc20342"/>
      <w:bookmarkStart w:id="20" w:name="_Toc24235"/>
      <w:bookmarkStart w:id="21" w:name="_Toc27398"/>
      <w:bookmarkStart w:id="22" w:name="_Toc7862"/>
      <w:bookmarkStart w:id="23" w:name="_Toc11052"/>
      <w:bookmarkStart w:id="24" w:name="_Toc27762"/>
      <w:bookmarkStart w:id="25" w:name="_Toc24752"/>
      <w:bookmarkStart w:id="26" w:name="_Toc471482359"/>
      <w:bookmarkStart w:id="27" w:name="_Toc32556"/>
      <w:bookmarkStart w:id="28" w:name="_Toc30578"/>
      <w:bookmarkStart w:id="29" w:name="_Toc10124"/>
      <w:bookmarkStart w:id="30" w:name="_Toc24481"/>
      <w:bookmarkStart w:id="31" w:name="_Toc9092"/>
      <w:bookmarkStart w:id="32" w:name="_Toc14897"/>
      <w:bookmarkStart w:id="33" w:name="_Toc19040"/>
      <w:bookmarkStart w:id="34" w:name="_Toc32719"/>
      <w:bookmarkStart w:id="35" w:name="_Toc24163"/>
      <w:bookmarkStart w:id="36" w:name="_Toc461525294"/>
      <w:bookmarkStart w:id="37" w:name="_Toc12557"/>
      <w:bookmarkStart w:id="38" w:name="_Toc14177"/>
      <w:bookmarkStart w:id="39" w:name="_Toc8322"/>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rFonts w:hint="eastAsia" w:ascii="宋体" w:hAnsi="宋体" w:cs="宋体"/>
          <w:color w:val="auto"/>
          <w:szCs w:val="28"/>
          <w:highlight w:val="none"/>
          <w:lang w:val="en-US" w:eastAsia="zh-CN"/>
        </w:rPr>
      </w:pPr>
      <w:r>
        <w:rPr>
          <w:rFonts w:hint="eastAsia" w:ascii="宋体" w:hAnsi="宋体" w:cs="宋体"/>
          <w:color w:val="auto"/>
          <w:szCs w:val="28"/>
          <w:highlight w:val="none"/>
          <w:lang w:val="en-US" w:eastAsia="zh-CN"/>
        </w:rPr>
        <w:t>前附表</w:t>
      </w:r>
    </w:p>
    <w:tbl>
      <w:tblPr>
        <w:tblStyle w:val="14"/>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736"/>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36" w:type="dxa"/>
            <w:vAlign w:val="center"/>
          </w:tcPr>
          <w:p>
            <w:pPr>
              <w:jc w:val="center"/>
              <w:rPr>
                <w:rFonts w:ascii="宋体" w:hAnsi="宋体" w:cs="宋体"/>
                <w:color w:val="auto"/>
                <w:szCs w:val="21"/>
                <w:highlight w:val="none"/>
              </w:rPr>
            </w:pPr>
          </w:p>
        </w:tc>
        <w:tc>
          <w:tcPr>
            <w:tcW w:w="6019" w:type="dxa"/>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019" w:type="dxa"/>
            <w:vAlign w:val="center"/>
          </w:tcPr>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 xml:space="preserve"> </w:t>
            </w:r>
            <w:r>
              <w:rPr>
                <w:rFonts w:hint="eastAsia" w:ascii="宋体" w:hAnsi="宋体" w:cs="宋体" w:eastAsiaTheme="minorEastAsia"/>
                <w:color w:val="auto"/>
                <w:sz w:val="21"/>
                <w:szCs w:val="21"/>
                <w:highlight w:val="none"/>
                <w:lang w:val="en-US" w:eastAsia="zh-CN"/>
              </w:rPr>
              <w:t>南宁火车北站东广场整理工程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019" w:type="dxa"/>
          </w:tcPr>
          <w:p>
            <w:pPr>
              <w:ind w:right="-3"/>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zh-CN" w:eastAsia="zh-CN"/>
              </w:rPr>
              <w:t>南宁火车北站东广场整理工程</w:t>
            </w:r>
            <w:r>
              <w:rPr>
                <w:rFonts w:hint="eastAsia" w:ascii="宋体" w:hAnsi="宋体" w:cs="宋体"/>
                <w:color w:val="auto"/>
                <w:szCs w:val="21"/>
                <w:highlight w:val="none"/>
                <w:lang w:val="en-US" w:eastAsia="zh-CN"/>
              </w:rPr>
              <w:t>建设</w:t>
            </w:r>
            <w:r>
              <w:rPr>
                <w:rFonts w:hint="eastAsia" w:ascii="宋体" w:hAnsi="宋体" w:cs="宋体"/>
                <w:color w:val="auto"/>
                <w:szCs w:val="21"/>
                <w:highlight w:val="none"/>
              </w:rPr>
              <w:t>项目施工图纸和工程量清单包含所有内容</w:t>
            </w:r>
            <w:r>
              <w:rPr>
                <w:rFonts w:hint="eastAsia" w:ascii="宋体" w:hAnsi="宋体" w:cs="宋体"/>
                <w:color w:val="auto"/>
                <w:szCs w:val="21"/>
                <w:highlight w:val="none"/>
                <w:lang w:val="en-US" w:eastAsia="zh-CN"/>
              </w:rPr>
              <w:t>对应</w:t>
            </w:r>
            <w:r>
              <w:rPr>
                <w:rFonts w:hint="eastAsia" w:ascii="宋体" w:hAnsi="宋体" w:cs="宋体"/>
                <w:color w:val="auto"/>
                <w:szCs w:val="21"/>
                <w:highlight w:val="none"/>
              </w:rPr>
              <w:t>施工阶段和缺陷责任期阶段</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监</w:t>
            </w:r>
            <w:r>
              <w:rPr>
                <w:rFonts w:hint="eastAsia" w:ascii="宋体" w:hAnsi="宋体" w:cs="宋体"/>
                <w:color w:val="auto"/>
                <w:szCs w:val="21"/>
                <w:highlight w:val="none"/>
                <w:lang w:eastAsia="zh-CN"/>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019" w:type="dxa"/>
          </w:tcPr>
          <w:p>
            <w:pPr>
              <w:pStyle w:val="18"/>
              <w:adjustRightInd w:val="0"/>
              <w:snapToGrid w:val="0"/>
              <w:spacing w:line="400" w:lineRule="exact"/>
              <w:ind w:firstLine="420" w:firstLineChars="200"/>
              <w:rPr>
                <w:rFonts w:hint="default" w:ascii="宋体" w:hAnsi="宋体" w:cs="宋体" w:eastAsiaTheme="minorEastAsia"/>
                <w:color w:val="auto"/>
                <w:szCs w:val="21"/>
                <w:highlight w:val="none"/>
                <w:lang w:val="en-US" w:eastAsia="zh-CN"/>
              </w:rPr>
            </w:pPr>
            <w:r>
              <w:rPr>
                <w:rFonts w:hint="eastAsia" w:ascii="宋体" w:hAnsi="宋体" w:cs="宋体" w:eastAsiaTheme="minorEastAsia"/>
                <w:color w:val="auto"/>
                <w:szCs w:val="21"/>
                <w:highlight w:val="none"/>
                <w:lang w:val="zh-CN" w:eastAsia="zh-CN"/>
              </w:rPr>
              <w:t>本项目包括北站东广场地块A、地块B场地平整约54893㎡，其中地块A约19480㎡，地块B约35413 ㎡，</w:t>
            </w:r>
            <w:r>
              <w:rPr>
                <w:rFonts w:hint="eastAsia" w:ascii="宋体" w:hAnsi="宋体" w:cs="宋体" w:eastAsiaTheme="minorEastAsia"/>
                <w:color w:val="auto"/>
                <w:szCs w:val="21"/>
                <w:highlight w:val="none"/>
                <w:lang w:val="zh-CN"/>
              </w:rPr>
              <w:t>包括场地平整工程、给排水工程（含地块A、B内给排水及片区临时排水工程）、临时道路及交通工程</w:t>
            </w:r>
            <w:r>
              <w:rPr>
                <w:rFonts w:hint="eastAsia" w:ascii="宋体" w:hAnsi="宋体" w:cs="宋体" w:eastAsiaTheme="minorEastAsia"/>
                <w:color w:val="auto"/>
                <w:szCs w:val="21"/>
                <w:highlight w:val="none"/>
                <w:lang w:val="zh-CN" w:eastAsia="zh-CN"/>
              </w:rPr>
              <w:t>等内</w:t>
            </w:r>
            <w:r>
              <w:rPr>
                <w:rFonts w:hint="eastAsia" w:ascii="宋体" w:hAnsi="宋体" w:cs="宋体" w:eastAsiaTheme="minorEastAsia"/>
                <w:color w:val="auto"/>
                <w:kern w:val="2"/>
                <w:sz w:val="21"/>
                <w:szCs w:val="21"/>
                <w:highlight w:val="none"/>
                <w:rtl w:val="0"/>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资金来源</w:t>
            </w:r>
          </w:p>
        </w:tc>
        <w:tc>
          <w:tcPr>
            <w:tcW w:w="6019" w:type="dxa"/>
            <w:shd w:val="clear" w:color="auto" w:fill="FFFFFF" w:themeFill="background1"/>
          </w:tcPr>
          <w:p>
            <w:pPr>
              <w:ind w:right="-3"/>
              <w:jc w:val="left"/>
              <w:rPr>
                <w:rFonts w:hint="eastAsia" w:ascii="宋体" w:hAnsi="宋体" w:eastAsia="宋体" w:cs="宋体"/>
                <w:color w:val="auto"/>
                <w:szCs w:val="21"/>
                <w:highlight w:val="none"/>
                <w:lang w:eastAsia="zh-CN"/>
              </w:rPr>
            </w:pPr>
            <w:r>
              <w:rPr>
                <w:color w:val="auto"/>
                <w:szCs w:val="21"/>
                <w:highlight w:val="none"/>
                <w:u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计费方式</w:t>
            </w:r>
          </w:p>
        </w:tc>
        <w:tc>
          <w:tcPr>
            <w:tcW w:w="6019" w:type="dxa"/>
          </w:tcPr>
          <w:p>
            <w:pPr>
              <w:numPr>
                <w:ilvl w:val="-1"/>
                <w:numId w:val="0"/>
              </w:numPr>
              <w:ind w:right="-3"/>
              <w:jc w:val="left"/>
              <w:rPr>
                <w:rFonts w:hint="eastAsia" w:ascii="宋体" w:hAnsi="宋体" w:eastAsia="宋体" w:cs="宋体"/>
                <w:color w:val="auto"/>
                <w:szCs w:val="21"/>
                <w:highlight w:val="none"/>
                <w:lang w:eastAsia="zh-CN"/>
              </w:rPr>
            </w:pPr>
            <w:r>
              <w:rPr>
                <w:rFonts w:hint="eastAsia" w:ascii="宋体" w:hAnsi="宋体" w:eastAsia="宋体"/>
                <w:color w:val="auto"/>
                <w:sz w:val="21"/>
                <w:szCs w:val="21"/>
                <w:highlight w:val="none"/>
                <w:lang w:val="en-US" w:eastAsia="zh-CN"/>
              </w:rPr>
              <w:t>监理服务费为上限控制价乘以（1-</w:t>
            </w:r>
            <w:r>
              <w:rPr>
                <w:rFonts w:hint="eastAsia" w:ascii="宋体" w:hAnsi="宋体" w:eastAsia="宋体"/>
                <w:color w:val="auto"/>
                <w:sz w:val="21"/>
                <w:szCs w:val="21"/>
                <w:highlight w:val="none"/>
              </w:rPr>
              <w:t>监理人中标的</w:t>
            </w:r>
            <w:r>
              <w:rPr>
                <w:rFonts w:hint="eastAsia" w:ascii="宋体" w:hAnsi="宋体" w:eastAsia="宋体"/>
                <w:color w:val="auto"/>
                <w:sz w:val="21"/>
                <w:szCs w:val="21"/>
                <w:highlight w:val="none"/>
                <w:lang w:val="en-US" w:eastAsia="zh-CN"/>
              </w:rPr>
              <w:t>下浮系数）</w:t>
            </w:r>
            <w:r>
              <w:rPr>
                <w:rFonts w:hint="eastAsia" w:ascii="宋体" w:hAnsi="宋体"/>
                <w:color w:val="auto"/>
                <w:sz w:val="21"/>
                <w:szCs w:val="21"/>
                <w:highlight w:val="none"/>
                <w:lang w:eastAsia="zh-CN"/>
              </w:rPr>
              <w:t>，</w:t>
            </w:r>
            <w:r>
              <w:rPr>
                <w:rFonts w:hint="eastAsia" w:ascii="宋体" w:hAnsi="宋体" w:cs="宋体"/>
                <w:color w:val="auto"/>
                <w:szCs w:val="21"/>
                <w:highlight w:val="none"/>
              </w:rPr>
              <w:t>采用总价包干，费用不予调整</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019" w:type="dxa"/>
            <w:vAlign w:val="center"/>
          </w:tcPr>
          <w:p>
            <w:pPr>
              <w:numPr>
                <w:ilvl w:val="0"/>
                <w:numId w:val="0"/>
              </w:numPr>
              <w:ind w:right="-3"/>
              <w:jc w:val="left"/>
              <w:rPr>
                <w:rFonts w:hint="eastAsia" w:ascii="宋体" w:hAnsi="宋体" w:eastAsia="宋体"/>
                <w:color w:val="auto"/>
                <w:szCs w:val="21"/>
                <w:highlight w:val="none"/>
                <w:lang w:val="en-US" w:eastAsia="zh-CN"/>
              </w:rPr>
            </w:pPr>
            <w:r>
              <w:rPr>
                <w:rFonts w:hint="eastAsia" w:ascii="宋体" w:hAnsi="宋体" w:eastAsia="宋体"/>
                <w:color w:val="auto"/>
                <w:kern w:val="2"/>
                <w:szCs w:val="21"/>
                <w:highlight w:val="none"/>
                <w:u w:val="none"/>
                <w:lang w:val="en-US" w:eastAsia="zh-CN"/>
              </w:rPr>
              <w:t>（1）监理服务费</w:t>
            </w:r>
            <w:r>
              <w:rPr>
                <w:rFonts w:hint="eastAsia" w:ascii="宋体" w:hAnsi="宋体" w:eastAsia="宋体" w:cstheme="minorBidi"/>
                <w:color w:val="auto"/>
                <w:szCs w:val="21"/>
                <w:highlight w:val="none"/>
              </w:rPr>
              <w:t>上限控制价</w:t>
            </w:r>
            <w:r>
              <w:rPr>
                <w:rFonts w:hint="eastAsia" w:ascii="宋体" w:hAnsi="宋体" w:eastAsia="宋体" w:cstheme="minorBidi"/>
                <w:color w:val="auto"/>
                <w:szCs w:val="21"/>
                <w:highlight w:val="none"/>
                <w:lang w:val="en-US" w:eastAsia="zh-CN"/>
              </w:rPr>
              <w:t>为</w:t>
            </w:r>
            <w:r>
              <w:rPr>
                <w:rFonts w:hint="eastAsia" w:ascii="宋体" w:hAnsi="宋体" w:eastAsia="宋体"/>
                <w:color w:val="auto"/>
                <w:szCs w:val="21"/>
                <w:highlight w:val="none"/>
                <w:lang w:val="en-US" w:eastAsia="zh-CN"/>
              </w:rPr>
              <w:t>48.978</w:t>
            </w:r>
            <w:r>
              <w:rPr>
                <w:rFonts w:hint="eastAsia" w:ascii="宋体" w:hAnsi="宋体" w:eastAsia="宋体" w:cstheme="minorBidi"/>
                <w:color w:val="auto"/>
                <w:szCs w:val="21"/>
                <w:highlight w:val="none"/>
                <w:lang w:val="en-US" w:eastAsia="zh-CN"/>
              </w:rPr>
              <w:t>万元</w:t>
            </w:r>
          </w:p>
          <w:p>
            <w:pPr>
              <w:numPr>
                <w:ilvl w:val="0"/>
                <w:numId w:val="0"/>
              </w:numPr>
              <w:ind w:right="-3"/>
              <w:jc w:val="left"/>
              <w:rPr>
                <w:rFonts w:hint="eastAsia" w:ascii="宋体" w:hAnsi="宋体" w:eastAsia="宋体"/>
                <w:bCs w:val="0"/>
                <w:color w:val="auto"/>
                <w:szCs w:val="21"/>
                <w:highlight w:val="none"/>
              </w:rPr>
            </w:pP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lang w:eastAsia="zh-CN"/>
              </w:rPr>
              <w:t>）比选申请</w:t>
            </w:r>
            <w:r>
              <w:rPr>
                <w:rFonts w:hint="eastAsia" w:ascii="宋体" w:hAnsi="宋体" w:eastAsia="宋体"/>
                <w:color w:val="auto"/>
                <w:szCs w:val="21"/>
                <w:highlight w:val="none"/>
              </w:rPr>
              <w:t>人应结合自身因素进行竞争性报价，但不得超出</w:t>
            </w:r>
            <w:r>
              <w:rPr>
                <w:rFonts w:hint="eastAsia" w:ascii="宋体" w:hAnsi="宋体" w:eastAsia="宋体"/>
                <w:color w:val="auto"/>
                <w:szCs w:val="21"/>
                <w:highlight w:val="none"/>
                <w:lang w:val="en-US" w:eastAsia="zh-CN"/>
              </w:rPr>
              <w:t>上限</w:t>
            </w:r>
            <w:r>
              <w:rPr>
                <w:rFonts w:hint="eastAsia" w:ascii="宋体" w:hAnsi="宋体" w:eastAsia="宋体"/>
                <w:color w:val="auto"/>
                <w:szCs w:val="21"/>
                <w:highlight w:val="none"/>
              </w:rPr>
              <w:t>控制价范围，否则报价无效，做否决投标处理。</w:t>
            </w:r>
          </w:p>
          <w:p>
            <w:pPr>
              <w:ind w:right="-3" w:firstLine="0" w:firstLineChars="0"/>
              <w:jc w:val="left"/>
              <w:rPr>
                <w:rFonts w:ascii="宋体" w:hAnsi="宋体" w:cs="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w:t>
            </w:r>
            <w:r>
              <w:rPr>
                <w:rFonts w:hint="eastAsia" w:ascii="宋体" w:hAnsi="宋体" w:eastAsia="宋体"/>
                <w:bCs w:val="0"/>
                <w:color w:val="auto"/>
                <w:szCs w:val="21"/>
                <w:highlight w:val="none"/>
              </w:rPr>
              <w:t>施工监理服务收费在施工监理服务收费</w:t>
            </w:r>
            <w:r>
              <w:rPr>
                <w:rFonts w:hint="eastAsia" w:ascii="宋体" w:hAnsi="宋体" w:eastAsia="宋体"/>
                <w:bCs w:val="0"/>
                <w:color w:val="auto"/>
                <w:szCs w:val="21"/>
                <w:highlight w:val="none"/>
                <w:lang w:val="en-US" w:eastAsia="zh-CN"/>
              </w:rPr>
              <w:t>上限控制</w:t>
            </w:r>
            <w:r>
              <w:rPr>
                <w:rFonts w:hint="eastAsia" w:ascii="宋体" w:hAnsi="宋体" w:eastAsia="宋体"/>
                <w:bCs w:val="0"/>
                <w:color w:val="auto"/>
                <w:szCs w:val="21"/>
                <w:highlight w:val="none"/>
              </w:rPr>
              <w:t>价的基础上可以下浮，但下浮幅度不得超过</w:t>
            </w:r>
            <w:r>
              <w:rPr>
                <w:rFonts w:hint="eastAsia" w:ascii="宋体" w:hAnsi="宋体" w:eastAsia="宋体"/>
                <w:bCs w:val="0"/>
                <w:color w:val="auto"/>
                <w:szCs w:val="21"/>
                <w:highlight w:val="none"/>
                <w:lang w:val="en-US" w:eastAsia="zh-CN"/>
              </w:rPr>
              <w:t>1</w:t>
            </w:r>
            <w:r>
              <w:rPr>
                <w:rFonts w:hint="eastAsia" w:ascii="宋体" w:hAnsi="宋体" w:eastAsia="宋体"/>
                <w:bCs w:val="0"/>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019" w:type="dxa"/>
            <w:vAlign w:val="center"/>
          </w:tcPr>
          <w:p>
            <w:pPr>
              <w:numPr>
                <w:ilvl w:val="0"/>
                <w:numId w:val="2"/>
              </w:numPr>
              <w:ind w:right="-3"/>
              <w:jc w:val="left"/>
              <w:rPr>
                <w:bCs/>
                <w:color w:val="auto"/>
                <w:szCs w:val="21"/>
                <w:highlight w:val="none"/>
              </w:rPr>
            </w:pPr>
            <w:r>
              <w:rPr>
                <w:rFonts w:hint="eastAsia"/>
                <w:bCs/>
                <w:color w:val="auto"/>
                <w:szCs w:val="21"/>
                <w:highlight w:val="none"/>
                <w:lang w:eastAsia="zh-CN"/>
              </w:rPr>
              <w:t>比选申请</w:t>
            </w:r>
            <w:r>
              <w:rPr>
                <w:bCs/>
                <w:color w:val="auto"/>
                <w:szCs w:val="21"/>
                <w:highlight w:val="none"/>
              </w:rPr>
              <w:t>人应当按照《建设工程监理与相关服务收费管理规定》发改价格[2007]670号文件要求，</w:t>
            </w:r>
            <w:r>
              <w:rPr>
                <w:color w:val="auto"/>
                <w:szCs w:val="21"/>
                <w:highlight w:val="none"/>
              </w:rPr>
              <w:t>根据所投监理项目的工程规模</w:t>
            </w:r>
            <w:r>
              <w:rPr>
                <w:bCs/>
                <w:color w:val="auto"/>
                <w:szCs w:val="21"/>
                <w:highlight w:val="none"/>
              </w:rPr>
              <w:t>、监理范围、工作内容、监理难度、工作条件、自身实力和风险因素，充分考虑市场竞争情况，进行监理服务收费的投标报价。</w:t>
            </w:r>
          </w:p>
          <w:p>
            <w:pPr>
              <w:spacing w:line="240" w:lineRule="auto"/>
              <w:ind w:right="-3"/>
              <w:jc w:val="left"/>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）报价方式：</w:t>
            </w:r>
          </w:p>
          <w:p>
            <w:pPr>
              <w:ind w:right="0"/>
              <w:jc w:val="left"/>
              <w:rPr>
                <w:bCs/>
                <w:color w:val="auto"/>
                <w:szCs w:val="21"/>
                <w:highlight w:val="none"/>
              </w:rPr>
            </w:pPr>
            <w:r>
              <w:rPr>
                <w:rFonts w:hint="eastAsia" w:hAnsi="宋体"/>
                <w:color w:val="auto"/>
                <w:highlight w:val="none"/>
              </w:rPr>
              <w:t>浮动幅度值报价方式，监理费=</w:t>
            </w:r>
            <w:r>
              <w:rPr>
                <w:rFonts w:hint="eastAsia"/>
                <w:bCs/>
                <w:color w:val="auto"/>
                <w:szCs w:val="21"/>
                <w:highlight w:val="none"/>
                <w:lang w:val="en-US" w:eastAsia="zh-CN"/>
              </w:rPr>
              <w:t>上限控制</w:t>
            </w:r>
            <w:r>
              <w:rPr>
                <w:bCs/>
                <w:color w:val="auto"/>
                <w:szCs w:val="21"/>
                <w:highlight w:val="none"/>
              </w:rPr>
              <w:t>价</w:t>
            </w:r>
            <w:r>
              <w:rPr>
                <w:rFonts w:hint="eastAsia" w:hAnsi="宋体"/>
                <w:color w:val="auto"/>
                <w:highlight w:val="none"/>
              </w:rPr>
              <w:t>×（1—</w:t>
            </w:r>
            <w:r>
              <w:rPr>
                <w:rFonts w:hint="eastAsia" w:hAnsi="宋体"/>
                <w:color w:val="auto"/>
                <w:highlight w:val="none"/>
                <w:lang w:eastAsia="zh-CN"/>
              </w:rPr>
              <w:t>下浮</w:t>
            </w:r>
            <w:r>
              <w:rPr>
                <w:rFonts w:hint="eastAsia" w:hAnsi="宋体"/>
                <w:color w:val="auto"/>
                <w:highlight w:val="none"/>
              </w:rPr>
              <w:t>系数）</w:t>
            </w:r>
          </w:p>
          <w:p>
            <w:pPr>
              <w:ind w:right="-3"/>
              <w:jc w:val="lef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019" w:type="dxa"/>
            <w:vAlign w:val="center"/>
          </w:tcPr>
          <w:p>
            <w:pPr>
              <w:ind w:right="-3"/>
              <w:jc w:val="left"/>
              <w:rPr>
                <w:rFonts w:ascii="宋体" w:hAnsi="宋体" w:cs="宋体"/>
                <w:color w:val="auto"/>
                <w:szCs w:val="21"/>
                <w:highlight w:val="none"/>
              </w:rPr>
            </w:pPr>
            <w:r>
              <w:rPr>
                <w:rFonts w:hint="eastAsia" w:ascii="宋体" w:hAnsi="宋体"/>
                <w:color w:val="auto"/>
                <w:highlight w:val="none"/>
                <w:lang w:val="zh-CN"/>
              </w:rPr>
              <w:t>自合同签订之日起</w:t>
            </w:r>
            <w:r>
              <w:rPr>
                <w:rFonts w:hint="eastAsia" w:ascii="宋体" w:hAnsi="宋体"/>
                <w:color w:val="auto"/>
                <w:highlight w:val="none"/>
                <w:lang w:val="zh-CN" w:eastAsia="zh-CN"/>
              </w:rPr>
              <w:t>至</w:t>
            </w:r>
            <w:r>
              <w:rPr>
                <w:rFonts w:hint="eastAsia" w:ascii="宋体" w:hAnsi="宋体" w:cs="宋体"/>
                <w:color w:val="auto"/>
                <w:szCs w:val="21"/>
                <w:highlight w:val="none"/>
                <w:lang w:val="en-US" w:eastAsia="zh-CN"/>
              </w:rPr>
              <w:t>南宁北站东片区市政配套工程</w:t>
            </w:r>
            <w:r>
              <w:rPr>
                <w:rFonts w:hint="eastAsia" w:ascii="宋体" w:hAnsi="宋体"/>
                <w:color w:val="auto"/>
                <w:highlight w:val="none"/>
                <w:lang w:val="zh-CN"/>
              </w:rPr>
              <w:t>缺陷责任期结束止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lang w:val="zh-CN" w:eastAsia="zh-CN"/>
              </w:rPr>
              <w:t>工程监理综合资质或</w:t>
            </w:r>
            <w:r>
              <w:rPr>
                <w:rFonts w:hint="eastAsia" w:ascii="宋体" w:hAnsi="宋体" w:cs="宋体"/>
                <w:color w:val="auto"/>
                <w:szCs w:val="21"/>
                <w:highlight w:val="none"/>
                <w:lang w:val="en-US" w:eastAsia="zh-CN"/>
              </w:rPr>
              <w:t>市政</w:t>
            </w:r>
            <w:r>
              <w:rPr>
                <w:rFonts w:hint="eastAsia" w:ascii="宋体" w:hAnsi="宋体" w:cs="宋体"/>
                <w:color w:val="auto"/>
                <w:szCs w:val="21"/>
                <w:highlight w:val="none"/>
                <w:lang w:val="zh-CN" w:eastAsia="zh-CN"/>
              </w:rPr>
              <w:t>工程监理</w:t>
            </w:r>
            <w:r>
              <w:rPr>
                <w:rFonts w:hint="eastAsia" w:ascii="宋体" w:hAnsi="宋体" w:cs="宋体"/>
                <w:color w:val="auto"/>
                <w:szCs w:val="21"/>
                <w:highlight w:val="none"/>
                <w:lang w:val="en-US" w:eastAsia="zh-CN"/>
              </w:rPr>
              <w:t>乙</w:t>
            </w:r>
            <w:r>
              <w:rPr>
                <w:rFonts w:hint="eastAsia" w:ascii="宋体" w:hAnsi="宋体" w:cs="宋体"/>
                <w:color w:val="auto"/>
                <w:szCs w:val="21"/>
                <w:highlight w:val="none"/>
                <w:lang w:val="zh-CN" w:eastAsia="zh-CN"/>
              </w:rPr>
              <w:t>级及以上资质，</w:t>
            </w:r>
            <w:r>
              <w:rPr>
                <w:rFonts w:hint="eastAsia" w:ascii="宋体" w:hAnsi="宋体" w:cs="宋体"/>
                <w:color w:val="auto"/>
                <w:szCs w:val="21"/>
                <w:highlight w:val="none"/>
                <w:lang w:val="en-US" w:eastAsia="zh-CN"/>
              </w:rPr>
              <w:t>且为2022年度南宁市本级政府投资工程监理项目定点监理单位公开征集入围供应商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w:t>
            </w: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019"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时间：</w:t>
            </w:r>
            <w:r>
              <w:rPr>
                <w:rFonts w:hint="eastAsia" w:ascii="宋体" w:hAnsi="宋体" w:cs="宋体"/>
                <w:color w:val="auto"/>
                <w:szCs w:val="21"/>
                <w:highlight w:val="none"/>
                <w:lang w:val="en-US" w:eastAsia="zh-CN"/>
              </w:rPr>
              <w:t>2022年 11 月 10  日</w:t>
            </w:r>
          </w:p>
          <w:p>
            <w:pPr>
              <w:jc w:val="left"/>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 w:val="21"/>
                <w:szCs w:val="21"/>
                <w:highlight w:val="none"/>
                <w:shd w:val="clear" w:color="auto" w:fill="auto"/>
              </w:rPr>
              <w:t>南宁轨道交通集团有限责任公司官网www.nngdjt.com招标招商中的招标公告处</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 w:val="21"/>
                <w:szCs w:val="21"/>
                <w:highlight w:val="none"/>
                <w:shd w:val="clear" w:color="auto" w:fill="auto"/>
              </w:rPr>
              <w:t>本项目实行网上发售电子版比选文件，不再出售纸质比选文件。比选文件售卖时间为年月日时分至年月日时分（北京时间，下同），凡有意参与的潜在比选申请人，</w:t>
            </w:r>
            <w:r>
              <w:rPr>
                <w:rFonts w:hint="eastAsia" w:ascii="宋体" w:hAnsi="宋体" w:cs="宋体"/>
                <w:color w:val="auto"/>
                <w:szCs w:val="21"/>
                <w:highlight w:val="none"/>
              </w:rPr>
              <w:t>请登录南宁轨道交通集团有限责任公司官网(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比选有效期 </w:t>
            </w:r>
          </w:p>
        </w:tc>
        <w:tc>
          <w:tcPr>
            <w:tcW w:w="6019" w:type="dxa"/>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份，其中正本一份、副本</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019" w:type="dxa"/>
            <w:vAlign w:val="center"/>
          </w:tcPr>
          <w:p>
            <w:pPr>
              <w:pStyle w:val="12"/>
              <w:widowControl/>
              <w:pBdr>
                <w:top w:val="none" w:color="auto" w:sz="0" w:space="0"/>
                <w:left w:val="none" w:color="auto" w:sz="0" w:space="0"/>
                <w:bottom w:val="none" w:color="auto" w:sz="0" w:space="0"/>
                <w:right w:val="none" w:color="auto" w:sz="0" w:space="0"/>
              </w:pBdr>
              <w:shd w:val="clear" w:color="auto" w:fill="FFFFFF"/>
              <w:spacing w:line="300" w:lineRule="auto"/>
              <w:ind w:right="0"/>
              <w:rPr>
                <w:rFonts w:hint="default" w:ascii="宋体" w:hAnsi="宋体" w:cs="宋体" w:eastAsiaTheme="minorEastAsia"/>
                <w:color w:val="auto"/>
                <w:szCs w:val="21"/>
                <w:highlight w:val="none"/>
                <w:lang w:val="en-US" w:eastAsia="zh-CN"/>
              </w:rPr>
            </w:pPr>
            <w:r>
              <w:rPr>
                <w:rFonts w:hint="eastAsia" w:ascii="宋体" w:hAnsi="宋体" w:cs="宋体"/>
                <w:color w:val="auto"/>
                <w:kern w:val="2"/>
                <w:sz w:val="21"/>
                <w:szCs w:val="21"/>
                <w:highlight w:val="none"/>
                <w:lang w:bidi="ar-SA"/>
              </w:rPr>
              <w:t>地点：</w:t>
            </w:r>
            <w:r>
              <w:rPr>
                <w:rFonts w:hint="eastAsia" w:ascii="宋体" w:hAnsi="宋体" w:cs="宋体" w:eastAsiaTheme="minorEastAsia"/>
                <w:color w:val="auto"/>
                <w:kern w:val="2"/>
                <w:sz w:val="21"/>
                <w:szCs w:val="21"/>
                <w:highlight w:val="none"/>
                <w:lang w:val="en-US" w:eastAsia="zh-CN" w:bidi="ar-SA"/>
              </w:rPr>
              <w:t>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比选申请文件递交日期 </w:t>
            </w:r>
          </w:p>
        </w:tc>
        <w:tc>
          <w:tcPr>
            <w:tcW w:w="6019" w:type="dxa"/>
            <w:shd w:val="clear" w:color="auto" w:fill="FFFFFF" w:themeFill="background1"/>
            <w:vAlign w:val="center"/>
          </w:tcPr>
          <w:p>
            <w:pPr>
              <w:ind w:right="753"/>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11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10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比选时间、地点          </w:t>
            </w:r>
          </w:p>
        </w:tc>
        <w:tc>
          <w:tcPr>
            <w:tcW w:w="6019" w:type="dxa"/>
            <w:shd w:val="clear" w:color="auto" w:fill="FFFFFF" w:themeFill="background1"/>
            <w:vAlign w:val="center"/>
          </w:tcPr>
          <w:p>
            <w:pPr>
              <w:ind w:right="-3"/>
              <w:jc w:val="left"/>
              <w:rPr>
                <w:rFonts w:hint="eastAsia" w:ascii="宋体" w:hAnsi="宋体" w:cs="宋体"/>
                <w:color w:val="auto"/>
                <w:szCs w:val="21"/>
                <w:highlight w:val="none"/>
                <w:lang w:val="en-US"/>
              </w:rPr>
            </w:pPr>
            <w:r>
              <w:rPr>
                <w:rFonts w:hint="eastAsia" w:ascii="宋体" w:hAnsi="宋体" w:cs="宋体"/>
                <w:color w:val="auto"/>
                <w:szCs w:val="21"/>
                <w:highlight w:val="none"/>
              </w:rPr>
              <w:t>时间：</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11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10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30</w:t>
            </w:r>
          </w:p>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地点：南宁市青秀区云景路69号轨道大厦</w:t>
            </w:r>
            <w:r>
              <w:rPr>
                <w:rFonts w:hint="eastAsia" w:ascii="宋体" w:hAnsi="宋体" w:cs="宋体"/>
                <w:color w:val="auto"/>
                <w:szCs w:val="21"/>
                <w:highlight w:val="none"/>
                <w:lang w:eastAsia="zh-CN"/>
              </w:rPr>
              <w:t>A2办公楼</w:t>
            </w:r>
            <w:r>
              <w:rPr>
                <w:rFonts w:hint="eastAsia" w:ascii="宋体" w:hAnsi="宋体" w:cs="宋体"/>
                <w:color w:val="auto"/>
                <w:szCs w:val="21"/>
                <w:highlight w:val="none"/>
                <w:lang w:val="en-US" w:eastAsia="zh-CN"/>
              </w:rPr>
              <w:t>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019" w:type="dxa"/>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比选保证金</w:t>
            </w:r>
          </w:p>
        </w:tc>
        <w:tc>
          <w:tcPr>
            <w:tcW w:w="6019" w:type="dxa"/>
            <w:vAlign w:val="center"/>
          </w:tcPr>
          <w:p>
            <w:pPr>
              <w:spacing w:line="240" w:lineRule="exact"/>
              <w:rPr>
                <w:rFonts w:hint="eastAsia" w:ascii="宋体" w:hAnsi="宋体" w:eastAsia="宋体"/>
                <w:color w:val="auto"/>
                <w:szCs w:val="21"/>
                <w:highlight w:val="none"/>
                <w:lang w:eastAsia="zh-CN"/>
              </w:rPr>
            </w:pPr>
            <w:r>
              <w:rPr>
                <w:rFonts w:hint="eastAsia" w:ascii="宋体" w:hAnsi="宋体"/>
                <w:color w:val="auto"/>
                <w:szCs w:val="21"/>
                <w:highlight w:val="none"/>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履约保证金</w:t>
            </w:r>
          </w:p>
        </w:tc>
        <w:tc>
          <w:tcPr>
            <w:tcW w:w="6019" w:type="dxa"/>
            <w:vAlign w:val="center"/>
          </w:tcPr>
          <w:p>
            <w:pPr>
              <w:spacing w:line="240" w:lineRule="exact"/>
              <w:jc w:val="left"/>
              <w:rPr>
                <w:rFonts w:hint="eastAsia" w:ascii="宋体" w:hAnsi="宋体"/>
                <w:color w:val="auto"/>
                <w:szCs w:val="21"/>
                <w:highlight w:val="none"/>
                <w:lang w:eastAsia="zh-CN"/>
              </w:rPr>
            </w:pP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签约</w:t>
            </w:r>
            <w:r>
              <w:rPr>
                <w:rFonts w:hint="eastAsia" w:ascii="宋体" w:hAnsi="宋体"/>
                <w:color w:val="auto"/>
                <w:szCs w:val="21"/>
                <w:highlight w:val="none"/>
                <w:lang w:eastAsia="zh-CN"/>
              </w:rPr>
              <w:t>合同总</w:t>
            </w:r>
            <w:r>
              <w:rPr>
                <w:rFonts w:hint="eastAsia" w:ascii="宋体" w:hAnsi="宋体"/>
                <w:color w:val="auto"/>
                <w:szCs w:val="21"/>
                <w:highlight w:val="none"/>
                <w:lang w:val="en-US" w:eastAsia="zh-CN"/>
              </w:rPr>
              <w:t>价</w:t>
            </w:r>
            <w:r>
              <w:rPr>
                <w:rFonts w:hint="eastAsia" w:ascii="宋体" w:hAnsi="宋体"/>
                <w:color w:val="auto"/>
                <w:szCs w:val="21"/>
                <w:highlight w:val="none"/>
                <w:lang w:eastAsia="zh-CN"/>
              </w:rPr>
              <w:t>的</w:t>
            </w:r>
            <w:r>
              <w:rPr>
                <w:rFonts w:hint="eastAsia" w:ascii="宋体" w:hAnsi="宋体"/>
                <w:color w:val="auto"/>
                <w:szCs w:val="21"/>
                <w:highlight w:val="none"/>
                <w:lang w:val="en-US" w:eastAsia="zh-CN"/>
              </w:rPr>
              <w:t>5%作为履约保证金</w:t>
            </w:r>
            <w:r>
              <w:rPr>
                <w:rFonts w:hint="eastAsia" w:ascii="宋体" w:hAnsi="宋体"/>
                <w:color w:val="auto"/>
                <w:szCs w:val="21"/>
                <w:highlight w:val="none"/>
                <w:lang w:eastAsia="zh-CN"/>
              </w:rPr>
              <w:t>。</w:t>
            </w:r>
          </w:p>
          <w:p>
            <w:pPr>
              <w:spacing w:line="288" w:lineRule="auto"/>
              <w:rPr>
                <w:color w:val="auto"/>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w:t>
            </w:r>
            <w:r>
              <w:rPr>
                <w:rFonts w:hint="eastAsia" w:hAnsi="宋体"/>
                <w:color w:val="auto"/>
                <w:highlight w:val="none"/>
              </w:rPr>
              <w:t>方</w:t>
            </w:r>
            <w:r>
              <w:rPr>
                <w:rFonts w:hAnsi="宋体"/>
                <w:color w:val="auto"/>
                <w:highlight w:val="none"/>
              </w:rPr>
              <w:t>式：</w:t>
            </w:r>
            <w:r>
              <w:rPr>
                <w:rFonts w:hint="eastAsia" w:hAnsi="宋体"/>
                <w:color w:val="auto"/>
                <w:highlight w:val="none"/>
              </w:rPr>
              <w:t>可以银行保函、现金、工程担保或保证保险等形式</w:t>
            </w:r>
            <w:r>
              <w:rPr>
                <w:rFonts w:hint="eastAsia" w:eastAsia="楷体_GB2312"/>
                <w:color w:val="auto"/>
                <w:szCs w:val="21"/>
                <w:highlight w:val="none"/>
              </w:rPr>
              <w:t>【</w:t>
            </w:r>
            <w:r>
              <w:rPr>
                <w:rFonts w:hint="eastAsia" w:eastAsia="楷体_GB2312"/>
                <w:color w:val="auto"/>
                <w:highlight w:val="none"/>
              </w:rPr>
              <w:t>备注：严禁要求</w:t>
            </w:r>
            <w:r>
              <w:rPr>
                <w:rFonts w:hint="eastAsia" w:eastAsia="楷体_GB2312"/>
                <w:color w:val="auto"/>
                <w:highlight w:val="none"/>
                <w:lang w:eastAsia="zh-CN"/>
              </w:rPr>
              <w:t>中选</w:t>
            </w:r>
            <w:r>
              <w:rPr>
                <w:rFonts w:hint="eastAsia" w:eastAsia="楷体_GB2312"/>
                <w:color w:val="auto"/>
                <w:highlight w:val="none"/>
              </w:rPr>
              <w:t>人只能以现金方式提交保证金的行为</w:t>
            </w:r>
            <w:r>
              <w:rPr>
                <w:rFonts w:hint="eastAsia" w:eastAsia="楷体_GB2312"/>
                <w:color w:val="auto"/>
                <w:szCs w:val="21"/>
                <w:highlight w:val="none"/>
              </w:rPr>
              <w:t>】</w:t>
            </w:r>
          </w:p>
          <w:p>
            <w:pPr>
              <w:spacing w:line="288" w:lineRule="auto"/>
              <w:rPr>
                <w:rFonts w:eastAsia="楷体_GB2312"/>
                <w:color w:val="auto"/>
                <w:szCs w:val="21"/>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的金额：</w:t>
            </w:r>
            <w:r>
              <w:rPr>
                <w:rFonts w:hint="eastAsia" w:hAnsi="宋体"/>
                <w:color w:val="auto"/>
                <w:highlight w:val="none"/>
                <w:lang w:val="en-US" w:eastAsia="zh-CN"/>
              </w:rPr>
              <w:t>签约</w:t>
            </w:r>
            <w:r>
              <w:rPr>
                <w:rFonts w:hint="eastAsia" w:hAnsi="宋体"/>
                <w:color w:val="auto"/>
                <w:highlight w:val="none"/>
              </w:rPr>
              <w:t>合同</w:t>
            </w:r>
            <w:r>
              <w:rPr>
                <w:rFonts w:hint="eastAsia" w:hAnsi="宋体"/>
                <w:color w:val="auto"/>
                <w:highlight w:val="none"/>
                <w:lang w:val="en-US" w:eastAsia="zh-CN"/>
              </w:rPr>
              <w:t>总价</w:t>
            </w:r>
            <w:r>
              <w:rPr>
                <w:rFonts w:hint="eastAsia" w:hAnsi="宋体"/>
                <w:color w:val="auto"/>
                <w:highlight w:val="none"/>
              </w:rPr>
              <w:t>的5%</w:t>
            </w:r>
            <w:r>
              <w:rPr>
                <w:rFonts w:hint="eastAsia" w:eastAsia="楷体_GB2312"/>
                <w:color w:val="auto"/>
                <w:szCs w:val="21"/>
                <w:highlight w:val="none"/>
              </w:rPr>
              <w:t>【</w:t>
            </w:r>
            <w:r>
              <w:rPr>
                <w:rFonts w:hint="eastAsia" w:eastAsia="楷体_GB2312"/>
                <w:color w:val="auto"/>
                <w:highlight w:val="none"/>
              </w:rPr>
              <w:t>备注：资金来源为财政资金或国有资金的项目履约保证金不得超过</w:t>
            </w:r>
            <w:r>
              <w:rPr>
                <w:rFonts w:hint="eastAsia" w:eastAsia="楷体_GB2312"/>
                <w:color w:val="auto"/>
                <w:highlight w:val="none"/>
                <w:lang w:eastAsia="zh-CN"/>
              </w:rPr>
              <w:t>中选</w:t>
            </w:r>
            <w:r>
              <w:rPr>
                <w:rFonts w:hint="eastAsia" w:eastAsia="楷体_GB2312"/>
                <w:color w:val="auto"/>
                <w:highlight w:val="none"/>
              </w:rPr>
              <w:t>合同金额的 5%，其余项目不得超过</w:t>
            </w:r>
            <w:r>
              <w:rPr>
                <w:rFonts w:hint="eastAsia" w:eastAsia="楷体_GB2312"/>
                <w:color w:val="auto"/>
                <w:highlight w:val="none"/>
                <w:lang w:eastAsia="zh-CN"/>
              </w:rPr>
              <w:t>中选</w:t>
            </w:r>
            <w:r>
              <w:rPr>
                <w:rFonts w:hint="eastAsia" w:eastAsia="楷体_GB2312"/>
                <w:color w:val="auto"/>
                <w:highlight w:val="none"/>
              </w:rPr>
              <w:t>合同金额的 10%</w:t>
            </w:r>
            <w:r>
              <w:rPr>
                <w:rFonts w:hint="eastAsia" w:eastAsia="楷体_GB2312"/>
                <w:color w:val="auto"/>
                <w:szCs w:val="21"/>
                <w:highlight w:val="none"/>
              </w:rPr>
              <w:t>】</w:t>
            </w:r>
          </w:p>
          <w:p>
            <w:pPr>
              <w:spacing w:line="240" w:lineRule="exact"/>
              <w:jc w:val="left"/>
              <w:rPr>
                <w:rFonts w:hint="eastAsia" w:ascii="宋体" w:hAnsi="宋体"/>
                <w:color w:val="auto"/>
                <w:szCs w:val="21"/>
                <w:highlight w:val="none"/>
                <w:lang w:eastAsia="zh-CN"/>
              </w:rPr>
            </w:pPr>
            <w:r>
              <w:rPr>
                <w:rFonts w:hint="eastAsia" w:hAnsi="宋体"/>
                <w:color w:val="auto"/>
                <w:highlight w:val="none"/>
              </w:rPr>
              <w:t>在收到中</w:t>
            </w:r>
            <w:r>
              <w:rPr>
                <w:rFonts w:hint="eastAsia" w:hAnsi="宋体"/>
                <w:color w:val="auto"/>
                <w:highlight w:val="none"/>
                <w:lang w:eastAsia="zh-CN"/>
              </w:rPr>
              <w:t>选</w:t>
            </w:r>
            <w:r>
              <w:rPr>
                <w:rFonts w:hint="eastAsia" w:hAnsi="宋体"/>
                <w:color w:val="auto"/>
                <w:highlight w:val="none"/>
              </w:rPr>
              <w:t>通知书后，中</w:t>
            </w:r>
            <w:r>
              <w:rPr>
                <w:rFonts w:hint="eastAsia" w:hAnsi="宋体"/>
                <w:color w:val="auto"/>
                <w:highlight w:val="none"/>
                <w:lang w:eastAsia="zh-CN"/>
              </w:rPr>
              <w:t>选</w:t>
            </w:r>
            <w:r>
              <w:rPr>
                <w:rFonts w:hint="eastAsia" w:hAnsi="宋体"/>
                <w:color w:val="auto"/>
                <w:highlight w:val="none"/>
              </w:rPr>
              <w:t>单位须在合同签订前 10 个工作日内向</w:t>
            </w:r>
            <w:r>
              <w:rPr>
                <w:rFonts w:hint="eastAsia" w:hAnsi="宋体"/>
                <w:color w:val="auto"/>
                <w:highlight w:val="none"/>
                <w:lang w:eastAsia="zh-CN"/>
              </w:rPr>
              <w:t>比选发起人</w:t>
            </w:r>
            <w:r>
              <w:rPr>
                <w:rFonts w:hint="eastAsia" w:hAnsi="宋体"/>
                <w:color w:val="auto"/>
                <w:highlight w:val="none"/>
              </w:rPr>
              <w:t>提交履约保证（因工程项目征地、拆迁影响项目开工的，</w:t>
            </w:r>
            <w:r>
              <w:rPr>
                <w:rFonts w:hint="eastAsia" w:hAnsi="宋体"/>
                <w:color w:val="auto"/>
                <w:highlight w:val="none"/>
                <w:lang w:eastAsia="zh-CN"/>
              </w:rPr>
              <w:t>比选发起人</w:t>
            </w:r>
            <w:r>
              <w:rPr>
                <w:rFonts w:hint="eastAsia" w:hAnsi="宋体"/>
                <w:color w:val="auto"/>
                <w:highlight w:val="none"/>
              </w:rPr>
              <w:t>应当相应延长提交履约担保金的时间，具体由</w:t>
            </w:r>
            <w:r>
              <w:rPr>
                <w:rFonts w:hint="eastAsia" w:hAnsi="宋体"/>
                <w:color w:val="auto"/>
                <w:highlight w:val="none"/>
                <w:lang w:eastAsia="zh-CN"/>
              </w:rPr>
              <w:t>比选发起人</w:t>
            </w:r>
            <w:r>
              <w:rPr>
                <w:rFonts w:hint="eastAsia" w:hAnsi="宋体"/>
                <w:color w:val="auto"/>
                <w:highlight w:val="none"/>
              </w:rPr>
              <w:t>确定） ，否则</w:t>
            </w:r>
            <w:r>
              <w:rPr>
                <w:rFonts w:hint="eastAsia" w:hAnsi="宋体"/>
                <w:color w:val="auto"/>
                <w:highlight w:val="none"/>
                <w:lang w:eastAsia="zh-CN"/>
              </w:rPr>
              <w:t>比选发起人</w:t>
            </w:r>
            <w:r>
              <w:rPr>
                <w:rFonts w:hint="eastAsia" w:hAnsi="宋体"/>
                <w:color w:val="auto"/>
                <w:highlight w:val="none"/>
              </w:rPr>
              <w:t>将取消其</w:t>
            </w:r>
            <w:r>
              <w:rPr>
                <w:rFonts w:hint="eastAsia" w:hAnsi="宋体"/>
                <w:color w:val="auto"/>
                <w:highlight w:val="none"/>
                <w:lang w:eastAsia="zh-CN"/>
              </w:rPr>
              <w:t>中选</w:t>
            </w:r>
            <w:r>
              <w:rPr>
                <w:rFonts w:hint="eastAsia" w:hAnsi="宋体"/>
                <w:color w:val="auto"/>
                <w:highlight w:val="none"/>
              </w:rPr>
              <w:t>资格。履约保证金在监理服务期满后 30 天内退还给监理人。在收到</w:t>
            </w:r>
            <w:r>
              <w:rPr>
                <w:rFonts w:hint="eastAsia" w:hAnsi="宋体"/>
                <w:color w:val="auto"/>
                <w:highlight w:val="none"/>
                <w:lang w:eastAsia="zh-CN"/>
              </w:rPr>
              <w:t>中选</w:t>
            </w:r>
            <w:r>
              <w:rPr>
                <w:rFonts w:hint="eastAsia" w:hAnsi="宋体"/>
                <w:color w:val="auto"/>
                <w:highlight w:val="none"/>
              </w:rPr>
              <w:t>通知书后，</w:t>
            </w:r>
            <w:r>
              <w:rPr>
                <w:rFonts w:hint="eastAsia" w:hAnsi="宋体"/>
                <w:color w:val="auto"/>
                <w:highlight w:val="none"/>
                <w:lang w:eastAsia="zh-CN"/>
              </w:rPr>
              <w:t>中选</w:t>
            </w:r>
            <w:r>
              <w:rPr>
                <w:rFonts w:hint="eastAsia" w:hAnsi="宋体"/>
                <w:color w:val="auto"/>
                <w:highlight w:val="none"/>
              </w:rPr>
              <w:t>单位须在合同签订前向</w:t>
            </w:r>
            <w:r>
              <w:rPr>
                <w:rFonts w:hint="eastAsia" w:hAnsi="宋体"/>
                <w:color w:val="auto"/>
                <w:highlight w:val="none"/>
                <w:lang w:eastAsia="zh-CN"/>
              </w:rPr>
              <w:t>比选发起人</w:t>
            </w:r>
            <w:r>
              <w:rPr>
                <w:rFonts w:hint="eastAsia" w:hAnsi="宋体"/>
                <w:color w:val="auto"/>
                <w:highlight w:val="none"/>
              </w:rPr>
              <w:t>提交履约保证金，否则</w:t>
            </w:r>
            <w:r>
              <w:rPr>
                <w:rFonts w:hint="eastAsia" w:hAnsi="宋体"/>
                <w:color w:val="auto"/>
                <w:highlight w:val="none"/>
                <w:lang w:eastAsia="zh-CN"/>
              </w:rPr>
              <w:t>比选发起人</w:t>
            </w:r>
            <w:r>
              <w:rPr>
                <w:rFonts w:hint="eastAsia" w:hAnsi="宋体"/>
                <w:color w:val="auto"/>
                <w:highlight w:val="none"/>
              </w:rPr>
              <w:t>可以取消其</w:t>
            </w:r>
            <w:r>
              <w:rPr>
                <w:rFonts w:hint="eastAsia" w:hAnsi="宋体"/>
                <w:color w:val="auto"/>
                <w:highlight w:val="none"/>
                <w:lang w:eastAsia="zh-CN"/>
              </w:rPr>
              <w:t>中选</w:t>
            </w:r>
            <w:r>
              <w:rPr>
                <w:rFonts w:hint="eastAsia" w:hAnsi="宋体"/>
                <w:color w:val="auto"/>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019" w:type="dxa"/>
            <w:vAlign w:val="center"/>
          </w:tcPr>
          <w:p>
            <w:pPr>
              <w:ind w:right="753"/>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陆国天  0771-2778432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中选单位如放弃中选资格，则比选发起人有权将其列入不良行为记录名单、</w:t>
            </w: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年内禁止其参加比选发起人的任何采购活动。</w:t>
            </w:r>
          </w:p>
        </w:tc>
      </w:tr>
    </w:tbl>
    <w:p>
      <w:pPr>
        <w:rPr>
          <w:rFonts w:hint="eastAsia" w:ascii="宋体" w:hAnsi="宋体" w:cs="宋体"/>
          <w:color w:val="auto"/>
          <w:szCs w:val="28"/>
          <w:highlight w:val="none"/>
          <w:lang w:val="en-US" w:eastAsia="zh-CN"/>
        </w:rPr>
      </w:pPr>
    </w:p>
    <w:p>
      <w:pPr>
        <w:rPr>
          <w:rFonts w:hint="eastAsia" w:ascii="宋体" w:hAnsi="宋体" w:cs="宋体"/>
          <w:color w:val="auto"/>
          <w:szCs w:val="28"/>
          <w:highlight w:val="none"/>
          <w:lang w:val="en-US" w:eastAsia="zh-CN"/>
        </w:rPr>
      </w:pPr>
    </w:p>
    <w:p>
      <w:pPr>
        <w:pStyle w:val="4"/>
        <w:jc w:val="center"/>
        <w:rPr>
          <w:color w:val="auto"/>
          <w:sz w:val="21"/>
          <w:szCs w:val="21"/>
          <w:highlight w:val="none"/>
        </w:rPr>
      </w:pPr>
      <w:bookmarkStart w:id="40" w:name="_Toc4834"/>
      <w:bookmarkStart w:id="41" w:name="_Toc8560"/>
      <w:bookmarkStart w:id="42" w:name="_Toc31786"/>
      <w:bookmarkStart w:id="43" w:name="_Toc14220"/>
      <w:bookmarkStart w:id="44" w:name="_Toc15190"/>
      <w:bookmarkStart w:id="45" w:name="_Toc11673"/>
      <w:bookmarkStart w:id="46" w:name="_Toc22025"/>
      <w:r>
        <w:rPr>
          <w:rFonts w:hint="eastAsia"/>
          <w:color w:val="auto"/>
          <w:sz w:val="21"/>
          <w:szCs w:val="21"/>
          <w:highlight w:val="none"/>
        </w:rPr>
        <w:t>一、</w:t>
      </w:r>
      <w:r>
        <w:rPr>
          <w:color w:val="auto"/>
          <w:sz w:val="21"/>
          <w:szCs w:val="21"/>
          <w:highlight w:val="none"/>
        </w:rPr>
        <w:t>总则</w:t>
      </w:r>
      <w:bookmarkEnd w:id="40"/>
      <w:bookmarkEnd w:id="41"/>
      <w:bookmarkEnd w:id="42"/>
      <w:bookmarkEnd w:id="43"/>
      <w:bookmarkEnd w:id="44"/>
      <w:bookmarkEnd w:id="45"/>
      <w:bookmarkEnd w:id="46"/>
    </w:p>
    <w:p>
      <w:pPr>
        <w:ind w:right="753"/>
        <w:jc w:val="left"/>
        <w:rPr>
          <w:rFonts w:ascii="宋体" w:hAnsi="宋体" w:cs="宋体"/>
          <w:color w:val="auto"/>
          <w:szCs w:val="21"/>
          <w:highlight w:val="none"/>
        </w:rPr>
      </w:pPr>
      <w:bookmarkStart w:id="47" w:name="_Toc310318572"/>
      <w:bookmarkStart w:id="48" w:name="_Toc286386834"/>
      <w:bookmarkStart w:id="49" w:name="_Toc114052340"/>
      <w:bookmarkStart w:id="50" w:name="_Toc114052414"/>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1.项目比选说明</w:t>
      </w:r>
      <w:bookmarkEnd w:id="47"/>
      <w:bookmarkEnd w:id="48"/>
      <w:bookmarkEnd w:id="49"/>
      <w:bookmarkEnd w:id="50"/>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 项目比选的说明见比选须知前附表（以下称“前附表”）第1项～第21项所述。</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 上述项目按照国家有关的法律、法规作为依据，并按照南宁市政府现行有关规定执行，</w:t>
      </w:r>
      <w:r>
        <w:rPr>
          <w:rFonts w:hint="eastAsia" w:ascii="宋体" w:hAnsi="宋体" w:cs="宋体"/>
          <w:color w:val="auto"/>
          <w:szCs w:val="21"/>
          <w:highlight w:val="none"/>
          <w:lang w:val="en-US" w:eastAsia="zh-CN"/>
        </w:rPr>
        <w:t>南宁铁路枢纽投资有限公司</w:t>
      </w:r>
      <w:r>
        <w:rPr>
          <w:rFonts w:hint="eastAsia" w:ascii="宋体" w:hAnsi="宋体" w:cs="宋体"/>
          <w:color w:val="auto"/>
          <w:szCs w:val="21"/>
          <w:highlight w:val="none"/>
        </w:rPr>
        <w:t>现通过公开比选来择优选定服务单位。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2.工作内容：</w:t>
      </w:r>
    </w:p>
    <w:p>
      <w:pPr>
        <w:ind w:right="753" w:firstLine="420" w:firstLineChars="200"/>
        <w:jc w:val="left"/>
        <w:rPr>
          <w:rFonts w:hint="eastAsia" w:ascii="宋体" w:hAnsi="宋体" w:cs="宋体"/>
          <w:b/>
          <w:bCs/>
          <w:color w:val="auto"/>
          <w:szCs w:val="21"/>
          <w:highlight w:val="none"/>
        </w:rPr>
      </w:pPr>
      <w:r>
        <w:rPr>
          <w:rFonts w:hint="eastAsia" w:ascii="宋体" w:hAnsi="宋体" w:cs="宋体"/>
          <w:color w:val="auto"/>
          <w:sz w:val="21"/>
          <w:szCs w:val="21"/>
          <w:highlight w:val="none"/>
        </w:rPr>
        <w:t>工作内容见前附表第3项所述。</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w:t>
      </w:r>
    </w:p>
    <w:p>
      <w:pPr>
        <w:ind w:right="753"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3.资金来源</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资金来源见前附表第4项所述。</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4.</w:t>
      </w:r>
      <w:bookmarkStart w:id="51" w:name="_Toc310318574"/>
      <w:bookmarkStart w:id="52" w:name="_Toc114052342"/>
      <w:bookmarkStart w:id="53" w:name="_Toc286386836"/>
      <w:bookmarkStart w:id="54" w:name="_Toc114052416"/>
      <w:r>
        <w:rPr>
          <w:rFonts w:hint="eastAsia" w:ascii="宋体" w:hAnsi="宋体" w:cs="宋体"/>
          <w:b/>
          <w:bCs/>
          <w:color w:val="auto"/>
          <w:szCs w:val="21"/>
          <w:highlight w:val="none"/>
        </w:rPr>
        <w:t>比选申请人资格要求</w:t>
      </w:r>
      <w:bookmarkEnd w:id="51"/>
      <w:bookmarkEnd w:id="52"/>
      <w:bookmarkEnd w:id="53"/>
      <w:bookmarkEnd w:id="54"/>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4.1比选申请人必须具有前附表第9项相应的资质及要求。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5.</w:t>
      </w:r>
      <w:bookmarkStart w:id="55" w:name="_Toc114052417"/>
      <w:bookmarkStart w:id="56" w:name="_Toc114052343"/>
      <w:bookmarkStart w:id="57" w:name="_Toc286386837"/>
      <w:bookmarkStart w:id="58" w:name="_Toc310318575"/>
      <w:r>
        <w:rPr>
          <w:rFonts w:hint="eastAsia" w:ascii="宋体" w:hAnsi="宋体" w:cs="宋体"/>
          <w:b/>
          <w:bCs/>
          <w:color w:val="auto"/>
          <w:szCs w:val="21"/>
          <w:highlight w:val="none"/>
        </w:rPr>
        <w:t>申请比选费用</w:t>
      </w:r>
      <w:bookmarkEnd w:id="55"/>
      <w:bookmarkEnd w:id="56"/>
      <w:bookmarkEnd w:id="57"/>
      <w:bookmarkEnd w:id="58"/>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5.1 比选申请人应承担其编制文件与递交文件所涉及的一切费用。不管评比结果如何，比选人对上述费用不负任何责任。</w:t>
      </w:r>
    </w:p>
    <w:p>
      <w:pPr>
        <w:pStyle w:val="4"/>
        <w:jc w:val="center"/>
        <w:rPr>
          <w:color w:val="auto"/>
          <w:sz w:val="21"/>
          <w:szCs w:val="21"/>
          <w:highlight w:val="none"/>
        </w:rPr>
      </w:pPr>
      <w:bookmarkStart w:id="59" w:name="_Toc15439"/>
      <w:bookmarkStart w:id="60" w:name="_Toc6585"/>
      <w:bookmarkStart w:id="61" w:name="_Toc17323"/>
      <w:bookmarkStart w:id="62" w:name="_Toc17725"/>
      <w:bookmarkStart w:id="63" w:name="_Toc25256"/>
      <w:bookmarkStart w:id="64" w:name="_Toc22143"/>
      <w:bookmarkStart w:id="65" w:name="_Toc461525298"/>
      <w:bookmarkStart w:id="66" w:name="_Toc8029"/>
      <w:bookmarkStart w:id="67" w:name="_Toc3066"/>
      <w:bookmarkStart w:id="68" w:name="_Toc5665"/>
      <w:bookmarkStart w:id="69" w:name="_Toc18033"/>
      <w:bookmarkStart w:id="70" w:name="_Toc4061"/>
      <w:bookmarkStart w:id="71" w:name="_Toc16023"/>
      <w:bookmarkStart w:id="72" w:name="_Toc18809"/>
      <w:bookmarkStart w:id="73" w:name="_Toc1270"/>
      <w:bookmarkStart w:id="74" w:name="_Toc5243"/>
      <w:bookmarkStart w:id="75" w:name="_Toc471482362"/>
      <w:bookmarkStart w:id="76" w:name="_Toc14136"/>
      <w:bookmarkStart w:id="77" w:name="_Toc6541"/>
      <w:bookmarkStart w:id="78" w:name="_Toc5207"/>
      <w:bookmarkStart w:id="79" w:name="_Toc26141"/>
      <w:r>
        <w:rPr>
          <w:rFonts w:hint="eastAsia"/>
          <w:color w:val="auto"/>
          <w:sz w:val="21"/>
          <w:szCs w:val="21"/>
          <w:highlight w:val="none"/>
        </w:rPr>
        <w:t>二、</w:t>
      </w:r>
      <w:r>
        <w:rPr>
          <w:color w:val="auto"/>
          <w:sz w:val="21"/>
          <w:szCs w:val="21"/>
          <w:highlight w:val="none"/>
        </w:rPr>
        <w:t>比选文件</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6.</w:t>
      </w:r>
      <w:bookmarkStart w:id="80" w:name="_Toc286386839"/>
      <w:bookmarkStart w:id="81" w:name="_Toc114052345"/>
      <w:bookmarkStart w:id="82" w:name="_Toc310318577"/>
      <w:bookmarkStart w:id="83" w:name="_Toc114052419"/>
      <w:r>
        <w:rPr>
          <w:rFonts w:hint="eastAsia" w:ascii="宋体" w:hAnsi="宋体" w:cs="宋体"/>
          <w:b/>
          <w:bCs/>
          <w:color w:val="auto"/>
          <w:szCs w:val="21"/>
          <w:highlight w:val="none"/>
        </w:rPr>
        <w:t>比选文件的组成</w:t>
      </w:r>
      <w:bookmarkEnd w:id="80"/>
      <w:bookmarkEnd w:id="81"/>
      <w:bookmarkEnd w:id="82"/>
      <w:bookmarkEnd w:id="83"/>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outlineLvl w:val="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7.</w:t>
      </w:r>
      <w:bookmarkStart w:id="84" w:name="_Toc114052420"/>
      <w:bookmarkStart w:id="85" w:name="_Toc286386840"/>
      <w:bookmarkStart w:id="86" w:name="_Toc310318578"/>
      <w:bookmarkStart w:id="87" w:name="_Toc114052346"/>
      <w:r>
        <w:rPr>
          <w:rFonts w:hint="eastAsia" w:ascii="宋体" w:hAnsi="宋体" w:cs="宋体"/>
          <w:b/>
          <w:bCs/>
          <w:color w:val="auto"/>
          <w:szCs w:val="21"/>
          <w:highlight w:val="none"/>
        </w:rPr>
        <w:t>比选文件的解释</w:t>
      </w:r>
      <w:bookmarkEnd w:id="84"/>
      <w:bookmarkEnd w:id="85"/>
      <w:bookmarkEnd w:id="86"/>
      <w:bookmarkEnd w:id="87"/>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8.</w:t>
      </w:r>
      <w:bookmarkStart w:id="88" w:name="_Toc114052421"/>
      <w:bookmarkStart w:id="89" w:name="_Toc310318579"/>
      <w:bookmarkStart w:id="90" w:name="_Toc286386841"/>
      <w:bookmarkStart w:id="91" w:name="_Toc114052347"/>
      <w:r>
        <w:rPr>
          <w:rFonts w:hint="eastAsia" w:ascii="宋体" w:hAnsi="宋体" w:cs="宋体"/>
          <w:b/>
          <w:bCs/>
          <w:color w:val="auto"/>
          <w:szCs w:val="21"/>
          <w:highlight w:val="none"/>
        </w:rPr>
        <w:t>比选文件的修改</w:t>
      </w:r>
      <w:bookmarkEnd w:id="88"/>
      <w:bookmarkEnd w:id="89"/>
      <w:bookmarkEnd w:id="90"/>
      <w:bookmarkEnd w:id="9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8.2 补充通知将以书面形式，在比选人官网发布，补充通知作为比选文件的组成部分，对比选申请人起约束作用。</w:t>
      </w:r>
    </w:p>
    <w:p>
      <w:pPr>
        <w:pStyle w:val="4"/>
        <w:jc w:val="center"/>
        <w:rPr>
          <w:color w:val="auto"/>
          <w:sz w:val="21"/>
          <w:szCs w:val="21"/>
          <w:highlight w:val="none"/>
        </w:rPr>
      </w:pPr>
      <w:bookmarkStart w:id="92" w:name="_Toc471482363"/>
      <w:bookmarkStart w:id="93" w:name="_Toc24574"/>
      <w:bookmarkStart w:id="94" w:name="_Toc10471"/>
      <w:bookmarkStart w:id="95" w:name="_Toc10523"/>
      <w:bookmarkStart w:id="96" w:name="_Toc461525299"/>
      <w:bookmarkStart w:id="97" w:name="_Toc19209"/>
      <w:bookmarkStart w:id="98" w:name="_Toc26897"/>
      <w:bookmarkStart w:id="99" w:name="_Toc3750"/>
      <w:bookmarkStart w:id="100" w:name="_Toc18772"/>
      <w:bookmarkStart w:id="101" w:name="_Toc9453"/>
      <w:bookmarkStart w:id="102" w:name="_Toc8400"/>
      <w:bookmarkStart w:id="103" w:name="_Toc9684"/>
      <w:bookmarkStart w:id="104" w:name="_Toc29216"/>
      <w:bookmarkStart w:id="105" w:name="_Toc32257"/>
      <w:bookmarkStart w:id="106" w:name="_Toc10645"/>
      <w:bookmarkStart w:id="107" w:name="_Toc12831"/>
      <w:bookmarkStart w:id="108" w:name="_Toc9199"/>
      <w:bookmarkStart w:id="109" w:name="_Toc21902"/>
      <w:bookmarkStart w:id="110" w:name="_Toc6395"/>
      <w:bookmarkStart w:id="111" w:name="_Toc30617"/>
      <w:bookmarkStart w:id="112" w:name="_Toc26503"/>
      <w:r>
        <w:rPr>
          <w:rFonts w:hint="eastAsia"/>
          <w:color w:val="auto"/>
          <w:sz w:val="21"/>
          <w:szCs w:val="21"/>
          <w:highlight w:val="none"/>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9.</w:t>
      </w:r>
      <w:bookmarkStart w:id="113" w:name="_Toc286386843"/>
      <w:bookmarkStart w:id="114" w:name="_Toc114052349"/>
      <w:bookmarkStart w:id="115" w:name="_Toc114052423"/>
      <w:bookmarkStart w:id="116" w:name="_Toc310318581"/>
      <w:r>
        <w:rPr>
          <w:rFonts w:hint="eastAsia" w:ascii="宋体" w:hAnsi="宋体" w:cs="宋体"/>
          <w:b/>
          <w:bCs/>
          <w:color w:val="auto"/>
          <w:szCs w:val="21"/>
          <w:highlight w:val="none"/>
        </w:rPr>
        <w:t>申请比选</w:t>
      </w:r>
      <w:bookmarkEnd w:id="113"/>
      <w:bookmarkEnd w:id="114"/>
      <w:bookmarkEnd w:id="115"/>
      <w:r>
        <w:rPr>
          <w:rFonts w:hint="eastAsia" w:ascii="宋体" w:hAnsi="宋体" w:cs="宋体"/>
          <w:b/>
          <w:bCs/>
          <w:color w:val="auto"/>
          <w:szCs w:val="21"/>
          <w:highlight w:val="none"/>
        </w:rPr>
        <w:t>报价</w:t>
      </w:r>
      <w:bookmarkEnd w:id="116"/>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9.1申请比选报价见比选须知前附表第7项所述。</w:t>
      </w:r>
    </w:p>
    <w:p>
      <w:pPr>
        <w:pStyle w:val="4"/>
        <w:jc w:val="center"/>
        <w:rPr>
          <w:color w:val="auto"/>
          <w:sz w:val="21"/>
          <w:szCs w:val="21"/>
          <w:highlight w:val="none"/>
        </w:rPr>
      </w:pPr>
      <w:bookmarkStart w:id="117" w:name="_Toc2346"/>
      <w:bookmarkStart w:id="118" w:name="_Toc11943"/>
      <w:bookmarkStart w:id="119" w:name="_Toc17188"/>
      <w:bookmarkStart w:id="120" w:name="_Toc17722"/>
      <w:bookmarkStart w:id="121" w:name="_Toc31461"/>
      <w:bookmarkStart w:id="122" w:name="_Toc18607"/>
      <w:bookmarkStart w:id="123" w:name="_Toc25856"/>
      <w:bookmarkStart w:id="124" w:name="_Toc23455"/>
      <w:bookmarkStart w:id="125" w:name="_Toc14062"/>
      <w:bookmarkStart w:id="126" w:name="_Toc24426"/>
      <w:bookmarkStart w:id="127" w:name="_Toc17259"/>
      <w:bookmarkStart w:id="128" w:name="_Toc471482364"/>
      <w:bookmarkStart w:id="129" w:name="_Toc23191"/>
      <w:bookmarkStart w:id="130" w:name="_Toc19972"/>
      <w:bookmarkStart w:id="131" w:name="_Toc15414"/>
      <w:bookmarkStart w:id="132" w:name="_Toc5583"/>
      <w:bookmarkStart w:id="133" w:name="_Toc29605"/>
      <w:bookmarkStart w:id="134" w:name="_Toc2776"/>
      <w:bookmarkStart w:id="135" w:name="_Toc461525300"/>
      <w:bookmarkStart w:id="136" w:name="_Toc26352"/>
      <w:bookmarkStart w:id="137" w:name="_Toc26723"/>
      <w:r>
        <w:rPr>
          <w:rFonts w:hint="eastAsia"/>
          <w:color w:val="auto"/>
          <w:sz w:val="21"/>
          <w:szCs w:val="21"/>
          <w:highlight w:val="none"/>
        </w:rPr>
        <w:t>四、比选申请文件的编制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10.</w:t>
      </w:r>
      <w:bookmarkStart w:id="138" w:name="_Toc286386845"/>
      <w:bookmarkStart w:id="139" w:name="_Toc310318583"/>
      <w:r>
        <w:rPr>
          <w:rFonts w:hint="eastAsia" w:ascii="宋体" w:hAnsi="宋体" w:cs="宋体"/>
          <w:b/>
          <w:bCs/>
          <w:color w:val="auto"/>
          <w:szCs w:val="21"/>
          <w:highlight w:val="none"/>
        </w:rPr>
        <w:t>比选申请文件编写注意事项</w:t>
      </w:r>
      <w:bookmarkEnd w:id="138"/>
      <w:bookmarkEnd w:id="139"/>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color w:val="auto"/>
          <w:szCs w:val="21"/>
          <w:highlight w:val="none"/>
        </w:rPr>
      </w:pPr>
      <w:bookmarkStart w:id="140" w:name="_Toc114052426"/>
      <w:bookmarkStart w:id="141" w:name="_Toc310318584"/>
      <w:bookmarkStart w:id="142" w:name="_Toc286386846"/>
      <w:bookmarkStart w:id="143" w:name="_Toc114052352"/>
      <w:r>
        <w:rPr>
          <w:rFonts w:hint="eastAsia" w:ascii="宋体" w:hAnsi="宋体" w:cs="宋体"/>
          <w:color w:val="auto"/>
          <w:szCs w:val="21"/>
          <w:highlight w:val="none"/>
        </w:rPr>
        <w:t xml:space="preserve">    </w:t>
      </w:r>
      <w:r>
        <w:rPr>
          <w:rFonts w:hint="eastAsia" w:ascii="宋体" w:hAnsi="宋体" w:cs="宋体"/>
          <w:b/>
          <w:bCs/>
          <w:color w:val="auto"/>
          <w:szCs w:val="21"/>
          <w:highlight w:val="none"/>
        </w:rPr>
        <w:t>11.比选申请文件的组成</w:t>
      </w:r>
      <w:bookmarkEnd w:id="140"/>
      <w:bookmarkEnd w:id="141"/>
      <w:bookmarkEnd w:id="142"/>
      <w:bookmarkEnd w:id="143"/>
    </w:p>
    <w:p>
      <w:pPr>
        <w:ind w:right="-21"/>
        <w:jc w:val="left"/>
        <w:rPr>
          <w:rFonts w:ascii="宋体" w:hAnsi="宋体" w:cs="宋体"/>
          <w:color w:val="auto"/>
          <w:szCs w:val="21"/>
          <w:highlight w:val="none"/>
        </w:rPr>
      </w:pPr>
      <w:bookmarkStart w:id="144" w:name="_Toc114052354"/>
      <w:r>
        <w:rPr>
          <w:rFonts w:hint="eastAsia" w:ascii="宋体" w:hAnsi="宋体" w:cs="宋体"/>
          <w:color w:val="auto"/>
          <w:szCs w:val="21"/>
          <w:highlight w:val="none"/>
        </w:rPr>
        <w:t xml:space="preserve">    11.1比选申请文件由资格审查部分、技术部分、商务部分三部分组成，详细要求与部分格式详见第三章。</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11.2资格审查部分主要包括下列内容：</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（1）诚信声明（原件）；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（2）法定代表人资格证明书（原件）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（4）比选申请文件签署授权委托书（原件）；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（5）授权代表人身份证（复印件加盖单位公章）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（6）营业执照复印件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税务登记证复印件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如已办理三证合一则不需提供）</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组织机构代码证复印件（ 如已办理三证合一则不需提供）（加盖单位公章）； </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r>
        <w:rPr>
          <w:rFonts w:hint="eastAsia"/>
          <w:color w:val="auto"/>
          <w:highlight w:val="none"/>
        </w:rPr>
        <w:t>企业资质证书</w:t>
      </w:r>
      <w:r>
        <w:rPr>
          <w:rFonts w:hint="eastAsia" w:ascii="宋体" w:hAnsi="宋体" w:cs="宋体"/>
          <w:color w:val="auto"/>
          <w:szCs w:val="21"/>
          <w:highlight w:val="none"/>
        </w:rPr>
        <w:t>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（8）</w:t>
      </w:r>
      <w:r>
        <w:rPr>
          <w:rFonts w:hAnsi="宋体"/>
          <w:color w:val="auto"/>
          <w:highlight w:val="none"/>
        </w:rPr>
        <w:t>联合体协议书</w:t>
      </w:r>
      <w:r>
        <w:rPr>
          <w:rFonts w:hint="eastAsia" w:hAnsi="宋体"/>
          <w:color w:val="auto"/>
          <w:highlight w:val="none"/>
        </w:rPr>
        <w:t>原件</w:t>
      </w:r>
      <w:r>
        <w:rPr>
          <w:rFonts w:hAnsi="宋体"/>
          <w:color w:val="auto"/>
          <w:highlight w:val="none"/>
        </w:rPr>
        <w:t>扫描件（如有）；</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（市政公用工程）证明材料；</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（10）其他……</w:t>
      </w:r>
      <w:bookmarkEnd w:id="144"/>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11.3技术部分主要包括下列内容：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（1）业绩表；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（2）拟投入人员配置明细表； </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（3）拟投入人员的相关工作业绩、资历及能力（由比选申请人自行编写）</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（4）服务方案（由比选申请人自行编写）</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（5）其他……</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11.4商务部分主要包括下列内容：</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（1）报价表；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12.</w:t>
      </w:r>
      <w:bookmarkStart w:id="145" w:name="_Toc114052363"/>
      <w:bookmarkStart w:id="146" w:name="_Toc114052427"/>
      <w:bookmarkStart w:id="147" w:name="_Toc286386847"/>
      <w:bookmarkStart w:id="148" w:name="_Toc310318585"/>
      <w:r>
        <w:rPr>
          <w:rFonts w:hint="eastAsia" w:ascii="宋体" w:hAnsi="宋体" w:cs="宋体"/>
          <w:b/>
          <w:bCs/>
          <w:color w:val="auto"/>
          <w:szCs w:val="21"/>
          <w:highlight w:val="none"/>
        </w:rPr>
        <w:t>比选有效期</w:t>
      </w:r>
      <w:bookmarkEnd w:id="145"/>
      <w:bookmarkEnd w:id="146"/>
      <w:bookmarkEnd w:id="147"/>
      <w:bookmarkEnd w:id="14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12.1 比选申请文件在前附表第14条规定的递交比选申请文件</w:t>
      </w:r>
      <w:r>
        <w:rPr>
          <w:rFonts w:hint="eastAsia" w:ascii="宋体" w:hAnsi="宋体" w:cs="宋体"/>
          <w:color w:val="auto"/>
          <w:szCs w:val="21"/>
          <w:highlight w:val="none"/>
          <w:lang w:val="en-US" w:eastAsia="zh-CN"/>
        </w:rPr>
        <w:t>截止</w:t>
      </w:r>
      <w:r>
        <w:rPr>
          <w:rFonts w:hint="eastAsia" w:ascii="宋体" w:hAnsi="宋体" w:cs="宋体"/>
          <w:color w:val="auto"/>
          <w:szCs w:val="21"/>
          <w:highlight w:val="none"/>
        </w:rPr>
        <w:t>日期之后的</w:t>
      </w: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天内有效。</w:t>
      </w:r>
    </w:p>
    <w:p>
      <w:pPr>
        <w:ind w:right="-21"/>
        <w:jc w:val="left"/>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13.比选保证金</w:t>
      </w:r>
    </w:p>
    <w:p>
      <w:pPr>
        <w:ind w:right="753"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13.1 比选保证金：</w:t>
      </w:r>
      <w:r>
        <w:rPr>
          <w:rFonts w:hint="eastAsia" w:ascii="宋体" w:hAnsi="宋体" w:cs="宋体"/>
          <w:color w:val="auto"/>
          <w:szCs w:val="21"/>
          <w:highlight w:val="none"/>
          <w:lang w:eastAsia="zh-CN"/>
        </w:rPr>
        <w:t>无</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14.</w:t>
      </w:r>
      <w:bookmarkStart w:id="149" w:name="_Toc114052365"/>
      <w:bookmarkStart w:id="150" w:name="_Toc114052429"/>
      <w:bookmarkStart w:id="151" w:name="_Toc310318587"/>
      <w:bookmarkStart w:id="152" w:name="_Toc286386849"/>
      <w:r>
        <w:rPr>
          <w:rFonts w:hint="eastAsia" w:ascii="宋体" w:hAnsi="宋体" w:cs="宋体"/>
          <w:b/>
          <w:bCs/>
          <w:color w:val="auto"/>
          <w:szCs w:val="21"/>
          <w:highlight w:val="none"/>
        </w:rPr>
        <w:t>比选答疑</w:t>
      </w:r>
      <w:bookmarkEnd w:id="149"/>
      <w:bookmarkEnd w:id="150"/>
      <w:bookmarkEnd w:id="151"/>
      <w:bookmarkEnd w:id="152"/>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15.</w:t>
      </w:r>
      <w:bookmarkStart w:id="153" w:name="_Toc286386850"/>
      <w:bookmarkStart w:id="154" w:name="_Toc114052366"/>
      <w:bookmarkStart w:id="155" w:name="_Toc310318588"/>
      <w:bookmarkStart w:id="156" w:name="_Toc114052430"/>
      <w:r>
        <w:rPr>
          <w:rFonts w:hint="eastAsia" w:ascii="宋体" w:hAnsi="宋体" w:cs="宋体"/>
          <w:b/>
          <w:bCs/>
          <w:color w:val="auto"/>
          <w:szCs w:val="21"/>
          <w:highlight w:val="none"/>
        </w:rPr>
        <w:t>比选申请文件的份数</w:t>
      </w:r>
      <w:bookmarkEnd w:id="153"/>
      <w:bookmarkEnd w:id="154"/>
      <w:bookmarkEnd w:id="155"/>
      <w:bookmarkEnd w:id="156"/>
      <w:r>
        <w:rPr>
          <w:rFonts w:hint="eastAsia" w:ascii="宋体" w:hAnsi="宋体" w:cs="宋体"/>
          <w:b/>
          <w:bCs/>
          <w:color w:val="auto"/>
          <w:szCs w:val="21"/>
          <w:highlight w:val="none"/>
        </w:rPr>
        <w:t>和签署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15.1比选申请人按比选文件规定，编制一份比选申请文件“正本”和</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color w:val="auto"/>
          <w:sz w:val="21"/>
          <w:szCs w:val="21"/>
          <w:highlight w:val="none"/>
        </w:rPr>
      </w:pPr>
      <w:bookmarkStart w:id="157" w:name="_Toc31804"/>
      <w:bookmarkStart w:id="158" w:name="_Toc16937"/>
      <w:bookmarkStart w:id="159" w:name="_Toc2153"/>
      <w:bookmarkStart w:id="160" w:name="_Toc23604"/>
      <w:bookmarkStart w:id="161" w:name="_Toc19276"/>
      <w:bookmarkStart w:id="162" w:name="_Toc12948"/>
      <w:bookmarkStart w:id="163" w:name="_Toc461525301"/>
      <w:bookmarkStart w:id="164" w:name="_Toc471482365"/>
      <w:bookmarkStart w:id="165" w:name="_Toc14726"/>
      <w:bookmarkStart w:id="166" w:name="_Toc12099"/>
      <w:bookmarkStart w:id="167" w:name="_Toc2906"/>
      <w:bookmarkStart w:id="168" w:name="_Toc28652"/>
      <w:bookmarkStart w:id="169" w:name="_Toc15955"/>
      <w:bookmarkStart w:id="170" w:name="_Toc15461"/>
      <w:bookmarkStart w:id="171" w:name="_Toc11391"/>
      <w:bookmarkStart w:id="172" w:name="_Toc25460"/>
      <w:bookmarkStart w:id="173" w:name="_Toc15191"/>
      <w:bookmarkStart w:id="174" w:name="_Toc9139"/>
      <w:bookmarkStart w:id="175" w:name="_Toc23101"/>
      <w:bookmarkStart w:id="176" w:name="_Toc8834"/>
      <w:bookmarkStart w:id="177" w:name="_Toc28307"/>
      <w:r>
        <w:rPr>
          <w:rFonts w:hint="eastAsia"/>
          <w:color w:val="auto"/>
          <w:sz w:val="21"/>
          <w:szCs w:val="21"/>
          <w:highlight w:val="none"/>
        </w:rPr>
        <w:t>五、</w:t>
      </w:r>
      <w:r>
        <w:rPr>
          <w:color w:val="auto"/>
          <w:sz w:val="21"/>
          <w:szCs w:val="21"/>
          <w:highlight w:val="none"/>
        </w:rPr>
        <w:t>比选申请文件的递交</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16.比选申请文件的密封与标志</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16.4比选申请文件递交至前附表第13项所述的单位和地址。</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17.递交比选文件截止期</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17.1比选申请人应在前附表第14项所述规定的时间，将比选申请文件递交至前附表第13项所述的单位和地址。</w:t>
      </w:r>
    </w:p>
    <w:p>
      <w:pPr>
        <w:pStyle w:val="4"/>
        <w:jc w:val="center"/>
        <w:rPr>
          <w:color w:val="auto"/>
          <w:sz w:val="21"/>
          <w:szCs w:val="21"/>
          <w:highlight w:val="none"/>
        </w:rPr>
      </w:pPr>
      <w:bookmarkStart w:id="178" w:name="_Toc29047"/>
      <w:bookmarkStart w:id="179" w:name="_Toc20601"/>
      <w:bookmarkStart w:id="180" w:name="_Toc32687"/>
      <w:bookmarkStart w:id="181" w:name="_Toc30714"/>
      <w:bookmarkStart w:id="182" w:name="_Toc31139"/>
      <w:bookmarkStart w:id="183" w:name="_Toc27095"/>
      <w:bookmarkStart w:id="184" w:name="_Toc11602"/>
      <w:bookmarkStart w:id="185" w:name="_Toc20356"/>
      <w:bookmarkStart w:id="186" w:name="_Toc24283"/>
      <w:bookmarkStart w:id="187" w:name="_Toc13113"/>
      <w:bookmarkStart w:id="188" w:name="_Toc22118"/>
      <w:bookmarkStart w:id="189" w:name="_Toc1057"/>
      <w:bookmarkStart w:id="190" w:name="_Toc510"/>
      <w:bookmarkStart w:id="191" w:name="_Toc17217"/>
      <w:bookmarkStart w:id="192" w:name="_Toc13505"/>
      <w:bookmarkStart w:id="193" w:name="_Toc31034"/>
      <w:bookmarkStart w:id="194" w:name="_Toc13518"/>
      <w:bookmarkStart w:id="195" w:name="_Toc6376"/>
      <w:bookmarkStart w:id="196" w:name="_Toc30232"/>
      <w:bookmarkStart w:id="197" w:name="_Toc471482366"/>
      <w:bookmarkStart w:id="198" w:name="_Toc461525302"/>
      <w:r>
        <w:rPr>
          <w:rFonts w:hint="eastAsia"/>
          <w:color w:val="auto"/>
          <w:sz w:val="21"/>
          <w:szCs w:val="21"/>
          <w:highlight w:val="none"/>
        </w:rPr>
        <w:t>六、评</w:t>
      </w:r>
      <w:bookmarkEnd w:id="178"/>
      <w:bookmarkEnd w:id="179"/>
      <w:bookmarkEnd w:id="180"/>
      <w:r>
        <w:rPr>
          <w:rFonts w:hint="eastAsia"/>
          <w:color w:val="auto"/>
          <w:sz w:val="21"/>
          <w:szCs w:val="21"/>
          <w:highlight w:val="none"/>
        </w:rPr>
        <w:t>比</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18.评比委员会</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olor w:val="auto"/>
          <w:szCs w:val="21"/>
          <w:highlight w:val="none"/>
        </w:rPr>
        <w:t>本项目的评比委员会由经济、技术</w:t>
      </w:r>
      <w:r>
        <w:rPr>
          <w:rFonts w:hint="eastAsia" w:ascii="宋体" w:hAnsi="宋体"/>
          <w:color w:val="auto"/>
          <w:szCs w:val="21"/>
          <w:highlight w:val="none"/>
          <w:lang w:val="en-US" w:eastAsia="zh-CN"/>
        </w:rPr>
        <w:t>共3</w:t>
      </w:r>
      <w:r>
        <w:rPr>
          <w:rFonts w:hint="eastAsia" w:ascii="宋体" w:hAnsi="宋体"/>
          <w:color w:val="auto"/>
          <w:szCs w:val="21"/>
          <w:highlight w:val="none"/>
        </w:rPr>
        <w:t>名专家组成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bCs/>
          <w:color w:val="auto"/>
          <w:szCs w:val="21"/>
          <w:highlight w:val="none"/>
        </w:rPr>
      </w:pPr>
      <w:bookmarkStart w:id="199" w:name="_Toc310318596"/>
      <w:r>
        <w:rPr>
          <w:rFonts w:hint="eastAsia" w:ascii="宋体" w:hAnsi="宋体" w:cs="宋体"/>
          <w:b/>
          <w:bCs/>
          <w:color w:val="auto"/>
          <w:szCs w:val="21"/>
          <w:highlight w:val="none"/>
        </w:rPr>
        <w:t xml:space="preserve">    19.评比</w:t>
      </w:r>
      <w:bookmarkEnd w:id="199"/>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19.1</w:t>
      </w:r>
      <w:r>
        <w:rPr>
          <w:rFonts w:hint="eastAsia" w:ascii="宋体" w:hAnsi="宋体"/>
          <w:color w:val="auto"/>
          <w:szCs w:val="21"/>
          <w:highlight w:val="none"/>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19.2.2比选申请人退场</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19.2.3由主持人宣布评比会议开始，评比委员会确认文件是否密封。</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19.2.4评比委员会启封比选申请文件的资格审查部分，并进行评审。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19.2.5由主持人当众宣布审查结果，并宣读有效的比选申请人名称以及比选人认为需要的其他内容。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19.2.6评比委员会启封通过资格审查的比选申请文件的技术部分，并进行评审。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19.2.7评比委员会启封通过资格审查的比选申请文件的商务部分，并进行评审。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19.2.8在评比过程中，评比委员、记录人等有关人员在比选记录表上签字确认，主持人宣读比选结果。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hint="eastAsia" w:ascii="宋体" w:hAnsi="宋体"/>
          <w:color w:val="auto"/>
          <w:szCs w:val="21"/>
          <w:highlight w:val="none"/>
        </w:rPr>
        <w:t>19.2.9评比结束</w:t>
      </w:r>
    </w:p>
    <w:p>
      <w:pPr>
        <w:ind w:right="753" w:firstLine="422" w:firstLineChars="200"/>
        <w:jc w:val="left"/>
        <w:rPr>
          <w:rFonts w:ascii="宋体" w:hAnsi="宋体" w:cs="宋体"/>
          <w:b/>
          <w:bCs/>
          <w:color w:val="auto"/>
          <w:szCs w:val="21"/>
          <w:highlight w:val="none"/>
        </w:rPr>
      </w:pPr>
      <w:bookmarkStart w:id="200" w:name="_Toc114052375"/>
      <w:bookmarkStart w:id="201" w:name="_Toc286386859"/>
      <w:bookmarkStart w:id="202" w:name="_Toc310318597"/>
      <w:bookmarkStart w:id="203" w:name="_Toc114052439"/>
      <w:r>
        <w:rPr>
          <w:rFonts w:hint="eastAsia" w:ascii="宋体" w:hAnsi="宋体" w:cs="宋体"/>
          <w:b/>
          <w:bCs/>
          <w:color w:val="auto"/>
          <w:szCs w:val="21"/>
          <w:highlight w:val="none"/>
        </w:rPr>
        <w:t>20.评比</w:t>
      </w:r>
      <w:bookmarkEnd w:id="200"/>
      <w:bookmarkEnd w:id="201"/>
      <w:bookmarkEnd w:id="202"/>
      <w:bookmarkEnd w:id="203"/>
      <w:r>
        <w:rPr>
          <w:rFonts w:hint="eastAsia" w:ascii="宋体" w:hAnsi="宋体" w:cs="宋体"/>
          <w:b/>
          <w:bCs/>
          <w:color w:val="auto"/>
          <w:szCs w:val="21"/>
          <w:highlight w:val="none"/>
        </w:rPr>
        <w:t>工作相关要求</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20.5.4比选申请人对比选申请文件的澄清或说明不得超出比选申请文件的范围或改变投标的实质内容。</w:t>
      </w:r>
    </w:p>
    <w:p>
      <w:pPr>
        <w:ind w:right="753"/>
        <w:jc w:val="left"/>
        <w:rPr>
          <w:rFonts w:ascii="宋体" w:hAnsi="宋体" w:cs="宋体"/>
          <w:color w:val="auto"/>
          <w:szCs w:val="21"/>
          <w:highlight w:val="none"/>
        </w:rPr>
      </w:pPr>
      <w:bookmarkStart w:id="204" w:name="_Toc310318598"/>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21.比选申请文件评比</w:t>
      </w:r>
      <w:bookmarkEnd w:id="204"/>
      <w:r>
        <w:rPr>
          <w:rFonts w:hint="eastAsia" w:ascii="宋体" w:hAnsi="宋体" w:cs="宋体"/>
          <w:b/>
          <w:bCs/>
          <w:color w:val="auto"/>
          <w:szCs w:val="21"/>
          <w:highlight w:val="none"/>
        </w:rPr>
        <w:t>相关要求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21.1比选申请人资格审查</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21.2比选申请人或其比选文件有下列情况之一者，其比选申请文件将视为无效或作废处理：</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（1）比选申请人的负责人或委托代理人未按时参加评比会议的；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（2）比选申请文件未按照规定的要求装订、密封和标记的；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（4）不按本须知第11条内容提供资料的；逾期递交比选申请文件的；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（5）比选申请文件内容不真实的；</w:t>
      </w:r>
    </w:p>
    <w:p>
      <w:pPr>
        <w:spacing w:line="360" w:lineRule="auto"/>
        <w:ind w:firstLine="422" w:firstLineChars="200"/>
        <w:rPr>
          <w:rFonts w:hint="eastAsia" w:ascii="宋体" w:hAnsi="宋体"/>
          <w:b/>
          <w:color w:val="auto"/>
          <w:szCs w:val="21"/>
          <w:highlight w:val="none"/>
        </w:rPr>
      </w:pPr>
      <w:r>
        <w:rPr>
          <w:rFonts w:hint="eastAsia"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hint="eastAsia" w:ascii="宋体" w:hAnsi="宋体"/>
          <w:b/>
          <w:color w:val="auto"/>
          <w:szCs w:val="21"/>
          <w:highlight w:val="none"/>
          <w:lang w:eastAsia="zh-CN"/>
        </w:rPr>
      </w:pPr>
      <w:r>
        <w:rPr>
          <w:rFonts w:hint="eastAsia" w:ascii="宋体" w:hAnsi="宋体"/>
          <w:b/>
          <w:color w:val="auto"/>
          <w:szCs w:val="21"/>
          <w:highlight w:val="none"/>
        </w:rPr>
        <w:t>（7）比选申请人报价超过上</w:t>
      </w:r>
      <w:r>
        <w:rPr>
          <w:rFonts w:hint="eastAsia" w:ascii="宋体" w:hAnsi="宋体"/>
          <w:b/>
          <w:color w:val="auto"/>
          <w:szCs w:val="21"/>
          <w:highlight w:val="none"/>
          <w:lang w:val="en-US" w:eastAsia="zh-CN"/>
        </w:rPr>
        <w:t>限</w:t>
      </w:r>
      <w:r>
        <w:rPr>
          <w:rFonts w:hint="eastAsia" w:ascii="宋体" w:hAnsi="宋体"/>
          <w:b/>
          <w:color w:val="auto"/>
          <w:szCs w:val="21"/>
          <w:highlight w:val="none"/>
        </w:rPr>
        <w:t>控</w:t>
      </w:r>
      <w:r>
        <w:rPr>
          <w:rFonts w:hint="eastAsia" w:ascii="宋体" w:hAnsi="宋体"/>
          <w:b/>
          <w:color w:val="auto"/>
          <w:szCs w:val="21"/>
          <w:highlight w:val="none"/>
          <w:lang w:val="en-US" w:eastAsia="zh-CN"/>
        </w:rPr>
        <w:t>制</w:t>
      </w:r>
      <w:r>
        <w:rPr>
          <w:rFonts w:hint="eastAsia" w:ascii="宋体" w:hAnsi="宋体"/>
          <w:b/>
          <w:color w:val="auto"/>
          <w:szCs w:val="21"/>
          <w:highlight w:val="none"/>
        </w:rPr>
        <w:t>价的</w:t>
      </w:r>
      <w:r>
        <w:rPr>
          <w:rFonts w:hint="eastAsia" w:ascii="宋体" w:hAnsi="宋体"/>
          <w:b/>
          <w:color w:val="auto"/>
          <w:szCs w:val="21"/>
          <w:highlight w:val="none"/>
          <w:lang w:eastAsia="zh-CN"/>
        </w:rPr>
        <w:t>。</w:t>
      </w:r>
    </w:p>
    <w:p>
      <w:pPr>
        <w:ind w:right="-21" w:firstLine="413" w:firstLineChars="196"/>
        <w:jc w:val="left"/>
        <w:rPr>
          <w:rFonts w:hint="eastAsia" w:ascii="宋体" w:hAnsi="宋体"/>
          <w:b/>
          <w:color w:val="auto"/>
          <w:szCs w:val="21"/>
          <w:highlight w:val="none"/>
          <w:lang w:eastAsia="zh-CN"/>
        </w:rPr>
      </w:pPr>
      <w:r>
        <w:rPr>
          <w:rFonts w:hint="eastAsia" w:ascii="宋体" w:hAnsi="宋体" w:cs="宋体"/>
          <w:b/>
          <w:color w:val="auto"/>
          <w:szCs w:val="21"/>
          <w:highlight w:val="none"/>
        </w:rPr>
        <w:t>（8）比选申请人不符合前附表第9条所述资格要求或比选申请人符合前附表第9条所述资格要求但就本比选项目分别提交两个（每个正本一份、副本</w:t>
      </w:r>
      <w:r>
        <w:rPr>
          <w:rFonts w:hint="eastAsia" w:ascii="宋体" w:hAnsi="宋体" w:cs="宋体"/>
          <w:b/>
          <w:color w:val="auto"/>
          <w:szCs w:val="21"/>
          <w:highlight w:val="none"/>
          <w:lang w:val="en-US" w:eastAsia="zh-CN"/>
        </w:rPr>
        <w:t>两</w:t>
      </w:r>
      <w:r>
        <w:rPr>
          <w:rFonts w:hint="eastAsia" w:ascii="宋体" w:hAnsi="宋体" w:cs="宋体"/>
          <w:b/>
          <w:color w:val="auto"/>
          <w:szCs w:val="21"/>
          <w:highlight w:val="none"/>
        </w:rPr>
        <w:t>份）及以上的比选申请文件的。</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21.3评比细则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w:t>
      </w:r>
      <w:r>
        <w:rPr>
          <w:rFonts w:hint="eastAsia" w:ascii="宋体" w:hAnsi="宋体" w:cs="宋体"/>
          <w:color w:val="auto"/>
          <w:szCs w:val="21"/>
          <w:highlight w:val="none"/>
          <w:lang w:val="en-US" w:eastAsia="zh-CN"/>
        </w:rPr>
        <w:t>高</w:t>
      </w:r>
      <w:r>
        <w:rPr>
          <w:rFonts w:hint="eastAsia" w:ascii="宋体" w:hAnsi="宋体" w:cs="宋体"/>
          <w:color w:val="auto"/>
          <w:szCs w:val="21"/>
          <w:highlight w:val="none"/>
        </w:rPr>
        <w:t>到</w:t>
      </w:r>
      <w:r>
        <w:rPr>
          <w:rFonts w:hint="eastAsia" w:ascii="宋体" w:hAnsi="宋体" w:cs="宋体"/>
          <w:color w:val="auto"/>
          <w:szCs w:val="21"/>
          <w:highlight w:val="none"/>
          <w:lang w:val="en-US" w:eastAsia="zh-CN"/>
        </w:rPr>
        <w:t>低</w:t>
      </w:r>
      <w:r>
        <w:rPr>
          <w:rFonts w:hint="eastAsia" w:ascii="宋体" w:hAnsi="宋体" w:cs="宋体"/>
          <w:color w:val="auto"/>
          <w:szCs w:val="21"/>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b/>
          <w:bCs/>
          <w:color w:val="auto"/>
          <w:szCs w:val="21"/>
          <w:highlight w:val="none"/>
        </w:rPr>
      </w:pPr>
      <w:bookmarkStart w:id="205" w:name="_Toc114052441"/>
      <w:bookmarkStart w:id="206" w:name="_Toc114052377"/>
      <w:bookmarkStart w:id="207" w:name="_Toc310318599"/>
      <w:bookmarkStart w:id="208" w:name="_Toc286386861"/>
      <w:r>
        <w:rPr>
          <w:rFonts w:hint="eastAsia" w:ascii="宋体" w:hAnsi="宋体" w:cs="宋体"/>
          <w:b/>
          <w:bCs/>
          <w:color w:val="auto"/>
          <w:szCs w:val="21"/>
          <w:highlight w:val="none"/>
        </w:rPr>
        <w:t xml:space="preserve">    22.评比结果公示</w:t>
      </w:r>
      <w:bookmarkEnd w:id="205"/>
      <w:bookmarkEnd w:id="206"/>
      <w:bookmarkEnd w:id="207"/>
      <w:bookmarkEnd w:id="20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22.1在评比结束后，比选人将在南宁轨道交通集团有限责任公司官网(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w:t>
      </w:r>
      <w:r>
        <w:rPr>
          <w:rFonts w:hint="eastAsia" w:ascii="宋体" w:hAnsi="宋体" w:cs="宋体"/>
          <w:color w:val="auto"/>
          <w:szCs w:val="21"/>
          <w:highlight w:val="none"/>
          <w:lang w:eastAsia="zh-CN"/>
        </w:rPr>
        <w:t>中选</w:t>
      </w:r>
      <w:r>
        <w:rPr>
          <w:rFonts w:hint="eastAsia" w:ascii="宋体" w:hAnsi="宋体" w:cs="宋体"/>
          <w:color w:val="auto"/>
          <w:szCs w:val="21"/>
          <w:highlight w:val="none"/>
        </w:rPr>
        <w:t>信息处公示评比结果。</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color w:val="auto"/>
          <w:sz w:val="21"/>
          <w:szCs w:val="21"/>
          <w:highlight w:val="none"/>
        </w:rPr>
      </w:pPr>
      <w:bookmarkStart w:id="209" w:name="_Toc24316"/>
      <w:bookmarkStart w:id="210" w:name="_Toc24212"/>
      <w:bookmarkStart w:id="211" w:name="_Toc461525303"/>
      <w:bookmarkStart w:id="212" w:name="_Toc797"/>
      <w:bookmarkStart w:id="213" w:name="_Toc30023"/>
      <w:bookmarkStart w:id="214" w:name="_Toc529"/>
      <w:bookmarkStart w:id="215" w:name="_Toc1123"/>
      <w:bookmarkStart w:id="216" w:name="_Toc8936"/>
      <w:bookmarkStart w:id="217" w:name="_Toc12010"/>
      <w:bookmarkStart w:id="218" w:name="_Toc6317"/>
      <w:bookmarkStart w:id="219" w:name="_Toc16746"/>
      <w:bookmarkStart w:id="220" w:name="_Toc19549"/>
      <w:bookmarkStart w:id="221" w:name="_Toc8363"/>
      <w:bookmarkStart w:id="222" w:name="_Toc24479"/>
      <w:bookmarkStart w:id="223" w:name="_Toc15806"/>
      <w:bookmarkStart w:id="224" w:name="_Toc6141"/>
      <w:bookmarkStart w:id="225" w:name="_Toc711"/>
      <w:bookmarkStart w:id="226" w:name="_Toc471482367"/>
      <w:bookmarkStart w:id="227" w:name="_Toc17996"/>
      <w:bookmarkStart w:id="228" w:name="_Toc20403"/>
      <w:bookmarkStart w:id="229" w:name="_Toc16935"/>
      <w:r>
        <w:rPr>
          <w:rFonts w:hint="eastAsia"/>
          <w:color w:val="auto"/>
          <w:sz w:val="21"/>
          <w:szCs w:val="21"/>
          <w:highlight w:val="none"/>
        </w:rPr>
        <w:t>七、</w:t>
      </w:r>
      <w:r>
        <w:rPr>
          <w:color w:val="auto"/>
          <w:sz w:val="21"/>
          <w:szCs w:val="21"/>
          <w:highlight w:val="none"/>
        </w:rPr>
        <w:t>授予合同</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b/>
          <w:bCs/>
          <w:color w:val="auto"/>
          <w:szCs w:val="21"/>
          <w:highlight w:val="none"/>
        </w:rPr>
        <w:t xml:space="preserve"> 23.中选通知书</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23.1比选人将向中选人发出中选通知书。</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23.2比选人无义务向落选的比选申请人解释落选原因和退还比选申请文件。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23.3中选通知书作为合同的组成部分。</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24.合同的签署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24.2中选人如放弃中选资格，则比选人有权将其列入不良行为记录名单、三年内禁止其参加比选人发起的任何</w:t>
      </w:r>
      <w:r>
        <w:rPr>
          <w:rFonts w:hint="eastAsia" w:ascii="宋体" w:hAnsi="宋体" w:cs="宋体"/>
          <w:color w:val="auto"/>
          <w:szCs w:val="21"/>
          <w:highlight w:val="none"/>
          <w:lang w:val="en-US" w:eastAsia="zh-CN"/>
        </w:rPr>
        <w:t>比选和招标</w:t>
      </w:r>
      <w:r>
        <w:rPr>
          <w:rFonts w:hint="eastAsia" w:ascii="宋体" w:hAnsi="宋体" w:cs="宋体"/>
          <w:color w:val="auto"/>
          <w:szCs w:val="21"/>
          <w:highlight w:val="none"/>
        </w:rPr>
        <w:t>活动。</w:t>
      </w:r>
    </w:p>
    <w:p>
      <w:pPr>
        <w:ind w:right="753"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24.3中选人被废除中选资格后，比选人有权将标授予预备中选单位。</w:t>
      </w:r>
    </w:p>
    <w:p>
      <w:pPr>
        <w:ind w:right="753" w:firstLine="420" w:firstLineChars="200"/>
        <w:jc w:val="left"/>
        <w:rPr>
          <w:rFonts w:hint="eastAsia" w:ascii="宋体" w:hAnsi="宋体" w:cs="宋体"/>
          <w:color w:val="auto"/>
          <w:szCs w:val="21"/>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ind w:right="753" w:firstLine="2520" w:firstLineChars="700"/>
        <w:jc w:val="both"/>
        <w:rPr>
          <w:rFonts w:hint="eastAsia" w:ascii="宋体" w:hAnsi="宋体" w:cs="宋体"/>
          <w:color w:val="auto"/>
          <w:sz w:val="36"/>
          <w:szCs w:val="36"/>
          <w:highlight w:val="none"/>
        </w:rPr>
      </w:pPr>
      <w:bookmarkStart w:id="230" w:name="_Toc22951"/>
      <w:bookmarkStart w:id="231" w:name="_Toc31070"/>
      <w:bookmarkStart w:id="232" w:name="_Toc4769"/>
      <w:bookmarkStart w:id="233" w:name="_Toc25789"/>
      <w:bookmarkStart w:id="234" w:name="_Toc21358"/>
      <w:bookmarkStart w:id="235" w:name="_Toc1354"/>
      <w:bookmarkStart w:id="236" w:name="_Toc9074"/>
      <w:bookmarkStart w:id="237" w:name="_Toc16269"/>
      <w:bookmarkStart w:id="238" w:name="_Toc16062"/>
      <w:bookmarkStart w:id="239" w:name="_Toc5964"/>
      <w:bookmarkStart w:id="240" w:name="_Toc2960"/>
      <w:bookmarkStart w:id="241" w:name="_Toc26271"/>
      <w:bookmarkStart w:id="242" w:name="_Toc12854"/>
      <w:bookmarkStart w:id="243" w:name="_Toc13175"/>
      <w:bookmarkStart w:id="244" w:name="_Toc461525304"/>
      <w:bookmarkStart w:id="245" w:name="_Toc6126"/>
      <w:bookmarkStart w:id="246" w:name="_Toc471482368"/>
      <w:bookmarkStart w:id="247" w:name="_Toc21670"/>
      <w:r>
        <w:rPr>
          <w:rFonts w:hint="eastAsia" w:ascii="宋体" w:hAnsi="宋体" w:cs="宋体"/>
          <w:color w:val="auto"/>
          <w:sz w:val="36"/>
          <w:szCs w:val="36"/>
          <w:highlight w:val="none"/>
        </w:rPr>
        <w:t>第二章</w:t>
      </w:r>
      <w:r>
        <w:rPr>
          <w:rFonts w:hint="eastAsia" w:ascii="宋体" w:hAnsi="宋体" w:cs="宋体"/>
          <w:color w:val="auto"/>
          <w:sz w:val="36"/>
          <w:szCs w:val="36"/>
          <w:highlight w:val="none"/>
          <w:lang w:val="en-US" w:eastAsia="zh-CN"/>
        </w:rPr>
        <w:t xml:space="preserve">  </w:t>
      </w:r>
      <w:r>
        <w:rPr>
          <w:rFonts w:hint="eastAsia" w:ascii="宋体" w:hAnsi="宋体" w:cs="宋体"/>
          <w:color w:val="auto"/>
          <w:sz w:val="36"/>
          <w:szCs w:val="36"/>
          <w:highlight w:val="none"/>
        </w:rPr>
        <w:t>合同条款</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ind w:right="560"/>
        <w:jc w:val="center"/>
        <w:rPr>
          <w:rFonts w:ascii="宋体" w:hAnsi="宋体" w:cs="宋体"/>
          <w:b/>
          <w:bCs/>
          <w:color w:val="auto"/>
          <w:sz w:val="24"/>
          <w:highlight w:val="none"/>
        </w:rPr>
      </w:pPr>
      <w:r>
        <w:rPr>
          <w:rFonts w:hint="eastAsia" w:ascii="宋体" w:hAnsi="宋体" w:cs="宋体"/>
          <w:color w:val="auto"/>
          <w:sz w:val="24"/>
          <w:highlight w:val="none"/>
        </w:rPr>
        <w:t>合同编号：</w:t>
      </w:r>
    </w:p>
    <w:p>
      <w:pPr>
        <w:jc w:val="center"/>
        <w:rPr>
          <w:rFonts w:ascii="宋体" w:hAnsi="宋体"/>
          <w:color w:val="auto"/>
          <w:sz w:val="36"/>
          <w:szCs w:val="36"/>
          <w:highlight w:val="none"/>
        </w:rPr>
      </w:pPr>
      <w:r>
        <w:rPr>
          <w:rFonts w:hint="eastAsia" w:ascii="宋体" w:hAnsi="宋体"/>
          <w:color w:val="auto"/>
          <w:sz w:val="36"/>
          <w:szCs w:val="36"/>
          <w:highlight w:val="none"/>
          <w:lang w:val="en-US" w:eastAsia="zh-CN"/>
        </w:rPr>
        <w:t>南宁铁路枢纽投资</w:t>
      </w:r>
      <w:r>
        <w:rPr>
          <w:rFonts w:hint="eastAsia" w:ascii="宋体" w:hAnsi="宋体"/>
          <w:color w:val="auto"/>
          <w:sz w:val="36"/>
          <w:szCs w:val="36"/>
          <w:highlight w:val="none"/>
        </w:rPr>
        <w:t>有限公司</w:t>
      </w:r>
    </w:p>
    <w:p>
      <w:pPr>
        <w:jc w:val="center"/>
        <w:rPr>
          <w:rFonts w:ascii="宋体" w:hAnsi="宋体"/>
          <w:color w:val="auto"/>
          <w:sz w:val="36"/>
          <w:szCs w:val="36"/>
          <w:highlight w:val="none"/>
        </w:rPr>
      </w:pPr>
      <w:bookmarkStart w:id="248" w:name="_Toc16551"/>
      <w:bookmarkStart w:id="249" w:name="_Toc22491"/>
      <w:bookmarkStart w:id="250" w:name="_Toc20358"/>
      <w:bookmarkStart w:id="251" w:name="_Toc6471"/>
      <w:r>
        <w:rPr>
          <w:rFonts w:ascii="宋体" w:hAnsi="宋体"/>
          <w:color w:val="auto"/>
          <w:sz w:val="36"/>
          <w:szCs w:val="36"/>
          <w:highlight w:val="none"/>
          <w:u w:val="single"/>
        </w:rPr>
        <w:t xml:space="preserve">          </w:t>
      </w:r>
      <w:r>
        <w:rPr>
          <w:rFonts w:hint="eastAsia" w:ascii="宋体" w:hAnsi="宋体"/>
          <w:color w:val="auto"/>
          <w:sz w:val="36"/>
          <w:szCs w:val="36"/>
          <w:highlight w:val="none"/>
        </w:rPr>
        <w:t>合同</w:t>
      </w:r>
      <w:bookmarkEnd w:id="248"/>
      <w:bookmarkEnd w:id="249"/>
      <w:bookmarkEnd w:id="250"/>
      <w:bookmarkEnd w:id="251"/>
    </w:p>
    <w:p>
      <w:pPr>
        <w:pStyle w:val="4"/>
        <w:jc w:val="center"/>
        <w:rPr>
          <w:color w:val="auto"/>
          <w:highlight w:val="none"/>
        </w:rPr>
      </w:pPr>
      <w:bookmarkStart w:id="252" w:name="_Toc29515"/>
      <w:bookmarkStart w:id="253" w:name="_Toc13390"/>
      <w:bookmarkStart w:id="254" w:name="_Toc296503025"/>
      <w:bookmarkStart w:id="255" w:name="_Toc389065255"/>
      <w:bookmarkStart w:id="256" w:name="_Toc407135191"/>
      <w:bookmarkStart w:id="257" w:name="_Toc373227552"/>
      <w:bookmarkStart w:id="258" w:name="_Toc296890982"/>
      <w:bookmarkStart w:id="259" w:name="_Toc18934"/>
      <w:bookmarkStart w:id="260" w:name="_Toc10978"/>
      <w:bookmarkStart w:id="261" w:name="_Toc30171"/>
      <w:bookmarkStart w:id="262" w:name="_Toc23043"/>
      <w:bookmarkStart w:id="263" w:name="_Toc351203480"/>
      <w:bookmarkStart w:id="264" w:name="_Toc19548025"/>
      <w:bookmarkStart w:id="265" w:name="_Toc20509"/>
      <w:bookmarkStart w:id="266" w:name="_Toc373478199"/>
      <w:r>
        <w:rPr>
          <w:rFonts w:hint="eastAsia"/>
          <w:color w:val="auto"/>
          <w:highlight w:val="none"/>
        </w:rPr>
        <w:t>第一部分</w:t>
      </w:r>
      <w:r>
        <w:rPr>
          <w:color w:val="auto"/>
          <w:highlight w:val="none"/>
        </w:rPr>
        <w:t xml:space="preserve"> </w:t>
      </w:r>
      <w:r>
        <w:rPr>
          <w:rFonts w:hint="eastAsia"/>
          <w:color w:val="auto"/>
          <w:highlight w:val="none"/>
        </w:rPr>
        <w:t>协议书</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rPr>
          <w:color w:val="auto"/>
          <w:szCs w:val="21"/>
          <w:highlight w:val="none"/>
          <w:u w:val="single"/>
        </w:rPr>
      </w:pPr>
      <w:bookmarkStart w:id="267" w:name="EB959a0cec904a4675a610b8ff15efe337"/>
    </w:p>
    <w:p>
      <w:pPr>
        <w:pStyle w:val="17"/>
        <w:adjustRightInd w:val="0"/>
        <w:snapToGrid w:val="0"/>
        <w:spacing w:line="360" w:lineRule="auto"/>
        <w:ind w:firstLine="422" w:firstLineChars="200"/>
        <w:rPr>
          <w:b/>
          <w:color w:val="auto"/>
          <w:szCs w:val="21"/>
          <w:highlight w:val="none"/>
        </w:rPr>
      </w:pPr>
      <w:r>
        <w:rPr>
          <w:rFonts w:hAnsi="宋体"/>
          <w:b/>
          <w:color w:val="auto"/>
          <w:szCs w:val="21"/>
          <w:highlight w:val="none"/>
        </w:rPr>
        <w:t>委托人（全称）：</w:t>
      </w:r>
      <w:r>
        <w:rPr>
          <w:b/>
          <w:color w:val="auto"/>
          <w:szCs w:val="21"/>
          <w:highlight w:val="none"/>
          <w:u w:val="single"/>
        </w:rPr>
        <w:t xml:space="preserve">                                      </w:t>
      </w:r>
    </w:p>
    <w:p>
      <w:pPr>
        <w:pStyle w:val="17"/>
        <w:adjustRightInd w:val="0"/>
        <w:snapToGrid w:val="0"/>
        <w:spacing w:line="360" w:lineRule="auto"/>
        <w:ind w:firstLine="422" w:firstLineChars="200"/>
        <w:rPr>
          <w:color w:val="auto"/>
          <w:szCs w:val="21"/>
          <w:highlight w:val="none"/>
        </w:rPr>
      </w:pPr>
      <w:r>
        <w:rPr>
          <w:rFonts w:hAnsi="宋体"/>
          <w:b/>
          <w:color w:val="auto"/>
          <w:szCs w:val="21"/>
          <w:highlight w:val="none"/>
        </w:rPr>
        <w:t>监理人（全称）：</w:t>
      </w:r>
      <w:r>
        <w:rPr>
          <w:b/>
          <w:color w:val="auto"/>
          <w:szCs w:val="21"/>
          <w:highlight w:val="none"/>
          <w:u w:val="single"/>
        </w:rPr>
        <w:t xml:space="preserve">                                   </w:t>
      </w:r>
      <w:r>
        <w:rPr>
          <w:color w:val="auto"/>
          <w:szCs w:val="21"/>
          <w:highlight w:val="none"/>
          <w:u w:val="single"/>
        </w:rPr>
        <w:t xml:space="preserve">   </w:t>
      </w:r>
    </w:p>
    <w:p>
      <w:pPr>
        <w:pStyle w:val="18"/>
        <w:adjustRightInd w:val="0"/>
        <w:snapToGrid w:val="0"/>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根据《中华人民共和国</w:t>
      </w:r>
      <w:r>
        <w:rPr>
          <w:rFonts w:hint="eastAsia" w:ascii="宋体" w:hAnsi="宋体" w:cs="宋体"/>
          <w:color w:val="auto"/>
          <w:szCs w:val="21"/>
          <w:highlight w:val="none"/>
          <w:lang w:val="en-US" w:eastAsia="zh-CN"/>
        </w:rPr>
        <w:t>民法典</w:t>
      </w:r>
      <w:r>
        <w:rPr>
          <w:rFonts w:hint="eastAsia" w:ascii="宋体" w:hAnsi="宋体" w:cs="宋体"/>
          <w:color w:val="auto"/>
          <w:szCs w:val="21"/>
          <w:highlight w:val="none"/>
        </w:rPr>
        <w:t>》、《中华人民共和国建筑法》及其他有关法律、法规，遵循平等、自愿、公平和诚信的原则，双方就下述工程委托监理与相关服务事项协商一致，订立本合同</w:t>
      </w:r>
      <w:r>
        <w:rPr>
          <w:rFonts w:hint="eastAsia" w:ascii="宋体" w:hAnsi="宋体" w:cs="宋体"/>
          <w:b/>
          <w:color w:val="auto"/>
          <w:szCs w:val="21"/>
          <w:highlight w:val="none"/>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68" w:name="_Toc349554752"/>
      <w:r>
        <w:rPr>
          <w:rFonts w:hint="eastAsia" w:ascii="宋体" w:hAnsi="宋体" w:cs="宋体"/>
          <w:b/>
          <w:color w:val="auto"/>
          <w:szCs w:val="21"/>
          <w:highlight w:val="none"/>
        </w:rPr>
        <w:t>一、工程概况</w:t>
      </w:r>
      <w:bookmarkEnd w:id="268"/>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工程名称：</w:t>
      </w:r>
      <w:r>
        <w:rPr>
          <w:rFonts w:hint="eastAsia" w:ascii="宋体" w:hAnsi="宋体" w:cs="宋体"/>
          <w:color w:val="auto"/>
          <w:szCs w:val="21"/>
          <w:highlight w:val="none"/>
          <w:u w:val="single"/>
          <w:lang w:val="en-US" w:eastAsia="zh-CN"/>
        </w:rPr>
        <w:t>南宁火车北站东广场整理工程项目监理</w:t>
      </w:r>
    </w:p>
    <w:p>
      <w:pPr>
        <w:pStyle w:val="18"/>
        <w:adjustRightInd w:val="0"/>
        <w:snapToGrid w:val="0"/>
        <w:spacing w:line="400" w:lineRule="exact"/>
        <w:ind w:firstLine="420" w:firstLineChars="200"/>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2. 工程地点：</w:t>
      </w:r>
      <w:r>
        <w:rPr>
          <w:rFonts w:hint="eastAsia" w:ascii="宋体" w:hAnsi="宋体" w:cs="宋体"/>
          <w:color w:val="auto"/>
          <w:szCs w:val="21"/>
          <w:highlight w:val="none"/>
          <w:u w:val="single"/>
        </w:rPr>
        <w:t>南宁市</w:t>
      </w:r>
      <w:r>
        <w:rPr>
          <w:rFonts w:hint="eastAsia" w:ascii="宋体" w:hAnsi="宋体" w:cs="宋体"/>
          <w:color w:val="auto"/>
          <w:szCs w:val="21"/>
          <w:highlight w:val="none"/>
          <w:u w:val="single"/>
          <w:lang w:val="en-US" w:eastAsia="zh-CN"/>
        </w:rPr>
        <w:t>武鸣区、火车北站教育园区东片区。</w:t>
      </w:r>
    </w:p>
    <w:p>
      <w:pPr>
        <w:pStyle w:val="18"/>
        <w:adjustRightInd w:val="0"/>
        <w:snapToGrid w:val="0"/>
        <w:spacing w:line="40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3.</w:t>
      </w:r>
      <w:r>
        <w:rPr>
          <w:rFonts w:hint="eastAsia" w:ascii="宋体" w:hAnsi="宋体" w:cs="宋体" w:eastAsiaTheme="minorEastAsia"/>
          <w:color w:val="auto"/>
          <w:szCs w:val="21"/>
          <w:highlight w:val="none"/>
          <w:lang w:val="zh-CN" w:eastAsia="zh-CN"/>
        </w:rPr>
        <w:t>本项目包括北站东广场地块A、地块B场地平整约54893㎡，其中地块A约19480㎡，地块B约35413 ㎡，</w:t>
      </w:r>
      <w:r>
        <w:rPr>
          <w:rFonts w:hint="eastAsia" w:ascii="宋体" w:hAnsi="宋体" w:cs="宋体" w:eastAsiaTheme="minorEastAsia"/>
          <w:color w:val="auto"/>
          <w:szCs w:val="21"/>
          <w:highlight w:val="none"/>
          <w:lang w:val="zh-CN"/>
        </w:rPr>
        <w:t>包括场地平整工程、给排水工程（含地块A、B内给排水及片区临时排水工程）、临时道路及交通工程</w:t>
      </w:r>
      <w:r>
        <w:rPr>
          <w:rFonts w:hint="eastAsia" w:ascii="宋体" w:hAnsi="宋体" w:cs="宋体" w:eastAsiaTheme="minorEastAsia"/>
          <w:color w:val="auto"/>
          <w:szCs w:val="21"/>
          <w:highlight w:val="none"/>
          <w:lang w:val="zh-CN" w:eastAsia="zh-CN"/>
        </w:rPr>
        <w:t>等内</w:t>
      </w:r>
      <w:r>
        <w:rPr>
          <w:rFonts w:hint="eastAsia" w:ascii="宋体" w:hAnsi="宋体" w:cs="宋体" w:eastAsiaTheme="minorEastAsia"/>
          <w:color w:val="auto"/>
          <w:kern w:val="2"/>
          <w:sz w:val="21"/>
          <w:szCs w:val="21"/>
          <w:highlight w:val="none"/>
          <w:rtl w:val="0"/>
          <w:lang w:val="zh-CN" w:eastAsia="zh-CN" w:bidi="ar-SA"/>
        </w:rPr>
        <w:t>。</w:t>
      </w:r>
    </w:p>
    <w:p>
      <w:pPr>
        <w:pStyle w:val="18"/>
        <w:adjustRightInd w:val="0"/>
        <w:snapToGrid w:val="0"/>
        <w:spacing w:line="400" w:lineRule="exact"/>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rPr>
        <w:t xml:space="preserve">4. </w:t>
      </w:r>
      <w:r>
        <w:rPr>
          <w:rFonts w:hint="eastAsia" w:ascii="宋体" w:hAnsi="宋体" w:cs="宋体"/>
          <w:color w:val="auto"/>
          <w:szCs w:val="21"/>
          <w:highlight w:val="none"/>
          <w:u w:val="none"/>
        </w:rPr>
        <w:t>工程投资估算额： 3959.04万元 。</w:t>
      </w:r>
    </w:p>
    <w:p>
      <w:pPr>
        <w:pStyle w:val="18"/>
        <w:adjustRightInd w:val="0"/>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二、词语限定</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协议书中相关词语的含义与通用条件中的定义与解释相同。</w:t>
      </w:r>
    </w:p>
    <w:p>
      <w:pPr>
        <w:pStyle w:val="18"/>
        <w:adjustRightInd w:val="0"/>
        <w:snapToGrid w:val="0"/>
        <w:spacing w:line="400" w:lineRule="exact"/>
        <w:ind w:firstLine="422" w:firstLineChars="200"/>
        <w:rPr>
          <w:rFonts w:ascii="宋体" w:hAnsi="宋体" w:cs="宋体"/>
          <w:b/>
          <w:color w:val="auto"/>
          <w:szCs w:val="21"/>
          <w:highlight w:val="none"/>
        </w:rPr>
      </w:pPr>
      <w:bookmarkStart w:id="269" w:name="_Toc349554753"/>
      <w:r>
        <w:rPr>
          <w:rFonts w:hint="eastAsia" w:ascii="宋体" w:hAnsi="宋体" w:cs="宋体"/>
          <w:b/>
          <w:color w:val="auto"/>
          <w:szCs w:val="21"/>
          <w:highlight w:val="none"/>
        </w:rPr>
        <w:t>三、组成本合同的文件</w:t>
      </w:r>
      <w:bookmarkEnd w:id="269"/>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协议书；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中</w:t>
      </w:r>
      <w:r>
        <w:rPr>
          <w:rFonts w:hint="eastAsia" w:ascii="宋体" w:hAnsi="宋体" w:cs="宋体"/>
          <w:color w:val="auto"/>
          <w:szCs w:val="21"/>
          <w:highlight w:val="none"/>
          <w:lang w:eastAsia="zh-CN"/>
        </w:rPr>
        <w:t>选</w:t>
      </w:r>
      <w:r>
        <w:rPr>
          <w:rFonts w:hint="eastAsia" w:ascii="宋体" w:hAnsi="宋体" w:cs="宋体"/>
          <w:color w:val="auto"/>
          <w:szCs w:val="21"/>
          <w:highlight w:val="none"/>
        </w:rPr>
        <w:t>通知书；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 </w:t>
      </w:r>
      <w:r>
        <w:rPr>
          <w:rFonts w:hint="eastAsia" w:ascii="宋体" w:hAnsi="宋体" w:cs="宋体"/>
          <w:color w:val="auto"/>
          <w:szCs w:val="21"/>
          <w:highlight w:val="none"/>
          <w:lang w:eastAsia="zh-CN"/>
        </w:rPr>
        <w:t>比选申请文件及比选申请函</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4. </w:t>
      </w:r>
      <w:r>
        <w:rPr>
          <w:rFonts w:hint="eastAsia" w:ascii="宋体" w:hAnsi="宋体" w:cs="宋体"/>
          <w:color w:val="auto"/>
          <w:szCs w:val="21"/>
          <w:highlight w:val="none"/>
          <w:lang w:eastAsia="zh-CN"/>
        </w:rPr>
        <w:t>比选文件；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 xml:space="preserve">5. </w:t>
      </w:r>
      <w:r>
        <w:rPr>
          <w:rFonts w:hint="eastAsia" w:ascii="宋体" w:hAnsi="宋体" w:cs="宋体"/>
          <w:color w:val="auto"/>
          <w:szCs w:val="21"/>
          <w:highlight w:val="none"/>
        </w:rPr>
        <w:t>专用条件；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通用条件；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附录，即：</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附录A  相关服务的范围和内容</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附录B  委托人派遣的人员和提供的</w:t>
      </w:r>
      <w:r>
        <w:rPr>
          <w:rFonts w:hint="eastAsia" w:ascii="宋体" w:hAnsi="宋体" w:cs="宋体"/>
          <w:bCs/>
          <w:color w:val="auto"/>
          <w:szCs w:val="21"/>
          <w:highlight w:val="none"/>
        </w:rPr>
        <w:t>房屋、资料</w:t>
      </w:r>
      <w:r>
        <w:rPr>
          <w:rFonts w:hint="eastAsia" w:ascii="宋体" w:hAnsi="宋体" w:cs="宋体"/>
          <w:color w:val="auto"/>
          <w:szCs w:val="21"/>
          <w:highlight w:val="none"/>
        </w:rPr>
        <w:t>、设备</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本合同签订后，双方依法签订的补充协议也是本合同文件的组成部分。</w:t>
      </w:r>
    </w:p>
    <w:p>
      <w:pPr>
        <w:pStyle w:val="18"/>
        <w:adjustRightInd w:val="0"/>
        <w:snapToGrid w:val="0"/>
        <w:spacing w:line="400" w:lineRule="exact"/>
        <w:ind w:firstLine="422" w:firstLineChars="200"/>
        <w:rPr>
          <w:rFonts w:ascii="宋体" w:hAnsi="宋体" w:cs="宋体"/>
          <w:b/>
          <w:color w:val="auto"/>
          <w:szCs w:val="21"/>
          <w:highlight w:val="none"/>
        </w:rPr>
      </w:pPr>
      <w:bookmarkStart w:id="270" w:name="_Toc349554754"/>
      <w:r>
        <w:rPr>
          <w:rFonts w:hint="eastAsia" w:ascii="宋体" w:hAnsi="宋体" w:cs="宋体"/>
          <w:b/>
          <w:color w:val="auto"/>
          <w:szCs w:val="21"/>
          <w:highlight w:val="none"/>
        </w:rPr>
        <w:t>四、总监理工程师</w:t>
      </w:r>
      <w:bookmarkEnd w:id="270"/>
    </w:p>
    <w:p>
      <w:pPr>
        <w:pStyle w:val="18"/>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总监理工程师姓名：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，注册号：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18"/>
        <w:adjustRightInd w:val="0"/>
        <w:snapToGrid w:val="0"/>
        <w:spacing w:line="400" w:lineRule="exact"/>
        <w:ind w:firstLine="422" w:firstLineChars="200"/>
        <w:rPr>
          <w:rFonts w:hint="default" w:ascii="宋体" w:hAnsi="宋体" w:eastAsia="宋体" w:cs="宋体"/>
          <w:b/>
          <w:color w:val="auto"/>
          <w:szCs w:val="21"/>
          <w:highlight w:val="none"/>
          <w:lang w:val="en-US" w:eastAsia="zh-CN"/>
        </w:rPr>
      </w:pPr>
      <w:bookmarkStart w:id="271" w:name="_Toc349554755"/>
      <w:r>
        <w:rPr>
          <w:rFonts w:hint="eastAsia" w:ascii="宋体" w:hAnsi="宋体" w:cs="宋体"/>
          <w:b/>
          <w:color w:val="auto"/>
          <w:szCs w:val="21"/>
          <w:highlight w:val="none"/>
        </w:rPr>
        <w:t>五、签约</w:t>
      </w:r>
      <w:bookmarkEnd w:id="271"/>
      <w:r>
        <w:rPr>
          <w:rFonts w:hint="eastAsia" w:ascii="宋体" w:hAnsi="宋体" w:cs="宋体"/>
          <w:b/>
          <w:color w:val="auto"/>
          <w:szCs w:val="21"/>
          <w:highlight w:val="none"/>
          <w:lang w:val="en-US" w:eastAsia="zh-CN"/>
        </w:rPr>
        <w:t>合同价格</w:t>
      </w:r>
    </w:p>
    <w:p>
      <w:pPr>
        <w:spacing w:line="360" w:lineRule="auto"/>
        <w:ind w:firstLine="420" w:firstLineChars="200"/>
        <w:rPr>
          <w:rFonts w:hint="eastAsia" w:hAnsi="宋体"/>
          <w:color w:val="auto"/>
          <w:szCs w:val="21"/>
          <w:highlight w:val="none"/>
        </w:rPr>
      </w:pPr>
      <w:r>
        <w:rPr>
          <w:rFonts w:hint="eastAsia" w:ascii="宋体" w:hAnsi="宋体" w:cs="宋体"/>
          <w:color w:val="auto"/>
          <w:szCs w:val="21"/>
          <w:highlight w:val="none"/>
        </w:rPr>
        <w:t>签约</w:t>
      </w:r>
      <w:r>
        <w:rPr>
          <w:rFonts w:hint="eastAsia" w:ascii="宋体" w:hAnsi="宋体" w:cs="宋体"/>
          <w:color w:val="auto"/>
          <w:szCs w:val="21"/>
          <w:highlight w:val="none"/>
          <w:lang w:val="en-US" w:eastAsia="zh-CN"/>
        </w:rPr>
        <w:t>合同总价</w:t>
      </w:r>
      <w:r>
        <w:rPr>
          <w:rFonts w:hint="eastAsia" w:ascii="宋体" w:hAnsi="宋体" w:cs="宋体"/>
          <w:color w:val="auto"/>
          <w:szCs w:val="21"/>
          <w:highlight w:val="none"/>
        </w:rPr>
        <w:t>：本合同不含税价款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lang w:eastAsia="zh-CN"/>
        </w:rPr>
        <w:t>。</w:t>
      </w:r>
    </w:p>
    <w:p>
      <w:pPr>
        <w:spacing w:line="360" w:lineRule="auto"/>
        <w:ind w:firstLine="420" w:firstLineChars="200"/>
        <w:rPr>
          <w:rFonts w:hint="eastAsia" w:ascii="Times New Roman" w:hAnsi="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包括：</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施工阶段</w:t>
      </w:r>
      <w:r>
        <w:rPr>
          <w:rFonts w:hint="eastAsia" w:ascii="宋体" w:hAnsi="宋体" w:cs="宋体"/>
          <w:color w:val="auto"/>
          <w:szCs w:val="21"/>
          <w:highlight w:val="none"/>
          <w:lang w:eastAsia="zh-CN"/>
        </w:rPr>
        <w:t>监理服务费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 </w:t>
      </w:r>
      <w:r>
        <w:rPr>
          <w:rFonts w:hint="eastAsia" w:ascii="宋体" w:hAnsi="宋体" w:cs="宋体"/>
          <w:color w:val="auto"/>
          <w:szCs w:val="21"/>
          <w:highlight w:val="none"/>
          <w:lang w:val="en-US" w:eastAsia="zh-CN"/>
        </w:rPr>
        <w:t>其他</w:t>
      </w:r>
      <w:r>
        <w:rPr>
          <w:rFonts w:hint="eastAsia" w:ascii="宋体" w:hAnsi="宋体" w:cs="宋体"/>
          <w:color w:val="auto"/>
          <w:szCs w:val="21"/>
          <w:highlight w:val="none"/>
        </w:rPr>
        <w:t>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其中：</w:t>
      </w:r>
    </w:p>
    <w:p>
      <w:pPr>
        <w:pStyle w:val="18"/>
        <w:adjustRightInd w:val="0"/>
        <w:snapToGrid w:val="0"/>
        <w:spacing w:line="400" w:lineRule="exact"/>
        <w:ind w:firstLine="840" w:firstLineChars="400"/>
        <w:rPr>
          <w:rFonts w:ascii="宋体" w:hAnsi="宋体" w:cs="宋体"/>
          <w:color w:val="auto"/>
          <w:szCs w:val="21"/>
          <w:highlight w:val="none"/>
        </w:rPr>
      </w:pPr>
      <w:r>
        <w:rPr>
          <w:rFonts w:hint="eastAsia" w:ascii="宋体" w:hAnsi="宋体" w:cs="宋体"/>
          <w:color w:val="auto"/>
          <w:kern w:val="0"/>
          <w:szCs w:val="21"/>
          <w:highlight w:val="none"/>
        </w:rPr>
        <w:t>（1）保修阶段服务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840" w:firstLineChars="400"/>
        <w:rPr>
          <w:rFonts w:hint="eastAsia"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b w:val="0"/>
          <w:color w:val="auto"/>
          <w:sz w:val="21"/>
          <w:szCs w:val="21"/>
          <w:highlight w:val="none"/>
        </w:rPr>
        <w:t>在合同履约过程中，本合同税率必须遵照国家现行税法执行。本合同最终税金在结算阶段，按实际产生的税金进行核算</w:t>
      </w:r>
      <w:r>
        <w:rPr>
          <w:rFonts w:hint="eastAsia" w:ascii="宋体" w:hAnsi="宋体" w:cs="宋体"/>
          <w:b w:val="0"/>
          <w:color w:val="auto"/>
          <w:sz w:val="21"/>
          <w:szCs w:val="21"/>
          <w:highlight w:val="none"/>
          <w:lang w:eastAsia="zh-CN"/>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72" w:name="_Toc349554756"/>
      <w:r>
        <w:rPr>
          <w:rFonts w:hint="eastAsia" w:ascii="宋体" w:hAnsi="宋体" w:cs="宋体"/>
          <w:b/>
          <w:color w:val="auto"/>
          <w:szCs w:val="21"/>
          <w:highlight w:val="none"/>
        </w:rPr>
        <w:t>六、期限</w:t>
      </w:r>
      <w:bookmarkEnd w:id="272"/>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kern w:val="0"/>
          <w:szCs w:val="21"/>
          <w:highlight w:val="none"/>
        </w:rPr>
        <w:t>1. 施工阶段</w:t>
      </w:r>
      <w:r>
        <w:rPr>
          <w:rFonts w:hint="eastAsia" w:ascii="宋体" w:hAnsi="宋体" w:cs="宋体"/>
          <w:color w:val="auto"/>
          <w:szCs w:val="21"/>
          <w:highlight w:val="none"/>
        </w:rPr>
        <w:t>监理期限：</w:t>
      </w:r>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相关服务期限：</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（1）保修阶段</w:t>
      </w:r>
      <w:r>
        <w:rPr>
          <w:rFonts w:hint="eastAsia" w:ascii="宋体" w:hAnsi="宋体" w:cs="宋体"/>
          <w:color w:val="auto"/>
          <w:szCs w:val="21"/>
          <w:highlight w:val="none"/>
        </w:rPr>
        <w:t>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422" w:firstLineChars="200"/>
        <w:rPr>
          <w:rFonts w:ascii="宋体" w:hAnsi="宋体" w:cs="宋体"/>
          <w:b/>
          <w:color w:val="auto"/>
          <w:szCs w:val="21"/>
          <w:highlight w:val="none"/>
        </w:rPr>
      </w:pPr>
      <w:bookmarkStart w:id="273" w:name="_Toc349554757"/>
      <w:r>
        <w:rPr>
          <w:rFonts w:hint="eastAsia" w:ascii="宋体" w:hAnsi="宋体" w:cs="宋体"/>
          <w:b/>
          <w:color w:val="auto"/>
          <w:szCs w:val="21"/>
          <w:highlight w:val="none"/>
        </w:rPr>
        <w:t>七、双方承诺</w:t>
      </w:r>
      <w:bookmarkEnd w:id="273"/>
    </w:p>
    <w:p>
      <w:pPr>
        <w:pStyle w:val="18"/>
        <w:adjustRightInd w:val="0"/>
        <w:snapToGrid w:val="0"/>
        <w:spacing w:line="400" w:lineRule="exact"/>
        <w:ind w:firstLine="420" w:firstLineChars="200"/>
        <w:rPr>
          <w:rFonts w:ascii="宋体" w:hAnsi="宋体" w:cs="宋体"/>
          <w:color w:val="auto"/>
          <w:szCs w:val="21"/>
          <w:highlight w:val="none"/>
        </w:rPr>
      </w:pPr>
      <w:bookmarkStart w:id="274" w:name="_Toc349554758"/>
      <w:r>
        <w:rPr>
          <w:rFonts w:hint="eastAsia" w:ascii="宋体" w:hAnsi="宋体" w:cs="宋体"/>
          <w:color w:val="auto"/>
          <w:szCs w:val="21"/>
          <w:highlight w:val="none"/>
        </w:rPr>
        <w:t>1. 监理人向委托人承诺，按照本合同约定提供监理与相关服务。</w:t>
      </w:r>
      <w:bookmarkEnd w:id="274"/>
    </w:p>
    <w:p>
      <w:pPr>
        <w:pStyle w:val="18"/>
        <w:adjustRightInd w:val="0"/>
        <w:snapToGrid w:val="0"/>
        <w:spacing w:line="400" w:lineRule="exact"/>
        <w:ind w:firstLine="420" w:firstLineChars="200"/>
        <w:rPr>
          <w:rFonts w:ascii="宋体" w:hAnsi="宋体" w:cs="宋体"/>
          <w:color w:val="auto"/>
          <w:szCs w:val="21"/>
          <w:highlight w:val="none"/>
        </w:rPr>
      </w:pPr>
      <w:bookmarkStart w:id="275" w:name="_Toc349554759"/>
      <w:r>
        <w:rPr>
          <w:rFonts w:hint="eastAsia" w:ascii="宋体" w:hAnsi="宋体" w:cs="宋体"/>
          <w:color w:val="auto"/>
          <w:szCs w:val="21"/>
          <w:highlight w:val="none"/>
        </w:rPr>
        <w:t>2. 委托人向监理人承诺，按照本合同约定提供资料，并支付</w:t>
      </w:r>
      <w:r>
        <w:rPr>
          <w:rFonts w:hint="eastAsia" w:ascii="宋体" w:hAnsi="宋体" w:cs="宋体"/>
          <w:color w:val="auto"/>
          <w:szCs w:val="21"/>
          <w:highlight w:val="none"/>
          <w:lang w:val="en-US" w:eastAsia="zh-CN"/>
        </w:rPr>
        <w:t>监理服务费</w:t>
      </w:r>
      <w:r>
        <w:rPr>
          <w:rFonts w:hint="eastAsia" w:ascii="宋体" w:hAnsi="宋体" w:cs="宋体"/>
          <w:color w:val="auto"/>
          <w:szCs w:val="21"/>
          <w:highlight w:val="none"/>
        </w:rPr>
        <w:t>。</w:t>
      </w:r>
      <w:bookmarkEnd w:id="275"/>
    </w:p>
    <w:p>
      <w:pPr>
        <w:pStyle w:val="18"/>
        <w:adjustRightInd w:val="0"/>
        <w:snapToGrid w:val="0"/>
        <w:spacing w:line="400" w:lineRule="exact"/>
        <w:ind w:firstLine="422" w:firstLineChars="200"/>
        <w:rPr>
          <w:rFonts w:ascii="宋体" w:hAnsi="宋体" w:cs="宋体"/>
          <w:b/>
          <w:color w:val="auto"/>
          <w:szCs w:val="21"/>
          <w:highlight w:val="none"/>
        </w:rPr>
      </w:pPr>
      <w:bookmarkStart w:id="276" w:name="_Toc349554760"/>
      <w:r>
        <w:rPr>
          <w:rFonts w:hint="eastAsia" w:ascii="宋体" w:hAnsi="宋体" w:cs="宋体"/>
          <w:b/>
          <w:color w:val="auto"/>
          <w:szCs w:val="21"/>
          <w:highlight w:val="none"/>
        </w:rPr>
        <w:t>八、合同订立</w:t>
      </w:r>
      <w:bookmarkEnd w:id="276"/>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 订立地点：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南宁</w:t>
      </w:r>
      <w:r>
        <w:rPr>
          <w:rFonts w:hint="eastAsia" w:ascii="宋体" w:hAnsi="宋体" w:cs="宋体"/>
          <w:color w:val="auto"/>
          <w:szCs w:val="21"/>
          <w:highlight w:val="none"/>
          <w:u w:val="single"/>
          <w:lang w:val="en-US" w:eastAsia="zh-CN"/>
        </w:rPr>
        <w:t>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本合同一式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pStyle w:val="18"/>
        <w:adjustRightInd w:val="0"/>
        <w:snapToGrid w:val="0"/>
        <w:spacing w:line="360" w:lineRule="auto"/>
        <w:ind w:right="-126" w:rightChars="-60" w:firstLine="415" w:firstLineChars="198"/>
        <w:rPr>
          <w:rFonts w:hAnsi="宋体"/>
          <w:color w:val="auto"/>
          <w:szCs w:val="21"/>
          <w:highlight w:val="none"/>
        </w:rPr>
      </w:pP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委托人：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监理人：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p>
    <w:p>
      <w:pPr>
        <w:pStyle w:val="18"/>
        <w:adjustRightInd w:val="0"/>
        <w:snapToGrid w:val="0"/>
        <w:spacing w:line="360" w:lineRule="auto"/>
        <w:ind w:right="-126" w:rightChars="-60" w:firstLine="420" w:firstLineChars="200"/>
        <w:rPr>
          <w:color w:val="auto"/>
          <w:szCs w:val="21"/>
          <w:highlight w:val="none"/>
        </w:rPr>
      </w:pPr>
      <w:r>
        <w:rPr>
          <w:rFonts w:hAnsi="宋体"/>
          <w:color w:val="auto"/>
          <w:szCs w:val="21"/>
          <w:highlight w:val="none"/>
        </w:rPr>
        <w:t>邮政编码：</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邮政编码：</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法定代表人或其授权代理人：</w:t>
      </w:r>
      <w:r>
        <w:rPr>
          <w:rFonts w:hAnsi="宋体"/>
          <w:color w:val="auto"/>
          <w:szCs w:val="21"/>
          <w:highlight w:val="none"/>
          <w:u w:val="single"/>
        </w:rPr>
        <w:t>（签字）</w:t>
      </w:r>
      <w:r>
        <w:rPr>
          <w:color w:val="auto"/>
          <w:szCs w:val="21"/>
          <w:highlight w:val="none"/>
        </w:rPr>
        <w:t xml:space="preserve">        </w:t>
      </w:r>
      <w:r>
        <w:rPr>
          <w:rFonts w:hAnsi="宋体"/>
          <w:color w:val="auto"/>
          <w:szCs w:val="21"/>
          <w:highlight w:val="none"/>
        </w:rPr>
        <w:t>法定代表人或其授权代理人：</w:t>
      </w:r>
      <w:r>
        <w:rPr>
          <w:rFonts w:hAnsi="宋体"/>
          <w:color w:val="auto"/>
          <w:szCs w:val="21"/>
          <w:highlight w:val="none"/>
          <w:u w:val="single"/>
        </w:rPr>
        <w:t>（签字）</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开户银行：</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开户银行：</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账号：</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账号：</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电话：</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电话：</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传真：</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传真：</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r>
        <w:rPr>
          <w:rFonts w:hAnsi="宋体"/>
          <w:color w:val="auto"/>
          <w:szCs w:val="21"/>
          <w:highlight w:val="none"/>
        </w:rPr>
        <w:t>电子邮箱：</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电子邮箱：</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rFonts w:hint="eastAsia"/>
          <w:color w:val="auto"/>
          <w:highlight w:val="none"/>
        </w:rPr>
      </w:pPr>
      <w:bookmarkStart w:id="277" w:name="_Toc7510"/>
      <w:bookmarkStart w:id="278" w:name="_Toc22785"/>
      <w:bookmarkStart w:id="279" w:name="_Toc92"/>
      <w:bookmarkStart w:id="280" w:name="_Toc14812"/>
      <w:bookmarkStart w:id="281" w:name="_Toc508"/>
      <w:bookmarkStart w:id="282" w:name="_Toc8375"/>
      <w:bookmarkStart w:id="283" w:name="_Toc27580"/>
    </w:p>
    <w:p>
      <w:pPr>
        <w:pStyle w:val="4"/>
        <w:jc w:val="cente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4"/>
        <w:jc w:val="center"/>
        <w:rPr>
          <w:rFonts w:hint="eastAsia"/>
          <w:color w:val="auto"/>
          <w:highlight w:val="none"/>
        </w:rPr>
      </w:pPr>
    </w:p>
    <w:p>
      <w:pPr>
        <w:pStyle w:val="4"/>
        <w:jc w:val="center"/>
        <w:rPr>
          <w:rFonts w:hint="eastAsia"/>
          <w:color w:val="auto"/>
          <w:highlight w:val="none"/>
        </w:rPr>
      </w:pPr>
    </w:p>
    <w:p>
      <w:pPr>
        <w:pStyle w:val="4"/>
        <w:jc w:val="center"/>
        <w:rPr>
          <w:color w:val="auto"/>
          <w:highlight w:val="none"/>
        </w:rPr>
      </w:pPr>
      <w:r>
        <w:rPr>
          <w:rFonts w:hint="eastAsia"/>
          <w:color w:val="auto"/>
          <w:highlight w:val="none"/>
        </w:rPr>
        <w:t>第二部分 通用条件</w:t>
      </w:r>
      <w:bookmarkEnd w:id="277"/>
      <w:bookmarkEnd w:id="278"/>
      <w:bookmarkEnd w:id="279"/>
      <w:bookmarkEnd w:id="280"/>
      <w:bookmarkEnd w:id="281"/>
      <w:bookmarkEnd w:id="282"/>
      <w:bookmarkEnd w:id="283"/>
    </w:p>
    <w:p>
      <w:pPr>
        <w:spacing w:line="360" w:lineRule="auto"/>
        <w:ind w:firstLine="422" w:firstLineChars="200"/>
        <w:rPr>
          <w:color w:val="auto"/>
          <w:szCs w:val="21"/>
          <w:highlight w:val="none"/>
        </w:rPr>
      </w:pPr>
      <w:r>
        <w:rPr>
          <w:rFonts w:hint="eastAsia" w:hAnsi="宋体"/>
          <w:b/>
          <w:color w:val="auto"/>
          <w:kern w:val="0"/>
          <w:szCs w:val="21"/>
          <w:highlight w:val="none"/>
        </w:rPr>
        <w:t>采用《建设工程监理合同（示范文本）》（ＧＦ－</w:t>
      </w:r>
      <w:r>
        <w:rPr>
          <w:rFonts w:hAnsi="宋体"/>
          <w:b/>
          <w:color w:val="auto"/>
          <w:kern w:val="0"/>
          <w:szCs w:val="21"/>
          <w:highlight w:val="none"/>
        </w:rPr>
        <w:t>2012</w:t>
      </w:r>
      <w:r>
        <w:rPr>
          <w:rFonts w:hint="eastAsia" w:hAnsi="宋体"/>
          <w:b/>
          <w:color w:val="auto"/>
          <w:kern w:val="0"/>
          <w:szCs w:val="21"/>
          <w:highlight w:val="none"/>
        </w:rPr>
        <w:t>－</w:t>
      </w:r>
      <w:r>
        <w:rPr>
          <w:rFonts w:hAnsi="宋体"/>
          <w:b/>
          <w:color w:val="auto"/>
          <w:kern w:val="0"/>
          <w:szCs w:val="21"/>
          <w:highlight w:val="none"/>
        </w:rPr>
        <w:t>0202</w:t>
      </w:r>
      <w:r>
        <w:rPr>
          <w:rFonts w:hint="eastAsia" w:hAnsi="宋体"/>
          <w:b/>
          <w:color w:val="auto"/>
          <w:kern w:val="0"/>
          <w:szCs w:val="21"/>
          <w:highlight w:val="none"/>
        </w:rPr>
        <w:t>）</w:t>
      </w:r>
      <w:r>
        <w:rPr>
          <w:rFonts w:hint="eastAsia"/>
          <w:color w:val="auto"/>
          <w:szCs w:val="21"/>
          <w:highlight w:val="none"/>
        </w:rPr>
        <w:t>。</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color w:val="auto"/>
          <w:highlight w:val="none"/>
        </w:rPr>
      </w:pPr>
      <w:bookmarkStart w:id="284" w:name="_Toc459567809"/>
      <w:bookmarkStart w:id="285" w:name="_Toc7116"/>
      <w:bookmarkStart w:id="286" w:name="_Toc10153"/>
      <w:bookmarkStart w:id="287" w:name="_Toc23482"/>
      <w:bookmarkStart w:id="288" w:name="_Toc18085"/>
      <w:bookmarkStart w:id="289" w:name="_Toc30244"/>
      <w:bookmarkStart w:id="290" w:name="_Toc392940992"/>
      <w:bookmarkStart w:id="291" w:name="_Toc12203"/>
      <w:bookmarkStart w:id="292" w:name="_Toc473030502"/>
      <w:bookmarkStart w:id="293" w:name="_Toc21384"/>
      <w:bookmarkStart w:id="294" w:name="_Toc19548028"/>
      <w:bookmarkStart w:id="295" w:name="EBd75ef856cbfc41f4b1b1d0253167c5da"/>
    </w:p>
    <w:p>
      <w:pPr>
        <w:pStyle w:val="4"/>
        <w:jc w:val="center"/>
        <w:rPr>
          <w:color w:val="auto"/>
          <w:highlight w:val="none"/>
        </w:rPr>
      </w:pPr>
      <w:r>
        <w:rPr>
          <w:color w:val="auto"/>
          <w:highlight w:val="none"/>
        </w:rPr>
        <w:t>第三部分 专用条件</w:t>
      </w:r>
      <w:bookmarkEnd w:id="284"/>
      <w:bookmarkEnd w:id="285"/>
      <w:bookmarkEnd w:id="286"/>
      <w:bookmarkEnd w:id="287"/>
      <w:bookmarkEnd w:id="288"/>
      <w:bookmarkEnd w:id="289"/>
      <w:bookmarkEnd w:id="290"/>
      <w:bookmarkEnd w:id="291"/>
      <w:bookmarkEnd w:id="292"/>
      <w:bookmarkEnd w:id="293"/>
      <w:bookmarkEnd w:id="294"/>
    </w:p>
    <w:p>
      <w:pPr>
        <w:pStyle w:val="19"/>
        <w:snapToGrid w:val="0"/>
        <w:spacing w:before="157" w:beforeLines="50" w:line="360" w:lineRule="auto"/>
        <w:rPr>
          <w:rFonts w:hint="eastAsia" w:ascii="Cambria" w:hAnsi="Cambria"/>
          <w:b/>
          <w:bCs/>
          <w:color w:val="auto"/>
          <w:sz w:val="28"/>
          <w:szCs w:val="28"/>
          <w:highlight w:val="none"/>
        </w:rPr>
      </w:pPr>
      <w:bookmarkStart w:id="296" w:name="_Toc9815"/>
      <w:bookmarkStart w:id="297" w:name="_Toc8500"/>
      <w:bookmarkStart w:id="298" w:name="_Toc9602"/>
      <w:bookmarkStart w:id="299" w:name="_Toc411526684"/>
      <w:bookmarkStart w:id="300" w:name="_Toc20317"/>
      <w:bookmarkStart w:id="301" w:name="_Toc19548029"/>
      <w:r>
        <w:rPr>
          <w:rFonts w:hint="eastAsia" w:ascii="Cambria" w:hAnsi="Cambria"/>
          <w:b/>
          <w:bCs/>
          <w:color w:val="auto"/>
          <w:sz w:val="28"/>
          <w:szCs w:val="28"/>
          <w:highlight w:val="none"/>
        </w:rPr>
        <w:t>1. 定义与解释</w:t>
      </w:r>
      <w:bookmarkEnd w:id="296"/>
      <w:bookmarkEnd w:id="297"/>
      <w:bookmarkEnd w:id="298"/>
      <w:bookmarkEnd w:id="299"/>
      <w:bookmarkEnd w:id="300"/>
      <w:bookmarkEnd w:id="301"/>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1.2  解释</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 本合同文件除使用中文外，还可用</w:t>
      </w:r>
      <w:r>
        <w:rPr>
          <w:rFonts w:hint="eastAsia" w:ascii="宋体" w:hAnsi="宋体" w:cs="宋体"/>
          <w:color w:val="auto"/>
          <w:szCs w:val="21"/>
          <w:highlight w:val="none"/>
          <w:u w:val="single"/>
        </w:rPr>
        <w:t xml:space="preserve">  </w:t>
      </w:r>
      <w:r>
        <w:rPr>
          <w:rFonts w:hint="eastAsia" w:hAnsi="宋体"/>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1.2.2 约定本合同文件的解释顺序为：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02" w:name="_Toc411526685"/>
      <w:bookmarkStart w:id="303" w:name="_Toc12926"/>
      <w:bookmarkStart w:id="304" w:name="_Toc12325"/>
      <w:bookmarkStart w:id="305" w:name="_Toc19124"/>
      <w:bookmarkStart w:id="306" w:name="_Toc19548030"/>
      <w:bookmarkStart w:id="307" w:name="_Toc18552"/>
      <w:r>
        <w:rPr>
          <w:rFonts w:hint="eastAsia" w:ascii="Cambria" w:hAnsi="Cambria"/>
          <w:b/>
          <w:bCs/>
          <w:color w:val="auto"/>
          <w:sz w:val="28"/>
          <w:szCs w:val="28"/>
          <w:highlight w:val="none"/>
        </w:rPr>
        <w:t>2. 监理人义务</w:t>
      </w:r>
      <w:bookmarkEnd w:id="302"/>
      <w:bookmarkEnd w:id="303"/>
      <w:bookmarkEnd w:id="304"/>
      <w:bookmarkEnd w:id="305"/>
      <w:bookmarkEnd w:id="306"/>
      <w:bookmarkEnd w:id="307"/>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2.1 监理的范围和</w:t>
      </w:r>
      <w:r>
        <w:rPr>
          <w:rFonts w:hint="eastAsia" w:ascii="宋体" w:hAnsi="宋体" w:cs="宋体"/>
          <w:bCs/>
          <w:color w:val="auto"/>
          <w:szCs w:val="21"/>
          <w:highlight w:val="none"/>
        </w:rPr>
        <w:t>内容</w:t>
      </w:r>
    </w:p>
    <w:p>
      <w:pPr>
        <w:pStyle w:val="19"/>
        <w:adjustRightInd w:val="0"/>
        <w:snapToGrid w:val="0"/>
        <w:spacing w:line="400" w:lineRule="exact"/>
        <w:ind w:firstLine="420" w:firstLineChars="200"/>
        <w:rPr>
          <w:rFonts w:hAnsi="宋体"/>
          <w:color w:val="auto"/>
          <w:szCs w:val="21"/>
          <w:highlight w:val="none"/>
        </w:rPr>
      </w:pPr>
      <w:r>
        <w:rPr>
          <w:rFonts w:hint="eastAsia" w:ascii="宋体" w:hAnsi="宋体" w:cs="宋体"/>
          <w:color w:val="auto"/>
          <w:szCs w:val="21"/>
          <w:highlight w:val="none"/>
        </w:rPr>
        <w:t>2.1.1 监理范围包括：</w:t>
      </w:r>
      <w:r>
        <w:rPr>
          <w:rFonts w:hint="eastAsia" w:ascii="宋体" w:hAnsi="宋体" w:cs="宋体"/>
          <w:color w:val="auto"/>
          <w:szCs w:val="21"/>
          <w:highlight w:val="none"/>
          <w:u w:val="single"/>
        </w:rPr>
        <w:t xml:space="preserve">  </w:t>
      </w:r>
      <w:r>
        <w:rPr>
          <w:rFonts w:hAnsi="宋体"/>
          <w:color w:val="auto"/>
          <w:szCs w:val="21"/>
          <w:highlight w:val="none"/>
          <w:u w:val="single"/>
        </w:rPr>
        <w:t>本合同约定的监理服务，</w:t>
      </w:r>
      <w:r>
        <w:rPr>
          <w:rFonts w:hint="eastAsia" w:hAnsi="宋体"/>
          <w:b/>
          <w:bCs/>
          <w:color w:val="auto"/>
          <w:szCs w:val="21"/>
          <w:highlight w:val="none"/>
          <w:u w:val="single"/>
        </w:rPr>
        <w:t>包括 施工、保修阶段的监理</w:t>
      </w:r>
      <w:r>
        <w:rPr>
          <w:rFonts w:hAnsi="宋体"/>
          <w:color w:val="auto"/>
          <w:szCs w:val="21"/>
          <w:highlight w:val="none"/>
        </w:rPr>
        <w:t>。</w:t>
      </w:r>
    </w:p>
    <w:p>
      <w:pPr>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2.1.2 监理工作内容还包括：</w:t>
      </w:r>
      <w:r>
        <w:rPr>
          <w:rFonts w:hint="eastAsia" w:ascii="宋体" w:hAnsi="宋体" w:cs="宋体"/>
          <w:color w:val="auto"/>
          <w:szCs w:val="21"/>
          <w:highlight w:val="none"/>
          <w:u w:val="single"/>
        </w:rPr>
        <w:t xml:space="preserve">  </w:t>
      </w:r>
      <w:r>
        <w:rPr>
          <w:color w:val="auto"/>
          <w:szCs w:val="21"/>
          <w:highlight w:val="none"/>
          <w:u w:val="single"/>
        </w:rPr>
        <w:t>1、签订合同后5日内提交《项目监理规划》，明确本项目监理机构人员和各专业监理人员的进场时间。</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2、在工程开工前完成《项目监理细则》，并依据各专业工程实际情况进行监理交底，须有监理交底纪要。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3、协助委托人办理施工许可证，协助委托人填写开工报告，签发开工令。</w:t>
      </w:r>
    </w:p>
    <w:p>
      <w:pPr>
        <w:adjustRightInd w:val="0"/>
        <w:snapToGrid w:val="0"/>
        <w:spacing w:line="360" w:lineRule="auto"/>
        <w:ind w:firstLine="420" w:firstLineChars="200"/>
        <w:rPr>
          <w:rFonts w:hint="eastAsia"/>
          <w:b/>
          <w:bCs/>
          <w:color w:val="auto"/>
          <w:szCs w:val="21"/>
          <w:highlight w:val="none"/>
          <w:u w:val="single"/>
          <w:lang w:eastAsia="zh-CN"/>
        </w:rPr>
      </w:pPr>
      <w:r>
        <w:rPr>
          <w:color w:val="auto"/>
          <w:szCs w:val="21"/>
          <w:highlight w:val="none"/>
          <w:u w:val="single"/>
        </w:rPr>
        <w:t>4、</w:t>
      </w:r>
      <w:r>
        <w:rPr>
          <w:b w:val="0"/>
          <w:bCs w:val="0"/>
          <w:color w:val="auto"/>
          <w:szCs w:val="21"/>
          <w:highlight w:val="none"/>
          <w:u w:val="single"/>
        </w:rPr>
        <w:t>组织施工图纸会审</w:t>
      </w:r>
      <w:r>
        <w:rPr>
          <w:rFonts w:hint="eastAsia"/>
          <w:b w:val="0"/>
          <w:bCs w:val="0"/>
          <w:color w:val="auto"/>
          <w:szCs w:val="21"/>
          <w:highlight w:val="none"/>
          <w:u w:val="single"/>
          <w:lang w:eastAsia="zh-CN"/>
        </w:rPr>
        <w:t>。</w:t>
      </w:r>
    </w:p>
    <w:p>
      <w:pPr>
        <w:adjustRightInd w:val="0"/>
        <w:snapToGrid w:val="0"/>
        <w:spacing w:line="360" w:lineRule="auto"/>
        <w:ind w:firstLine="422" w:firstLineChars="200"/>
        <w:rPr>
          <w:b/>
          <w:bCs/>
          <w:color w:val="auto"/>
          <w:szCs w:val="21"/>
          <w:highlight w:val="none"/>
          <w:u w:val="single"/>
        </w:rPr>
      </w:pPr>
      <w:r>
        <w:rPr>
          <w:rFonts w:hint="eastAsia"/>
          <w:b/>
          <w:bCs/>
          <w:color w:val="auto"/>
          <w:szCs w:val="21"/>
          <w:highlight w:val="none"/>
          <w:u w:val="single"/>
          <w:lang w:val="en-US" w:eastAsia="zh-CN"/>
        </w:rPr>
        <w:t>5、自带测量仪器，负责对施工现场测量导线、标高进行测量并复测</w:t>
      </w:r>
      <w:r>
        <w:rPr>
          <w:b/>
          <w:bCs/>
          <w:color w:val="auto"/>
          <w:szCs w:val="21"/>
          <w:highlight w:val="none"/>
          <w:u w:val="single"/>
        </w:rPr>
        <w:t>。</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6</w:t>
      </w:r>
      <w:r>
        <w:rPr>
          <w:color w:val="auto"/>
          <w:szCs w:val="21"/>
          <w:highlight w:val="none"/>
          <w:u w:val="single"/>
        </w:rPr>
        <w:t>、协助委托人确认承包人选择的分包人，并报委托人。</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7</w:t>
      </w:r>
      <w:r>
        <w:rPr>
          <w:color w:val="auto"/>
          <w:szCs w:val="21"/>
          <w:highlight w:val="none"/>
          <w:u w:val="single"/>
        </w:rPr>
        <w:t>、在3日内审查完承包人编制的施工组织设计和施工方案，质量、进度、安全的保证体系，提出审核意见并监督检查其按审批后的施工方案和计划实施，并向委托人每月递交进度报告。</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8</w:t>
      </w:r>
      <w:r>
        <w:rPr>
          <w:color w:val="auto"/>
          <w:szCs w:val="21"/>
          <w:highlight w:val="none"/>
          <w:u w:val="single"/>
        </w:rPr>
        <w:t>、根据审核后的承包人编制的施工组织设计的施工方案，</w:t>
      </w:r>
      <w:r>
        <w:rPr>
          <w:rFonts w:hint="eastAsia"/>
          <w:color w:val="auto"/>
          <w:szCs w:val="21"/>
          <w:highlight w:val="none"/>
          <w:u w:val="single"/>
          <w:lang w:eastAsia="zh-CN"/>
        </w:rPr>
        <w:t>检</w:t>
      </w:r>
      <w:r>
        <w:rPr>
          <w:color w:val="auto"/>
          <w:szCs w:val="21"/>
          <w:highlight w:val="none"/>
          <w:u w:val="single"/>
        </w:rPr>
        <w:t>查承包人是否按施工组织设计和施工方案安排施工设备和施工人员，并做记录向委托人每月提交书面汇报。审核施工组织设计和施工方案时，应提交评审意见和优化建设及存在的风险，并在《项目监理细则》中采取</w:t>
      </w:r>
      <w:r>
        <w:rPr>
          <w:rFonts w:hint="eastAsia"/>
          <w:color w:val="auto"/>
          <w:szCs w:val="21"/>
          <w:highlight w:val="none"/>
          <w:u w:val="single"/>
          <w:lang w:eastAsia="zh-CN"/>
        </w:rPr>
        <w:t>应</w:t>
      </w:r>
      <w:r>
        <w:rPr>
          <w:color w:val="auto"/>
          <w:szCs w:val="21"/>
          <w:highlight w:val="none"/>
          <w:u w:val="single"/>
        </w:rPr>
        <w:t>对措施。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9</w:t>
      </w:r>
      <w:r>
        <w:rPr>
          <w:color w:val="auto"/>
          <w:szCs w:val="21"/>
          <w:highlight w:val="none"/>
          <w:u w:val="single"/>
        </w:rPr>
        <w:t>、建立安全管理措施及应急预案。</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10</w:t>
      </w:r>
      <w:r>
        <w:rPr>
          <w:color w:val="auto"/>
          <w:szCs w:val="21"/>
          <w:highlight w:val="none"/>
          <w:u w:val="single"/>
        </w:rPr>
        <w:t>、建立质量、进度及安全、资金、材料管理的目标和管理体系，并制定各控制目标的实施细则。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1</w:t>
      </w:r>
      <w:r>
        <w:rPr>
          <w:color w:val="auto"/>
          <w:szCs w:val="21"/>
          <w:highlight w:val="none"/>
          <w:u w:val="single"/>
        </w:rPr>
        <w:t>、全过程监控质量、进度、安全、资金、材料的实施情况，及时查处和纠正偏离控制目标的现象，杜绝出现影响质量、进度、成本及安全目标控制的重大问题和责任事故。</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2</w:t>
      </w:r>
      <w:r>
        <w:rPr>
          <w:color w:val="auto"/>
          <w:szCs w:val="21"/>
          <w:highlight w:val="none"/>
          <w:u w:val="single"/>
        </w:rPr>
        <w:t>、审查承包人或委托人提供的材料和设备清单及所列的规格、质量和数量，并存档相应的资料。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3</w:t>
      </w:r>
      <w:r>
        <w:rPr>
          <w:color w:val="auto"/>
          <w:szCs w:val="21"/>
          <w:highlight w:val="none"/>
          <w:u w:val="single"/>
        </w:rPr>
        <w:t>、检查工程使用的主要设备及关键材料是否符合设计文件或标书所规定的厂家、型号、规格及质量标准。在订货前，根据需要以对生产厂家进行了解考察，所发生的差旅费用由订货单位负担。设备及材料、构件的出厂合格证、材质实验单等进行核定，如发现不实之处，有权责成承包人（并指定检验单位）对材质进行再化验，防止不合格的材料、构件等用于工程上。对于业主采购材料（甲供材料），监理工作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（1）组织施工单位、材料供应商按有关验收标准或对各种甲供材料进行现场签收。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（2）督促施工单位及时作出材料计划，并进行审核，每周负责向委托人汇报材料的供需情况（计划采购量、实际已采购量、预增（减）购量、材料质量等）。</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（3）根据材料计划与承建商、材料供应商协商确定合理的材料进场时间、车次等，并书面汇报委托人。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（4）负责监督承建人进行标段内的甲供材料的保管、调拨。</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（5）在需进行材料核查时组织承建商或材料供应商进行甲供材料的现场清点（施工结束后）。</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（6）对施工方供应的材料，须进行封样，材料进出场必须进行验收（质量、数量等内容），形成记录，定期向委托人书面报告。</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4</w:t>
      </w:r>
      <w:r>
        <w:rPr>
          <w:color w:val="auto"/>
          <w:szCs w:val="21"/>
          <w:highlight w:val="none"/>
          <w:u w:val="single"/>
        </w:rPr>
        <w:t>、督促施工单位及时作出人员进场计划，并进行审核，每周负责向委托人汇报人员的安排情况。</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5</w:t>
      </w:r>
      <w:r>
        <w:rPr>
          <w:color w:val="auto"/>
          <w:szCs w:val="21"/>
          <w:highlight w:val="none"/>
          <w:u w:val="single"/>
        </w:rPr>
        <w:t>、组织对施工现场的危险源、环境影响因素按照甲方标准进行检查。</w:t>
      </w:r>
    </w:p>
    <w:p>
      <w:pPr>
        <w:adjustRightInd w:val="0"/>
        <w:snapToGrid w:val="0"/>
        <w:spacing w:line="360" w:lineRule="auto"/>
        <w:ind w:firstLine="420" w:firstLineChars="200"/>
        <w:rPr>
          <w:rFonts w:hint="default" w:eastAsiaTheme="minorEastAsia"/>
          <w:color w:val="auto"/>
          <w:szCs w:val="21"/>
          <w:highlight w:val="none"/>
          <w:u w:val="single"/>
          <w:lang w:val="en-US" w:eastAsia="zh-CN"/>
        </w:rPr>
      </w:pPr>
      <w:r>
        <w:rPr>
          <w:color w:val="auto"/>
          <w:szCs w:val="21"/>
          <w:highlight w:val="none"/>
          <w:u w:val="single"/>
        </w:rPr>
        <w:t>1</w:t>
      </w:r>
      <w:r>
        <w:rPr>
          <w:rFonts w:hint="eastAsia"/>
          <w:color w:val="auto"/>
          <w:szCs w:val="21"/>
          <w:highlight w:val="none"/>
          <w:u w:val="single"/>
          <w:lang w:val="en-US" w:eastAsia="zh-CN"/>
        </w:rPr>
        <w:t>6</w:t>
      </w:r>
      <w:r>
        <w:rPr>
          <w:color w:val="auto"/>
          <w:szCs w:val="21"/>
          <w:highlight w:val="none"/>
          <w:u w:val="single"/>
        </w:rPr>
        <w:t>、督促和检查承包人严格执行合同和严格按国家技术规范、标准、地方建筑安装规程以及设计图纸文件的要求进行施工和施工验收签证，控制工程质量。要求监理工程师必须现场旁站监理，并做好旁站监理记录。</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7</w:t>
      </w:r>
      <w:r>
        <w:rPr>
          <w:color w:val="auto"/>
          <w:szCs w:val="21"/>
          <w:highlight w:val="none"/>
          <w:u w:val="single"/>
        </w:rPr>
        <w:t>、制定工程变更程序，对所有工程变更，均要提出监理方意见，报委托人审批，经委托人同意后，方可实施。</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8</w:t>
      </w:r>
      <w:r>
        <w:rPr>
          <w:color w:val="auto"/>
          <w:szCs w:val="21"/>
          <w:highlight w:val="none"/>
          <w:u w:val="single"/>
        </w:rPr>
        <w:t>、根据施工合同的付款规定，以及专业监理工程师对工程质量、数量的核实，签发付款凭证。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9</w:t>
      </w:r>
      <w:r>
        <w:rPr>
          <w:color w:val="auto"/>
          <w:szCs w:val="21"/>
          <w:highlight w:val="none"/>
          <w:u w:val="single"/>
        </w:rPr>
        <w:t>、监督检查工程的文明施工及安全防护措施。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20</w:t>
      </w:r>
      <w:r>
        <w:rPr>
          <w:color w:val="auto"/>
          <w:szCs w:val="21"/>
          <w:highlight w:val="none"/>
          <w:u w:val="single"/>
        </w:rPr>
        <w:t>、组织好各阶段、部位、环节及系统的分段工程检验、验收，负责组织初验，签署由承包人提出的竣工验收报告，参加委托人组织的最终验收。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1</w:t>
      </w:r>
      <w:r>
        <w:rPr>
          <w:color w:val="auto"/>
          <w:szCs w:val="21"/>
          <w:highlight w:val="none"/>
          <w:u w:val="single"/>
        </w:rPr>
        <w:t>、组织处理工程出现的质量、安全事故，提出处理意见。所发生的费用由责任方负责。</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2</w:t>
      </w:r>
      <w:r>
        <w:rPr>
          <w:color w:val="auto"/>
          <w:szCs w:val="21"/>
          <w:highlight w:val="none"/>
          <w:u w:val="single"/>
        </w:rPr>
        <w:t>、负责检查工程状况，鉴定质量问题责任，督促保修。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3</w:t>
      </w:r>
      <w:r>
        <w:rPr>
          <w:color w:val="auto"/>
          <w:szCs w:val="21"/>
          <w:highlight w:val="none"/>
          <w:u w:val="single"/>
        </w:rPr>
        <w:t>、负责组织项目实施中有关各方面之间的综合协调工作，确保工程现场的和谐。</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4</w:t>
      </w:r>
      <w:r>
        <w:rPr>
          <w:color w:val="auto"/>
          <w:szCs w:val="21"/>
          <w:highlight w:val="none"/>
          <w:u w:val="single"/>
        </w:rPr>
        <w:t>、按时组织工地例会，并将例会情况及时整理成文，以纪要形式报送委托人。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5</w:t>
      </w:r>
      <w:r>
        <w:rPr>
          <w:color w:val="auto"/>
          <w:szCs w:val="21"/>
          <w:highlight w:val="none"/>
          <w:u w:val="single"/>
        </w:rPr>
        <w:t>、为工程建设“三控三管一协调”的实现向委托人提出合理化建议。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6</w:t>
      </w:r>
      <w:r>
        <w:rPr>
          <w:color w:val="auto"/>
          <w:szCs w:val="21"/>
          <w:highlight w:val="none"/>
          <w:u w:val="single"/>
        </w:rPr>
        <w:t>、从质量、进度、安全文明施工、材料情况、需甲方协调的内容等五个主要方面提出监理方意见，并对下周工作计划提出的监理方的分析、要求及预测，以周报形式每周一上午提供给甲方。</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7</w:t>
      </w:r>
      <w:r>
        <w:rPr>
          <w:color w:val="auto"/>
          <w:szCs w:val="21"/>
          <w:highlight w:val="none"/>
          <w:u w:val="single"/>
        </w:rPr>
        <w:t>、信息管理：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（1）建立信息管理体系，及时、准确的获取所需的信息；</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（2）负责对工程实施过程中的各种图纸、资料以及工程进展信息进行管理；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（3）负责各承包单位存档文件管理的监督管理，满足委托人及有关部门随时对项目相关文件的阅读和检查需要；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（4）按照监理合同附件的要求编制监理月报；</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（5）做好施工现场记录与信息反馈；</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（6）督促检查承包人完成各阶段及全套竣工图的绘制，并负责对竣工图和竣工资料的审核、验收工作；</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7）负责开工直至竣工全过程的有关审批文件、工程资料、工程档案盒技术资料进行整理、汇编、归档，做好文、录、表、单的日常管理，归档资料应能够满足档案管理要求和审计要求，并在期限届满时移交委托人，移交后方可进行</w:t>
      </w:r>
      <w:r>
        <w:rPr>
          <w:rFonts w:hint="eastAsia"/>
          <w:color w:val="auto"/>
          <w:szCs w:val="21"/>
          <w:highlight w:val="none"/>
          <w:u w:val="single"/>
          <w:lang w:eastAsia="zh-CN"/>
        </w:rPr>
        <w:t>监理服务费</w:t>
      </w:r>
      <w:r>
        <w:rPr>
          <w:color w:val="auto"/>
          <w:szCs w:val="21"/>
          <w:highlight w:val="none"/>
          <w:u w:val="single"/>
        </w:rPr>
        <w:t>用结算。</w:t>
      </w:r>
    </w:p>
    <w:p>
      <w:pPr>
        <w:pStyle w:val="20"/>
        <w:numPr>
          <w:ilvl w:val="0"/>
          <w:numId w:val="0"/>
        </w:numPr>
        <w:snapToGrid w:val="0"/>
        <w:spacing w:line="360" w:lineRule="auto"/>
        <w:ind w:leftChars="200"/>
        <w:rPr>
          <w:rFonts w:hint="eastAsia" w:hAnsi="宋体"/>
          <w:b/>
          <w:bCs/>
          <w:color w:val="auto"/>
          <w:kern w:val="0"/>
          <w:szCs w:val="21"/>
          <w:highlight w:val="none"/>
          <w:lang w:val="en-US" w:eastAsia="zh-CN"/>
        </w:rPr>
      </w:pPr>
      <w:r>
        <w:rPr>
          <w:rFonts w:hint="eastAsia" w:hAnsi="宋体"/>
          <w:b/>
          <w:bCs/>
          <w:color w:val="auto"/>
          <w:kern w:val="0"/>
          <w:szCs w:val="21"/>
          <w:highlight w:val="none"/>
          <w:lang w:val="en-US" w:eastAsia="zh-CN"/>
        </w:rPr>
        <w:t>2.2</w:t>
      </w:r>
      <w:r>
        <w:rPr>
          <w:rFonts w:hint="eastAsia" w:hAnsi="宋体"/>
          <w:b/>
          <w:bCs/>
          <w:color w:val="auto"/>
          <w:kern w:val="0"/>
          <w:szCs w:val="21"/>
          <w:highlight w:val="none"/>
        </w:rPr>
        <w:t>监理人</w:t>
      </w:r>
      <w:r>
        <w:rPr>
          <w:rFonts w:hint="eastAsia" w:hAnsi="宋体"/>
          <w:b/>
          <w:bCs/>
          <w:color w:val="auto"/>
          <w:kern w:val="0"/>
          <w:szCs w:val="21"/>
          <w:highlight w:val="none"/>
          <w:lang w:val="en-US" w:eastAsia="zh-CN"/>
        </w:rPr>
        <w:t>违约处罚</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因监理人违反国家、广西区和南宁市的法律、法规、规章、规定，违反本合同相关条款和发包人相关规定，造成工程安全质量事故、安全事件和质量缺陷的，监理人除全面承担法律责任外，发包人将视情节给予以下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1、</w:t>
      </w:r>
      <w:r>
        <w:rPr>
          <w:rFonts w:hint="eastAsia"/>
          <w:color w:val="auto"/>
          <w:highlight w:val="none"/>
        </w:rPr>
        <w:t>安全违约处理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1.1</w:t>
      </w:r>
      <w:r>
        <w:rPr>
          <w:rFonts w:hint="eastAsia"/>
          <w:color w:val="auto"/>
          <w:highlight w:val="none"/>
        </w:rPr>
        <w:t>监理人存在下列情形之一者，责令改正，通报批评，并视情节处1仟元以上3仟元以下的违约金。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（1）监理人未对承包人的违规行为进行有效制止的；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（2）施工单位不按照批准的施工方案作业时，监理人未及时下达工程暂停令并报告建设单位的；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（3）未对施工现场进行定期和专项安全检查，或未做好安全检查记录的；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（4）未按规定对关键施工环节和事故易发、多发工序实施旁站监理和巡查的；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（5）对检查发现存在的安全隐患没有及时发出整改通知，对其发出的整改通知书，未跟踪整改落实情况，或者承包人拒不整改，未及时向发包人报告的；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（6）未按有关规定对单列的安全防护、文明施工费用的使用进行监理的；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（7）施工单位因施工安全原因被上级主管部门或安监站责令停工整改后，未督促其落实整改并反馈整改情况的；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（8）无安全施工监理日志或日志内容弄虚作假、记录不规范、不真实、不完整的；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（9）监理标段内同类安全隐患出现3次（含）以上监理人未采取措施的或一年内被上级主管部门书面通报批评2次（含）以上的；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（10）施工单位违法挂靠、转包、分包的行为没有及时发现和制止的。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1.2监理人存在下列情形之一者，责令改正，通报批评，并视情节处2仟元以上5仟元以下的违约金。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（1）项目发生虽未有人员伤亡但造成较大社会影响安全事件的；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（2）所监理的项目每发生一起安全生产事故的；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（3）发生一般及以上安全生产事故时，主要负责人对事故隐瞒不报、谎报或者拖延不报，不立即组织抢效或者在事故调查处理期间擅离职守或者逃匿的。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2、</w:t>
      </w:r>
      <w:r>
        <w:rPr>
          <w:rFonts w:hint="eastAsia"/>
          <w:color w:val="auto"/>
          <w:highlight w:val="none"/>
        </w:rPr>
        <w:t>质量违约处理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2.1监理人所监理项目存在下列情形之一者，责令改正，通报批评，视情节处以1仟至3仟元的违约扣款：</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（1）未对承包人的施工组织设计、专项施工方案进行审批或经监理审批同意后存在违反法律法规、规范标准、合同条款和设计要求的；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（2）承包人未按规范标准、设计要求和施工方案施工，监理人未进行有效制止和按规定上报发包人的；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（3）未按规定对施工工序进行旁站、质量验收或经监理人验收同意后存在不符合规范</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标准、设计和施工方案要求的；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（4）未对关键工序和隐蔽工程进行验收和监理取证就允许承包人进入下道工序施工的；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（5）经监理人验收审批后的材料存在明显质量问题或资料不全、不合格的；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（6）存在不合格建筑材料，未督促承包人进行整改或对整改过程未进行全程监理见证的；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（7）存在质量隐患和质量问题，未及时下发监理工作联系单或通知单要求承包人整改的；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（8）因质量问题被主管部门通报的，或</w:t>
      </w:r>
      <w:r>
        <w:rPr>
          <w:color w:val="auto"/>
          <w:highlight w:val="none"/>
        </w:rPr>
        <w:t>因创城工作不到位，被集团或</w:t>
      </w:r>
      <w:r>
        <w:rPr>
          <w:rFonts w:hint="eastAsia"/>
          <w:color w:val="auto"/>
          <w:highlight w:val="none"/>
        </w:rPr>
        <w:t>上级主管部门</w:t>
      </w:r>
      <w:r>
        <w:rPr>
          <w:color w:val="auto"/>
          <w:highlight w:val="none"/>
        </w:rPr>
        <w:t>通报的</w:t>
      </w:r>
      <w:r>
        <w:rPr>
          <w:rFonts w:hint="eastAsia"/>
          <w:color w:val="auto"/>
          <w:highlight w:val="none"/>
        </w:rPr>
        <w:t>；</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（9）</w:t>
      </w:r>
      <w:r>
        <w:rPr>
          <w:color w:val="auto"/>
          <w:highlight w:val="none"/>
        </w:rPr>
        <w:t>项目责任范围内 12345 热线工单处置不力，当月出现 3起以上不合格办结、返工、逾期处置的</w:t>
      </w:r>
      <w:r>
        <w:rPr>
          <w:rFonts w:hint="eastAsia"/>
          <w:color w:val="auto"/>
          <w:highlight w:val="none"/>
        </w:rPr>
        <w:t>；</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（10）监理人出现其他违反本合同条款和发包人规定导致发生工程质量问题的。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3、</w:t>
      </w:r>
      <w:r>
        <w:rPr>
          <w:rFonts w:hint="eastAsia"/>
          <w:color w:val="auto"/>
          <w:highlight w:val="none"/>
        </w:rPr>
        <w:t>所监理项目存在下列情形之一者，给予通报批评，并视情节处2仟元以上5仟元以下的违约金，并没收监理工作质量保证金: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（1）监理人和承包人串通，在建筑材料质量、施工质量控制、各类验收及工程资料等方面弄虚作假、掩盖质量问题的: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（2）发生质量事故的;</w:t>
      </w:r>
    </w:p>
    <w:p>
      <w:pPr>
        <w:pStyle w:val="20"/>
        <w:numPr>
          <w:ilvl w:val="0"/>
          <w:numId w:val="0"/>
        </w:numPr>
        <w:snapToGrid w:val="0"/>
        <w:spacing w:line="360" w:lineRule="auto"/>
        <w:ind w:leftChars="200"/>
        <w:rPr>
          <w:rFonts w:hint="default" w:hAnsi="宋体"/>
          <w:b/>
          <w:bCs/>
          <w:color w:val="auto"/>
          <w:kern w:val="0"/>
          <w:szCs w:val="21"/>
          <w:highlight w:val="none"/>
          <w:lang w:val="en-US" w:eastAsia="zh-CN"/>
        </w:rPr>
      </w:pPr>
      <w:r>
        <w:rPr>
          <w:rFonts w:hint="eastAsia"/>
          <w:color w:val="auto"/>
          <w:highlight w:val="none"/>
        </w:rPr>
        <w:t>（3）因质量问题造成较大社会影响的。</w:t>
      </w:r>
    </w:p>
    <w:p>
      <w:pPr>
        <w:adjustRightInd w:val="0"/>
        <w:snapToGrid w:val="0"/>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监理与相关服务依据</w:t>
      </w:r>
    </w:p>
    <w:p>
      <w:pPr>
        <w:pStyle w:val="2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 监理依据包括：</w:t>
      </w:r>
      <w:r>
        <w:rPr>
          <w:rFonts w:hint="eastAsia"/>
          <w:color w:val="auto"/>
          <w:szCs w:val="21"/>
          <w:highlight w:val="none"/>
          <w:u w:val="single"/>
        </w:rPr>
        <w:t>本项目施工合同、本合同、设计相关文件、国家及地方相关规范和要求</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dstrike/>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 相关服务依据包括：</w:t>
      </w:r>
      <w:r>
        <w:rPr>
          <w:rFonts w:hint="eastAsia"/>
          <w:color w:val="auto"/>
          <w:szCs w:val="21"/>
          <w:highlight w:val="none"/>
          <w:u w:val="single"/>
        </w:rPr>
        <w:t>施工图纸、用户需求书、技术标准及要求</w:t>
      </w:r>
      <w:r>
        <w:rPr>
          <w:color w:val="auto"/>
          <w:szCs w:val="21"/>
          <w:highlight w:val="none"/>
          <w:u w:val="single"/>
        </w:rPr>
        <w:t xml:space="preserve">  </w:t>
      </w:r>
      <w:r>
        <w:rPr>
          <w:rFonts w:hAnsi="宋体"/>
          <w:color w:val="auto"/>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kern w:val="0"/>
          <w:szCs w:val="21"/>
          <w:highlight w:val="none"/>
        </w:rPr>
        <w:t>项目监理机构和人员</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更换监理人员的其他情形：</w:t>
      </w:r>
      <w:r>
        <w:rPr>
          <w:rFonts w:hint="eastAsia" w:ascii="宋体" w:hAnsi="宋体" w:cs="宋体"/>
          <w:color w:val="auto"/>
          <w:kern w:val="0"/>
          <w:szCs w:val="21"/>
          <w:highlight w:val="none"/>
          <w:u w:val="single"/>
        </w:rPr>
        <w:t xml:space="preserve">  如监理人需要调换施工现场监理人员时，须经委托人与监理人双方协商，报委托人同意后生效  </w:t>
      </w:r>
      <w:r>
        <w:rPr>
          <w:rFonts w:hint="eastAsia" w:ascii="宋体" w:hAnsi="宋体" w:cs="宋体"/>
          <w:color w:val="auto"/>
          <w:kern w:val="0"/>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kern w:val="0"/>
          <w:szCs w:val="21"/>
          <w:highlight w:val="none"/>
        </w:rPr>
        <w:t>履行职责</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 对监理人的授权范围：</w:t>
      </w:r>
      <w:r>
        <w:rPr>
          <w:rFonts w:hint="eastAsia" w:ascii="宋体" w:hAnsi="宋体" w:cs="宋体"/>
          <w:color w:val="auto"/>
          <w:szCs w:val="21"/>
          <w:highlight w:val="none"/>
          <w:u w:val="single"/>
        </w:rPr>
        <w:t xml:space="preserve">  </w:t>
      </w:r>
      <w:r>
        <w:rPr>
          <w:rFonts w:hint="eastAsia" w:hAnsi="宋体"/>
          <w:color w:val="auto"/>
          <w:szCs w:val="21"/>
          <w:highlight w:val="none"/>
          <w:u w:val="single"/>
        </w:rPr>
        <w:t>1、</w:t>
      </w:r>
      <w:r>
        <w:rPr>
          <w:rFonts w:hint="eastAsia"/>
          <w:color w:val="auto"/>
          <w:szCs w:val="21"/>
          <w:highlight w:val="none"/>
          <w:u w:val="single"/>
        </w:rPr>
        <w:t xml:space="preserve">审查工程施工组织设计、施工技术方案，按照包质量、包工期和降低成本的原则，向承建单位提出修改意见，并书面提交业主。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2、有对工程建设有关单位的组织协调权（重要协调事项应事先向业主报告）。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3、征得委托人同意，有权发布开工令、停工令、复工令。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4、有对在工程中使用的材料、构配件和设备的检验及对不合格产品的否决权。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5、有对施工质量的检验权，对不符合设计、验收规范和质量标准的工序、分部分项工程，有权责令承建单位停工整改返工。承建单位必须得到项目监理部复工令后才能复工。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6、有对工程施工进度的检查、监督权，以及工程实际竣工日期提前或超过工程施工合同规定的竣工期限的签认权。在合同约定的工程价格范围内，有对工程施工用款计划的审核签认权。 在涉及工程延期  / 天内或）金额   / 万元内的变更，监理人不需请示委托人即可向承包人发布变更通知。</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监理人有权要求承包人调换其人员</w:t>
      </w:r>
      <w:r>
        <w:rPr>
          <w:rFonts w:hint="eastAsia" w:ascii="宋体" w:hAnsi="宋体" w:cs="宋体"/>
          <w:color w:val="auto"/>
          <w:szCs w:val="21"/>
          <w:highlight w:val="none"/>
        </w:rPr>
        <w:t>的限制条件：</w:t>
      </w:r>
      <w:r>
        <w:rPr>
          <w:rFonts w:hint="eastAsia" w:ascii="宋体" w:hAnsi="宋体" w:cs="宋体"/>
          <w:color w:val="auto"/>
          <w:szCs w:val="21"/>
          <w:highlight w:val="none"/>
          <w:u w:val="single"/>
        </w:rPr>
        <w:t xml:space="preserve"> </w:t>
      </w:r>
      <w:r>
        <w:rPr>
          <w:rFonts w:hint="eastAsia"/>
          <w:color w:val="auto"/>
          <w:szCs w:val="21"/>
          <w:highlight w:val="none"/>
          <w:u w:val="single"/>
        </w:rPr>
        <w:t>除非承包人派驻人员不称职，或业务能力不足以满足现场管理需要，有权提出更换建议，并报业主备案</w:t>
      </w:r>
      <w:r>
        <w:rPr>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szCs w:val="21"/>
          <w:highlight w:val="none"/>
        </w:rPr>
        <w:t>提交</w:t>
      </w:r>
      <w:r>
        <w:rPr>
          <w:rFonts w:hint="eastAsia" w:ascii="宋体" w:hAnsi="宋体" w:cs="宋体"/>
          <w:color w:val="auto"/>
          <w:kern w:val="0"/>
          <w:szCs w:val="21"/>
          <w:highlight w:val="none"/>
        </w:rPr>
        <w:t>报告</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监理人应提交报告的种类（</w:t>
      </w:r>
      <w:r>
        <w:rPr>
          <w:rFonts w:hint="eastAsia" w:ascii="宋体" w:hAnsi="宋体" w:cs="宋体"/>
          <w:color w:val="auto"/>
          <w:kern w:val="0"/>
          <w:szCs w:val="21"/>
          <w:highlight w:val="none"/>
        </w:rPr>
        <w:t>包括监理规划、监理月报及约定的专项报告）</w:t>
      </w:r>
      <w:r>
        <w:rPr>
          <w:rFonts w:hint="eastAsia" w:ascii="宋体" w:hAnsi="宋体" w:cs="宋体"/>
          <w:color w:val="auto"/>
          <w:szCs w:val="21"/>
          <w:highlight w:val="none"/>
        </w:rPr>
        <w:t>、时间和份数</w:t>
      </w:r>
      <w:r>
        <w:rPr>
          <w:rFonts w:hint="eastAsia" w:ascii="宋体" w:hAnsi="宋体" w:cs="宋体"/>
          <w:color w:val="auto"/>
          <w:kern w:val="0"/>
          <w:szCs w:val="21"/>
          <w:highlight w:val="none"/>
        </w:rPr>
        <w:t>：</w:t>
      </w:r>
      <w:r>
        <w:rPr>
          <w:rFonts w:ascii="宋体" w:hAnsi="宋体"/>
          <w:color w:val="auto"/>
          <w:szCs w:val="21"/>
          <w:highlight w:val="none"/>
          <w:u w:val="single"/>
        </w:rPr>
        <w:t>签订合同后5日内提交《项目监理规划》</w:t>
      </w:r>
      <w:r>
        <w:rPr>
          <w:rFonts w:hint="eastAsia" w:ascii="宋体" w:hAnsi="宋体"/>
          <w:color w:val="auto"/>
          <w:szCs w:val="21"/>
          <w:highlight w:val="none"/>
          <w:u w:val="single"/>
        </w:rPr>
        <w:t>一式三份；每月25日前，监理人应向委托人提交监理月报一式三份。</w:t>
      </w:r>
    </w:p>
    <w:p>
      <w:pPr>
        <w:pStyle w:val="19"/>
        <w:snapToGrid w:val="0"/>
        <w:spacing w:before="157" w:beforeLines="50" w:line="360" w:lineRule="auto"/>
        <w:rPr>
          <w:rFonts w:hint="eastAsia" w:ascii="Cambria" w:hAnsi="Cambria"/>
          <w:b/>
          <w:bCs/>
          <w:color w:val="auto"/>
          <w:sz w:val="28"/>
          <w:szCs w:val="28"/>
          <w:highlight w:val="none"/>
        </w:rPr>
      </w:pPr>
      <w:bookmarkStart w:id="308" w:name="_Toc15353"/>
      <w:bookmarkStart w:id="309" w:name="_Toc19548031"/>
      <w:bookmarkStart w:id="310" w:name="_Toc411526686"/>
      <w:bookmarkStart w:id="311" w:name="_Toc17922"/>
      <w:bookmarkStart w:id="312" w:name="_Toc6577"/>
      <w:bookmarkStart w:id="313" w:name="_Toc12714"/>
      <w:r>
        <w:rPr>
          <w:rFonts w:hint="eastAsia" w:ascii="Cambria" w:hAnsi="Cambria"/>
          <w:b/>
          <w:bCs/>
          <w:color w:val="auto"/>
          <w:sz w:val="28"/>
          <w:szCs w:val="28"/>
          <w:highlight w:val="none"/>
        </w:rPr>
        <w:t>3. 委托人义务</w:t>
      </w:r>
      <w:bookmarkEnd w:id="308"/>
      <w:bookmarkEnd w:id="309"/>
      <w:bookmarkEnd w:id="310"/>
      <w:bookmarkEnd w:id="311"/>
      <w:bookmarkEnd w:id="312"/>
      <w:bookmarkEnd w:id="313"/>
    </w:p>
    <w:p>
      <w:pPr>
        <w:pStyle w:val="19"/>
        <w:snapToGrid w:val="0"/>
        <w:spacing w:line="360" w:lineRule="auto"/>
        <w:rPr>
          <w:color w:val="auto"/>
          <w:szCs w:val="21"/>
          <w:highlight w:val="none"/>
        </w:rPr>
      </w:pPr>
      <w:r>
        <w:rPr>
          <w:color w:val="auto"/>
          <w:kern w:val="0"/>
          <w:szCs w:val="21"/>
          <w:highlight w:val="none"/>
        </w:rPr>
        <w:t>3.</w:t>
      </w:r>
      <w:r>
        <w:rPr>
          <w:rFonts w:hint="eastAsia"/>
          <w:color w:val="auto"/>
          <w:kern w:val="0"/>
          <w:szCs w:val="21"/>
          <w:highlight w:val="none"/>
        </w:rPr>
        <w:t>1</w:t>
      </w:r>
      <w:r>
        <w:rPr>
          <w:color w:val="auto"/>
          <w:kern w:val="0"/>
          <w:szCs w:val="21"/>
          <w:highlight w:val="none"/>
        </w:rPr>
        <w:t xml:space="preserve"> </w:t>
      </w:r>
      <w:r>
        <w:rPr>
          <w:rFonts w:hAnsi="宋体"/>
          <w:color w:val="auto"/>
          <w:kern w:val="0"/>
          <w:szCs w:val="21"/>
          <w:highlight w:val="none"/>
        </w:rPr>
        <w:t>委托人代表</w:t>
      </w:r>
    </w:p>
    <w:p>
      <w:pPr>
        <w:pStyle w:val="19"/>
        <w:adjustRightInd w:val="0"/>
        <w:snapToGrid w:val="0"/>
        <w:spacing w:line="360" w:lineRule="auto"/>
        <w:ind w:firstLine="420" w:firstLineChars="200"/>
        <w:rPr>
          <w:color w:val="auto"/>
          <w:szCs w:val="21"/>
          <w:highlight w:val="none"/>
          <w:u w:val="single"/>
        </w:rPr>
      </w:pPr>
      <w:r>
        <w:rPr>
          <w:rFonts w:hAnsi="宋体"/>
          <w:color w:val="auto"/>
          <w:szCs w:val="21"/>
          <w:highlight w:val="none"/>
        </w:rPr>
        <w:t>委托人代表为：</w:t>
      </w:r>
      <w:r>
        <w:rPr>
          <w:color w:val="auto"/>
          <w:szCs w:val="21"/>
          <w:highlight w:val="none"/>
          <w:u w:val="single"/>
        </w:rPr>
        <w:t xml:space="preserve">                                        </w:t>
      </w:r>
      <w:r>
        <w:rPr>
          <w:rFonts w:hAnsi="宋体"/>
          <w:color w:val="auto"/>
          <w:szCs w:val="21"/>
          <w:highlight w:val="none"/>
        </w:rPr>
        <w:t>。</w:t>
      </w:r>
    </w:p>
    <w:p>
      <w:pPr>
        <w:pStyle w:val="19"/>
        <w:adjustRightInd w:val="0"/>
        <w:snapToGrid w:val="0"/>
        <w:spacing w:line="360" w:lineRule="auto"/>
        <w:rPr>
          <w:color w:val="auto"/>
          <w:kern w:val="0"/>
          <w:szCs w:val="21"/>
          <w:highlight w:val="none"/>
        </w:rPr>
      </w:pPr>
      <w:r>
        <w:rPr>
          <w:color w:val="auto"/>
          <w:kern w:val="0"/>
          <w:szCs w:val="21"/>
          <w:highlight w:val="none"/>
        </w:rPr>
        <w:t>3.</w:t>
      </w:r>
      <w:r>
        <w:rPr>
          <w:rFonts w:hint="eastAsia"/>
          <w:color w:val="auto"/>
          <w:kern w:val="0"/>
          <w:szCs w:val="21"/>
          <w:highlight w:val="none"/>
        </w:rPr>
        <w:t>2</w:t>
      </w:r>
      <w:r>
        <w:rPr>
          <w:color w:val="auto"/>
          <w:kern w:val="0"/>
          <w:szCs w:val="21"/>
          <w:highlight w:val="none"/>
        </w:rPr>
        <w:t xml:space="preserve"> </w:t>
      </w:r>
      <w:r>
        <w:rPr>
          <w:rFonts w:hAnsi="宋体"/>
          <w:color w:val="auto"/>
          <w:kern w:val="0"/>
          <w:szCs w:val="21"/>
          <w:highlight w:val="none"/>
        </w:rPr>
        <w:t>答复</w:t>
      </w:r>
    </w:p>
    <w:p>
      <w:pPr>
        <w:pStyle w:val="19"/>
        <w:adjustRightInd w:val="0"/>
        <w:snapToGrid w:val="0"/>
        <w:spacing w:line="360" w:lineRule="auto"/>
        <w:ind w:firstLine="420" w:firstLineChars="200"/>
        <w:rPr>
          <w:color w:val="auto"/>
          <w:szCs w:val="21"/>
          <w:highlight w:val="none"/>
        </w:rPr>
      </w:pPr>
      <w:r>
        <w:rPr>
          <w:rFonts w:hAnsi="宋体"/>
          <w:color w:val="auto"/>
          <w:szCs w:val="21"/>
          <w:highlight w:val="none"/>
        </w:rPr>
        <w:t>委托人同意在</w:t>
      </w:r>
      <w:r>
        <w:rPr>
          <w:color w:val="auto"/>
          <w:szCs w:val="21"/>
          <w:highlight w:val="none"/>
          <w:u w:val="single"/>
        </w:rPr>
        <w:t xml:space="preserve">   </w:t>
      </w:r>
      <w:r>
        <w:rPr>
          <w:rFonts w:hint="eastAsia"/>
          <w:color w:val="auto"/>
          <w:szCs w:val="21"/>
          <w:highlight w:val="none"/>
          <w:u w:val="single"/>
        </w:rPr>
        <w:t>7</w:t>
      </w:r>
      <w:r>
        <w:rPr>
          <w:color w:val="auto"/>
          <w:szCs w:val="21"/>
          <w:highlight w:val="none"/>
          <w:u w:val="single"/>
        </w:rPr>
        <w:t xml:space="preserve">    </w:t>
      </w:r>
      <w:r>
        <w:rPr>
          <w:rFonts w:hAnsi="宋体"/>
          <w:color w:val="auto"/>
          <w:szCs w:val="21"/>
          <w:highlight w:val="none"/>
        </w:rPr>
        <w:t>天内，对监理人书面提交并要求做出决定的事宜给予书面答复。</w:t>
      </w:r>
    </w:p>
    <w:p>
      <w:pPr>
        <w:pStyle w:val="19"/>
        <w:snapToGrid w:val="0"/>
        <w:spacing w:before="157" w:beforeLines="50" w:line="360" w:lineRule="auto"/>
        <w:rPr>
          <w:rFonts w:hint="eastAsia" w:ascii="Cambria" w:hAnsi="Cambria"/>
          <w:b/>
          <w:bCs/>
          <w:color w:val="auto"/>
          <w:sz w:val="28"/>
          <w:szCs w:val="28"/>
          <w:highlight w:val="none"/>
        </w:rPr>
      </w:pPr>
      <w:bookmarkStart w:id="314" w:name="_Toc411526687"/>
      <w:bookmarkStart w:id="315" w:name="_Toc21230"/>
      <w:bookmarkStart w:id="316" w:name="_Toc7112"/>
      <w:bookmarkStart w:id="317" w:name="_Toc28984"/>
      <w:bookmarkStart w:id="318" w:name="_Toc29994"/>
      <w:bookmarkStart w:id="319" w:name="_Toc19548032"/>
      <w:r>
        <w:rPr>
          <w:rFonts w:hint="eastAsia" w:ascii="Cambria" w:hAnsi="Cambria"/>
          <w:b/>
          <w:bCs/>
          <w:color w:val="auto"/>
          <w:sz w:val="28"/>
          <w:szCs w:val="28"/>
          <w:highlight w:val="none"/>
        </w:rPr>
        <w:t xml:space="preserve">4. </w:t>
      </w:r>
      <w:bookmarkEnd w:id="314"/>
      <w:bookmarkEnd w:id="315"/>
      <w:r>
        <w:rPr>
          <w:rFonts w:hint="default" w:ascii="Cambria" w:hAnsi="Cambria"/>
          <w:b/>
          <w:bCs/>
          <w:color w:val="auto"/>
          <w:sz w:val="28"/>
          <w:szCs w:val="28"/>
          <w:highlight w:val="none"/>
        </w:rPr>
        <w:t>对监理人的要求及监理人的违约责任</w:t>
      </w:r>
      <w:bookmarkEnd w:id="316"/>
      <w:bookmarkEnd w:id="317"/>
      <w:bookmarkEnd w:id="318"/>
      <w:bookmarkEnd w:id="319"/>
    </w:p>
    <w:p>
      <w:pPr>
        <w:pStyle w:val="19"/>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4.1 监理人的违约责任</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监理人赔偿金额按下列方法确定：</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赔偿金＝直接经济损失×正常工作</w:t>
      </w:r>
      <w:r>
        <w:rPr>
          <w:rFonts w:hint="eastAsia" w:ascii="宋体" w:hAnsi="宋体" w:cs="宋体"/>
          <w:color w:val="auto"/>
          <w:szCs w:val="21"/>
          <w:highlight w:val="none"/>
          <w:lang w:val="en-US" w:eastAsia="zh-CN"/>
        </w:rPr>
        <w:t>服务费</w:t>
      </w:r>
      <w:r>
        <w:rPr>
          <w:rFonts w:hint="eastAsia" w:ascii="宋体" w:hAnsi="宋体" w:cs="宋体"/>
          <w:color w:val="auto"/>
          <w:szCs w:val="21"/>
          <w:highlight w:val="none"/>
        </w:rPr>
        <w:t>÷工程概算</w:t>
      </w:r>
      <w:r>
        <w:rPr>
          <w:rFonts w:hint="eastAsia" w:ascii="宋体" w:hAnsi="宋体" w:cs="宋体"/>
          <w:color w:val="auto"/>
          <w:kern w:val="0"/>
          <w:szCs w:val="21"/>
          <w:highlight w:val="none"/>
        </w:rPr>
        <w:t>投资额（或建筑安装工程费）</w:t>
      </w:r>
    </w:p>
    <w:p>
      <w:pPr>
        <w:pStyle w:val="19"/>
        <w:adjustRightInd w:val="0"/>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4.2 委托人的违约责任</w:t>
      </w:r>
    </w:p>
    <w:p>
      <w:pPr>
        <w:pStyle w:val="19"/>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委托人</w:t>
      </w:r>
      <w:r>
        <w:rPr>
          <w:rFonts w:hint="eastAsia" w:ascii="宋体" w:hAnsi="宋体" w:cs="宋体"/>
          <w:color w:val="auto"/>
          <w:kern w:val="0"/>
          <w:szCs w:val="21"/>
          <w:highlight w:val="none"/>
        </w:rPr>
        <w:t>逾期付款利息按下列方法确定：</w:t>
      </w:r>
    </w:p>
    <w:p>
      <w:pPr>
        <w:pStyle w:val="1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逾期付款利息＝当期应付款总额×银行同期贷款日利率×拖延支付天数</w:t>
      </w:r>
    </w:p>
    <w:p>
      <w:pPr>
        <w:pStyle w:val="19"/>
        <w:snapToGrid w:val="0"/>
        <w:spacing w:before="157" w:beforeLines="50" w:after="0" w:line="360" w:lineRule="auto"/>
        <w:rPr>
          <w:rFonts w:ascii="Cambria" w:hAnsi="Cambria" w:cs="Times New Roman"/>
          <w:b/>
          <w:bCs/>
          <w:color w:val="auto"/>
          <w:sz w:val="28"/>
          <w:szCs w:val="28"/>
          <w:highlight w:val="none"/>
        </w:rPr>
      </w:pPr>
      <w:bookmarkStart w:id="320" w:name="_Toc411526688"/>
      <w:bookmarkStart w:id="321" w:name="_Toc30225"/>
      <w:bookmarkStart w:id="322" w:name="_Toc29539"/>
      <w:bookmarkStart w:id="323" w:name="_Toc19548033"/>
      <w:bookmarkStart w:id="324" w:name="_Toc30607"/>
      <w:bookmarkStart w:id="325" w:name="_Toc25931"/>
      <w:r>
        <w:rPr>
          <w:rFonts w:hint="default" w:ascii="Cambria" w:hAnsi="Cambria" w:cs="Times New Roman"/>
          <w:b/>
          <w:bCs/>
          <w:color w:val="auto"/>
          <w:sz w:val="28"/>
          <w:szCs w:val="28"/>
          <w:highlight w:val="none"/>
        </w:rPr>
        <w:t>5. 支付</w:t>
      </w:r>
      <w:bookmarkEnd w:id="320"/>
      <w:bookmarkEnd w:id="321"/>
      <w:bookmarkEnd w:id="322"/>
      <w:bookmarkEnd w:id="323"/>
      <w:bookmarkEnd w:id="324"/>
      <w:bookmarkEnd w:id="325"/>
    </w:p>
    <w:p>
      <w:pPr>
        <w:pStyle w:val="19"/>
        <w:snapToGrid w:val="0"/>
        <w:spacing w:line="400" w:lineRule="exact"/>
        <w:rPr>
          <w:rFonts w:ascii="宋体" w:hAnsi="宋体" w:cs="宋体"/>
          <w:bCs/>
          <w:color w:val="auto"/>
          <w:szCs w:val="21"/>
          <w:highlight w:val="none"/>
        </w:rPr>
      </w:pPr>
      <w:r>
        <w:rPr>
          <w:rFonts w:hint="eastAsia" w:ascii="宋体" w:hAnsi="宋体" w:cs="宋体"/>
          <w:color w:val="auto"/>
          <w:szCs w:val="21"/>
          <w:highlight w:val="none"/>
        </w:rPr>
        <w:t xml:space="preserve">5.1 </w:t>
      </w:r>
      <w:r>
        <w:rPr>
          <w:rFonts w:hint="eastAsia" w:ascii="宋体" w:hAnsi="宋体" w:cs="宋体"/>
          <w:bCs/>
          <w:color w:val="auto"/>
          <w:szCs w:val="21"/>
          <w:highlight w:val="none"/>
        </w:rPr>
        <w:t>支付货币</w:t>
      </w:r>
    </w:p>
    <w:p>
      <w:pPr>
        <w:pStyle w:val="19"/>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   人民币     </w:t>
      </w:r>
    </w:p>
    <w:p>
      <w:pPr>
        <w:pStyle w:val="19"/>
        <w:snapToGrid w:val="0"/>
        <w:spacing w:line="400" w:lineRule="exac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5.2 支付</w:t>
      </w:r>
      <w:r>
        <w:rPr>
          <w:rFonts w:hint="eastAsia" w:ascii="宋体" w:hAnsi="宋体" w:cs="宋体"/>
          <w:color w:val="auto"/>
          <w:kern w:val="0"/>
          <w:szCs w:val="21"/>
          <w:highlight w:val="none"/>
          <w:lang w:val="en-US" w:eastAsia="zh-CN"/>
        </w:rPr>
        <w:t>监理服务费</w:t>
      </w:r>
    </w:p>
    <w:p>
      <w:pPr>
        <w:pStyle w:val="19"/>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委托人同意按以下的计算方法、支付时间与金额，支付监理人的</w:t>
      </w:r>
      <w:r>
        <w:rPr>
          <w:rFonts w:hint="eastAsia" w:ascii="宋体" w:hAnsi="宋体" w:cs="宋体"/>
          <w:color w:val="auto"/>
          <w:kern w:val="0"/>
          <w:szCs w:val="21"/>
          <w:highlight w:val="none"/>
          <w:lang w:val="en-US" w:eastAsia="zh-CN"/>
        </w:rPr>
        <w:t>监理服务费</w:t>
      </w:r>
      <w:r>
        <w:rPr>
          <w:rFonts w:hint="eastAsia" w:ascii="宋体" w:hAnsi="宋体" w:cs="宋体"/>
          <w:color w:val="auto"/>
          <w:kern w:val="0"/>
          <w:szCs w:val="21"/>
          <w:highlight w:val="none"/>
        </w:rPr>
        <w:t>：</w:t>
      </w:r>
    </w:p>
    <w:p>
      <w:pPr>
        <w:pStyle w:val="19"/>
        <w:adjustRightInd w:val="0"/>
        <w:snapToGrid w:val="0"/>
        <w:spacing w:line="400" w:lineRule="exact"/>
        <w:ind w:firstLine="420" w:firstLineChars="200"/>
        <w:rPr>
          <w:rFonts w:hint="eastAsia" w:ascii="宋体" w:hAnsi="宋体" w:cs="宋体"/>
          <w:color w:val="auto"/>
          <w:kern w:val="0"/>
          <w:szCs w:val="21"/>
          <w:highlight w:val="none"/>
        </w:rPr>
      </w:pPr>
      <w:bookmarkStart w:id="326" w:name="_Toc411526689"/>
      <w:bookmarkStart w:id="327" w:name="_Toc8683"/>
      <w:bookmarkStart w:id="328" w:name="_Toc21402"/>
      <w:r>
        <w:rPr>
          <w:rFonts w:hint="eastAsia" w:ascii="Calibri" w:hAnsi="宋体" w:cs="Times New Roman"/>
          <w:color w:val="auto"/>
          <w:kern w:val="0"/>
          <w:szCs w:val="21"/>
          <w:highlight w:val="none"/>
        </w:rPr>
        <w:t>5.2.1</w:t>
      </w:r>
      <w:r>
        <w:rPr>
          <w:rFonts w:hint="eastAsia" w:ascii="宋体" w:hAnsi="宋体" w:cs="宋体"/>
          <w:color w:val="auto"/>
          <w:kern w:val="0"/>
          <w:szCs w:val="21"/>
          <w:highlight w:val="none"/>
        </w:rPr>
        <w:t>监理</w:t>
      </w:r>
      <w:r>
        <w:rPr>
          <w:rFonts w:hint="eastAsia" w:ascii="宋体" w:hAnsi="宋体" w:cs="宋体"/>
          <w:color w:val="auto"/>
          <w:kern w:val="0"/>
          <w:szCs w:val="21"/>
          <w:highlight w:val="none"/>
          <w:lang w:val="en-US" w:eastAsia="zh-CN"/>
        </w:rPr>
        <w:t>服务费</w:t>
      </w:r>
      <w:r>
        <w:rPr>
          <w:rFonts w:hint="eastAsia" w:ascii="宋体" w:hAnsi="宋体" w:cs="宋体"/>
          <w:color w:val="auto"/>
          <w:kern w:val="0"/>
          <w:szCs w:val="21"/>
          <w:highlight w:val="none"/>
        </w:rPr>
        <w:t>计算方法：</w:t>
      </w:r>
    </w:p>
    <w:p>
      <w:pPr>
        <w:pStyle w:val="20"/>
        <w:snapToGrid w:val="0"/>
        <w:spacing w:line="360" w:lineRule="auto"/>
        <w:ind w:firstLine="420" w:firstLineChars="200"/>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监理服务费上限控制价为52.97万元。</w:t>
      </w:r>
    </w:p>
    <w:p>
      <w:pPr>
        <w:snapToGrid w:val="0"/>
        <w:spacing w:line="360" w:lineRule="auto"/>
        <w:ind w:firstLine="420" w:firstLineChars="200"/>
        <w:rPr>
          <w:rStyle w:val="16"/>
          <w:rFonts w:hint="eastAsia" w:asciiTheme="minorHAnsi" w:hAnsiTheme="minorHAnsi" w:eastAsiaTheme="minorEastAsia" w:cstheme="minorBidi"/>
          <w:color w:val="auto"/>
          <w:highlight w:val="none"/>
          <w:lang w:eastAsia="zh-CN"/>
        </w:rPr>
      </w:pPr>
      <w:r>
        <w:rPr>
          <w:rFonts w:hint="eastAsia" w:hAnsi="宋体"/>
          <w:color w:val="auto"/>
          <w:kern w:val="0"/>
          <w:szCs w:val="21"/>
          <w:highlight w:val="none"/>
          <w:lang w:val="en-US" w:eastAsia="zh-CN"/>
        </w:rPr>
        <w:t>签约合总价</w:t>
      </w:r>
      <w:r>
        <w:rPr>
          <w:rFonts w:hint="eastAsia" w:ascii="宋体" w:hAnsi="宋体" w:cs="宋体"/>
          <w:color w:val="auto"/>
          <w:szCs w:val="21"/>
          <w:highlight w:val="none"/>
          <w:lang w:val="en-US" w:eastAsia="zh-CN"/>
        </w:rPr>
        <w:t>为：        ，即</w:t>
      </w:r>
      <w:r>
        <w:rPr>
          <w:rFonts w:hint="eastAsia" w:ascii="宋体" w:hAnsi="宋体" w:cs="宋体"/>
          <w:color w:val="auto"/>
          <w:szCs w:val="21"/>
          <w:highlight w:val="none"/>
        </w:rPr>
        <w:t>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w:t>
      </w:r>
      <w:r>
        <w:rPr>
          <w:rStyle w:val="16"/>
          <w:rFonts w:hint="eastAsia" w:asciiTheme="minorHAnsi" w:hAnsiTheme="minorHAnsi" w:eastAsiaTheme="minorEastAsia" w:cstheme="minorBidi"/>
          <w:color w:val="auto"/>
          <w:highlight w:val="none"/>
          <w:lang w:eastAsia="zh-CN"/>
        </w:rPr>
        <w:t>监理</w:t>
      </w:r>
      <w:r>
        <w:rPr>
          <w:rStyle w:val="16"/>
          <w:rFonts w:hint="eastAsia" w:cstheme="minorBidi"/>
          <w:color w:val="auto"/>
          <w:highlight w:val="none"/>
          <w:lang w:val="en-US" w:eastAsia="zh-CN"/>
        </w:rPr>
        <w:t>服务费</w:t>
      </w:r>
      <w:r>
        <w:rPr>
          <w:rStyle w:val="16"/>
          <w:rFonts w:hint="eastAsia" w:asciiTheme="minorHAnsi" w:hAnsiTheme="minorHAnsi" w:eastAsiaTheme="minorEastAsia" w:cstheme="minorBidi"/>
          <w:color w:val="auto"/>
          <w:highlight w:val="none"/>
          <w:lang w:eastAsia="zh-CN"/>
        </w:rPr>
        <w:t>总价包干，</w:t>
      </w:r>
      <w:r>
        <w:rPr>
          <w:rStyle w:val="16"/>
          <w:rFonts w:hint="eastAsia" w:cstheme="minorBidi"/>
          <w:color w:val="auto"/>
          <w:highlight w:val="none"/>
          <w:lang w:val="en-US" w:eastAsia="zh-CN"/>
        </w:rPr>
        <w:t>不含税价</w:t>
      </w:r>
      <w:r>
        <w:rPr>
          <w:rStyle w:val="16"/>
          <w:rFonts w:hint="eastAsia" w:asciiTheme="minorHAnsi" w:hAnsiTheme="minorHAnsi" w:eastAsiaTheme="minorEastAsia" w:cstheme="minorBidi"/>
          <w:color w:val="auto"/>
          <w:highlight w:val="none"/>
          <w:lang w:eastAsia="zh-CN"/>
        </w:rPr>
        <w:t>不予调整。</w:t>
      </w:r>
    </w:p>
    <w:p>
      <w:pPr>
        <w:pStyle w:val="20"/>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5.</w:t>
      </w:r>
      <w:r>
        <w:rPr>
          <w:rFonts w:hint="eastAsia" w:hAnsi="宋体"/>
          <w:color w:val="auto"/>
          <w:kern w:val="0"/>
          <w:szCs w:val="21"/>
          <w:highlight w:val="none"/>
        </w:rPr>
        <w:t>2</w:t>
      </w:r>
      <w:r>
        <w:rPr>
          <w:rFonts w:hAnsi="宋体"/>
          <w:color w:val="auto"/>
          <w:kern w:val="0"/>
          <w:szCs w:val="21"/>
          <w:highlight w:val="none"/>
        </w:rPr>
        <w:t>.2</w:t>
      </w:r>
      <w:r>
        <w:rPr>
          <w:rFonts w:hint="eastAsia" w:hAnsi="宋体"/>
          <w:color w:val="auto"/>
          <w:kern w:val="0"/>
          <w:szCs w:val="21"/>
          <w:highlight w:val="none"/>
        </w:rPr>
        <w:t>施工阶段</w:t>
      </w:r>
      <w:r>
        <w:rPr>
          <w:rFonts w:hAnsi="宋体"/>
          <w:color w:val="auto"/>
          <w:kern w:val="0"/>
          <w:szCs w:val="21"/>
          <w:highlight w:val="none"/>
        </w:rPr>
        <w:t>监理</w:t>
      </w:r>
      <w:r>
        <w:rPr>
          <w:rFonts w:hint="eastAsia" w:hAnsi="宋体"/>
          <w:color w:val="auto"/>
          <w:kern w:val="0"/>
          <w:szCs w:val="21"/>
          <w:highlight w:val="none"/>
          <w:lang w:val="en-US" w:eastAsia="zh-CN"/>
        </w:rPr>
        <w:t>服务费</w:t>
      </w:r>
      <w:r>
        <w:rPr>
          <w:rFonts w:hAnsi="宋体"/>
          <w:color w:val="auto"/>
          <w:kern w:val="0"/>
          <w:szCs w:val="21"/>
          <w:highlight w:val="none"/>
        </w:rPr>
        <w:t>支付时间与金额：</w:t>
      </w:r>
    </w:p>
    <w:p>
      <w:pPr>
        <w:pStyle w:val="20"/>
        <w:numPr>
          <w:ilvl w:val="0"/>
          <w:numId w:val="3"/>
        </w:num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本工程</w:t>
      </w:r>
      <w:r>
        <w:rPr>
          <w:rFonts w:hint="eastAsia" w:hAnsi="宋体"/>
          <w:color w:val="auto"/>
          <w:kern w:val="0"/>
          <w:szCs w:val="21"/>
          <w:highlight w:val="none"/>
          <w:lang w:eastAsia="zh-CN"/>
        </w:rPr>
        <w:t>监理服务费</w:t>
      </w:r>
      <w:r>
        <w:rPr>
          <w:rFonts w:hAnsi="宋体"/>
          <w:color w:val="auto"/>
          <w:kern w:val="0"/>
          <w:szCs w:val="21"/>
          <w:highlight w:val="none"/>
        </w:rPr>
        <w:t>预付款为：</w:t>
      </w:r>
      <w:r>
        <w:rPr>
          <w:rFonts w:hint="eastAsia" w:hAnsi="宋体"/>
          <w:color w:val="auto"/>
          <w:kern w:val="0"/>
          <w:szCs w:val="21"/>
          <w:highlight w:val="none"/>
        </w:rPr>
        <w:t>无</w:t>
      </w:r>
      <w:r>
        <w:rPr>
          <w:rFonts w:hAnsi="宋体"/>
          <w:color w:val="auto"/>
          <w:kern w:val="0"/>
          <w:szCs w:val="21"/>
          <w:highlight w:val="none"/>
        </w:rPr>
        <w:t>。</w:t>
      </w:r>
    </w:p>
    <w:p>
      <w:pPr>
        <w:pStyle w:val="20"/>
        <w:numPr>
          <w:ilvl w:val="0"/>
          <w:numId w:val="3"/>
        </w:numPr>
        <w:snapToGrid w:val="0"/>
        <w:spacing w:line="360" w:lineRule="auto"/>
        <w:ind w:firstLine="420" w:firstLineChars="200"/>
        <w:rPr>
          <w:rFonts w:hAnsi="宋体"/>
          <w:color w:val="auto"/>
          <w:kern w:val="2"/>
          <w:szCs w:val="21"/>
          <w:highlight w:val="none"/>
        </w:rPr>
      </w:pPr>
      <w:r>
        <w:rPr>
          <w:rFonts w:hint="eastAsia" w:hAnsi="宋体"/>
          <w:color w:val="auto"/>
          <w:kern w:val="2"/>
          <w:szCs w:val="21"/>
          <w:highlight w:val="none"/>
          <w:lang w:val="en-US" w:eastAsia="zh-CN"/>
        </w:rPr>
        <w:t>监理服务费支付节点：在工程土方开挖完成后支付至签约合同总价的50%；在工程竣工且验收合格后支付至签约合同总价的80%；在工程完成结算审定</w:t>
      </w:r>
      <w:r>
        <w:rPr>
          <w:rFonts w:hint="eastAsia" w:ascii="宋体" w:hAnsi="宋体" w:eastAsia="宋体" w:cs="Times New Roman"/>
          <w:color w:val="auto"/>
          <w:sz w:val="21"/>
          <w:szCs w:val="21"/>
          <w:highlight w:val="none"/>
          <w:lang w:val="en-US" w:eastAsia="zh-CN"/>
        </w:rPr>
        <w:t>(</w:t>
      </w:r>
      <w:r>
        <w:rPr>
          <w:rFonts w:hint="eastAsia" w:ascii="宋体" w:hAnsi="宋体" w:eastAsia="宋体" w:cs="Times New Roman"/>
          <w:color w:val="auto"/>
          <w:sz w:val="21"/>
          <w:szCs w:val="21"/>
          <w:highlight w:val="none"/>
        </w:rPr>
        <w:t>如需政府相关部门审核的，</w:t>
      </w:r>
      <w:r>
        <w:rPr>
          <w:rFonts w:hint="eastAsia" w:ascii="宋体" w:hAnsi="宋体" w:eastAsia="宋体" w:cs="Times New Roman"/>
          <w:color w:val="auto"/>
          <w:sz w:val="21"/>
          <w:szCs w:val="21"/>
          <w:highlight w:val="none"/>
          <w:lang w:val="en-US" w:eastAsia="zh-CN"/>
        </w:rPr>
        <w:t>经</w:t>
      </w:r>
      <w:r>
        <w:rPr>
          <w:rFonts w:hint="eastAsia" w:ascii="宋体" w:hAnsi="宋体" w:eastAsia="宋体" w:cs="Times New Roman"/>
          <w:color w:val="auto"/>
          <w:sz w:val="21"/>
          <w:szCs w:val="21"/>
          <w:highlight w:val="none"/>
        </w:rPr>
        <w:t>政府相关部门审定</w:t>
      </w:r>
      <w:r>
        <w:rPr>
          <w:rFonts w:hint="eastAsia" w:ascii="宋体" w:hAnsi="宋体" w:eastAsia="宋体" w:cs="Times New Roman"/>
          <w:color w:val="auto"/>
          <w:sz w:val="21"/>
          <w:szCs w:val="21"/>
          <w:highlight w:val="none"/>
          <w:lang w:val="en-US" w:eastAsia="zh-CN"/>
        </w:rPr>
        <w:t>)</w:t>
      </w:r>
      <w:r>
        <w:rPr>
          <w:rFonts w:hint="eastAsia" w:hAnsi="宋体"/>
          <w:color w:val="auto"/>
          <w:kern w:val="2"/>
          <w:szCs w:val="21"/>
          <w:highlight w:val="none"/>
          <w:lang w:val="en-US" w:eastAsia="zh-CN"/>
        </w:rPr>
        <w:t>后支付至合同结算审定金额的95%，</w:t>
      </w:r>
      <w:r>
        <w:rPr>
          <w:rFonts w:hAnsi="宋体"/>
          <w:color w:val="auto"/>
          <w:szCs w:val="21"/>
          <w:highlight w:val="none"/>
        </w:rPr>
        <w:t>在监理服务期届满</w:t>
      </w:r>
      <w:r>
        <w:rPr>
          <w:rFonts w:hint="eastAsia"/>
          <w:color w:val="auto"/>
          <w:szCs w:val="21"/>
          <w:highlight w:val="none"/>
          <w:lang w:eastAsia="zh-CN"/>
        </w:rPr>
        <w:t>后</w:t>
      </w:r>
      <w:r>
        <w:rPr>
          <w:rFonts w:hAnsi="宋体"/>
          <w:color w:val="auto"/>
          <w:szCs w:val="21"/>
          <w:highlight w:val="none"/>
        </w:rPr>
        <w:t>，委托人将</w:t>
      </w:r>
      <w:r>
        <w:rPr>
          <w:rFonts w:hint="eastAsia" w:hAnsi="宋体"/>
          <w:color w:val="auto"/>
          <w:szCs w:val="21"/>
          <w:highlight w:val="none"/>
          <w:lang w:val="en-US" w:eastAsia="zh-CN"/>
        </w:rPr>
        <w:t>合同</w:t>
      </w:r>
      <w:r>
        <w:rPr>
          <w:rFonts w:hAnsi="宋体"/>
          <w:color w:val="auto"/>
          <w:szCs w:val="21"/>
          <w:highlight w:val="none"/>
        </w:rPr>
        <w:t>余款全部付清，并向监理人退回履约保证金（无息）。</w:t>
      </w:r>
    </w:p>
    <w:p>
      <w:pPr>
        <w:pStyle w:val="20"/>
        <w:numPr>
          <w:ilvl w:val="0"/>
          <w:numId w:val="3"/>
        </w:numPr>
        <w:snapToGrid w:val="0"/>
        <w:spacing w:line="360" w:lineRule="auto"/>
        <w:ind w:firstLine="420" w:firstLineChars="200"/>
        <w:rPr>
          <w:rFonts w:hAnsi="宋体"/>
          <w:color w:val="auto"/>
          <w:kern w:val="2"/>
          <w:szCs w:val="21"/>
          <w:highlight w:val="none"/>
        </w:rPr>
      </w:pPr>
      <w:r>
        <w:rPr>
          <w:rFonts w:hAnsi="宋体"/>
          <w:color w:val="auto"/>
          <w:kern w:val="2"/>
          <w:szCs w:val="21"/>
          <w:highlight w:val="none"/>
        </w:rPr>
        <w:t>在监理合同已签订，监理人员进场并正常开展监理业务</w:t>
      </w:r>
      <w:r>
        <w:rPr>
          <w:rFonts w:hint="eastAsia" w:hAnsi="宋体"/>
          <w:color w:val="auto"/>
          <w:kern w:val="2"/>
          <w:szCs w:val="21"/>
          <w:highlight w:val="none"/>
          <w:lang w:val="en-US" w:eastAsia="zh-CN"/>
        </w:rPr>
        <w:t>且</w:t>
      </w:r>
      <w:r>
        <w:rPr>
          <w:rFonts w:hint="eastAsia" w:ascii="宋体" w:hAnsi="宋体" w:eastAsia="宋体" w:cs="Times New Roman"/>
          <w:color w:val="auto"/>
          <w:sz w:val="21"/>
          <w:szCs w:val="21"/>
          <w:highlight w:val="none"/>
        </w:rPr>
        <w:t>达到合同约定的付款条件</w:t>
      </w:r>
      <w:r>
        <w:rPr>
          <w:rFonts w:hAnsi="宋体"/>
          <w:color w:val="auto"/>
          <w:kern w:val="2"/>
          <w:szCs w:val="21"/>
          <w:highlight w:val="none"/>
        </w:rPr>
        <w:t>后，</w:t>
      </w:r>
      <w:r>
        <w:rPr>
          <w:rFonts w:hint="eastAsia" w:hAnsi="宋体"/>
          <w:color w:val="auto"/>
          <w:kern w:val="2"/>
          <w:szCs w:val="21"/>
          <w:highlight w:val="none"/>
          <w:lang w:eastAsia="zh-CN"/>
        </w:rPr>
        <w:t>监理人</w:t>
      </w:r>
      <w:r>
        <w:rPr>
          <w:rFonts w:hint="default" w:ascii="Calibri" w:hAnsi="宋体"/>
          <w:bCs w:val="0"/>
          <w:color w:val="auto"/>
          <w:sz w:val="21"/>
          <w:szCs w:val="21"/>
          <w:highlight w:val="none"/>
        </w:rPr>
        <w:t>按照</w:t>
      </w:r>
      <w:r>
        <w:rPr>
          <w:rFonts w:hint="default" w:ascii="Calibri" w:hAnsi="宋体"/>
          <w:bCs w:val="0"/>
          <w:color w:val="auto"/>
          <w:sz w:val="21"/>
          <w:szCs w:val="21"/>
          <w:highlight w:val="none"/>
          <w:lang w:eastAsia="zh-CN"/>
        </w:rPr>
        <w:t>委托人</w:t>
      </w:r>
      <w:r>
        <w:rPr>
          <w:rFonts w:hint="default" w:ascii="Calibri" w:hAnsi="宋体"/>
          <w:bCs w:val="0"/>
          <w:color w:val="auto"/>
          <w:sz w:val="21"/>
          <w:szCs w:val="21"/>
          <w:highlight w:val="none"/>
        </w:rPr>
        <w:t>确定监理服务费支付申请的格式，</w:t>
      </w:r>
      <w:r>
        <w:rPr>
          <w:rFonts w:hAnsi="宋体"/>
          <w:color w:val="auto"/>
          <w:kern w:val="2"/>
          <w:szCs w:val="21"/>
          <w:highlight w:val="none"/>
        </w:rPr>
        <w:t>向</w:t>
      </w:r>
      <w:r>
        <w:rPr>
          <w:rFonts w:hint="eastAsia" w:hAnsi="宋体"/>
          <w:color w:val="auto"/>
          <w:kern w:val="2"/>
          <w:szCs w:val="21"/>
          <w:highlight w:val="none"/>
          <w:lang w:eastAsia="zh-CN"/>
        </w:rPr>
        <w:t>委托人提交</w:t>
      </w:r>
      <w:r>
        <w:rPr>
          <w:rFonts w:hint="eastAsia" w:hAnsi="宋体"/>
          <w:color w:val="auto"/>
          <w:kern w:val="2"/>
          <w:szCs w:val="21"/>
          <w:highlight w:val="none"/>
          <w:lang w:val="en-US" w:eastAsia="zh-CN"/>
        </w:rPr>
        <w:t>书面请款报告</w:t>
      </w:r>
      <w:r>
        <w:rPr>
          <w:rFonts w:hint="eastAsia" w:ascii="宋体" w:hAnsi="宋体" w:eastAsia="宋体" w:cs="Times New Roman"/>
          <w:color w:val="auto"/>
          <w:sz w:val="21"/>
          <w:szCs w:val="21"/>
          <w:highlight w:val="none"/>
        </w:rPr>
        <w:t>并提供足额增值税专用发票，否则甲方有权顺延付款时间直至乙方足额开具</w:t>
      </w:r>
      <w:r>
        <w:rPr>
          <w:rFonts w:hint="eastAsia" w:ascii="宋体" w:hAnsi="宋体" w:eastAsia="宋体" w:cs="Times New Roman"/>
          <w:color w:val="auto"/>
          <w:sz w:val="21"/>
          <w:szCs w:val="21"/>
          <w:highlight w:val="none"/>
          <w:lang w:val="en-US" w:eastAsia="zh-CN"/>
        </w:rPr>
        <w:t>合格</w:t>
      </w:r>
      <w:r>
        <w:rPr>
          <w:rFonts w:hint="eastAsia" w:ascii="宋体" w:hAnsi="宋体" w:eastAsia="宋体" w:cs="Times New Roman"/>
          <w:color w:val="auto"/>
          <w:sz w:val="21"/>
          <w:szCs w:val="21"/>
          <w:highlight w:val="none"/>
        </w:rPr>
        <w:t>发票之日止，且甲方无需承担迟延付款的违约责任</w:t>
      </w:r>
      <w:r>
        <w:rPr>
          <w:rFonts w:hint="eastAsia" w:ascii="宋体" w:hAnsi="宋体" w:cs="Times New Roman"/>
          <w:color w:val="auto"/>
          <w:sz w:val="21"/>
          <w:szCs w:val="21"/>
          <w:highlight w:val="none"/>
          <w:lang w:eastAsia="zh-CN"/>
        </w:rPr>
        <w:t>。</w:t>
      </w:r>
    </w:p>
    <w:p>
      <w:pPr>
        <w:pStyle w:val="20"/>
        <w:numPr>
          <w:ilvl w:val="-1"/>
          <w:numId w:val="0"/>
        </w:numPr>
        <w:snapToGrid w:val="0"/>
        <w:spacing w:line="360" w:lineRule="auto"/>
        <w:ind w:firstLine="0" w:firstLineChars="0"/>
        <w:rPr>
          <w:rFonts w:hAnsi="宋体"/>
          <w:color w:val="auto"/>
          <w:kern w:val="2"/>
          <w:szCs w:val="21"/>
          <w:highlight w:val="none"/>
        </w:rPr>
      </w:pPr>
    </w:p>
    <w:p>
      <w:pPr>
        <w:pStyle w:val="20"/>
        <w:snapToGrid w:val="0"/>
        <w:spacing w:line="360" w:lineRule="auto"/>
        <w:ind w:firstLine="420" w:firstLineChars="200"/>
        <w:rPr>
          <w:rFonts w:hAnsi="宋体"/>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.3</w:t>
      </w:r>
      <w:r>
        <w:rPr>
          <w:rFonts w:hint="eastAsia"/>
          <w:color w:val="auto"/>
          <w:szCs w:val="21"/>
          <w:highlight w:val="none"/>
        </w:rPr>
        <w:t xml:space="preserve"> </w:t>
      </w:r>
      <w:r>
        <w:rPr>
          <w:rFonts w:hAnsi="宋体"/>
          <w:color w:val="auto"/>
          <w:szCs w:val="21"/>
          <w:highlight w:val="none"/>
        </w:rPr>
        <w:t>延期费用的支付：</w:t>
      </w:r>
      <w:r>
        <w:rPr>
          <w:rFonts w:hint="eastAsia"/>
          <w:color w:val="auto"/>
          <w:szCs w:val="21"/>
          <w:highlight w:val="none"/>
          <w:u w:val="single"/>
        </w:rPr>
        <w:t xml:space="preserve">      /      </w:t>
      </w:r>
    </w:p>
    <w:p>
      <w:pPr>
        <w:pStyle w:val="20"/>
        <w:snapToGrid w:val="0"/>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5.2.4 其它阶段监理</w:t>
      </w:r>
      <w:r>
        <w:rPr>
          <w:rFonts w:hint="eastAsia" w:hAnsi="宋体"/>
          <w:color w:val="auto"/>
          <w:szCs w:val="21"/>
          <w:highlight w:val="none"/>
          <w:lang w:val="en-US" w:eastAsia="zh-CN"/>
        </w:rPr>
        <w:t>服务费</w:t>
      </w:r>
      <w:r>
        <w:rPr>
          <w:rFonts w:hint="eastAsia" w:hAnsi="宋体"/>
          <w:color w:val="auto"/>
          <w:szCs w:val="21"/>
          <w:highlight w:val="none"/>
        </w:rPr>
        <w:t>支付</w:t>
      </w:r>
      <w:r>
        <w:rPr>
          <w:rFonts w:hint="eastAsia" w:hAnsi="宋体"/>
          <w:color w:val="auto"/>
          <w:szCs w:val="21"/>
          <w:highlight w:val="none"/>
          <w:lang w:eastAsia="zh-CN"/>
        </w:rPr>
        <w:t>：</w:t>
      </w:r>
      <w:r>
        <w:rPr>
          <w:rFonts w:hint="eastAsia" w:hAnsi="宋体"/>
          <w:color w:val="auto"/>
          <w:szCs w:val="21"/>
          <w:highlight w:val="none"/>
          <w:lang w:val="en-US" w:eastAsia="zh-CN"/>
        </w:rPr>
        <w:t>无</w:t>
      </w:r>
    </w:p>
    <w:p>
      <w:pPr>
        <w:pStyle w:val="19"/>
        <w:snapToGrid w:val="0"/>
        <w:spacing w:before="157" w:beforeLines="50" w:line="360" w:lineRule="auto"/>
        <w:rPr>
          <w:rFonts w:ascii="Cambria" w:hAnsi="Cambria"/>
          <w:b/>
          <w:bCs/>
          <w:color w:val="auto"/>
          <w:sz w:val="28"/>
          <w:szCs w:val="28"/>
          <w:highlight w:val="none"/>
        </w:rPr>
      </w:pPr>
      <w:r>
        <w:rPr>
          <w:rFonts w:ascii="Cambria" w:hAnsi="Cambria"/>
          <w:b/>
          <w:bCs/>
          <w:color w:val="auto"/>
          <w:sz w:val="28"/>
          <w:szCs w:val="28"/>
          <w:highlight w:val="none"/>
        </w:rPr>
        <w:t>6.</w:t>
      </w:r>
      <w:r>
        <w:rPr>
          <w:rFonts w:hint="eastAsia" w:ascii="Cambria" w:hAnsi="Cambria"/>
          <w:b/>
          <w:bCs/>
          <w:color w:val="auto"/>
          <w:sz w:val="28"/>
          <w:szCs w:val="28"/>
          <w:highlight w:val="none"/>
        </w:rPr>
        <w:t xml:space="preserve"> </w:t>
      </w:r>
      <w:r>
        <w:rPr>
          <w:rFonts w:ascii="Cambria" w:hAnsi="Cambria"/>
          <w:b/>
          <w:bCs/>
          <w:color w:val="auto"/>
          <w:sz w:val="28"/>
          <w:szCs w:val="28"/>
          <w:highlight w:val="none"/>
        </w:rPr>
        <w:t>合同生效、变更、暂停、解除与终止</w:t>
      </w:r>
      <w:bookmarkEnd w:id="326"/>
      <w:bookmarkEnd w:id="327"/>
      <w:bookmarkEnd w:id="328"/>
    </w:p>
    <w:p>
      <w:pPr>
        <w:pStyle w:val="20"/>
        <w:adjustRightInd w:val="0"/>
        <w:snapToGrid w:val="0"/>
        <w:spacing w:line="360" w:lineRule="auto"/>
        <w:rPr>
          <w:color w:val="auto"/>
          <w:szCs w:val="21"/>
          <w:highlight w:val="none"/>
        </w:rPr>
      </w:pPr>
      <w:r>
        <w:rPr>
          <w:color w:val="auto"/>
          <w:szCs w:val="21"/>
          <w:highlight w:val="none"/>
        </w:rPr>
        <w:t xml:space="preserve">6.1 </w:t>
      </w:r>
      <w:r>
        <w:rPr>
          <w:rFonts w:hAnsi="宋体"/>
          <w:color w:val="auto"/>
          <w:szCs w:val="21"/>
          <w:highlight w:val="none"/>
        </w:rPr>
        <w:t>生效</w:t>
      </w:r>
    </w:p>
    <w:p>
      <w:pPr>
        <w:pStyle w:val="20"/>
        <w:adjustRightInd w:val="0"/>
        <w:snapToGrid w:val="0"/>
        <w:spacing w:line="360" w:lineRule="auto"/>
        <w:ind w:firstLine="480"/>
        <w:rPr>
          <w:color w:val="auto"/>
          <w:szCs w:val="21"/>
          <w:highlight w:val="none"/>
        </w:rPr>
      </w:pPr>
      <w:r>
        <w:rPr>
          <w:rFonts w:hAnsi="宋体"/>
          <w:color w:val="auto"/>
          <w:szCs w:val="21"/>
          <w:highlight w:val="none"/>
        </w:rPr>
        <w:t>本合同生效条件：</w:t>
      </w:r>
      <w:r>
        <w:rPr>
          <w:rFonts w:hint="eastAsia" w:hAnsi="宋体"/>
          <w:color w:val="auto"/>
          <w:szCs w:val="21"/>
          <w:highlight w:val="none"/>
          <w:u w:val="single"/>
        </w:rPr>
        <w:t xml:space="preserve"> </w:t>
      </w:r>
      <w:r>
        <w:rPr>
          <w:rFonts w:hint="eastAsia" w:ascii="宋体" w:hAnsi="宋体"/>
          <w:color w:val="auto"/>
          <w:szCs w:val="21"/>
          <w:highlight w:val="none"/>
          <w:u w:val="single"/>
        </w:rPr>
        <w:t>双方签订本合同</w:t>
      </w:r>
      <w:r>
        <w:rPr>
          <w:color w:val="auto"/>
          <w:szCs w:val="21"/>
          <w:highlight w:val="none"/>
          <w:u w:val="single"/>
        </w:rPr>
        <w:t xml:space="preserve"> </w:t>
      </w:r>
      <w:r>
        <w:rPr>
          <w:rFonts w:hAnsi="宋体"/>
          <w:color w:val="auto"/>
          <w:szCs w:val="21"/>
          <w:highlight w:val="none"/>
        </w:rPr>
        <w:t>。</w:t>
      </w:r>
    </w:p>
    <w:p>
      <w:pPr>
        <w:pStyle w:val="20"/>
        <w:adjustRightInd w:val="0"/>
        <w:snapToGrid w:val="0"/>
        <w:spacing w:line="360" w:lineRule="auto"/>
        <w:rPr>
          <w:color w:val="auto"/>
          <w:szCs w:val="21"/>
          <w:highlight w:val="none"/>
        </w:rPr>
      </w:pPr>
      <w:r>
        <w:rPr>
          <w:color w:val="auto"/>
          <w:szCs w:val="21"/>
          <w:highlight w:val="none"/>
        </w:rPr>
        <w:t xml:space="preserve">6.2 </w:t>
      </w:r>
      <w:r>
        <w:rPr>
          <w:rFonts w:hAnsi="宋体"/>
          <w:color w:val="auto"/>
          <w:szCs w:val="21"/>
          <w:highlight w:val="none"/>
        </w:rPr>
        <w:t>变更</w:t>
      </w:r>
    </w:p>
    <w:p>
      <w:pPr>
        <w:pStyle w:val="20"/>
        <w:snapToGrid w:val="0"/>
        <w:spacing w:line="360" w:lineRule="auto"/>
        <w:ind w:firstLine="420" w:firstLineChars="200"/>
        <w:rPr>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 xml:space="preserve">2 </w:t>
      </w:r>
      <w:r>
        <w:rPr>
          <w:rFonts w:hAnsi="宋体"/>
          <w:color w:val="auto"/>
          <w:szCs w:val="21"/>
          <w:highlight w:val="none"/>
        </w:rPr>
        <w:t>附加工作</w:t>
      </w:r>
      <w:r>
        <w:rPr>
          <w:rFonts w:hint="eastAsia" w:hAnsi="宋体"/>
          <w:color w:val="auto"/>
          <w:szCs w:val="21"/>
          <w:highlight w:val="none"/>
          <w:lang w:val="en-US" w:eastAsia="zh-CN"/>
        </w:rPr>
        <w:t>服务费</w:t>
      </w:r>
      <w:r>
        <w:rPr>
          <w:rFonts w:hAnsi="宋体"/>
          <w:color w:val="auto"/>
          <w:szCs w:val="21"/>
          <w:highlight w:val="none"/>
        </w:rPr>
        <w:t>按下列方法确定：</w:t>
      </w:r>
      <w:r>
        <w:rPr>
          <w:rFonts w:hint="eastAsia" w:hAnsi="宋体"/>
          <w:color w:val="auto"/>
          <w:szCs w:val="21"/>
          <w:highlight w:val="none"/>
          <w:u w:val="single"/>
        </w:rPr>
        <w:t xml:space="preserve"> /  </w:t>
      </w:r>
    </w:p>
    <w:p>
      <w:pPr>
        <w:pStyle w:val="20"/>
        <w:adjustRightInd w:val="0"/>
        <w:snapToGrid w:val="0"/>
        <w:spacing w:line="360" w:lineRule="auto"/>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3</w:t>
      </w:r>
      <w:r>
        <w:rPr>
          <w:rFonts w:ascii="Times New Roman" w:hAnsi="Times New Roman"/>
          <w:color w:val="auto"/>
          <w:szCs w:val="21"/>
          <w:highlight w:val="none"/>
        </w:rPr>
        <w:t xml:space="preserve"> 正常工作</w:t>
      </w:r>
      <w:r>
        <w:rPr>
          <w:rFonts w:hint="eastAsia" w:ascii="Times New Roman" w:hAnsi="Times New Roman"/>
          <w:color w:val="auto"/>
          <w:szCs w:val="21"/>
          <w:highlight w:val="none"/>
          <w:lang w:val="en-US" w:eastAsia="zh-CN"/>
        </w:rPr>
        <w:t>服务费</w:t>
      </w:r>
      <w:r>
        <w:rPr>
          <w:rFonts w:ascii="Times New Roman" w:hAnsi="Times New Roman"/>
          <w:color w:val="auto"/>
          <w:szCs w:val="21"/>
          <w:highlight w:val="none"/>
        </w:rPr>
        <w:t>增加额按下列方法确定：</w:t>
      </w:r>
      <w:r>
        <w:rPr>
          <w:rFonts w:hint="default" w:ascii="Times New Roman" w:hAnsi="Times New Roman"/>
          <w:color w:val="auto"/>
          <w:szCs w:val="21"/>
          <w:highlight w:val="none"/>
          <w:u w:val="single"/>
        </w:rPr>
        <w:t xml:space="preserve"> / </w:t>
      </w:r>
    </w:p>
    <w:p>
      <w:pPr>
        <w:pStyle w:val="19"/>
        <w:snapToGrid w:val="0"/>
        <w:spacing w:line="400" w:lineRule="exact"/>
        <w:ind w:firstLine="420" w:firstLineChars="200"/>
        <w:rPr>
          <w:rFonts w:ascii="宋体" w:hAnsi="宋体" w:cs="宋体"/>
          <w:color w:val="auto"/>
          <w:szCs w:val="21"/>
          <w:highlight w:val="none"/>
        </w:rPr>
      </w:pPr>
      <w:r>
        <w:rPr>
          <w:rFonts w:hint="default" w:ascii="Times New Roman" w:hAnsi="Times New Roman" w:cs="Times New Roman"/>
          <w:color w:val="auto"/>
          <w:szCs w:val="21"/>
          <w:highlight w:val="none"/>
        </w:rPr>
        <w:t>6.2.4 因工程规模、监理范围的变化导致监理人的正常工作量减少时，按减少工作量的比例从协议书约定的正常工作</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中扣减相同比例的</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29" w:name="_Toc6622"/>
      <w:bookmarkStart w:id="330" w:name="_Toc18194"/>
      <w:bookmarkStart w:id="331" w:name="_Toc411526690"/>
      <w:bookmarkStart w:id="332" w:name="_Toc22912"/>
      <w:bookmarkStart w:id="333" w:name="_Toc12121"/>
      <w:bookmarkStart w:id="334" w:name="_Toc19548034"/>
      <w:r>
        <w:rPr>
          <w:rFonts w:hint="eastAsia" w:ascii="Cambria" w:hAnsi="Cambria"/>
          <w:b/>
          <w:bCs/>
          <w:color w:val="auto"/>
          <w:sz w:val="28"/>
          <w:szCs w:val="28"/>
          <w:highlight w:val="none"/>
        </w:rPr>
        <w:t>7. 争议解决</w:t>
      </w:r>
      <w:bookmarkEnd w:id="329"/>
      <w:bookmarkEnd w:id="330"/>
      <w:bookmarkEnd w:id="331"/>
      <w:bookmarkEnd w:id="332"/>
      <w:bookmarkEnd w:id="333"/>
      <w:bookmarkEnd w:id="334"/>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7.1 </w:t>
      </w:r>
      <w:r>
        <w:rPr>
          <w:rFonts w:hint="eastAsia" w:ascii="宋体" w:hAnsi="宋体" w:cs="宋体"/>
          <w:bCs/>
          <w:color w:val="auto"/>
          <w:szCs w:val="21"/>
          <w:highlight w:val="none"/>
        </w:rPr>
        <w:t>调解</w:t>
      </w:r>
    </w:p>
    <w:p>
      <w:pPr>
        <w:pStyle w:val="19"/>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本合同争议进行调解时，可提交</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进行调解。</w:t>
      </w:r>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7.2 </w:t>
      </w:r>
      <w:r>
        <w:rPr>
          <w:rFonts w:hint="eastAsia" w:ascii="宋体" w:hAnsi="宋体" w:cs="宋体"/>
          <w:bCs/>
          <w:color w:val="auto"/>
          <w:szCs w:val="21"/>
          <w:highlight w:val="none"/>
        </w:rPr>
        <w:t>仲裁或诉讼</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合同争议的最终解决方式为下列第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南宁市 </w:t>
      </w:r>
      <w:r>
        <w:rPr>
          <w:rFonts w:hint="eastAsia" w:ascii="宋体" w:hAnsi="宋体" w:cs="宋体"/>
          <w:color w:val="auto"/>
          <w:szCs w:val="21"/>
          <w:highlight w:val="none"/>
        </w:rPr>
        <w:t>仲裁委员会进行仲裁。</w:t>
      </w:r>
    </w:p>
    <w:p>
      <w:pPr>
        <w:pStyle w:val="19"/>
        <w:adjustRightInd w:val="0"/>
        <w:snapToGrid w:val="0"/>
        <w:spacing w:line="400" w:lineRule="exact"/>
        <w:ind w:firstLine="420" w:firstLineChars="200"/>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）向</w:t>
      </w:r>
      <w:r>
        <w:rPr>
          <w:rFonts w:hint="eastAsia"/>
          <w:color w:val="auto"/>
          <w:szCs w:val="21"/>
          <w:highlight w:val="none"/>
          <w:u w:val="single"/>
        </w:rPr>
        <w:t>委托人营业执照登记的住所地有管辖权的</w:t>
      </w:r>
      <w:r>
        <w:rPr>
          <w:color w:val="auto"/>
          <w:szCs w:val="21"/>
          <w:highlight w:val="none"/>
          <w:u w:val="single"/>
        </w:rPr>
        <w:t xml:space="preserve">  </w:t>
      </w:r>
      <w:r>
        <w:rPr>
          <w:rFonts w:hAnsi="宋体"/>
          <w:color w:val="auto"/>
          <w:szCs w:val="21"/>
          <w:highlight w:val="none"/>
        </w:rPr>
        <w:t>人民法院提起诉讼。</w:t>
      </w:r>
    </w:p>
    <w:p>
      <w:pPr>
        <w:pStyle w:val="19"/>
        <w:snapToGrid w:val="0"/>
        <w:spacing w:before="157" w:beforeLines="50" w:line="360" w:lineRule="auto"/>
        <w:ind w:firstLine="0" w:firstLineChars="0"/>
        <w:rPr>
          <w:color w:val="auto"/>
          <w:szCs w:val="21"/>
          <w:highlight w:val="none"/>
        </w:rPr>
      </w:pPr>
      <w:bookmarkStart w:id="335" w:name="_Toc17897"/>
      <w:bookmarkStart w:id="336" w:name="_Toc25588"/>
      <w:bookmarkStart w:id="337" w:name="_Toc1054"/>
      <w:bookmarkStart w:id="338" w:name="_Toc19548035"/>
      <w:bookmarkStart w:id="339" w:name="_Toc411526691"/>
      <w:bookmarkStart w:id="340" w:name="_Toc23115"/>
      <w:r>
        <w:rPr>
          <w:rFonts w:hint="eastAsia" w:ascii="Cambria" w:hAnsi="Cambria"/>
          <w:b/>
          <w:bCs/>
          <w:color w:val="auto"/>
          <w:sz w:val="28"/>
          <w:szCs w:val="28"/>
          <w:highlight w:val="none"/>
        </w:rPr>
        <w:t>8. 其他</w:t>
      </w:r>
      <w:bookmarkEnd w:id="335"/>
      <w:bookmarkEnd w:id="336"/>
      <w:bookmarkEnd w:id="337"/>
      <w:bookmarkEnd w:id="338"/>
      <w:bookmarkEnd w:id="339"/>
      <w:bookmarkEnd w:id="340"/>
    </w:p>
    <w:p>
      <w:pPr>
        <w:pStyle w:val="19"/>
        <w:adjustRightInd w:val="0"/>
        <w:snapToGrid w:val="0"/>
        <w:spacing w:line="360" w:lineRule="auto"/>
        <w:rPr>
          <w:color w:val="auto"/>
          <w:szCs w:val="21"/>
          <w:highlight w:val="none"/>
        </w:rPr>
      </w:pPr>
      <w:r>
        <w:rPr>
          <w:color w:val="auto"/>
          <w:szCs w:val="21"/>
          <w:highlight w:val="none"/>
        </w:rPr>
        <w:t>8.</w:t>
      </w:r>
      <w:r>
        <w:rPr>
          <w:rFonts w:hint="eastAsia"/>
          <w:color w:val="auto"/>
          <w:szCs w:val="21"/>
          <w:highlight w:val="none"/>
          <w:lang w:val="en-US" w:eastAsia="zh-CN"/>
        </w:rPr>
        <w:t>1</w:t>
      </w:r>
      <w:r>
        <w:rPr>
          <w:color w:val="auto"/>
          <w:szCs w:val="21"/>
          <w:highlight w:val="none"/>
        </w:rPr>
        <w:t xml:space="preserve"> </w:t>
      </w:r>
      <w:r>
        <w:rPr>
          <w:rFonts w:hint="eastAsia" w:hAnsi="宋体"/>
          <w:color w:val="auto"/>
          <w:szCs w:val="21"/>
          <w:highlight w:val="none"/>
        </w:rPr>
        <w:t>保密</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委托人申明的保密事项和期限：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监理人申明的保密事项和期限：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第三方申明的保密事项和期限：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snapToGrid w:val="0"/>
        <w:spacing w:line="360" w:lineRule="auto"/>
        <w:rPr>
          <w:bCs/>
          <w:color w:val="auto"/>
          <w:szCs w:val="21"/>
          <w:highlight w:val="none"/>
        </w:rPr>
      </w:pPr>
      <w:r>
        <w:rPr>
          <w:color w:val="auto"/>
          <w:szCs w:val="21"/>
          <w:highlight w:val="none"/>
        </w:rPr>
        <w:t>8.</w:t>
      </w:r>
      <w:r>
        <w:rPr>
          <w:rFonts w:hint="eastAsia"/>
          <w:color w:val="auto"/>
          <w:szCs w:val="21"/>
          <w:highlight w:val="none"/>
          <w:lang w:val="en-US" w:eastAsia="zh-CN"/>
        </w:rPr>
        <w:t>2</w:t>
      </w:r>
      <w:r>
        <w:rPr>
          <w:rFonts w:hint="eastAsia" w:hAnsi="宋体"/>
          <w:bCs/>
          <w:color w:val="auto"/>
          <w:szCs w:val="21"/>
          <w:highlight w:val="none"/>
        </w:rPr>
        <w:t>著作权</w:t>
      </w:r>
    </w:p>
    <w:p>
      <w:pPr>
        <w:pStyle w:val="19"/>
        <w:snapToGrid w:val="0"/>
        <w:spacing w:line="360" w:lineRule="auto"/>
        <w:ind w:firstLine="420" w:firstLineChars="200"/>
        <w:rPr>
          <w:rFonts w:hint="eastAsia" w:hAnsi="宋体" w:eastAsia="宋体"/>
          <w:color w:val="auto"/>
          <w:szCs w:val="21"/>
          <w:highlight w:val="none"/>
          <w:lang w:eastAsia="zh-CN"/>
        </w:rPr>
      </w:pPr>
      <w:r>
        <w:rPr>
          <w:rFonts w:hint="eastAsia" w:hAnsi="宋体"/>
          <w:color w:val="auto"/>
          <w:szCs w:val="21"/>
          <w:highlight w:val="none"/>
        </w:rPr>
        <w:t>监理人在本合同履行期间及本合同终止后两年内出版涉及本工程的有关监理与相关服务的资料的限制条件：</w:t>
      </w:r>
      <w:r>
        <w:rPr>
          <w:rFonts w:hint="eastAsia" w:hAnsi="宋体"/>
          <w:color w:val="auto"/>
          <w:szCs w:val="21"/>
          <w:highlight w:val="none"/>
          <w:u w:val="single"/>
        </w:rPr>
        <w:t>应该征得委托人的同意</w:t>
      </w:r>
      <w:r>
        <w:rPr>
          <w:rFonts w:hint="eastAsia" w:hAnsi="宋体"/>
          <w:color w:val="auto"/>
          <w:szCs w:val="21"/>
          <w:highlight w:val="none"/>
          <w:u w:val="single"/>
          <w:lang w:eastAsia="zh-CN"/>
        </w:rPr>
        <w:t>。</w:t>
      </w:r>
    </w:p>
    <w:p>
      <w:pPr>
        <w:pStyle w:val="19"/>
        <w:snapToGrid w:val="0"/>
        <w:spacing w:before="157" w:beforeLines="50" w:line="360" w:lineRule="auto"/>
        <w:rPr>
          <w:rFonts w:hint="eastAsia" w:ascii="Cambria" w:hAnsi="Cambria"/>
          <w:b/>
          <w:bCs/>
          <w:color w:val="auto"/>
          <w:sz w:val="28"/>
          <w:szCs w:val="28"/>
          <w:highlight w:val="none"/>
          <w:u w:val="none"/>
        </w:rPr>
      </w:pPr>
      <w:bookmarkStart w:id="341" w:name="_Toc6798"/>
      <w:bookmarkStart w:id="342" w:name="_Toc500757096"/>
      <w:bookmarkStart w:id="343" w:name="_Toc485978062"/>
      <w:bookmarkStart w:id="344" w:name="_Toc515271102"/>
      <w:bookmarkStart w:id="345" w:name="_Toc19548036"/>
      <w:bookmarkStart w:id="346" w:name="_Toc460321184"/>
      <w:bookmarkStart w:id="347" w:name="_Toc513020287"/>
      <w:bookmarkStart w:id="348" w:name="_Toc1928"/>
      <w:bookmarkStart w:id="349" w:name="_Toc469383745"/>
      <w:bookmarkStart w:id="350" w:name="_Toc466545517"/>
      <w:bookmarkStart w:id="351" w:name="_Toc411526692"/>
      <w:r>
        <w:rPr>
          <w:rFonts w:hint="eastAsia" w:ascii="Cambria" w:hAnsi="Cambria"/>
          <w:b/>
          <w:bCs/>
          <w:color w:val="auto"/>
          <w:sz w:val="28"/>
          <w:szCs w:val="28"/>
          <w:highlight w:val="none"/>
        </w:rPr>
        <w:t>9. 补充条款</w:t>
      </w:r>
      <w:bookmarkEnd w:id="341"/>
      <w:bookmarkEnd w:id="342"/>
      <w:bookmarkEnd w:id="343"/>
      <w:bookmarkEnd w:id="344"/>
      <w:bookmarkEnd w:id="345"/>
      <w:bookmarkEnd w:id="346"/>
      <w:bookmarkEnd w:id="347"/>
      <w:bookmarkEnd w:id="348"/>
      <w:bookmarkEnd w:id="349"/>
      <w:bookmarkEnd w:id="350"/>
      <w:bookmarkEnd w:id="351"/>
    </w:p>
    <w:p>
      <w:pPr>
        <w:pStyle w:val="21"/>
        <w:adjustRightInd/>
        <w:snapToGrid/>
        <w:spacing w:line="360" w:lineRule="auto"/>
        <w:ind w:firstLine="420" w:firstLineChars="200"/>
        <w:rPr>
          <w:rFonts w:ascii="Times New Roman" w:hAnsi="Times New Roman"/>
          <w:color w:val="auto"/>
          <w:szCs w:val="21"/>
          <w:highlight w:val="none"/>
          <w:u w:val="single"/>
        </w:rPr>
      </w:pPr>
      <w:bookmarkStart w:id="352" w:name="_Toc473030517"/>
      <w:bookmarkStart w:id="353" w:name="_Toc459567824"/>
      <w:bookmarkStart w:id="354" w:name="_Toc515271103"/>
      <w:r>
        <w:rPr>
          <w:rFonts w:hint="eastAsia" w:ascii="Times New Roman" w:hAnsi="Times New Roman"/>
          <w:color w:val="auto"/>
          <w:szCs w:val="21"/>
          <w:highlight w:val="none"/>
          <w:u w:val="single"/>
        </w:rPr>
        <w:t>9.1</w:t>
      </w:r>
      <w:r>
        <w:rPr>
          <w:rFonts w:ascii="Times New Roman" w:hAnsi="Times New Roman"/>
          <w:color w:val="auto"/>
          <w:szCs w:val="21"/>
          <w:highlight w:val="none"/>
          <w:u w:val="single"/>
        </w:rPr>
        <w:t>委托人不向项目监理机构提供办公用房、通讯设施、交通工具、监理人员工地住房及测量仪器、检测试验设备、照相、电脑、打字、复印等设备。</w:t>
      </w:r>
    </w:p>
    <w:p>
      <w:pPr>
        <w:pStyle w:val="21"/>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9.2</w:t>
      </w:r>
      <w:r>
        <w:rPr>
          <w:rFonts w:ascii="Times New Roman" w:hAnsi="Times New Roman"/>
          <w:color w:val="auto"/>
          <w:szCs w:val="21"/>
          <w:highlight w:val="none"/>
        </w:rPr>
        <w:t>施工监理服务期由二个阶段组成：</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.1</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施工阶段服务期：以从签订委托监理合同之日起，至工程完工验收合格之日为施工阶段服务期（包括承包人进场前施工项目期及完工资料整理、工程扫尾工作期）。</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w:t>
      </w:r>
      <w:r>
        <w:rPr>
          <w:rFonts w:hint="eastAsia" w:ascii="Times New Roman" w:hAnsi="Times New Roman"/>
          <w:color w:val="auto"/>
          <w:szCs w:val="21"/>
          <w:highlight w:val="none"/>
          <w:lang w:val="en-US" w:eastAsia="zh-CN"/>
        </w:rPr>
        <w:t xml:space="preserve">2 </w:t>
      </w:r>
      <w:r>
        <w:rPr>
          <w:rFonts w:ascii="Times New Roman" w:hAnsi="Times New Roman"/>
          <w:color w:val="auto"/>
          <w:szCs w:val="21"/>
          <w:highlight w:val="none"/>
        </w:rPr>
        <w:t>保修责任阶段服务期：工程完工验收合格，签发工程移交证书起24个月为保修责任阶段服务期。</w:t>
      </w:r>
    </w:p>
    <w:p>
      <w:pPr>
        <w:pStyle w:val="21"/>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监理服务开始日期：监理人应在签订委托监理合同之日起3天内，派出监理人员进驻施工现场。</w:t>
      </w:r>
    </w:p>
    <w:p>
      <w:pPr>
        <w:pStyle w:val="20"/>
        <w:adjustRightInd/>
        <w:snapToGrid/>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9.3签订本监理合同后，由于国家计划及政策法规调整等原因，致使本工程暂无法开工，本监理合同在取得</w:t>
      </w:r>
      <w:r>
        <w:rPr>
          <w:rFonts w:hint="eastAsia" w:ascii="Times New Roman" w:hAnsi="Times New Roman"/>
          <w:color w:val="auto"/>
          <w:szCs w:val="21"/>
          <w:highlight w:val="none"/>
          <w:lang w:eastAsia="zh-CN"/>
        </w:rPr>
        <w:t>委托</w:t>
      </w:r>
      <w:r>
        <w:rPr>
          <w:rFonts w:ascii="Times New Roman" w:hAnsi="Times New Roman"/>
          <w:color w:val="auto"/>
          <w:szCs w:val="21"/>
          <w:highlight w:val="none"/>
        </w:rPr>
        <w:t>人同意的前提下继续有效，期限顺延，但委托人不给予监理人任何经济补偿；如果监理人不同意，则委托人可书面通知监理人解除合同。</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9.4</w:t>
      </w:r>
      <w:r>
        <w:rPr>
          <w:rFonts w:ascii="Times New Roman" w:hAnsi="Times New Roman"/>
          <w:color w:val="auto"/>
          <w:szCs w:val="21"/>
          <w:highlight w:val="none"/>
        </w:rPr>
        <w:t>履约担保</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.1</w:t>
      </w:r>
      <w:r>
        <w:rPr>
          <w:rFonts w:ascii="Times New Roman" w:hAnsi="Times New Roman"/>
          <w:color w:val="auto"/>
          <w:szCs w:val="21"/>
          <w:highlight w:val="none"/>
        </w:rPr>
        <w:t>履约担保的形式：</w:t>
      </w:r>
      <w:r>
        <w:rPr>
          <w:rFonts w:hint="default" w:ascii="Times New Roman" w:hAnsi="Times New Roman"/>
          <w:color w:val="auto"/>
          <w:szCs w:val="21"/>
          <w:highlight w:val="none"/>
        </w:rPr>
        <w:t>可以银行保函、现金</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银行转账）</w:t>
      </w:r>
      <w:r>
        <w:rPr>
          <w:rFonts w:hint="default" w:ascii="Times New Roman" w:hAnsi="Times New Roman"/>
          <w:color w:val="auto"/>
          <w:szCs w:val="21"/>
          <w:highlight w:val="none"/>
        </w:rPr>
        <w:t>、工程担保或保证保险等形式。</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.2</w:t>
      </w:r>
      <w:r>
        <w:rPr>
          <w:rFonts w:ascii="Times New Roman" w:hAnsi="Times New Roman"/>
          <w:color w:val="auto"/>
          <w:szCs w:val="21"/>
          <w:highlight w:val="none"/>
        </w:rPr>
        <w:t>履约担保的金额：</w:t>
      </w:r>
      <w:r>
        <w:rPr>
          <w:rFonts w:hint="eastAsia" w:ascii="Times New Roman" w:hAnsi="Times New Roman"/>
          <w:color w:val="auto"/>
          <w:szCs w:val="21"/>
          <w:highlight w:val="none"/>
          <w:lang w:val="en-US" w:eastAsia="zh-CN"/>
        </w:rPr>
        <w:t>签约</w:t>
      </w:r>
      <w:r>
        <w:rPr>
          <w:rFonts w:hint="default" w:ascii="Times New Roman" w:hAnsi="Times New Roman"/>
          <w:color w:val="auto"/>
          <w:szCs w:val="21"/>
          <w:highlight w:val="none"/>
        </w:rPr>
        <w:t>合同</w:t>
      </w:r>
      <w:r>
        <w:rPr>
          <w:rFonts w:hint="eastAsia" w:ascii="Times New Roman" w:hAnsi="Times New Roman"/>
          <w:color w:val="auto"/>
          <w:szCs w:val="21"/>
          <w:highlight w:val="none"/>
          <w:lang w:val="en-US" w:eastAsia="zh-CN"/>
        </w:rPr>
        <w:t>总价</w:t>
      </w:r>
      <w:r>
        <w:rPr>
          <w:rFonts w:hint="default" w:ascii="Times New Roman" w:hAnsi="Times New Roman"/>
          <w:color w:val="auto"/>
          <w:szCs w:val="21"/>
          <w:highlight w:val="none"/>
        </w:rPr>
        <w:t>的5%</w:t>
      </w:r>
      <w:r>
        <w:rPr>
          <w:rFonts w:hint="default" w:ascii="Times New Roman" w:hAnsi="Times New Roman"/>
          <w:color w:val="auto"/>
          <w:szCs w:val="21"/>
          <w:highlight w:val="none"/>
          <w:lang w:eastAsia="zh-CN"/>
        </w:rPr>
        <w:t>。</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在收到中</w:t>
      </w:r>
      <w:r>
        <w:rPr>
          <w:rFonts w:hint="default" w:ascii="Times New Roman" w:hAnsi="Times New Roman"/>
          <w:color w:val="auto"/>
          <w:szCs w:val="21"/>
          <w:highlight w:val="none"/>
          <w:lang w:eastAsia="zh-CN"/>
        </w:rPr>
        <w:t>选</w:t>
      </w:r>
      <w:r>
        <w:rPr>
          <w:rFonts w:hint="default" w:ascii="Times New Roman" w:hAnsi="Times New Roman"/>
          <w:color w:val="auto"/>
          <w:szCs w:val="21"/>
          <w:highlight w:val="none"/>
        </w:rPr>
        <w:t>通知书后，监理人须在合同签订前 10 个工作日内向委托人提交履约保证（因工程项目征地、拆迁影响项目开工的，委托人应当相应延长提交履约担保金的时间，具体由委托人确定</w:t>
      </w:r>
      <w:r>
        <w:rPr>
          <w:rFonts w:hint="default" w:ascii="Times New Roman" w:hAnsi="Times New Roman"/>
          <w:color w:val="auto"/>
          <w:szCs w:val="21"/>
          <w:highlight w:val="none"/>
          <w:lang w:eastAsia="zh-CN"/>
        </w:rPr>
        <w:t>）</w:t>
      </w:r>
      <w:r>
        <w:rPr>
          <w:rFonts w:hint="default" w:ascii="Times New Roman" w:hAnsi="Times New Roman"/>
          <w:color w:val="auto"/>
          <w:szCs w:val="21"/>
          <w:highlight w:val="none"/>
        </w:rPr>
        <w:t>。</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.3</w:t>
      </w:r>
      <w:r>
        <w:rPr>
          <w:rFonts w:ascii="Times New Roman" w:hAnsi="Times New Roman"/>
          <w:color w:val="auto"/>
          <w:szCs w:val="21"/>
          <w:highlight w:val="none"/>
        </w:rPr>
        <w:t>委托人在监理服务期满后</w:t>
      </w:r>
      <w:r>
        <w:rPr>
          <w:rFonts w:hint="default" w:ascii="Times New Roman" w:hAnsi="Times New Roman"/>
          <w:color w:val="auto"/>
          <w:szCs w:val="21"/>
          <w:highlight w:val="none"/>
        </w:rPr>
        <w:t>30</w:t>
      </w:r>
      <w:r>
        <w:rPr>
          <w:rFonts w:ascii="Times New Roman" w:hAnsi="Times New Roman"/>
          <w:color w:val="auto"/>
          <w:szCs w:val="21"/>
          <w:highlight w:val="none"/>
        </w:rPr>
        <w:t>天内将履约保证金</w:t>
      </w:r>
      <w:r>
        <w:rPr>
          <w:rFonts w:hint="default" w:ascii="Times New Roman" w:hAnsi="Times New Roman"/>
          <w:color w:val="auto"/>
          <w:szCs w:val="21"/>
          <w:highlight w:val="none"/>
        </w:rPr>
        <w:t>（无息）</w:t>
      </w:r>
      <w:r>
        <w:rPr>
          <w:rFonts w:ascii="Times New Roman" w:hAnsi="Times New Roman"/>
          <w:color w:val="auto"/>
          <w:szCs w:val="21"/>
          <w:highlight w:val="none"/>
        </w:rPr>
        <w:t>退还给监理人</w:t>
      </w:r>
      <w:r>
        <w:rPr>
          <w:rFonts w:hint="default" w:ascii="Times New Roman" w:hAnsi="Times New Roman"/>
          <w:color w:val="auto"/>
          <w:szCs w:val="21"/>
          <w:highlight w:val="none"/>
          <w:lang w:eastAsia="zh-CN"/>
        </w:rPr>
        <w:t>。</w:t>
      </w:r>
    </w:p>
    <w:p>
      <w:pPr>
        <w:pStyle w:val="21"/>
        <w:spacing w:line="360" w:lineRule="auto"/>
        <w:ind w:firstLine="420" w:firstLineChars="200"/>
        <w:rPr>
          <w:rFonts w:hint="default" w:ascii="Times New Roman" w:hAnsi="Times New Roman"/>
          <w:color w:val="auto"/>
          <w:szCs w:val="21"/>
          <w:highlight w:val="none"/>
        </w:rPr>
      </w:pPr>
    </w:p>
    <w:p>
      <w:pPr>
        <w:pStyle w:val="21"/>
        <w:adjustRightInd w:val="0"/>
        <w:snapToGrid w:val="0"/>
        <w:spacing w:line="360" w:lineRule="auto"/>
        <w:ind w:firstLine="420" w:firstLineChars="200"/>
        <w:rPr>
          <w:rFonts w:ascii="Times New Roman" w:hAnsi="Times New Roman"/>
          <w:color w:val="auto"/>
          <w:szCs w:val="21"/>
          <w:highlight w:val="none"/>
        </w:rPr>
      </w:pPr>
    </w:p>
    <w:p>
      <w:pPr>
        <w:pStyle w:val="20"/>
        <w:adjustRightInd w:val="0"/>
        <w:snapToGrid w:val="0"/>
        <w:spacing w:line="360" w:lineRule="auto"/>
        <w:rPr>
          <w:rFonts w:ascii="宋体" w:hAnsi="宋体"/>
          <w:color w:val="auto"/>
          <w:highlight w:val="none"/>
        </w:rPr>
      </w:pPr>
    </w:p>
    <w:p>
      <w:pPr>
        <w:pStyle w:val="22"/>
        <w:rPr>
          <w:rFonts w:hint="eastAsia"/>
          <w:color w:val="auto"/>
          <w:sz w:val="24"/>
          <w:highlight w:val="none"/>
        </w:rPr>
      </w:pPr>
      <w:bookmarkStart w:id="355" w:name="_Toc13638"/>
      <w:bookmarkStart w:id="356" w:name="_Toc20617"/>
      <w:bookmarkStart w:id="357" w:name="_Toc17434"/>
      <w:bookmarkStart w:id="358" w:name="_Toc2855"/>
      <w:bookmarkStart w:id="359" w:name="_Toc7486"/>
      <w:bookmarkStart w:id="360" w:name="_Toc10682"/>
      <w:bookmarkStart w:id="361" w:name="_Toc19548037"/>
      <w:bookmarkStart w:id="362" w:name="_Toc7752"/>
    </w:p>
    <w:p>
      <w:pPr>
        <w:pStyle w:val="22"/>
        <w:rPr>
          <w:color w:val="auto"/>
          <w:sz w:val="24"/>
          <w:highlight w:val="none"/>
        </w:rPr>
      </w:pPr>
      <w:r>
        <w:rPr>
          <w:rFonts w:hint="eastAsia"/>
          <w:color w:val="auto"/>
          <w:sz w:val="24"/>
          <w:highlight w:val="none"/>
        </w:rPr>
        <w:t>附录A  相关服务的范围和内容</w:t>
      </w:r>
      <w:bookmarkEnd w:id="352"/>
      <w:bookmarkEnd w:id="353"/>
      <w:bookmarkEnd w:id="354"/>
      <w:bookmarkEnd w:id="355"/>
      <w:bookmarkEnd w:id="356"/>
      <w:bookmarkEnd w:id="357"/>
      <w:bookmarkEnd w:id="358"/>
      <w:bookmarkEnd w:id="359"/>
      <w:bookmarkEnd w:id="360"/>
      <w:bookmarkEnd w:id="361"/>
      <w:bookmarkEnd w:id="362"/>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施工实施</w:t>
      </w:r>
      <w:r>
        <w:rPr>
          <w:rFonts w:hint="eastAsia" w:ascii="宋体" w:hAnsi="宋体"/>
          <w:color w:val="auto"/>
          <w:kern w:val="0"/>
          <w:szCs w:val="21"/>
          <w:highlight w:val="none"/>
        </w:rPr>
        <w:t>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hint="eastAsia" w:ascii="宋体" w:hAnsi="宋体"/>
          <w:color w:val="auto"/>
          <w:kern w:val="0"/>
          <w:szCs w:val="21"/>
          <w:highlight w:val="none"/>
        </w:rPr>
      </w:pPr>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 xml:space="preserve"> 保修阶段：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ascii="宋体" w:hAnsi="宋体"/>
          <w:color w:val="auto"/>
          <w:szCs w:val="21"/>
          <w:highlight w:val="none"/>
          <w:u w:val="singl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 xml:space="preserve"> </w:t>
      </w:r>
      <w:r>
        <w:rPr>
          <w:rFonts w:hint="eastAsia" w:ascii="宋体" w:hAnsi="宋体"/>
          <w:color w:val="auto"/>
          <w:szCs w:val="21"/>
          <w:highlight w:val="none"/>
        </w:rPr>
        <w:t>其他（专业技术咨询、外部协调工作等）：</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2"/>
        <w:rPr>
          <w:color w:val="auto"/>
          <w:sz w:val="24"/>
          <w:highlight w:val="none"/>
        </w:rPr>
      </w:pPr>
      <w:bookmarkStart w:id="363" w:name="_Toc515271104"/>
      <w:bookmarkStart w:id="364" w:name="_Toc17549"/>
      <w:bookmarkStart w:id="365" w:name="_Toc19675"/>
      <w:bookmarkStart w:id="366" w:name="_Toc19548038"/>
      <w:bookmarkStart w:id="367" w:name="_Toc12931"/>
      <w:bookmarkStart w:id="368" w:name="_Toc459567825"/>
      <w:bookmarkStart w:id="369" w:name="_Toc29923"/>
      <w:bookmarkStart w:id="370" w:name="_Toc5787"/>
      <w:bookmarkStart w:id="371" w:name="_Toc473030518"/>
      <w:bookmarkStart w:id="372" w:name="_Toc6828"/>
      <w:bookmarkStart w:id="373" w:name="_Toc7688"/>
      <w:r>
        <w:rPr>
          <w:rFonts w:hint="eastAsia"/>
          <w:color w:val="auto"/>
          <w:sz w:val="24"/>
          <w:highlight w:val="none"/>
        </w:rPr>
        <w:t>附录B  委托人派遣的人员和提供的资料</w:t>
      </w:r>
      <w:bookmarkEnd w:id="363"/>
      <w:bookmarkEnd w:id="364"/>
      <w:bookmarkEnd w:id="365"/>
      <w:bookmarkEnd w:id="366"/>
      <w:bookmarkEnd w:id="367"/>
      <w:bookmarkEnd w:id="368"/>
      <w:bookmarkEnd w:id="369"/>
      <w:bookmarkEnd w:id="370"/>
      <w:bookmarkEnd w:id="371"/>
      <w:bookmarkEnd w:id="372"/>
      <w:bookmarkEnd w:id="373"/>
    </w:p>
    <w:p>
      <w:pPr>
        <w:pStyle w:val="20"/>
        <w:rPr>
          <w:color w:val="auto"/>
          <w:highlight w:val="none"/>
        </w:rPr>
      </w:pPr>
      <w:bookmarkStart w:id="374" w:name="_Toc392940994"/>
    </w:p>
    <w:p>
      <w:pPr>
        <w:pStyle w:val="20"/>
        <w:rPr>
          <w:color w:val="auto"/>
          <w:highlight w:val="none"/>
        </w:rPr>
      </w:pPr>
    </w:p>
    <w:p>
      <w:pPr>
        <w:pStyle w:val="20"/>
        <w:spacing w:after="240" w:afterLines="100"/>
        <w:outlineLvl w:val="0"/>
        <w:rPr>
          <w:b/>
          <w:color w:val="auto"/>
          <w:highlight w:val="none"/>
        </w:rPr>
      </w:pPr>
      <w:bookmarkStart w:id="375" w:name="_Toc14096"/>
      <w:bookmarkStart w:id="376" w:name="_Toc459567828"/>
      <w:bookmarkStart w:id="377" w:name="_Toc1010"/>
      <w:bookmarkStart w:id="378" w:name="_Toc8933"/>
      <w:bookmarkStart w:id="379" w:name="_Toc19548041"/>
      <w:bookmarkStart w:id="380" w:name="_Toc473030521"/>
      <w:bookmarkStart w:id="381" w:name="_Toc522780702"/>
      <w:bookmarkStart w:id="382" w:name="_Toc515271107"/>
      <w:bookmarkStart w:id="383" w:name="_Toc21462"/>
      <w:bookmarkStart w:id="384" w:name="_Toc28543"/>
      <w:bookmarkStart w:id="385" w:name="_Toc28478"/>
      <w:bookmarkStart w:id="386" w:name="_Toc518402533"/>
      <w:bookmarkStart w:id="387" w:name="_Toc29155"/>
      <w:r>
        <w:rPr>
          <w:rFonts w:hint="eastAsia"/>
          <w:b/>
          <w:color w:val="auto"/>
          <w:highlight w:val="none"/>
        </w:rPr>
        <w:t xml:space="preserve">  委托人提供的资料</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1491"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份数</w:t>
            </w:r>
          </w:p>
        </w:tc>
        <w:tc>
          <w:tcPr>
            <w:tcW w:w="2147"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提供时间</w:t>
            </w:r>
          </w:p>
        </w:tc>
        <w:tc>
          <w:tcPr>
            <w:tcW w:w="208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1. 工程立项文件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2. 工程勘察文件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3. 工程设计及施工图纸</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4. 工程承包合同及其他相关合同</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5. 施工许可文件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6. 其他文件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s="宋体"/>
                <w:color w:val="auto"/>
                <w:kern w:val="0"/>
                <w:szCs w:val="21"/>
                <w:highlight w:val="none"/>
              </w:rPr>
            </w:pPr>
          </w:p>
        </w:tc>
        <w:tc>
          <w:tcPr>
            <w:tcW w:w="1491" w:type="dxa"/>
            <w:vAlign w:val="center"/>
          </w:tcPr>
          <w:p>
            <w:pPr>
              <w:pStyle w:val="20"/>
              <w:spacing w:line="360" w:lineRule="auto"/>
              <w:rPr>
                <w:rFonts w:ascii="宋体" w:hAnsi="宋体" w:cs="宋体"/>
                <w:color w:val="auto"/>
                <w:kern w:val="0"/>
                <w:szCs w:val="21"/>
                <w:highlight w:val="none"/>
              </w:rPr>
            </w:pPr>
          </w:p>
        </w:tc>
        <w:tc>
          <w:tcPr>
            <w:tcW w:w="2147" w:type="dxa"/>
            <w:vAlign w:val="center"/>
          </w:tcPr>
          <w:p>
            <w:pPr>
              <w:pStyle w:val="20"/>
              <w:spacing w:line="360" w:lineRule="auto"/>
              <w:rPr>
                <w:rFonts w:ascii="宋体" w:hAnsi="宋体" w:cs="宋体"/>
                <w:color w:val="auto"/>
                <w:kern w:val="0"/>
                <w:szCs w:val="21"/>
                <w:highlight w:val="none"/>
              </w:rPr>
            </w:pPr>
          </w:p>
        </w:tc>
        <w:tc>
          <w:tcPr>
            <w:tcW w:w="2082" w:type="dxa"/>
            <w:vAlign w:val="center"/>
          </w:tcPr>
          <w:p>
            <w:pPr>
              <w:pStyle w:val="20"/>
              <w:spacing w:line="360" w:lineRule="auto"/>
              <w:rPr>
                <w:rFonts w:ascii="宋体" w:hAnsi="宋体" w:cs="宋体"/>
                <w:color w:val="auto"/>
                <w:kern w:val="0"/>
                <w:szCs w:val="21"/>
                <w:highlight w:val="none"/>
              </w:rPr>
            </w:pPr>
          </w:p>
        </w:tc>
      </w:tr>
    </w:tbl>
    <w:p>
      <w:pPr>
        <w:pStyle w:val="20"/>
        <w:rPr>
          <w:color w:val="auto"/>
          <w:highlight w:val="none"/>
        </w:rPr>
      </w:pPr>
    </w:p>
    <w:bookmarkEnd w:id="295"/>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pStyle w:val="2"/>
        <w:rPr>
          <w:color w:val="auto"/>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highlight w:val="none"/>
        </w:rPr>
      </w:pPr>
    </w:p>
    <w:p>
      <w:pPr>
        <w:spacing w:line="320" w:lineRule="exact"/>
        <w:rPr>
          <w:rFonts w:ascii="Times New Roman" w:hAnsi="Times New Roman"/>
          <w:color w:val="auto"/>
          <w:szCs w:val="21"/>
          <w:highlight w:val="none"/>
          <w:u w:val="single"/>
        </w:rPr>
      </w:pPr>
    </w:p>
    <w:p>
      <w:pPr>
        <w:spacing w:line="320" w:lineRule="exact"/>
        <w:rPr>
          <w:rFonts w:ascii="Times New Roman" w:hAnsi="Times New Roman"/>
          <w:color w:val="auto"/>
          <w:szCs w:val="21"/>
          <w:highlight w:val="none"/>
          <w:u w:val="single"/>
        </w:rPr>
      </w:pPr>
    </w:p>
    <w:p>
      <w:pPr>
        <w:pStyle w:val="3"/>
        <w:numPr>
          <w:ilvl w:val="0"/>
          <w:numId w:val="4"/>
        </w:numPr>
        <w:jc w:val="center"/>
        <w:rPr>
          <w:rFonts w:hint="eastAsia" w:ascii="宋体" w:hAnsi="宋体" w:cs="宋体"/>
          <w:color w:val="auto"/>
          <w:szCs w:val="28"/>
          <w:highlight w:val="none"/>
          <w:u w:val="none"/>
        </w:rPr>
      </w:pPr>
      <w:bookmarkStart w:id="388" w:name="_Toc402188411"/>
      <w:bookmarkStart w:id="389" w:name="_Toc13013"/>
      <w:bookmarkStart w:id="390" w:name="_Toc29351"/>
      <w:bookmarkStart w:id="391" w:name="_Toc8296"/>
      <w:bookmarkStart w:id="392" w:name="_Toc32571"/>
      <w:bookmarkStart w:id="393" w:name="_Toc9149"/>
      <w:bookmarkStart w:id="394" w:name="_Toc19548043"/>
      <w:bookmarkStart w:id="395" w:name="_Toc26885"/>
      <w:bookmarkStart w:id="396" w:name="_Toc392940995"/>
      <w:r>
        <w:rPr>
          <w:rFonts w:hint="eastAsia" w:ascii="宋体" w:hAnsi="宋体" w:cs="宋体"/>
          <w:color w:val="auto"/>
          <w:szCs w:val="28"/>
          <w:highlight w:val="none"/>
        </w:rPr>
        <w:t xml:space="preserve"> </w:t>
      </w:r>
      <w:bookmarkStart w:id="397" w:name="_Toc11941"/>
      <w:r>
        <w:rPr>
          <w:rFonts w:hint="eastAsia" w:ascii="宋体" w:hAnsi="宋体" w:cs="宋体"/>
          <w:color w:val="auto"/>
          <w:szCs w:val="28"/>
          <w:highlight w:val="none"/>
        </w:rPr>
        <w:t>监理工作任务</w:t>
      </w:r>
      <w:bookmarkEnd w:id="388"/>
      <w:bookmarkEnd w:id="389"/>
      <w:bookmarkEnd w:id="390"/>
      <w:bookmarkEnd w:id="391"/>
      <w:bookmarkEnd w:id="392"/>
      <w:bookmarkEnd w:id="393"/>
      <w:bookmarkEnd w:id="394"/>
      <w:bookmarkEnd w:id="395"/>
      <w:bookmarkEnd w:id="396"/>
      <w:bookmarkEnd w:id="397"/>
    </w:p>
    <w:p>
      <w:pPr>
        <w:pStyle w:val="19"/>
        <w:snapToGrid w:val="0"/>
        <w:spacing w:before="157" w:beforeLines="50" w:line="360" w:lineRule="auto"/>
        <w:rPr>
          <w:rFonts w:hint="eastAsia" w:ascii="Cambria" w:hAnsi="Cambria"/>
          <w:b/>
          <w:bCs/>
          <w:color w:val="auto"/>
          <w:sz w:val="28"/>
          <w:szCs w:val="28"/>
          <w:highlight w:val="none"/>
        </w:rPr>
      </w:pPr>
      <w:bookmarkStart w:id="398" w:name="_Toc30678"/>
      <w:bookmarkStart w:id="399" w:name="_Toc26101"/>
      <w:bookmarkStart w:id="400" w:name="_Toc19548044"/>
      <w:bookmarkStart w:id="401" w:name="_Toc21380"/>
      <w:bookmarkStart w:id="402" w:name="_Toc17142"/>
      <w:bookmarkStart w:id="403" w:name="EBd14b0c6986cb47e3bb35735936ae4700"/>
      <w:r>
        <w:rPr>
          <w:rFonts w:hint="eastAsia" w:ascii="Cambria" w:hAnsi="Cambria"/>
          <w:b/>
          <w:bCs/>
          <w:color w:val="auto"/>
          <w:sz w:val="28"/>
          <w:szCs w:val="28"/>
          <w:highlight w:val="none"/>
        </w:rPr>
        <w:t>1. 工程概述</w:t>
      </w:r>
      <w:bookmarkEnd w:id="398"/>
      <w:bookmarkEnd w:id="399"/>
      <w:bookmarkEnd w:id="400"/>
      <w:bookmarkEnd w:id="401"/>
      <w:bookmarkEnd w:id="402"/>
    </w:p>
    <w:p>
      <w:pPr>
        <w:pStyle w:val="23"/>
        <w:autoSpaceDE w:val="0"/>
        <w:autoSpaceDN w:val="0"/>
        <w:spacing w:line="360" w:lineRule="auto"/>
        <w:ind w:left="90" w:leftChars="43" w:firstLine="420" w:firstLineChars="200"/>
        <w:jc w:val="left"/>
        <w:rPr>
          <w:color w:val="auto"/>
          <w:kern w:val="0"/>
          <w:szCs w:val="21"/>
          <w:highlight w:val="none"/>
        </w:rPr>
      </w:pPr>
      <w:bookmarkStart w:id="404" w:name="_Toc11265"/>
      <w:bookmarkStart w:id="405" w:name="_Toc402188413"/>
      <w:bookmarkStart w:id="406" w:name="_Toc318213157"/>
      <w:bookmarkStart w:id="407" w:name="_Toc392940997"/>
      <w:bookmarkStart w:id="408" w:name="_Toc22571"/>
      <w:r>
        <w:rPr>
          <w:rFonts w:hAnsi="宋体"/>
          <w:color w:val="auto"/>
          <w:kern w:val="0"/>
          <w:szCs w:val="21"/>
          <w:highlight w:val="none"/>
        </w:rPr>
        <w:t>详见本</w:t>
      </w:r>
      <w:r>
        <w:rPr>
          <w:rFonts w:hint="eastAsia" w:hAnsi="宋体"/>
          <w:color w:val="auto"/>
          <w:kern w:val="0"/>
          <w:szCs w:val="21"/>
          <w:highlight w:val="none"/>
          <w:lang w:eastAsia="zh-CN"/>
        </w:rPr>
        <w:t>比选</w:t>
      </w:r>
      <w:r>
        <w:rPr>
          <w:rFonts w:hAnsi="宋体"/>
          <w:color w:val="auto"/>
          <w:kern w:val="0"/>
          <w:szCs w:val="21"/>
          <w:highlight w:val="none"/>
        </w:rPr>
        <w:t>文件的第一章</w:t>
      </w:r>
      <w:r>
        <w:rPr>
          <w:rFonts w:hint="eastAsia" w:hAnsi="宋体"/>
          <w:color w:val="auto"/>
          <w:kern w:val="0"/>
          <w:szCs w:val="21"/>
          <w:highlight w:val="none"/>
          <w:lang w:eastAsia="zh-CN"/>
        </w:rPr>
        <w:t>比选</w:t>
      </w:r>
      <w:r>
        <w:rPr>
          <w:rFonts w:hAnsi="宋体"/>
          <w:color w:val="auto"/>
          <w:kern w:val="0"/>
          <w:szCs w:val="21"/>
          <w:highlight w:val="none"/>
        </w:rPr>
        <w:t>须知。</w:t>
      </w:r>
    </w:p>
    <w:p>
      <w:pPr>
        <w:pStyle w:val="19"/>
        <w:snapToGrid w:val="0"/>
        <w:spacing w:before="157" w:beforeLines="50" w:line="360" w:lineRule="auto"/>
        <w:rPr>
          <w:rFonts w:hint="eastAsia" w:ascii="Cambria" w:hAnsi="Cambria"/>
          <w:b/>
          <w:bCs/>
          <w:color w:val="auto"/>
          <w:sz w:val="28"/>
          <w:szCs w:val="28"/>
          <w:highlight w:val="none"/>
        </w:rPr>
      </w:pPr>
      <w:bookmarkStart w:id="409" w:name="_Toc21916"/>
      <w:bookmarkStart w:id="410" w:name="_Toc19548045"/>
      <w:bookmarkStart w:id="411" w:name="_Toc115"/>
      <w:r>
        <w:rPr>
          <w:rFonts w:hint="eastAsia" w:ascii="Cambria" w:hAnsi="Cambria"/>
          <w:b/>
          <w:bCs/>
          <w:color w:val="auto"/>
          <w:sz w:val="28"/>
          <w:szCs w:val="28"/>
          <w:highlight w:val="none"/>
        </w:rPr>
        <w:t>2. 监理工作和目标要求</w:t>
      </w:r>
      <w:bookmarkEnd w:id="404"/>
      <w:bookmarkEnd w:id="405"/>
      <w:bookmarkEnd w:id="406"/>
      <w:bookmarkEnd w:id="407"/>
      <w:bookmarkEnd w:id="408"/>
      <w:bookmarkEnd w:id="409"/>
      <w:bookmarkEnd w:id="410"/>
      <w:bookmarkEnd w:id="411"/>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监理工作内容包括</w:t>
      </w:r>
      <w:r>
        <w:rPr>
          <w:rFonts w:hint="eastAsia" w:hAnsi="宋体"/>
          <w:b/>
          <w:color w:val="auto"/>
          <w:kern w:val="0"/>
          <w:szCs w:val="21"/>
          <w:highlight w:val="none"/>
        </w:rPr>
        <w:t>本工程委托监理合同专用条件第</w:t>
      </w:r>
      <w:r>
        <w:rPr>
          <w:rFonts w:hAnsi="宋体"/>
          <w:b/>
          <w:color w:val="auto"/>
          <w:kern w:val="0"/>
          <w:szCs w:val="21"/>
          <w:highlight w:val="none"/>
        </w:rPr>
        <w:t>2.1</w:t>
      </w:r>
      <w:r>
        <w:rPr>
          <w:rFonts w:hint="eastAsia" w:hAnsi="宋体"/>
          <w:b/>
          <w:color w:val="auto"/>
          <w:kern w:val="0"/>
          <w:szCs w:val="21"/>
          <w:highlight w:val="none"/>
        </w:rPr>
        <w:t>条。</w:t>
      </w:r>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目标：工程投资控制在合同价格以内，工程质量控制达到合格标准，工程进度控制在合同工期之内。</w:t>
      </w:r>
    </w:p>
    <w:p>
      <w:pPr>
        <w:pStyle w:val="19"/>
        <w:snapToGrid w:val="0"/>
        <w:spacing w:before="157" w:beforeLines="50" w:line="360" w:lineRule="auto"/>
        <w:rPr>
          <w:rFonts w:hint="eastAsia" w:ascii="Cambria" w:hAnsi="Cambria"/>
          <w:b/>
          <w:bCs/>
          <w:color w:val="auto"/>
          <w:sz w:val="28"/>
          <w:szCs w:val="28"/>
          <w:highlight w:val="none"/>
        </w:rPr>
      </w:pPr>
      <w:bookmarkStart w:id="412" w:name="_Toc19548046"/>
      <w:bookmarkStart w:id="413" w:name="_Toc10760"/>
      <w:bookmarkStart w:id="414" w:name="_Toc318213158"/>
      <w:bookmarkStart w:id="415" w:name="_Toc26679"/>
      <w:bookmarkStart w:id="416" w:name="_Toc31559"/>
      <w:bookmarkStart w:id="417" w:name="_Toc7541"/>
      <w:bookmarkStart w:id="418" w:name="_Toc392940998"/>
      <w:bookmarkStart w:id="419" w:name="_Toc402188414"/>
      <w:r>
        <w:rPr>
          <w:rFonts w:hint="eastAsia" w:ascii="Cambria" w:hAnsi="Cambria"/>
          <w:b/>
          <w:bCs/>
          <w:color w:val="auto"/>
          <w:sz w:val="28"/>
          <w:szCs w:val="28"/>
          <w:highlight w:val="none"/>
        </w:rPr>
        <w:t xml:space="preserve">3. </w:t>
      </w:r>
      <w:r>
        <w:rPr>
          <w:rFonts w:hint="eastAsia" w:ascii="Cambria" w:hAnsi="Cambria"/>
          <w:b/>
          <w:bCs/>
          <w:color w:val="auto"/>
          <w:sz w:val="28"/>
          <w:szCs w:val="28"/>
          <w:highlight w:val="none"/>
          <w:lang w:eastAsia="zh-CN"/>
        </w:rPr>
        <w:t>比选发起人</w:t>
      </w:r>
      <w:r>
        <w:rPr>
          <w:rFonts w:hint="eastAsia" w:ascii="Cambria" w:hAnsi="Cambria"/>
          <w:b/>
          <w:bCs/>
          <w:color w:val="auto"/>
          <w:sz w:val="28"/>
          <w:szCs w:val="28"/>
          <w:highlight w:val="none"/>
        </w:rPr>
        <w:t>应提供的设施与服务工作</w:t>
      </w:r>
      <w:bookmarkEnd w:id="412"/>
      <w:bookmarkEnd w:id="413"/>
      <w:bookmarkEnd w:id="414"/>
      <w:bookmarkEnd w:id="415"/>
      <w:bookmarkEnd w:id="416"/>
      <w:bookmarkEnd w:id="417"/>
      <w:bookmarkEnd w:id="418"/>
      <w:bookmarkEnd w:id="419"/>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lang w:eastAsia="zh-CN"/>
        </w:rPr>
        <w:t>比选发起人不需</w:t>
      </w:r>
      <w:r>
        <w:rPr>
          <w:rFonts w:hint="eastAsia" w:hAnsi="宋体"/>
          <w:color w:val="auto"/>
          <w:kern w:val="0"/>
          <w:szCs w:val="21"/>
          <w:highlight w:val="none"/>
        </w:rPr>
        <w:t>向监理人提供开展监理服务工作所必须的办公用房、生活用房。</w:t>
      </w:r>
    </w:p>
    <w:p>
      <w:pPr>
        <w:pStyle w:val="19"/>
        <w:snapToGrid w:val="0"/>
        <w:spacing w:before="157" w:beforeLines="50" w:line="360" w:lineRule="auto"/>
        <w:rPr>
          <w:rFonts w:hint="eastAsia" w:ascii="Cambria" w:hAnsi="Cambria"/>
          <w:b/>
          <w:bCs/>
          <w:color w:val="auto"/>
          <w:sz w:val="28"/>
          <w:szCs w:val="28"/>
          <w:highlight w:val="none"/>
        </w:rPr>
      </w:pPr>
      <w:bookmarkStart w:id="420" w:name="_Toc402188415"/>
      <w:bookmarkStart w:id="421" w:name="_Toc24934"/>
      <w:bookmarkStart w:id="422" w:name="_Toc4033"/>
      <w:bookmarkStart w:id="423" w:name="_Toc392940999"/>
      <w:bookmarkStart w:id="424" w:name="_Toc30705"/>
      <w:bookmarkStart w:id="425" w:name="_Toc19548047"/>
      <w:bookmarkStart w:id="426" w:name="_Toc318213159"/>
      <w:bookmarkStart w:id="427" w:name="_Toc9668"/>
      <w:r>
        <w:rPr>
          <w:rFonts w:hint="eastAsia" w:ascii="Cambria" w:hAnsi="Cambria"/>
          <w:b/>
          <w:bCs/>
          <w:color w:val="auto"/>
          <w:sz w:val="28"/>
          <w:szCs w:val="28"/>
          <w:highlight w:val="none"/>
        </w:rPr>
        <w:t>4. 需要监理人提供的设备</w:t>
      </w:r>
      <w:bookmarkEnd w:id="420"/>
      <w:bookmarkEnd w:id="421"/>
      <w:bookmarkEnd w:id="422"/>
      <w:bookmarkEnd w:id="423"/>
      <w:bookmarkEnd w:id="424"/>
      <w:bookmarkEnd w:id="425"/>
      <w:bookmarkEnd w:id="426"/>
      <w:bookmarkEnd w:id="427"/>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 xml:space="preserve">4.1 </w:t>
      </w:r>
      <w:r>
        <w:rPr>
          <w:rFonts w:hint="eastAsia" w:hAnsi="宋体"/>
          <w:color w:val="auto"/>
          <w:kern w:val="0"/>
          <w:szCs w:val="21"/>
          <w:highlight w:val="none"/>
        </w:rPr>
        <w:t>监理人员的办公用房、生活用房</w:t>
      </w:r>
      <w:r>
        <w:rPr>
          <w:rFonts w:hint="eastAsia" w:hAnsi="宋体"/>
          <w:color w:val="auto"/>
          <w:kern w:val="0"/>
          <w:szCs w:val="21"/>
          <w:highlight w:val="none"/>
          <w:lang w:eastAsia="zh-CN"/>
        </w:rPr>
        <w:t>、</w:t>
      </w:r>
      <w:r>
        <w:rPr>
          <w:rFonts w:hint="eastAsia" w:hAnsi="宋体"/>
          <w:color w:val="auto"/>
          <w:kern w:val="0"/>
          <w:szCs w:val="21"/>
          <w:highlight w:val="none"/>
        </w:rPr>
        <w:t>生活用品、交通工具、通讯、办公用品、监理用具、保险由监理人自行解决，在投标报价时应考虑此费用。</w:t>
      </w:r>
    </w:p>
    <w:p>
      <w:pPr>
        <w:pStyle w:val="24"/>
        <w:ind w:firstLine="525" w:firstLineChars="250"/>
        <w:rPr>
          <w:color w:val="auto"/>
          <w:highlight w:val="none"/>
        </w:rPr>
      </w:pPr>
      <w:r>
        <w:rPr>
          <w:color w:val="auto"/>
          <w:highlight w:val="none"/>
        </w:rPr>
        <w:t xml:space="preserve">4.2 </w:t>
      </w:r>
      <w:r>
        <w:rPr>
          <w:rFonts w:hint="eastAsia"/>
          <w:color w:val="auto"/>
          <w:highlight w:val="none"/>
          <w:lang w:eastAsia="zh-CN"/>
        </w:rPr>
        <w:t>监理</w:t>
      </w:r>
      <w:r>
        <w:rPr>
          <w:rFonts w:hint="eastAsia"/>
          <w:color w:val="auto"/>
          <w:highlight w:val="none"/>
        </w:rPr>
        <w:t>人应根据本工程的特点提供必要的监理仪器。</w:t>
      </w:r>
    </w:p>
    <w:p>
      <w:pPr>
        <w:ind w:firstLine="422"/>
        <w:rPr>
          <w:color w:val="auto"/>
          <w:sz w:val="20"/>
          <w:highlight w:val="none"/>
        </w:rPr>
      </w:pPr>
      <w:r>
        <w:rPr>
          <w:rFonts w:hint="eastAsia"/>
          <w:color w:val="auto"/>
          <w:sz w:val="20"/>
          <w:highlight w:val="none"/>
        </w:rPr>
        <w:t xml:space="preserve"> </w:t>
      </w:r>
      <w:bookmarkEnd w:id="403"/>
      <w:r>
        <w:rPr>
          <w:color w:val="auto"/>
          <w:highlight w:val="none"/>
        </w:rPr>
        <w:br w:type="page"/>
      </w:r>
    </w:p>
    <w:p>
      <w:pPr>
        <w:pStyle w:val="3"/>
        <w:numPr>
          <w:ilvl w:val="0"/>
          <w:numId w:val="4"/>
        </w:numPr>
        <w:jc w:val="center"/>
        <w:rPr>
          <w:rFonts w:hint="eastAsia" w:ascii="宋体" w:hAnsi="宋体" w:cs="宋体"/>
          <w:color w:val="auto"/>
          <w:szCs w:val="28"/>
          <w:highlight w:val="none"/>
        </w:rPr>
      </w:pPr>
      <w:bookmarkStart w:id="428" w:name="_Toc22473"/>
      <w:bookmarkStart w:id="429" w:name="_Toc11072"/>
      <w:bookmarkStart w:id="430" w:name="_Toc12244"/>
      <w:bookmarkStart w:id="431" w:name="_Toc2692"/>
      <w:bookmarkStart w:id="432" w:name="_Toc11894"/>
      <w:bookmarkStart w:id="433" w:name="_Toc14595"/>
      <w:bookmarkStart w:id="434" w:name="_Toc19548048"/>
      <w:r>
        <w:rPr>
          <w:rFonts w:hint="eastAsia" w:ascii="宋体" w:hAnsi="宋体" w:cs="宋体"/>
          <w:color w:val="auto"/>
          <w:szCs w:val="28"/>
          <w:highlight w:val="none"/>
        </w:rPr>
        <w:t xml:space="preserve"> </w:t>
      </w:r>
      <w:bookmarkStart w:id="435" w:name="_Toc24773"/>
      <w:r>
        <w:rPr>
          <w:rFonts w:hint="eastAsia" w:ascii="宋体" w:hAnsi="宋体" w:cs="宋体"/>
          <w:color w:val="auto"/>
          <w:szCs w:val="28"/>
          <w:highlight w:val="none"/>
        </w:rPr>
        <w:t>图纸</w:t>
      </w:r>
      <w:bookmarkEnd w:id="428"/>
      <w:bookmarkEnd w:id="429"/>
      <w:bookmarkEnd w:id="430"/>
      <w:bookmarkEnd w:id="431"/>
      <w:bookmarkEnd w:id="432"/>
      <w:bookmarkEnd w:id="433"/>
      <w:bookmarkEnd w:id="434"/>
      <w:bookmarkEnd w:id="435"/>
    </w:p>
    <w:p>
      <w:pPr>
        <w:jc w:val="center"/>
        <w:rPr>
          <w:rFonts w:hint="eastAsia"/>
          <w:b/>
          <w:bCs/>
          <w:color w:val="auto"/>
          <w:sz w:val="32"/>
          <w:szCs w:val="32"/>
          <w:highlight w:val="none"/>
        </w:rPr>
      </w:pPr>
      <w:r>
        <w:rPr>
          <w:color w:val="auto"/>
          <w:sz w:val="32"/>
          <w:szCs w:val="32"/>
          <w:highlight w:val="none"/>
        </w:rPr>
        <w:t xml:space="preserve"> </w:t>
      </w:r>
      <w:bookmarkStart w:id="436" w:name="_Toc351040177"/>
      <w:bookmarkStart w:id="437" w:name="_Toc351059321"/>
      <w:r>
        <w:rPr>
          <w:rFonts w:hint="eastAsia"/>
          <w:b/>
          <w:bCs/>
          <w:color w:val="auto"/>
          <w:sz w:val="32"/>
          <w:szCs w:val="32"/>
          <w:highlight w:val="none"/>
        </w:rPr>
        <w:t>（</w:t>
      </w:r>
      <w:r>
        <w:rPr>
          <w:rFonts w:hint="eastAsia" w:hAnsi="宋体"/>
          <w:b/>
          <w:bCs/>
          <w:color w:val="auto"/>
          <w:sz w:val="32"/>
          <w:highlight w:val="none"/>
        </w:rPr>
        <w:t>另册</w:t>
      </w:r>
      <w:r>
        <w:rPr>
          <w:rFonts w:hint="eastAsia"/>
          <w:b/>
          <w:bCs/>
          <w:color w:val="auto"/>
          <w:sz w:val="32"/>
          <w:szCs w:val="32"/>
          <w:highlight w:val="none"/>
        </w:rPr>
        <w:t>）</w:t>
      </w:r>
      <w:bookmarkEnd w:id="436"/>
      <w:bookmarkEnd w:id="437"/>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pStyle w:val="3"/>
        <w:numPr>
          <w:ilvl w:val="0"/>
          <w:numId w:val="4"/>
        </w:numPr>
        <w:rPr>
          <w:rFonts w:ascii="宋体" w:hAnsi="宋体" w:cs="宋体"/>
          <w:color w:val="auto"/>
          <w:szCs w:val="28"/>
          <w:highlight w:val="none"/>
        </w:rPr>
      </w:pPr>
      <w:bookmarkStart w:id="438" w:name="_Toc1897"/>
      <w:bookmarkStart w:id="439" w:name="_Toc16386"/>
      <w:bookmarkStart w:id="440" w:name="_Toc24668"/>
      <w:bookmarkStart w:id="441" w:name="_Toc471482369"/>
      <w:bookmarkStart w:id="442" w:name="_Toc26692"/>
      <w:bookmarkStart w:id="443" w:name="_Toc2349"/>
      <w:bookmarkStart w:id="444" w:name="_Toc29471"/>
      <w:bookmarkStart w:id="445" w:name="_Toc19345"/>
      <w:bookmarkStart w:id="446" w:name="_Toc20710"/>
      <w:bookmarkStart w:id="447" w:name="_Toc9606"/>
      <w:bookmarkStart w:id="448" w:name="_Toc6779"/>
      <w:bookmarkStart w:id="449" w:name="_Toc23661"/>
      <w:bookmarkStart w:id="450" w:name="_Toc461525321"/>
      <w:bookmarkStart w:id="451" w:name="_Toc26580"/>
      <w:bookmarkStart w:id="452" w:name="_Toc15172"/>
      <w:bookmarkStart w:id="453" w:name="_Toc32280"/>
      <w:bookmarkStart w:id="454" w:name="_Toc27378"/>
      <w:bookmarkStart w:id="455" w:name="_Toc29766"/>
      <w:r>
        <w:rPr>
          <w:rFonts w:hint="eastAsia" w:ascii="宋体" w:hAnsi="宋体" w:cs="宋体"/>
          <w:color w:val="auto"/>
          <w:szCs w:val="28"/>
          <w:highlight w:val="none"/>
          <w:lang w:val="en-US" w:eastAsia="zh-CN"/>
        </w:rPr>
        <w:t xml:space="preserve"> </w:t>
      </w:r>
      <w:bookmarkStart w:id="456" w:name="_Toc13393"/>
      <w:bookmarkStart w:id="457" w:name="_Toc8284"/>
      <w:r>
        <w:rPr>
          <w:rFonts w:hint="eastAsia" w:ascii="宋体" w:hAnsi="宋体" w:cs="宋体"/>
          <w:color w:val="auto"/>
          <w:szCs w:val="28"/>
          <w:highlight w:val="none"/>
        </w:rPr>
        <w:t>比选申请文件</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Start w:id="458"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459" w:name="_Toc461525322"/>
      <w:bookmarkStart w:id="460" w:name="_Toc10669"/>
      <w:bookmarkStart w:id="461" w:name="_Toc12677"/>
      <w:bookmarkStart w:id="462" w:name="_Toc24727"/>
      <w:bookmarkStart w:id="463" w:name="_Toc16428"/>
      <w:bookmarkStart w:id="464" w:name="_Toc31417"/>
      <w:bookmarkStart w:id="465" w:name="_Toc18503"/>
      <w:bookmarkStart w:id="466" w:name="_Toc6045"/>
      <w:bookmarkStart w:id="467" w:name="_Toc22529"/>
      <w:r>
        <w:rPr>
          <w:b w:val="0"/>
          <w:bCs w:val="0"/>
          <w:color w:val="auto"/>
          <w:sz w:val="28"/>
          <w:szCs w:val="28"/>
          <w:highlight w:val="none"/>
        </w:rPr>
        <w:t>资格审查部分</w:t>
      </w:r>
      <w:bookmarkEnd w:id="459"/>
      <w:bookmarkEnd w:id="460"/>
      <w:bookmarkEnd w:id="461"/>
      <w:bookmarkEnd w:id="462"/>
      <w:bookmarkEnd w:id="463"/>
      <w:bookmarkEnd w:id="464"/>
      <w:bookmarkEnd w:id="465"/>
      <w:bookmarkEnd w:id="466"/>
      <w:bookmarkEnd w:id="467"/>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458"/>
      <w:r>
        <w:rPr>
          <w:rFonts w:hint="eastAsia" w:ascii="宋体" w:hAnsi="宋体" w:cs="宋体"/>
          <w:color w:val="auto"/>
          <w:sz w:val="28"/>
          <w:szCs w:val="28"/>
          <w:highlight w:val="none"/>
        </w:rPr>
        <w:t>请</w:t>
      </w:r>
      <w:bookmarkStart w:id="468" w:name="_Toc114052392"/>
      <w:r>
        <w:rPr>
          <w:rFonts w:hint="eastAsia" w:ascii="宋体" w:hAnsi="宋体" w:cs="宋体"/>
          <w:color w:val="auto"/>
          <w:sz w:val="28"/>
          <w:szCs w:val="28"/>
          <w:highlight w:val="none"/>
        </w:rPr>
        <w:t xml:space="preserve">人：                 </w:t>
      </w:r>
      <w:bookmarkEnd w:id="468"/>
      <w:r>
        <w:rPr>
          <w:rFonts w:hint="eastAsia"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469" w:name="_Toc333307122"/>
      <w:r>
        <w:rPr>
          <w:rFonts w:hint="eastAsia" w:ascii="宋体" w:hAnsi="宋体" w:cs="宋体"/>
          <w:color w:val="auto"/>
          <w:sz w:val="28"/>
          <w:szCs w:val="28"/>
          <w:highlight w:val="none"/>
        </w:rPr>
        <w:t>理人</w:t>
      </w:r>
      <w:bookmarkEnd w:id="469"/>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2"/>
        <w:rPr>
          <w:color w:val="auto"/>
          <w:highlight w:val="none"/>
        </w:rPr>
      </w:pPr>
      <w:bookmarkStart w:id="470" w:name="_Toc7849"/>
      <w:bookmarkStart w:id="471" w:name="_Toc461525323"/>
    </w:p>
    <w:p>
      <w:pPr>
        <w:pStyle w:val="4"/>
        <w:jc w:val="center"/>
        <w:rPr>
          <w:rFonts w:hint="eastAsia"/>
          <w:b/>
          <w:color w:val="auto"/>
          <w:highlight w:val="none"/>
        </w:rPr>
      </w:pPr>
      <w:bookmarkStart w:id="472" w:name="_Toc28967"/>
      <w:bookmarkStart w:id="473" w:name="_Toc24695"/>
      <w:bookmarkStart w:id="474" w:name="_Toc13042"/>
      <w:bookmarkStart w:id="475" w:name="_Toc9905"/>
      <w:bookmarkStart w:id="476" w:name="_Toc7514"/>
      <w:bookmarkStart w:id="477" w:name="_Toc7031"/>
      <w:bookmarkStart w:id="478" w:name="_Toc22776"/>
      <w:bookmarkStart w:id="479" w:name="_Toc13726"/>
      <w:bookmarkStart w:id="480" w:name="_Toc8930"/>
      <w:bookmarkStart w:id="481" w:name="_Toc17090"/>
      <w:bookmarkStart w:id="482" w:name="_Toc24578"/>
      <w:bookmarkStart w:id="483" w:name="_Toc23201"/>
      <w:bookmarkStart w:id="484" w:name="_Toc16042"/>
      <w:bookmarkStart w:id="485" w:name="_Toc29495"/>
      <w:bookmarkStart w:id="486" w:name="_Toc16191"/>
      <w:bookmarkStart w:id="487" w:name="_Toc471482370"/>
      <w:r>
        <w:rPr>
          <w:rFonts w:hint="eastAsia"/>
          <w:b/>
          <w:color w:val="auto"/>
          <w:highlight w:val="none"/>
        </w:rPr>
        <w:t>一、资格审查文件目录</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诚信声明（原件）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法定代表人资格证明书（原件）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法定代表人身份证明文件（提供复印件</w:t>
      </w:r>
      <w:r>
        <w:rPr>
          <w:rFonts w:hint="eastAsia" w:ascii="宋体" w:hAnsi="宋体"/>
          <w:color w:val="auto"/>
          <w:kern w:val="0"/>
          <w:sz w:val="28"/>
          <w:szCs w:val="28"/>
          <w:highlight w:val="none"/>
        </w:rPr>
        <w:t>加盖法人单位公章</w:t>
      </w:r>
      <w:r>
        <w:rPr>
          <w:rFonts w:hint="eastAsia" w:ascii="宋体" w:hAnsi="宋体"/>
          <w:color w:val="auto"/>
          <w:sz w:val="28"/>
          <w:szCs w:val="28"/>
          <w:highlight w:val="none"/>
        </w:rPr>
        <w:t>）</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比选申请文件签署授权委托书（原件）</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授权代理人身份证明文件（提供复印件加盖法人单位公章）</w:t>
      </w:r>
    </w:p>
    <w:p>
      <w:pPr>
        <w:numPr>
          <w:ilvl w:val="0"/>
          <w:numId w:val="5"/>
        </w:numPr>
        <w:tabs>
          <w:tab w:val="left" w:pos="826"/>
        </w:tabs>
        <w:spacing w:line="560" w:lineRule="exact"/>
        <w:rPr>
          <w:rFonts w:hint="eastAsia" w:ascii="宋体" w:hAnsi="宋体"/>
          <w:b w:val="0"/>
          <w:color w:val="auto"/>
          <w:kern w:val="0"/>
          <w:sz w:val="28"/>
          <w:szCs w:val="28"/>
          <w:highlight w:val="none"/>
        </w:rPr>
      </w:pPr>
      <w:r>
        <w:rPr>
          <w:rFonts w:hint="eastAsia" w:ascii="宋体" w:hAnsi="宋体" w:cstheme="minorBidi"/>
          <w:color w:val="auto"/>
          <w:kern w:val="0"/>
          <w:sz w:val="28"/>
          <w:szCs w:val="28"/>
          <w:highlight w:val="none"/>
        </w:rPr>
        <w:t>营业执照复印件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税务登记证复印件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如已办理三证合一则不需提供）</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组织机构代码证复印件（ 如已办理三证合一则不需提供）（加盖单位公章）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企业资质证书</w:t>
      </w:r>
      <w:r>
        <w:rPr>
          <w:rFonts w:hint="eastAsia" w:ascii="宋体" w:hAnsi="宋体" w:cstheme="minorBidi"/>
          <w:color w:val="auto"/>
          <w:kern w:val="0"/>
          <w:sz w:val="28"/>
          <w:szCs w:val="28"/>
          <w:highlight w:val="none"/>
        </w:rPr>
        <w:t>复印件（加盖单位公章）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联合体协议书原件扫描件（如有）</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lang w:eastAsia="zh-CN"/>
        </w:rPr>
        <w:t>2</w:t>
      </w:r>
      <w:r>
        <w:rPr>
          <w:rFonts w:hint="eastAsia" w:ascii="宋体" w:hAnsi="宋体" w:cstheme="minorBidi"/>
          <w:color w:val="auto"/>
          <w:kern w:val="0"/>
          <w:sz w:val="28"/>
          <w:szCs w:val="28"/>
          <w:highlight w:val="none"/>
          <w:lang w:val="en-US" w:eastAsia="zh-CN"/>
        </w:rPr>
        <w:t>022年度南宁市本级政府投资工程监理项目定点监理单位公开征集入围供应商</w:t>
      </w:r>
      <w:r>
        <w:rPr>
          <w:rFonts w:hint="eastAsia" w:ascii="宋体" w:hAnsi="宋体" w:cstheme="minorBidi"/>
          <w:color w:val="auto"/>
          <w:kern w:val="0"/>
          <w:sz w:val="28"/>
          <w:szCs w:val="28"/>
          <w:highlight w:val="none"/>
          <w:u w:val="none"/>
          <w:lang w:val="en-US" w:eastAsia="zh-CN"/>
        </w:rPr>
        <w:t>（市政公用工程）证明材料</w:t>
      </w:r>
    </w:p>
    <w:p>
      <w:pPr>
        <w:tabs>
          <w:tab w:val="left" w:pos="826"/>
        </w:tabs>
        <w:spacing w:line="560" w:lineRule="exact"/>
        <w:ind w:left="426"/>
        <w:rPr>
          <w:rFonts w:ascii="宋体" w:hAnsi="宋体"/>
          <w:i/>
          <w:color w:val="auto"/>
          <w:kern w:val="0"/>
          <w:sz w:val="28"/>
          <w:szCs w:val="28"/>
          <w:highlight w:val="none"/>
        </w:rPr>
      </w:pPr>
      <w:r>
        <w:rPr>
          <w:rFonts w:ascii="宋体" w:hAnsi="宋体"/>
          <w:i/>
          <w:color w:val="auto"/>
          <w:kern w:val="0"/>
          <w:sz w:val="28"/>
          <w:szCs w:val="28"/>
          <w:highlight w:val="none"/>
        </w:rPr>
        <w:t>10、其他</w:t>
      </w:r>
      <w:r>
        <w:rPr>
          <w:rFonts w:hint="eastAsia" w:ascii="宋体" w:hAnsi="宋体"/>
          <w:i/>
          <w:color w:val="auto"/>
          <w:kern w:val="0"/>
          <w:sz w:val="28"/>
          <w:szCs w:val="28"/>
          <w:highlight w:val="none"/>
        </w:rPr>
        <w:t>……</w:t>
      </w:r>
    </w:p>
    <w:p>
      <w:pPr>
        <w:ind w:right="753"/>
        <w:jc w:val="left"/>
        <w:rPr>
          <w:rFonts w:ascii="宋体" w:hAnsi="宋体" w:cs="宋体"/>
          <w:color w:val="auto"/>
          <w:sz w:val="28"/>
          <w:szCs w:val="28"/>
          <w:highlight w:val="none"/>
        </w:rPr>
      </w:pPr>
    </w:p>
    <w:p>
      <w:pPr>
        <w:ind w:right="-21"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center"/>
        <w:rPr>
          <w:rFonts w:ascii="宋体" w:hAnsi="宋体"/>
          <w:b/>
          <w:bCs/>
          <w:color w:val="auto"/>
          <w:sz w:val="28"/>
          <w:szCs w:val="28"/>
          <w:highlight w:val="none"/>
        </w:rPr>
      </w:pPr>
      <w:bookmarkStart w:id="488" w:name="_Toc27423"/>
      <w:bookmarkStart w:id="489" w:name="_Toc461525324"/>
      <w:bookmarkStart w:id="490" w:name="_Toc1582"/>
      <w:r>
        <w:rPr>
          <w:color w:val="auto"/>
          <w:highlight w:val="none"/>
        </w:rPr>
        <w:br w:type="page"/>
      </w:r>
      <w:bookmarkEnd w:id="488"/>
      <w:bookmarkEnd w:id="489"/>
      <w:bookmarkEnd w:id="490"/>
      <w:bookmarkStart w:id="491" w:name="_Toc30157"/>
      <w:bookmarkStart w:id="492" w:name="_Toc26924"/>
      <w:bookmarkStart w:id="493" w:name="_Toc15071"/>
      <w:bookmarkStart w:id="494" w:name="_Toc461525329"/>
      <w:bookmarkStart w:id="495" w:name="_Toc29655"/>
      <w:bookmarkStart w:id="496" w:name="_Toc17531"/>
      <w:bookmarkStart w:id="497" w:name="_Toc18804"/>
      <w:bookmarkStart w:id="498" w:name="_Toc14714"/>
      <w:bookmarkStart w:id="499" w:name="_Toc29347"/>
      <w:bookmarkStart w:id="500" w:name="_Toc15465"/>
      <w:bookmarkStart w:id="501" w:name="_Toc24466"/>
      <w:bookmarkStart w:id="502" w:name="_Toc32325"/>
      <w:r>
        <w:rPr>
          <w:rFonts w:hint="eastAsia" w:ascii="宋体" w:hAnsi="宋体"/>
          <w:b/>
          <w:bCs/>
          <w:color w:val="auto"/>
          <w:sz w:val="28"/>
          <w:szCs w:val="28"/>
          <w:highlight w:val="none"/>
        </w:rPr>
        <w:t>1</w:t>
      </w:r>
      <w:r>
        <w:rPr>
          <w:rFonts w:ascii="宋体" w:hAnsi="宋体"/>
          <w:b/>
          <w:bCs/>
          <w:color w:val="auto"/>
          <w:sz w:val="28"/>
          <w:szCs w:val="28"/>
          <w:highlight w:val="none"/>
        </w:rPr>
        <w:t>、</w:t>
      </w:r>
      <w:r>
        <w:rPr>
          <w:rFonts w:hint="eastAsia" w:ascii="宋体" w:hAnsi="宋体"/>
          <w:b/>
          <w:bCs/>
          <w:color w:val="auto"/>
          <w:sz w:val="28"/>
          <w:szCs w:val="28"/>
          <w:highlight w:val="none"/>
        </w:rPr>
        <w:t>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       （法定代表人、身份证号码              ）郑重声明：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ab/>
      </w:r>
      <w:r>
        <w:rPr>
          <w:rFonts w:hint="eastAsia" w:ascii="宋体" w:hAnsi="宋体"/>
          <w:color w:val="auto"/>
          <w:sz w:val="24"/>
          <w:highlight w:val="none"/>
        </w:rPr>
        <w:t>本企业参加</w:t>
      </w:r>
      <w:r>
        <w:rPr>
          <w:rFonts w:hint="eastAsia"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5、本企业提供的服务不存在知识产权或专利纠纷，保证甲方能正常使用本企业所提供的服务。</w:t>
      </w:r>
    </w:p>
    <w:p>
      <w:pPr>
        <w:spacing w:line="360" w:lineRule="auto"/>
        <w:ind w:firstLine="470" w:firstLineChars="196"/>
        <w:rPr>
          <w:rFonts w:ascii="宋体" w:hAnsi="宋体"/>
          <w:i/>
          <w:color w:val="auto"/>
          <w:sz w:val="24"/>
          <w:highlight w:val="none"/>
        </w:rPr>
      </w:pPr>
      <w:r>
        <w:rPr>
          <w:rFonts w:ascii="宋体" w:hAnsi="宋体"/>
          <w:i/>
          <w:color w:val="auto"/>
          <w:sz w:val="24"/>
          <w:szCs w:val="24"/>
          <w:highlight w:val="none"/>
        </w:rPr>
        <w:t>6、</w:t>
      </w:r>
      <w:r>
        <w:rPr>
          <w:rFonts w:hint="eastAsia" w:ascii="宋体" w:hAnsi="宋体"/>
          <w:i/>
          <w:color w:val="auto"/>
          <w:sz w:val="24"/>
          <w:szCs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   月    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491"/>
    <w:bookmarkEnd w:id="492"/>
    <w:bookmarkEnd w:id="493"/>
    <w:bookmarkEnd w:id="494"/>
    <w:bookmarkEnd w:id="495"/>
    <w:bookmarkEnd w:id="496"/>
    <w:bookmarkEnd w:id="497"/>
    <w:bookmarkEnd w:id="498"/>
    <w:bookmarkEnd w:id="499"/>
    <w:bookmarkEnd w:id="500"/>
    <w:bookmarkEnd w:id="501"/>
    <w:bookmarkEnd w:id="502"/>
    <w:p>
      <w:pPr>
        <w:autoSpaceDE w:val="0"/>
        <w:autoSpaceDN w:val="0"/>
        <w:adjustRightInd w:val="0"/>
        <w:spacing w:line="480" w:lineRule="auto"/>
        <w:jc w:val="center"/>
        <w:rPr>
          <w:rFonts w:ascii="宋体" w:hAnsi="宋体"/>
          <w:b/>
          <w:color w:val="auto"/>
          <w:kern w:val="0"/>
          <w:sz w:val="30"/>
          <w:szCs w:val="30"/>
          <w:highlight w:val="none"/>
        </w:rPr>
      </w:pPr>
      <w:bookmarkStart w:id="503" w:name="_Toc19937"/>
      <w:bookmarkStart w:id="504" w:name="_Toc3498"/>
      <w:bookmarkStart w:id="505" w:name="_Toc28436"/>
      <w:bookmarkStart w:id="506" w:name="_Toc32075"/>
      <w:bookmarkStart w:id="507" w:name="_Toc750"/>
      <w:bookmarkStart w:id="508" w:name="_Toc16756"/>
      <w:bookmarkStart w:id="509" w:name="_Toc25670"/>
      <w:bookmarkStart w:id="510" w:name="_Toc6606"/>
      <w:bookmarkStart w:id="511" w:name="_Toc7760"/>
      <w:r>
        <w:rPr>
          <w:rFonts w:hint="eastAsia" w:ascii="宋体" w:hAnsi="宋体"/>
          <w:b/>
          <w:color w:val="auto"/>
          <w:kern w:val="0"/>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成立时间：年月日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    名： 性别：年龄： 职务：</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日  期：年月日</w:t>
      </w:r>
    </w:p>
    <w:p>
      <w:pPr>
        <w:pStyle w:val="5"/>
        <w:rPr>
          <w:color w:val="auto"/>
          <w:highlight w:val="none"/>
        </w:rPr>
      </w:pPr>
      <w:r>
        <w:rPr>
          <w:rFonts w:ascii="楷体_GB2312" w:eastAsia="楷体_GB2312"/>
          <w:b/>
          <w:color w:val="auto"/>
          <w:sz w:val="24"/>
          <w:highlight w:val="none"/>
        </w:rPr>
        <w:br w:type="page"/>
      </w:r>
      <w:bookmarkEnd w:id="503"/>
      <w:bookmarkEnd w:id="504"/>
      <w:bookmarkEnd w:id="505"/>
      <w:bookmarkEnd w:id="506"/>
      <w:bookmarkEnd w:id="507"/>
      <w:bookmarkEnd w:id="508"/>
      <w:bookmarkEnd w:id="509"/>
      <w:bookmarkEnd w:id="510"/>
      <w:bookmarkEnd w:id="511"/>
      <w:r>
        <w:rPr>
          <w:rFonts w:hint="eastAsia" w:ascii="宋体" w:hAnsi="宋体" w:eastAsia="宋体"/>
          <w:b/>
          <w:color w:val="auto"/>
          <w:sz w:val="30"/>
          <w:szCs w:val="30"/>
          <w:highlight w:val="none"/>
        </w:rPr>
        <w:t>3、</w:t>
      </w:r>
      <w:r>
        <w:rPr>
          <w:rFonts w:hint="eastAsia" w:ascii="宋体" w:hAnsi="宋体"/>
          <w:b/>
          <w:color w:val="auto"/>
          <w:sz w:val="30"/>
          <w:szCs w:val="30"/>
          <w:highlight w:val="none"/>
        </w:rPr>
        <w:t>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480" w:lineRule="auto"/>
        <w:jc w:val="center"/>
        <w:rPr>
          <w:rFonts w:ascii="宋体" w:hAnsi="宋体"/>
          <w:b/>
          <w:color w:val="auto"/>
          <w:kern w:val="0"/>
          <w:sz w:val="30"/>
          <w:szCs w:val="30"/>
          <w:highlight w:val="none"/>
        </w:rPr>
      </w:pPr>
      <w:r>
        <w:rPr>
          <w:rFonts w:hint="eastAsia" w:ascii="宋体" w:hAnsi="宋体"/>
          <w:b/>
          <w:color w:val="auto"/>
          <w:kern w:val="0"/>
          <w:sz w:val="30"/>
          <w:szCs w:val="30"/>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部门：</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职务：</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 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日</w:t>
      </w:r>
    </w:p>
    <w:p>
      <w:pPr>
        <w:ind w:right="753"/>
        <w:jc w:val="left"/>
        <w:rPr>
          <w:rStyle w:val="25"/>
          <w:color w:val="auto"/>
          <w:highlight w:val="none"/>
        </w:rPr>
      </w:pPr>
      <w:r>
        <w:rPr>
          <w:rFonts w:ascii="宋体" w:hAnsi="宋体"/>
          <w:color w:val="auto"/>
          <w:kern w:val="0"/>
          <w:sz w:val="24"/>
          <w:highlight w:val="none"/>
        </w:rPr>
        <w:br w:type="page"/>
      </w:r>
      <w:bookmarkStart w:id="512" w:name="_Toc11434"/>
      <w:bookmarkStart w:id="513" w:name="_Toc26749"/>
      <w:bookmarkStart w:id="514" w:name="_Toc1509"/>
      <w:bookmarkStart w:id="515" w:name="_Toc2475"/>
      <w:bookmarkStart w:id="516" w:name="_Toc29504"/>
      <w:bookmarkStart w:id="517" w:name="_Toc880"/>
      <w:bookmarkStart w:id="518" w:name="_Toc30136"/>
      <w:bookmarkStart w:id="519" w:name="_Toc18479"/>
      <w:r>
        <w:rPr>
          <w:rFonts w:hint="eastAsia" w:ascii="宋体" w:hAnsi="宋体"/>
          <w:b/>
          <w:color w:val="auto"/>
          <w:kern w:val="0"/>
          <w:sz w:val="30"/>
          <w:szCs w:val="30"/>
          <w:highlight w:val="none"/>
        </w:rPr>
        <w:t>5、授权代理人身份证明文件（提供复印件加盖法人单位公章）</w:t>
      </w:r>
    </w:p>
    <w:bookmarkEnd w:id="512"/>
    <w:bookmarkEnd w:id="513"/>
    <w:bookmarkEnd w:id="514"/>
    <w:bookmarkEnd w:id="515"/>
    <w:bookmarkEnd w:id="516"/>
    <w:bookmarkEnd w:id="517"/>
    <w:bookmarkEnd w:id="518"/>
    <w:bookmarkEnd w:id="519"/>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ind w:right="0"/>
        <w:jc w:val="center"/>
        <w:rPr>
          <w:rFonts w:hint="eastAsia" w:ascii="宋体" w:hAnsi="宋体" w:cs="Times New Roman"/>
          <w:b/>
          <w:color w:val="auto"/>
          <w:kern w:val="0"/>
          <w:sz w:val="30"/>
          <w:szCs w:val="30"/>
          <w:highlight w:val="none"/>
        </w:rPr>
      </w:pPr>
      <w:r>
        <w:rPr>
          <w:rFonts w:hint="eastAsia" w:ascii="宋体" w:hAnsi="宋体"/>
          <w:b/>
          <w:color w:val="auto"/>
          <w:kern w:val="0"/>
          <w:sz w:val="30"/>
          <w:szCs w:val="30"/>
          <w:highlight w:val="none"/>
        </w:rPr>
        <w:t>6、营业执照</w:t>
      </w:r>
      <w:r>
        <w:rPr>
          <w:rFonts w:hint="eastAsia" w:ascii="宋体" w:hAnsi="宋体" w:cstheme="minorBidi"/>
          <w:b/>
          <w:color w:val="auto"/>
          <w:kern w:val="0"/>
          <w:sz w:val="30"/>
          <w:szCs w:val="30"/>
          <w:highlight w:val="none"/>
        </w:rPr>
        <w:t>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税务登记证复印件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如已办理三证合一则不需提供）</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组织机构代码证复印件（ 如已办理三证合一则不需提供）（加盖单位公章）</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center"/>
        <w:rPr>
          <w:rFonts w:hint="eastAsia" w:ascii="宋体" w:hAnsi="宋体"/>
          <w:b/>
          <w:color w:val="auto"/>
          <w:kern w:val="0"/>
          <w:sz w:val="30"/>
          <w:szCs w:val="30"/>
          <w:highlight w:val="none"/>
        </w:rPr>
      </w:pPr>
      <w:r>
        <w:rPr>
          <w:rFonts w:hint="eastAsia" w:ascii="宋体" w:hAnsi="宋体"/>
          <w:b/>
          <w:color w:val="auto"/>
          <w:kern w:val="0"/>
          <w:sz w:val="30"/>
          <w:szCs w:val="30"/>
          <w:highlight w:val="none"/>
        </w:rPr>
        <w:t>7、</w:t>
      </w:r>
      <w:r>
        <w:rPr>
          <w:rFonts w:hint="eastAsia" w:ascii="宋体" w:hAnsi="宋体"/>
          <w:b/>
          <w:color w:val="auto"/>
          <w:kern w:val="0"/>
          <w:sz w:val="30"/>
          <w:szCs w:val="30"/>
          <w:highlight w:val="none"/>
          <w:lang w:val="en-US" w:eastAsia="zh-CN"/>
        </w:rPr>
        <w:t>企</w:t>
      </w:r>
      <w:r>
        <w:rPr>
          <w:rFonts w:hint="eastAsia" w:ascii="宋体" w:hAnsi="宋体"/>
          <w:b/>
          <w:color w:val="auto"/>
          <w:kern w:val="0"/>
          <w:sz w:val="30"/>
          <w:szCs w:val="30"/>
          <w:highlight w:val="none"/>
        </w:rPr>
        <w:t>业资质证书</w:t>
      </w:r>
      <w:r>
        <w:rPr>
          <w:rFonts w:hint="eastAsia" w:ascii="宋体" w:hAnsi="宋体" w:cstheme="minorBidi"/>
          <w:b/>
          <w:color w:val="auto"/>
          <w:kern w:val="0"/>
          <w:sz w:val="30"/>
          <w:szCs w:val="30"/>
          <w:highlight w:val="none"/>
        </w:rPr>
        <w:t>复印件（加盖单位公章</w:t>
      </w:r>
      <w:r>
        <w:rPr>
          <w:rFonts w:hint="eastAsia" w:ascii="宋体" w:hAnsi="宋体"/>
          <w:b/>
          <w:color w:val="auto"/>
          <w:kern w:val="0"/>
          <w:sz w:val="30"/>
          <w:szCs w:val="30"/>
          <w:highlight w:val="none"/>
        </w:rPr>
        <w:t>）；</w:t>
      </w:r>
    </w:p>
    <w:p>
      <w:pPr>
        <w:autoSpaceDE w:val="0"/>
        <w:autoSpaceDN w:val="0"/>
        <w:adjustRightInd w:val="0"/>
        <w:spacing w:line="480" w:lineRule="auto"/>
        <w:ind w:firstLine="482" w:firstLineChars="200"/>
        <w:rPr>
          <w:rFonts w:ascii="宋体" w:hAnsi="宋体"/>
          <w:b/>
          <w:color w:val="auto"/>
          <w:kern w:val="0"/>
          <w:sz w:val="24"/>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8、联合体协议书原件扫描件（</w:t>
      </w:r>
      <w:r>
        <w:rPr>
          <w:rFonts w:hint="eastAsia" w:ascii="宋体" w:hAnsi="宋体"/>
          <w:b/>
          <w:color w:val="auto"/>
          <w:kern w:val="0"/>
          <w:sz w:val="30"/>
          <w:szCs w:val="30"/>
          <w:highlight w:val="none"/>
          <w:lang w:val="en-US" w:eastAsia="zh-CN"/>
        </w:rPr>
        <w:t>如有</w:t>
      </w:r>
      <w:r>
        <w:rPr>
          <w:rFonts w:hint="eastAsia" w:ascii="宋体" w:hAnsi="宋体"/>
          <w:b/>
          <w:color w:val="auto"/>
          <w:kern w:val="0"/>
          <w:sz w:val="30"/>
          <w:szCs w:val="30"/>
          <w:highlight w:val="none"/>
        </w:rPr>
        <w:t>）</w:t>
      </w:r>
    </w:p>
    <w:p>
      <w:pPr>
        <w:ind w:right="753"/>
        <w:jc w:val="left"/>
        <w:rPr>
          <w:rFonts w:ascii="宋体" w:hAnsi="宋体"/>
          <w:color w:val="auto"/>
          <w:kern w:val="0"/>
          <w:sz w:val="28"/>
          <w:szCs w:val="28"/>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 xml:space="preserve">9. </w:t>
      </w:r>
      <w:r>
        <w:rPr>
          <w:rFonts w:hint="eastAsia" w:ascii="宋体" w:hAnsi="宋体"/>
          <w:b/>
          <w:color w:val="auto"/>
          <w:kern w:val="0"/>
          <w:sz w:val="30"/>
          <w:szCs w:val="30"/>
          <w:highlight w:val="none"/>
          <w:lang w:eastAsia="zh-CN"/>
        </w:rPr>
        <w:t>2</w:t>
      </w:r>
      <w:r>
        <w:rPr>
          <w:rFonts w:hint="eastAsia" w:ascii="宋体" w:hAnsi="宋体" w:cstheme="minorBidi"/>
          <w:b/>
          <w:color w:val="auto"/>
          <w:kern w:val="0"/>
          <w:sz w:val="30"/>
          <w:szCs w:val="30"/>
          <w:highlight w:val="none"/>
          <w:lang w:val="en-US" w:eastAsia="zh-CN"/>
        </w:rPr>
        <w:t>022年度南宁市本级政府投资工程监理项目定点监理单位公开征集入围供应商</w:t>
      </w:r>
      <w:r>
        <w:rPr>
          <w:rFonts w:hint="eastAsia" w:ascii="宋体" w:hAnsi="宋体" w:cstheme="minorBidi"/>
          <w:b/>
          <w:color w:val="auto"/>
          <w:kern w:val="0"/>
          <w:sz w:val="30"/>
          <w:szCs w:val="30"/>
          <w:highlight w:val="none"/>
          <w:u w:val="none"/>
          <w:lang w:val="en-US" w:eastAsia="zh-CN"/>
        </w:rPr>
        <w:t>（市政公用工程）证明材</w:t>
      </w:r>
      <w:r>
        <w:rPr>
          <w:rFonts w:hint="eastAsia" w:ascii="宋体" w:hAnsi="宋体"/>
          <w:b/>
          <w:color w:val="auto"/>
          <w:kern w:val="0"/>
          <w:sz w:val="30"/>
          <w:szCs w:val="30"/>
          <w:highlight w:val="none"/>
          <w:lang w:val="en-US" w:eastAsia="zh-CN"/>
        </w:rPr>
        <w:t>料</w:t>
      </w: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widowControl/>
        <w:jc w:val="left"/>
        <w:rPr>
          <w:rFonts w:ascii="宋体" w:hAnsi="宋体"/>
          <w:color w:val="auto"/>
          <w:kern w:val="0"/>
          <w:sz w:val="28"/>
          <w:szCs w:val="28"/>
          <w:highlight w:val="none"/>
        </w:rPr>
      </w:pPr>
      <w:r>
        <w:rPr>
          <w:rFonts w:ascii="宋体" w:hAnsi="宋体"/>
          <w:color w:val="auto"/>
          <w:kern w:val="0"/>
          <w:sz w:val="28"/>
          <w:szCs w:val="28"/>
          <w:highlight w:val="none"/>
        </w:rPr>
        <w:br w:type="page"/>
      </w:r>
    </w:p>
    <w:p>
      <w:pPr>
        <w:ind w:right="753"/>
        <w:jc w:val="left"/>
        <w:rPr>
          <w:rFonts w:ascii="宋体" w:hAnsi="宋体"/>
          <w:i/>
          <w:color w:val="auto"/>
          <w:kern w:val="0"/>
          <w:sz w:val="28"/>
          <w:szCs w:val="28"/>
          <w:highlight w:val="none"/>
        </w:rPr>
      </w:pPr>
      <w:r>
        <w:rPr>
          <w:rFonts w:ascii="宋体" w:hAnsi="宋体"/>
          <w:i/>
          <w:color w:val="auto"/>
          <w:kern w:val="0"/>
          <w:sz w:val="28"/>
          <w:szCs w:val="28"/>
          <w:highlight w:val="none"/>
        </w:rPr>
        <w:t>10、其他……</w:t>
      </w:r>
    </w:p>
    <w:p>
      <w:pPr>
        <w:widowControl/>
        <w:jc w:val="left"/>
        <w:rPr>
          <w:rFonts w:ascii="宋体" w:hAnsi="宋体"/>
          <w:i/>
          <w:color w:val="auto"/>
          <w:kern w:val="0"/>
          <w:sz w:val="28"/>
          <w:szCs w:val="28"/>
          <w:highlight w:val="none"/>
        </w:rPr>
      </w:pPr>
      <w:r>
        <w:rPr>
          <w:rFonts w:ascii="宋体" w:hAnsi="宋体"/>
          <w:i/>
          <w:color w:val="auto"/>
          <w:kern w:val="0"/>
          <w:sz w:val="28"/>
          <w:szCs w:val="28"/>
          <w:highlight w:val="none"/>
        </w:rPr>
        <w:br w:type="page"/>
      </w:r>
    </w:p>
    <w:p>
      <w:pPr>
        <w:ind w:right="753"/>
        <w:jc w:val="left"/>
        <w:rPr>
          <w:rFonts w:ascii="宋体" w:hAnsi="宋体"/>
          <w:i/>
          <w:color w:val="auto"/>
          <w:kern w:val="0"/>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520" w:name="_Toc31069"/>
      <w:bookmarkStart w:id="521" w:name="_Toc461525334"/>
      <w:bookmarkStart w:id="522" w:name="_Toc124"/>
      <w:bookmarkStart w:id="523" w:name="_Toc25575"/>
      <w:bookmarkStart w:id="524" w:name="_Toc10507"/>
      <w:bookmarkStart w:id="525" w:name="_Toc23149"/>
      <w:bookmarkStart w:id="526" w:name="_Toc4828"/>
      <w:bookmarkStart w:id="527" w:name="_Toc16451"/>
      <w:bookmarkStart w:id="528" w:name="_Toc144"/>
      <w:bookmarkStart w:id="529" w:name="_Toc18631"/>
      <w:r>
        <w:rPr>
          <w:rFonts w:hint="eastAsia"/>
          <w:b w:val="0"/>
          <w:bCs w:val="0"/>
          <w:color w:val="auto"/>
          <w:sz w:val="28"/>
          <w:szCs w:val="28"/>
          <w:highlight w:val="none"/>
        </w:rPr>
        <w:t>技术部分</w:t>
      </w:r>
      <w:bookmarkEnd w:id="520"/>
      <w:bookmarkEnd w:id="521"/>
      <w:bookmarkEnd w:id="522"/>
      <w:bookmarkEnd w:id="523"/>
      <w:bookmarkEnd w:id="524"/>
      <w:bookmarkEnd w:id="525"/>
      <w:bookmarkEnd w:id="526"/>
      <w:bookmarkEnd w:id="527"/>
      <w:bookmarkEnd w:id="528"/>
      <w:bookmarkEnd w:id="529"/>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30" w:name="_Toc23508"/>
      <w:bookmarkStart w:id="531" w:name="_Toc31998"/>
      <w:bookmarkStart w:id="532" w:name="_Toc15888"/>
      <w:bookmarkStart w:id="533" w:name="_Toc13801"/>
      <w:bookmarkStart w:id="534" w:name="_Toc1986"/>
      <w:bookmarkStart w:id="535" w:name="_Toc19934"/>
      <w:bookmarkStart w:id="536" w:name="_Toc31582"/>
      <w:bookmarkStart w:id="537" w:name="_Toc471482371"/>
      <w:bookmarkStart w:id="538" w:name="_Toc21144"/>
      <w:bookmarkStart w:id="539" w:name="_Toc29536"/>
      <w:bookmarkStart w:id="540" w:name="_Toc26769"/>
      <w:bookmarkStart w:id="541" w:name="_Toc23325"/>
      <w:bookmarkStart w:id="542" w:name="_Toc32510"/>
      <w:bookmarkStart w:id="543" w:name="_Toc9379"/>
      <w:bookmarkStart w:id="544" w:name="_Toc25475"/>
      <w:bookmarkStart w:id="545" w:name="_Toc31521"/>
      <w:bookmarkStart w:id="546" w:name="_Toc20357"/>
      <w:r>
        <w:rPr>
          <w:rFonts w:hint="eastAsia"/>
          <w:b/>
          <w:color w:val="auto"/>
          <w:highlight w:val="none"/>
        </w:rPr>
        <w:t>二、技术部分材料目录</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.拟投入人员配置明细表；</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.拟投入人员的相关工作业绩、资历及能力（由比选申请人自行编写）</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.服务方案（由比选申请人自行编写）；</w:t>
      </w:r>
    </w:p>
    <w:p>
      <w:pPr>
        <w:ind w:right="-21" w:firstLine="420" w:firstLineChars="150"/>
        <w:jc w:val="left"/>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21"/>
        <w:jc w:val="left"/>
        <w:rPr>
          <w:rFonts w:ascii="宋体" w:hAnsi="宋体" w:cs="宋体"/>
          <w:color w:val="auto"/>
          <w:sz w:val="28"/>
          <w:szCs w:val="28"/>
          <w:highlight w:val="none"/>
        </w:rPr>
      </w:pPr>
      <w:bookmarkStart w:id="547" w:name="_Toc30501"/>
      <w:bookmarkStart w:id="548" w:name="_Toc461525332"/>
      <w:bookmarkStart w:id="549" w:name="_Toc6862"/>
    </w:p>
    <w:p>
      <w:pPr>
        <w:pStyle w:val="5"/>
        <w:rPr>
          <w:color w:val="auto"/>
          <w:highlight w:val="none"/>
        </w:rPr>
      </w:pPr>
      <w:bookmarkStart w:id="550" w:name="_Toc27864"/>
      <w:bookmarkStart w:id="551" w:name="_Toc14359"/>
      <w:bookmarkStart w:id="552" w:name="_Toc28309"/>
      <w:bookmarkStart w:id="553" w:name="_Toc24135"/>
      <w:bookmarkStart w:id="554" w:name="_Toc21426"/>
      <w:bookmarkStart w:id="555" w:name="_Toc12801"/>
      <w:bookmarkStart w:id="556" w:name="_Toc5471"/>
      <w:bookmarkStart w:id="557" w:name="_Toc30796"/>
      <w:r>
        <w:rPr>
          <w:rFonts w:hint="eastAsia"/>
          <w:color w:val="auto"/>
          <w:highlight w:val="none"/>
          <w:lang w:val="en-US" w:eastAsia="zh-CN"/>
        </w:rPr>
        <w:t>1</w:t>
      </w:r>
      <w:r>
        <w:rPr>
          <w:rFonts w:hint="eastAsia"/>
          <w:color w:val="auto"/>
          <w:highlight w:val="none"/>
        </w:rPr>
        <w:t>.拟投入人员配置明细表</w:t>
      </w:r>
      <w:bookmarkEnd w:id="550"/>
      <w:bookmarkEnd w:id="551"/>
      <w:bookmarkEnd w:id="552"/>
      <w:bookmarkEnd w:id="553"/>
      <w:bookmarkEnd w:id="554"/>
      <w:bookmarkEnd w:id="555"/>
      <w:bookmarkEnd w:id="556"/>
      <w:bookmarkEnd w:id="557"/>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序号</w:t>
            </w:r>
          </w:p>
        </w:tc>
        <w:tc>
          <w:tcPr>
            <w:tcW w:w="993"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姓名</w:t>
            </w:r>
          </w:p>
        </w:tc>
        <w:tc>
          <w:tcPr>
            <w:tcW w:w="850"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年龄</w:t>
            </w:r>
          </w:p>
        </w:tc>
        <w:tc>
          <w:tcPr>
            <w:tcW w:w="851"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性别</w:t>
            </w:r>
          </w:p>
        </w:tc>
        <w:tc>
          <w:tcPr>
            <w:tcW w:w="90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学历</w:t>
            </w:r>
          </w:p>
        </w:tc>
        <w:tc>
          <w:tcPr>
            <w:tcW w:w="107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专业</w:t>
            </w:r>
          </w:p>
        </w:tc>
        <w:tc>
          <w:tcPr>
            <w:tcW w:w="1323" w:type="dxa"/>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（培训）证书</w:t>
            </w:r>
          </w:p>
        </w:tc>
        <w:tc>
          <w:tcPr>
            <w:tcW w:w="1530" w:type="dxa"/>
          </w:tcPr>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工程监理（服务）工作年限</w:t>
            </w:r>
          </w:p>
        </w:tc>
        <w:tc>
          <w:tcPr>
            <w:tcW w:w="1116"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bl>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547"/>
    <w:bookmarkEnd w:id="548"/>
    <w:bookmarkEnd w:id="549"/>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Style w:val="25"/>
          <w:rFonts w:hint="eastAsia"/>
          <w:color w:val="auto"/>
          <w:highlight w:val="none"/>
          <w:lang w:val="en-US" w:eastAsia="zh-CN"/>
        </w:rPr>
        <w:t>2</w:t>
      </w:r>
      <w:r>
        <w:rPr>
          <w:rStyle w:val="25"/>
          <w:rFonts w:hint="eastAsia"/>
          <w:color w:val="auto"/>
          <w:highlight w:val="none"/>
        </w:rPr>
        <w:t>.拟投入人员的相关工作业绩、资历及能力</w:t>
      </w:r>
    </w:p>
    <w:tbl>
      <w:tblPr>
        <w:tblStyle w:val="14"/>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姓  名</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年 龄</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性别</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hint="eastAsia" w:ascii="宋体" w:hAnsi="宋体" w:eastAsia="宋体"/>
                <w:bCs/>
                <w:color w:val="auto"/>
                <w:sz w:val="24"/>
                <w:highlight w:val="none"/>
                <w:lang w:eastAsia="zh-CN"/>
              </w:rPr>
            </w:pPr>
            <w:r>
              <w:rPr>
                <w:rFonts w:hint="eastAsia" w:ascii="宋体" w:hAnsi="宋体"/>
                <w:bCs/>
                <w:color w:val="auto"/>
                <w:sz w:val="24"/>
                <w:highlight w:val="none"/>
              </w:rPr>
              <w:t>学历（专业</w:t>
            </w:r>
            <w:r>
              <w:rPr>
                <w:rFonts w:hint="eastAsia" w:ascii="宋体" w:hAnsi="宋体"/>
                <w:bCs/>
                <w:color w:val="auto"/>
                <w:sz w:val="24"/>
                <w:highlight w:val="none"/>
                <w:lang w:eastAsia="zh-CN"/>
              </w:rPr>
              <w:t>）</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职  称</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spacing w:line="440" w:lineRule="exact"/>
              <w:jc w:val="center"/>
              <w:rPr>
                <w:rFonts w:hint="eastAsia" w:ascii="宋体" w:hAnsi="宋体" w:eastAsia="宋体"/>
                <w:bCs/>
                <w:color w:val="auto"/>
                <w:sz w:val="24"/>
                <w:highlight w:val="none"/>
                <w:lang w:eastAsia="zh-CN"/>
              </w:rPr>
            </w:pPr>
            <w:r>
              <w:rPr>
                <w:rStyle w:val="15"/>
                <w:rFonts w:hAnsi="宋体" w:eastAsia="宋体" w:cs="Times New Roman"/>
                <w:color w:val="auto"/>
                <w:szCs w:val="21"/>
                <w:highlight w:val="none"/>
              </w:rPr>
              <w:t>（培训）证书</w:t>
            </w:r>
            <w:r>
              <w:rPr>
                <w:rStyle w:val="15"/>
                <w:rFonts w:hint="eastAsia" w:hAnsi="宋体" w:cs="Times New Roman"/>
                <w:color w:val="auto"/>
                <w:szCs w:val="21"/>
                <w:highlight w:val="none"/>
                <w:lang w:eastAsia="zh-CN"/>
              </w:rPr>
              <w:t>（专业、编号）</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拟任职务</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Style w:val="15"/>
                <w:rFonts w:hAnsi="宋体" w:eastAsia="宋体" w:cs="Times New Roman"/>
                <w:color w:val="auto"/>
                <w:szCs w:val="21"/>
                <w:highlight w:val="none"/>
              </w:rPr>
              <w:t>工程监理（服务）工作年限</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时  间</w:t>
            </w:r>
          </w:p>
        </w:tc>
        <w:tc>
          <w:tcPr>
            <w:tcW w:w="7124" w:type="dxa"/>
            <w:gridSpan w:val="3"/>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color w:val="auto"/>
                <w:sz w:val="24"/>
                <w:highlight w:val="none"/>
              </w:rPr>
            </w:pPr>
          </w:p>
        </w:tc>
        <w:tc>
          <w:tcPr>
            <w:tcW w:w="7124" w:type="dxa"/>
            <w:gridSpan w:val="3"/>
          </w:tcPr>
          <w:p>
            <w:pPr>
              <w:spacing w:line="440" w:lineRule="exact"/>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bl>
    <w:p>
      <w:pPr>
        <w:rPr>
          <w:color w:val="auto"/>
          <w:highlight w:val="none"/>
        </w:rPr>
      </w:pPr>
    </w:p>
    <w:p>
      <w:pPr>
        <w:rPr>
          <w:rFonts w:ascii="宋体" w:hAnsi="宋体"/>
          <w:color w:val="auto"/>
          <w:sz w:val="24"/>
          <w:highlight w:val="none"/>
        </w:rPr>
      </w:pPr>
      <w:r>
        <w:rPr>
          <w:rFonts w:hint="eastAsia" w:ascii="宋体" w:hAnsi="宋体"/>
          <w:color w:val="auto"/>
          <w:sz w:val="24"/>
          <w:highlight w:val="none"/>
        </w:rPr>
        <w:t>此表须附学历、职称、资格证复印件、社保等证明材料。</w:t>
      </w:r>
    </w:p>
    <w:p>
      <w:pPr>
        <w:rPr>
          <w:color w:val="auto"/>
          <w:highlight w:val="none"/>
        </w:rPr>
      </w:pPr>
    </w:p>
    <w:p>
      <w:pPr>
        <w:pStyle w:val="27"/>
        <w:bidi w:val="0"/>
        <w:jc w:val="center"/>
        <w:rPr>
          <w:rStyle w:val="15"/>
          <w:rFonts w:hint="eastAsia" w:cs="Times New Roman"/>
          <w:color w:val="auto"/>
          <w:sz w:val="30"/>
          <w:szCs w:val="30"/>
          <w:highlight w:val="none"/>
        </w:rPr>
      </w:pPr>
      <w:bookmarkStart w:id="558" w:name="_Toc392941008"/>
      <w:bookmarkStart w:id="559" w:name="_Toc459567843"/>
      <w:bookmarkStart w:id="560" w:name="_Toc473030536"/>
    </w:p>
    <w:p>
      <w:pPr>
        <w:pStyle w:val="27"/>
        <w:bidi w:val="0"/>
        <w:jc w:val="center"/>
        <w:rPr>
          <w:rStyle w:val="15"/>
          <w:rFonts w:hint="eastAsia" w:cs="Times New Roman"/>
          <w:color w:val="auto"/>
          <w:sz w:val="30"/>
          <w:szCs w:val="30"/>
          <w:highlight w:val="none"/>
        </w:rPr>
      </w:pPr>
    </w:p>
    <w:bookmarkEnd w:id="558"/>
    <w:bookmarkEnd w:id="559"/>
    <w:bookmarkEnd w:id="560"/>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pStyle w:val="5"/>
        <w:rPr>
          <w:rFonts w:hint="eastAsia"/>
          <w:color w:val="auto"/>
          <w:highlight w:val="none"/>
          <w:lang w:val="en-US" w:eastAsia="zh-CN"/>
        </w:rPr>
      </w:pPr>
      <w:bookmarkStart w:id="561" w:name="_Toc29269"/>
      <w:bookmarkStart w:id="562" w:name="_Toc17896"/>
      <w:bookmarkStart w:id="563" w:name="_Toc21725"/>
      <w:bookmarkStart w:id="564" w:name="_Toc17903"/>
      <w:bookmarkStart w:id="565" w:name="_Toc5051"/>
      <w:bookmarkStart w:id="566" w:name="_Toc30924"/>
      <w:bookmarkStart w:id="567" w:name="_Toc597"/>
      <w:bookmarkStart w:id="568" w:name="_Toc28584"/>
    </w:p>
    <w:p>
      <w:pPr>
        <w:pStyle w:val="5"/>
        <w:rPr>
          <w:rFonts w:hint="eastAsia"/>
          <w:color w:val="auto"/>
          <w:highlight w:val="none"/>
          <w:lang w:val="en-US" w:eastAsia="zh-CN"/>
        </w:rPr>
      </w:pPr>
    </w:p>
    <w:p>
      <w:pPr>
        <w:pStyle w:val="5"/>
        <w:spacing w:before="0" w:after="0"/>
        <w:rPr>
          <w:color w:val="auto"/>
          <w:highlight w:val="none"/>
        </w:rPr>
      </w:pPr>
      <w:r>
        <w:rPr>
          <w:rFonts w:hint="eastAsia"/>
          <w:color w:val="auto"/>
          <w:highlight w:val="none"/>
          <w:lang w:val="en-US" w:eastAsia="zh-CN"/>
        </w:rPr>
        <w:t>3</w:t>
      </w:r>
      <w:r>
        <w:rPr>
          <w:rFonts w:hint="eastAsia"/>
          <w:color w:val="auto"/>
          <w:highlight w:val="none"/>
        </w:rPr>
        <w:t>.服务方案（由比选申请人自行编写）</w:t>
      </w:r>
      <w:bookmarkEnd w:id="561"/>
      <w:bookmarkEnd w:id="562"/>
      <w:bookmarkEnd w:id="563"/>
      <w:bookmarkEnd w:id="564"/>
      <w:bookmarkEnd w:id="565"/>
      <w:bookmarkEnd w:id="566"/>
      <w:bookmarkEnd w:id="567"/>
      <w:bookmarkEnd w:id="568"/>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注：主要从服务态度、服务质量、服务响应时间、坐班服务、培训等方面进行阐述。该服务方案将作为合同的附件。</w:t>
      </w: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widowControl/>
        <w:jc w:val="left"/>
        <w:rPr>
          <w:rFonts w:ascii="宋体" w:hAnsi="宋体" w:cs="宋体"/>
          <w:i/>
          <w:color w:val="auto"/>
          <w:sz w:val="28"/>
          <w:szCs w:val="28"/>
          <w:highlight w:val="none"/>
        </w:rPr>
      </w:pPr>
      <w:r>
        <w:rPr>
          <w:rFonts w:ascii="宋体" w:hAnsi="宋体" w:cs="宋体"/>
          <w:i/>
          <w:color w:val="auto"/>
          <w:sz w:val="28"/>
          <w:szCs w:val="28"/>
          <w:highlight w:val="none"/>
        </w:rPr>
        <w:br w:type="page"/>
      </w:r>
    </w:p>
    <w:p>
      <w:pPr>
        <w:ind w:firstLine="420" w:firstLineChars="150"/>
        <w:rPr>
          <w:rFonts w:ascii="宋体" w:hAnsi="宋体" w:cs="宋体"/>
          <w:i/>
          <w:color w:val="auto"/>
          <w:sz w:val="28"/>
          <w:szCs w:val="28"/>
          <w:highlight w:val="none"/>
        </w:rPr>
      </w:pPr>
    </w:p>
    <w:p>
      <w:pPr>
        <w:ind w:firstLine="420" w:firstLineChars="150"/>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项目比选申请文件</w:t>
      </w:r>
    </w:p>
    <w:p>
      <w:pPr>
        <w:pStyle w:val="13"/>
        <w:jc w:val="center"/>
        <w:rPr>
          <w:color w:val="auto"/>
          <w:highlight w:val="none"/>
        </w:rPr>
      </w:pPr>
      <w:bookmarkStart w:id="569" w:name="_Toc461525327"/>
      <w:bookmarkStart w:id="570" w:name="_Toc15573"/>
      <w:bookmarkStart w:id="571" w:name="_Toc3278"/>
      <w:bookmarkStart w:id="572" w:name="_Toc10925"/>
      <w:bookmarkStart w:id="573" w:name="_Toc27059"/>
      <w:bookmarkStart w:id="574" w:name="_Toc196"/>
      <w:bookmarkStart w:id="575" w:name="_Toc20460"/>
      <w:bookmarkStart w:id="576" w:name="_Toc3587"/>
      <w:bookmarkStart w:id="577" w:name="_Toc21287"/>
      <w:r>
        <w:rPr>
          <w:b w:val="0"/>
          <w:bCs w:val="0"/>
          <w:color w:val="auto"/>
          <w:sz w:val="28"/>
          <w:szCs w:val="28"/>
          <w:highlight w:val="none"/>
        </w:rPr>
        <w:t>商务部分</w:t>
      </w:r>
      <w:bookmarkEnd w:id="569"/>
      <w:bookmarkEnd w:id="570"/>
      <w:bookmarkEnd w:id="571"/>
      <w:bookmarkEnd w:id="572"/>
      <w:bookmarkEnd w:id="573"/>
      <w:bookmarkEnd w:id="574"/>
      <w:bookmarkEnd w:id="575"/>
      <w:bookmarkEnd w:id="576"/>
      <w:bookmarkEnd w:id="577"/>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bookmarkStart w:id="578"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578"/>
    <w:p>
      <w:pPr>
        <w:ind w:right="753"/>
        <w:jc w:val="left"/>
        <w:rPr>
          <w:rFonts w:ascii="宋体" w:hAnsi="宋体" w:cs="宋体"/>
          <w:color w:val="auto"/>
          <w:sz w:val="28"/>
          <w:szCs w:val="28"/>
          <w:highlight w:val="none"/>
        </w:rPr>
      </w:pPr>
      <w:bookmarkStart w:id="579" w:name="_Toc333307134"/>
      <w:r>
        <w:rPr>
          <w:rFonts w:hint="eastAsia" w:ascii="宋体" w:hAnsi="宋体" w:cs="宋体"/>
          <w:color w:val="auto"/>
          <w:sz w:val="28"/>
          <w:szCs w:val="28"/>
          <w:highlight w:val="none"/>
        </w:rPr>
        <w:t xml:space="preserve">     年    </w:t>
      </w:r>
      <w:bookmarkEnd w:id="579"/>
      <w:r>
        <w:rPr>
          <w:rFonts w:hint="eastAsia" w:ascii="宋体" w:hAnsi="宋体" w:cs="宋体"/>
          <w:color w:val="auto"/>
          <w:sz w:val="28"/>
          <w:szCs w:val="28"/>
          <w:highlight w:val="none"/>
        </w:rPr>
        <w:t>月</w:t>
      </w:r>
      <w:bookmarkStart w:id="580" w:name="_Toc333307135"/>
      <w:r>
        <w:rPr>
          <w:rFonts w:hint="eastAsia"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81" w:name="_Toc471482372"/>
      <w:bookmarkStart w:id="582" w:name="_Toc5616"/>
      <w:bookmarkStart w:id="583" w:name="_Toc30879"/>
      <w:bookmarkStart w:id="584" w:name="_Toc17346"/>
      <w:bookmarkStart w:id="585" w:name="_Toc4589"/>
      <w:bookmarkStart w:id="586" w:name="_Toc1794"/>
      <w:bookmarkStart w:id="587" w:name="_Toc24524"/>
      <w:bookmarkStart w:id="588" w:name="_Toc461525328"/>
      <w:bookmarkStart w:id="589" w:name="_Toc24408"/>
      <w:bookmarkStart w:id="590" w:name="_Toc4901"/>
      <w:bookmarkStart w:id="591" w:name="_Toc28212"/>
      <w:bookmarkStart w:id="592" w:name="_Toc7630"/>
      <w:bookmarkStart w:id="593" w:name="_Toc7127"/>
      <w:bookmarkStart w:id="594" w:name="_Toc16542"/>
      <w:bookmarkStart w:id="595" w:name="_Toc29739"/>
      <w:bookmarkStart w:id="596" w:name="_Toc2010"/>
      <w:bookmarkStart w:id="597" w:name="_Toc18267"/>
      <w:bookmarkStart w:id="598" w:name="_Toc21835"/>
      <w:bookmarkStart w:id="599" w:name="_Toc21818"/>
      <w:bookmarkStart w:id="600" w:name="_Toc11015"/>
      <w:r>
        <w:rPr>
          <w:rFonts w:hint="eastAsia"/>
          <w:b/>
          <w:color w:val="auto"/>
          <w:highlight w:val="none"/>
        </w:rPr>
        <w:t>三、商务部分材料目录</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0"/>
    <w:p>
      <w:pPr>
        <w:ind w:right="753"/>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1.报价表；</w:t>
      </w:r>
    </w:p>
    <w:p>
      <w:pPr>
        <w:ind w:right="753"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.业绩表；</w:t>
      </w:r>
    </w:p>
    <w:p>
      <w:pPr>
        <w:ind w:right="753"/>
        <w:jc w:val="left"/>
        <w:rPr>
          <w:rFonts w:hint="eastAsia"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numPr>
          <w:ilvl w:val="0"/>
          <w:numId w:val="6"/>
        </w:numPr>
        <w:rPr>
          <w:rFonts w:hint="eastAsia"/>
          <w:color w:val="auto"/>
          <w:highlight w:val="none"/>
        </w:rPr>
      </w:pPr>
      <w:bookmarkStart w:id="601" w:name="_Toc1148"/>
      <w:bookmarkStart w:id="602" w:name="_Toc26609"/>
      <w:bookmarkStart w:id="603" w:name="_Toc6408"/>
      <w:bookmarkStart w:id="604" w:name="_Toc9748"/>
      <w:bookmarkStart w:id="605" w:name="_Toc29844"/>
      <w:bookmarkStart w:id="606" w:name="_Toc25214"/>
      <w:bookmarkStart w:id="607" w:name="_Toc25896"/>
      <w:bookmarkStart w:id="608" w:name="_Toc461525330"/>
      <w:bookmarkStart w:id="609" w:name="_Toc20415"/>
      <w:bookmarkStart w:id="610" w:name="_Toc17958"/>
      <w:bookmarkStart w:id="611" w:name="_Toc29457"/>
      <w:bookmarkStart w:id="612" w:name="_Toc3569"/>
      <w:r>
        <w:rPr>
          <w:rFonts w:hint="eastAsia"/>
          <w:color w:val="auto"/>
          <w:highlight w:val="none"/>
        </w:rPr>
        <w:t>报价表</w:t>
      </w:r>
      <w:bookmarkEnd w:id="601"/>
      <w:bookmarkEnd w:id="602"/>
      <w:r>
        <w:rPr>
          <w:rFonts w:hint="eastAsia"/>
          <w:color w:val="auto"/>
          <w:highlight w:val="none"/>
        </w:rPr>
        <w:t>（格式）</w:t>
      </w:r>
      <w:bookmarkEnd w:id="603"/>
      <w:bookmarkEnd w:id="604"/>
      <w:bookmarkEnd w:id="605"/>
      <w:bookmarkEnd w:id="606"/>
      <w:bookmarkEnd w:id="607"/>
      <w:bookmarkEnd w:id="608"/>
      <w:bookmarkEnd w:id="609"/>
      <w:bookmarkEnd w:id="610"/>
      <w:bookmarkEnd w:id="611"/>
      <w:bookmarkEnd w:id="612"/>
    </w:p>
    <w:tbl>
      <w:tblPr>
        <w:tblStyle w:val="1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214"/>
        <w:gridCol w:w="216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08"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214"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160" w:type="dxa"/>
            <w:vAlign w:val="center"/>
          </w:tcPr>
          <w:p>
            <w:pPr>
              <w:ind w:right="753"/>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报价</w:t>
            </w:r>
          </w:p>
        </w:tc>
        <w:tc>
          <w:tcPr>
            <w:tcW w:w="2633"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108" w:type="dxa"/>
            <w:vMerge w:val="restart"/>
            <w:vAlign w:val="center"/>
          </w:tcPr>
          <w:p>
            <w:pPr>
              <w:ind w:right="753"/>
              <w:jc w:val="center"/>
              <w:rPr>
                <w:rFonts w:ascii="宋体" w:hAnsi="宋体" w:eastAsia="宋体" w:cs="宋体"/>
                <w:color w:val="auto"/>
                <w:szCs w:val="21"/>
                <w:highlight w:val="none"/>
              </w:rPr>
            </w:pPr>
            <w:r>
              <w:rPr>
                <w:rFonts w:hint="eastAsia" w:ascii="宋体" w:hAnsi="宋体" w:cs="宋体"/>
                <w:color w:val="auto"/>
                <w:szCs w:val="21"/>
                <w:highlight w:val="none"/>
                <w:lang w:val="zh-CN" w:eastAsia="zh-CN"/>
              </w:rPr>
              <w:t>南宁火车北站东广场整理工程</w:t>
            </w:r>
            <w:r>
              <w:rPr>
                <w:rFonts w:hint="eastAsia" w:ascii="宋体" w:hAnsi="宋体" w:cs="宋体"/>
                <w:color w:val="auto"/>
                <w:szCs w:val="21"/>
                <w:highlight w:val="none"/>
                <w:lang w:val="en-US" w:eastAsia="zh-CN"/>
              </w:rPr>
              <w:t>监理项</w:t>
            </w:r>
            <w:r>
              <w:rPr>
                <w:rFonts w:hint="eastAsia" w:ascii="宋体" w:hAnsi="宋体" w:eastAsia="宋体" w:cs="宋体"/>
                <w:color w:val="auto"/>
                <w:szCs w:val="21"/>
                <w:highlight w:val="none"/>
              </w:rPr>
              <w:t>目</w:t>
            </w:r>
          </w:p>
        </w:tc>
        <w:tc>
          <w:tcPr>
            <w:tcW w:w="2214" w:type="dxa"/>
            <w:vAlign w:val="center"/>
          </w:tcPr>
          <w:p>
            <w:pPr>
              <w:numPr>
                <w:ilvl w:val="0"/>
                <w:numId w:val="7"/>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1"/>
                <w:numId w:val="0"/>
              </w:numPr>
              <w:ind w:right="753"/>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单位：元</w:t>
            </w:r>
            <w:r>
              <w:rPr>
                <w:rFonts w:hint="eastAsia" w:ascii="宋体" w:hAnsi="宋体" w:eastAsia="宋体" w:cs="宋体"/>
                <w:color w:val="auto"/>
                <w:szCs w:val="21"/>
                <w:highlight w:val="none"/>
                <w:lang w:eastAsia="zh-CN"/>
              </w:rPr>
              <w:t>）</w:t>
            </w:r>
          </w:p>
        </w:tc>
        <w:tc>
          <w:tcPr>
            <w:tcW w:w="2160" w:type="dxa"/>
            <w:vAlign w:val="center"/>
          </w:tcPr>
          <w:p>
            <w:pPr>
              <w:ind w:right="753"/>
              <w:jc w:val="center"/>
              <w:rPr>
                <w:rFonts w:hint="eastAsia" w:ascii="宋体" w:hAnsi="宋体" w:eastAsia="宋体" w:cs="宋体"/>
                <w:color w:val="auto"/>
                <w:szCs w:val="21"/>
                <w:highlight w:val="none"/>
              </w:rPr>
            </w:pPr>
          </w:p>
        </w:tc>
        <w:tc>
          <w:tcPr>
            <w:tcW w:w="2633" w:type="dxa"/>
            <w:vMerge w:val="restart"/>
            <w:vAlign w:val="center"/>
          </w:tcPr>
          <w:p>
            <w:pPr>
              <w:ind w:right="753"/>
              <w:jc w:val="center"/>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）监理服务费</w:t>
            </w:r>
            <w:r>
              <w:rPr>
                <w:rFonts w:hint="eastAsia"/>
                <w:color w:val="auto"/>
                <w:highlight w:val="none"/>
              </w:rPr>
              <w:t>=</w:t>
            </w:r>
            <w:r>
              <w:rPr>
                <w:rFonts w:hint="eastAsia"/>
                <w:color w:val="auto"/>
                <w:highlight w:val="none"/>
                <w:lang w:val="en-US" w:eastAsia="zh-CN"/>
              </w:rPr>
              <w:t>上限控制价</w:t>
            </w:r>
            <w:r>
              <w:rPr>
                <w:rFonts w:hint="eastAsia"/>
                <w:color w:val="auto"/>
                <w:highlight w:val="none"/>
              </w:rPr>
              <w:t>×（1—</w:t>
            </w:r>
            <w:r>
              <w:rPr>
                <w:rFonts w:hint="eastAsia"/>
                <w:color w:val="auto"/>
                <w:highlight w:val="none"/>
                <w:lang w:val="en-US" w:eastAsia="zh-CN"/>
              </w:rPr>
              <w:t>下浮</w:t>
            </w:r>
            <w:r>
              <w:rPr>
                <w:rFonts w:hint="eastAsia"/>
                <w:color w:val="auto"/>
                <w:highlight w:val="none"/>
              </w:rPr>
              <w:t>系数）</w:t>
            </w:r>
          </w:p>
          <w:p>
            <w:pPr>
              <w:pStyle w:val="2"/>
              <w:rPr>
                <w:rFonts w:hint="default" w:eastAsiaTheme="minorEastAsia"/>
                <w:color w:val="auto"/>
                <w:highlight w:val="none"/>
                <w:lang w:val="en-US" w:eastAsia="zh-CN"/>
              </w:rPr>
            </w:pPr>
            <w:r>
              <w:rPr>
                <w:rFonts w:hint="eastAsia" w:hAnsi="宋体"/>
                <w:color w:val="auto"/>
                <w:highlight w:val="none"/>
                <w:lang w:val="en-US" w:eastAsia="zh-CN"/>
              </w:rPr>
              <w:t>（2）下浮系数：</w:t>
            </w:r>
            <w:r>
              <w:rPr>
                <w:rFonts w:hint="eastAsia" w:hAnsi="宋体"/>
                <w:color w:val="auto"/>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ind w:right="753"/>
              <w:jc w:val="center"/>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税率（单位：%）</w:t>
            </w:r>
          </w:p>
        </w:tc>
        <w:tc>
          <w:tcPr>
            <w:tcW w:w="2160" w:type="dxa"/>
            <w:vAlign w:val="center"/>
          </w:tcPr>
          <w:p>
            <w:pPr>
              <w:ind w:right="753"/>
              <w:jc w:val="center"/>
              <w:rPr>
                <w:rFonts w:hint="eastAsia" w:ascii="宋体" w:hAnsi="宋体" w:eastAsia="宋体" w:cs="宋体"/>
                <w:color w:val="auto"/>
                <w:szCs w:val="21"/>
                <w:highlight w:val="none"/>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numPr>
                <w:ilvl w:val="0"/>
                <w:numId w:val="8"/>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1"/>
                <w:numId w:val="0"/>
              </w:numPr>
              <w:ind w:right="753"/>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单位：元</w:t>
            </w:r>
            <w:r>
              <w:rPr>
                <w:rFonts w:hint="eastAsia" w:ascii="宋体" w:hAnsi="宋体" w:eastAsia="宋体" w:cs="宋体"/>
                <w:color w:val="auto"/>
                <w:szCs w:val="21"/>
                <w:highlight w:val="none"/>
                <w:lang w:eastAsia="zh-CN"/>
              </w:rPr>
              <w:t>）</w:t>
            </w:r>
          </w:p>
        </w:tc>
        <w:tc>
          <w:tcPr>
            <w:tcW w:w="2160" w:type="dxa"/>
            <w:vAlign w:val="center"/>
          </w:tcPr>
          <w:p>
            <w:pPr>
              <w:ind w:right="753"/>
              <w:jc w:val="center"/>
              <w:rPr>
                <w:rFonts w:hint="eastAsia" w:ascii="宋体" w:hAnsi="宋体" w:eastAsia="宋体" w:cs="宋体"/>
                <w:color w:val="auto"/>
                <w:szCs w:val="21"/>
                <w:highlight w:val="none"/>
                <w:lang w:val="en-US" w:eastAsia="zh-CN"/>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108"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214" w:type="dxa"/>
            <w:tcBorders>
              <w:bottom w:val="single" w:color="auto" w:sz="4" w:space="0"/>
            </w:tcBorders>
            <w:vAlign w:val="center"/>
          </w:tcPr>
          <w:p>
            <w:pPr>
              <w:numPr>
                <w:ilvl w:val="-1"/>
                <w:numId w:val="0"/>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含税总报价（=1+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p>
          <w:p>
            <w:pPr>
              <w:numPr>
                <w:ilvl w:val="-1"/>
                <w:numId w:val="0"/>
              </w:numPr>
              <w:ind w:right="753"/>
              <w:jc w:val="center"/>
              <w:rPr>
                <w:rFonts w:hint="default"/>
                <w:color w:val="auto"/>
                <w:highlight w:val="none"/>
                <w:lang w:val="en-US" w:eastAsia="zh-CN"/>
              </w:rPr>
            </w:pPr>
            <w:r>
              <w:rPr>
                <w:rFonts w:hint="eastAsia" w:ascii="宋体" w:hAnsi="宋体" w:eastAsia="宋体" w:cs="宋体"/>
                <w:color w:val="auto"/>
                <w:szCs w:val="21"/>
                <w:highlight w:val="none"/>
                <w:lang w:val="en-US" w:eastAsia="zh-CN"/>
              </w:rPr>
              <w:t>（单位：元）</w:t>
            </w:r>
          </w:p>
        </w:tc>
        <w:tc>
          <w:tcPr>
            <w:tcW w:w="2160" w:type="dxa"/>
            <w:tcBorders>
              <w:bottom w:val="single" w:color="auto" w:sz="4" w:space="0"/>
            </w:tcBorders>
            <w:vAlign w:val="center"/>
          </w:tcPr>
          <w:p>
            <w:pPr>
              <w:ind w:right="753"/>
              <w:jc w:val="center"/>
              <w:rPr>
                <w:rFonts w:hint="default" w:ascii="宋体" w:hAnsi="宋体" w:eastAsia="宋体" w:cs="宋体"/>
                <w:color w:val="auto"/>
                <w:szCs w:val="21"/>
                <w:highlight w:val="none"/>
                <w:lang w:val="en-US"/>
              </w:rPr>
            </w:pPr>
          </w:p>
        </w:tc>
        <w:tc>
          <w:tcPr>
            <w:tcW w:w="2633"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注：上述报价以“元”为单位，保留到小数点后2位</w:t>
      </w:r>
      <w:r>
        <w:rPr>
          <w:rFonts w:hint="eastAsia" w:ascii="宋体" w:hAnsi="宋体" w:eastAsia="宋体" w:cs="宋体"/>
          <w:color w:val="auto"/>
          <w:sz w:val="28"/>
          <w:szCs w:val="28"/>
          <w:highlight w:val="none"/>
          <w:lang w:eastAsia="zh-CN"/>
        </w:rPr>
        <w:t>。</w:t>
      </w:r>
    </w:p>
    <w:p>
      <w:pPr>
        <w:ind w:right="753"/>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比</w:t>
      </w:r>
      <w:r>
        <w:rPr>
          <w:rFonts w:hint="eastAsia" w:ascii="宋体" w:hAnsi="宋体" w:eastAsia="宋体" w:cs="宋体"/>
          <w:color w:val="auto"/>
          <w:sz w:val="28"/>
          <w:szCs w:val="28"/>
          <w:highlight w:val="none"/>
        </w:rPr>
        <w:t xml:space="preserve">选申请人（公章）                                </w:t>
      </w: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法定代表人或其委托代理人签名（或盖章）：</w:t>
      </w:r>
    </w:p>
    <w:p>
      <w:pPr>
        <w:spacing w:line="360" w:lineRule="auto"/>
        <w:ind w:right="565" w:rightChars="269"/>
        <w:jc w:val="left"/>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5"/>
        <w:rPr>
          <w:color w:val="auto"/>
          <w:highlight w:val="none"/>
        </w:rPr>
      </w:pPr>
      <w:r>
        <w:rPr>
          <w:rFonts w:hint="eastAsia"/>
          <w:color w:val="auto"/>
          <w:highlight w:val="none"/>
          <w:lang w:val="en-US" w:eastAsia="zh-CN"/>
        </w:rPr>
        <w:t>2</w:t>
      </w:r>
      <w:r>
        <w:rPr>
          <w:rFonts w:hint="eastAsia"/>
          <w:color w:val="auto"/>
          <w:highlight w:val="none"/>
        </w:rPr>
        <w:t>.业绩表</w:t>
      </w:r>
    </w:p>
    <w:tbl>
      <w:tblPr>
        <w:tblStyle w:val="14"/>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ind w:firstLine="420"/>
        <w:rPr>
          <w:rFonts w:ascii="宋体" w:hAnsi="宋体"/>
          <w:color w:val="auto"/>
          <w:sz w:val="24"/>
          <w:highlight w:val="none"/>
        </w:rPr>
      </w:pPr>
      <w:r>
        <w:rPr>
          <w:rFonts w:hint="eastAsia" w:ascii="宋体" w:hAnsi="宋体"/>
          <w:color w:val="auto"/>
          <w:sz w:val="24"/>
          <w:highlight w:val="none"/>
        </w:rPr>
        <w:t>注：1、业绩表是指   年   月  日至   年  月  日期间，对与本项目相关或相近的服务经验。</w:t>
      </w:r>
    </w:p>
    <w:p>
      <w:pPr>
        <w:ind w:firstLine="420"/>
        <w:rPr>
          <w:rFonts w:ascii="宋体" w:hAnsi="宋体"/>
          <w:color w:val="auto"/>
          <w:sz w:val="24"/>
          <w:highlight w:val="none"/>
        </w:rPr>
      </w:pPr>
      <w:r>
        <w:rPr>
          <w:rFonts w:hint="eastAsia" w:ascii="宋体" w:hAnsi="宋体"/>
          <w:color w:val="auto"/>
          <w:sz w:val="24"/>
          <w:highlight w:val="none"/>
        </w:rPr>
        <w:t>2、此表须附相应合同复印件（必须</w:t>
      </w:r>
      <w:r>
        <w:rPr>
          <w:rFonts w:hint="eastAsia" w:ascii="宋体" w:hAnsi="宋体" w:cs="宋体"/>
          <w:color w:val="auto"/>
          <w:sz w:val="24"/>
          <w:highlight w:val="none"/>
        </w:rPr>
        <w:t>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kern w:val="0"/>
          <w:sz w:val="24"/>
          <w:highlight w:val="none"/>
        </w:rPr>
        <w:t>，涉及商业秘密的内容可以隐去</w:t>
      </w:r>
      <w:r>
        <w:rPr>
          <w:rFonts w:hint="eastAsia" w:ascii="宋体" w:hAnsi="宋体"/>
          <w:color w:val="auto"/>
          <w:sz w:val="24"/>
          <w:highlight w:val="none"/>
        </w:rPr>
        <w:t>）</w:t>
      </w:r>
      <w:r>
        <w:rPr>
          <w:rFonts w:hint="eastAsia" w:ascii="宋体" w:hAnsi="宋体"/>
          <w:color w:val="auto"/>
          <w:sz w:val="24"/>
          <w:szCs w:val="28"/>
          <w:highlight w:val="none"/>
        </w:rPr>
        <w:t>证明材料</w:t>
      </w:r>
      <w:r>
        <w:rPr>
          <w:rFonts w:hint="eastAsia" w:ascii="宋体" w:hAnsi="宋体"/>
          <w:color w:val="auto"/>
          <w:sz w:val="24"/>
          <w:highlight w:val="none"/>
        </w:rPr>
        <w:t>。</w:t>
      </w:r>
      <w:r>
        <w:rPr>
          <w:rFonts w:hint="eastAsia" w:ascii="宋体" w:hAnsi="宋体"/>
          <w:color w:val="auto"/>
          <w:sz w:val="24"/>
          <w:szCs w:val="28"/>
          <w:highlight w:val="none"/>
        </w:rPr>
        <w:t>未附证明材料的项目视为无效。</w:t>
      </w:r>
    </w:p>
    <w:p>
      <w:pPr>
        <w:ind w:right="-21"/>
        <w:jc w:val="left"/>
        <w:rPr>
          <w:rFonts w:ascii="宋体" w:hAnsi="宋体" w:cs="宋体"/>
          <w:color w:val="auto"/>
          <w:sz w:val="28"/>
          <w:szCs w:val="28"/>
          <w:highlight w:val="none"/>
        </w:rPr>
      </w:pPr>
    </w:p>
    <w:p>
      <w:pPr>
        <w:jc w:val="center"/>
        <w:rPr>
          <w:rFonts w:hint="eastAsia"/>
          <w:b/>
          <w:bCs/>
          <w:color w:val="auto"/>
          <w:sz w:val="32"/>
          <w:szCs w:val="32"/>
          <w:highlight w:val="none"/>
        </w:rPr>
      </w:pPr>
    </w:p>
    <w:p>
      <w:pPr>
        <w:rPr>
          <w:rFonts w:hint="eastAsia"/>
          <w:color w:val="auto"/>
          <w:highlight w:val="none"/>
        </w:rPr>
      </w:pPr>
    </w:p>
    <w:p>
      <w:pPr>
        <w:pStyle w:val="18"/>
        <w:adjustRightInd w:val="0"/>
        <w:snapToGrid w:val="0"/>
        <w:spacing w:line="360" w:lineRule="auto"/>
        <w:ind w:right="-126" w:rightChars="-60" w:firstLine="415" w:firstLineChars="198"/>
        <w:rPr>
          <w:color w:val="auto"/>
          <w:szCs w:val="21"/>
          <w:highlight w:val="none"/>
          <w:u w:val="single"/>
        </w:rPr>
      </w:pPr>
    </w:p>
    <w:bookmarkEnd w:id="267"/>
    <w:p>
      <w:pPr>
        <w:rPr>
          <w:color w:val="auto"/>
          <w:sz w:val="20"/>
          <w:szCs w:val="21"/>
          <w:highlight w:val="none"/>
          <w:u w:val="single"/>
        </w:rPr>
      </w:pPr>
    </w:p>
    <w:p>
      <w:pPr>
        <w:spacing w:line="420" w:lineRule="exact"/>
        <w:jc w:val="center"/>
        <w:rPr>
          <w:color w:val="auto"/>
          <w:highlight w:val="none"/>
        </w:rPr>
      </w:pPr>
    </w:p>
    <w:p>
      <w:pPr>
        <w:spacing w:line="420" w:lineRule="exact"/>
        <w:jc w:val="center"/>
        <w:rPr>
          <w:color w:val="auto"/>
          <w:highlight w:val="none"/>
        </w:rPr>
      </w:pPr>
    </w:p>
    <w:p>
      <w:pPr>
        <w:pStyle w:val="4"/>
        <w:jc w:val="center"/>
        <w:rPr>
          <w:rFonts w:hint="eastAsia"/>
          <w:color w:val="auto"/>
          <w:highlight w:val="none"/>
        </w:rPr>
      </w:pPr>
    </w:p>
    <w:p>
      <w:pPr>
        <w:pStyle w:val="3"/>
        <w:rPr>
          <w:color w:val="auto"/>
          <w:highlight w:val="none"/>
        </w:rPr>
      </w:pPr>
      <w:bookmarkStart w:id="613" w:name="_Toc20703"/>
      <w:bookmarkStart w:id="614" w:name="_Toc25576"/>
      <w:bookmarkStart w:id="615" w:name="_Toc27696"/>
      <w:bookmarkStart w:id="616" w:name="_Toc19609"/>
      <w:bookmarkStart w:id="617" w:name="_Toc23422"/>
      <w:bookmarkStart w:id="618" w:name="_Toc18782"/>
      <w:bookmarkStart w:id="619" w:name="_Toc471482373"/>
      <w:bookmarkStart w:id="620" w:name="_Toc8362"/>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bookmarkEnd w:id="613"/>
      <w:bookmarkEnd w:id="614"/>
      <w:bookmarkEnd w:id="615"/>
      <w:bookmarkEnd w:id="616"/>
      <w:bookmarkEnd w:id="617"/>
      <w:bookmarkEnd w:id="618"/>
      <w:bookmarkEnd w:id="619"/>
      <w:bookmarkEnd w:id="620"/>
    </w:p>
    <w:p>
      <w:pPr>
        <w:pStyle w:val="4"/>
        <w:rPr>
          <w:color w:val="auto"/>
          <w:highlight w:val="none"/>
        </w:rPr>
      </w:pPr>
      <w:bookmarkStart w:id="621" w:name="_Toc17031"/>
      <w:bookmarkStart w:id="622" w:name="_Toc31412"/>
      <w:bookmarkStart w:id="623" w:name="_Toc3233"/>
      <w:bookmarkStart w:id="624" w:name="_Toc28938"/>
      <w:bookmarkStart w:id="625" w:name="_Toc2996"/>
      <w:bookmarkStart w:id="626" w:name="_Toc7201"/>
      <w:bookmarkStart w:id="627" w:name="_Toc2433"/>
      <w:bookmarkStart w:id="628" w:name="_Toc16236"/>
      <w:bookmarkStart w:id="629" w:name="_Toc3898"/>
      <w:bookmarkStart w:id="630" w:name="_Toc10015"/>
      <w:bookmarkStart w:id="631" w:name="_Toc9699"/>
      <w:bookmarkStart w:id="632" w:name="_Toc17632"/>
      <w:bookmarkStart w:id="633" w:name="_Toc17107"/>
      <w:bookmarkStart w:id="634" w:name="_Toc471482374"/>
      <w:bookmarkStart w:id="635" w:name="_Toc10281"/>
      <w:bookmarkStart w:id="636" w:name="_Toc13157"/>
      <w:bookmarkStart w:id="637" w:name="_Toc25239"/>
      <w:r>
        <w:rPr>
          <w:rFonts w:hint="eastAsia"/>
          <w:color w:val="auto"/>
          <w:highlight w:val="none"/>
        </w:rPr>
        <w:t>一、综合评分办法</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（1）如果数字表示的金额和用文字表示的金额不一致时，应以文字表示的金额为准；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（2）当单价与数量的乘积与合价不一致时，以合价为准，并调整单价；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（3）当合价与报价总价不一致时，以报价总价为准，调整相关合价；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（4）评审期间，比选评审小组不接受任何比选申请人主动提出的对报价及单价、合价的调整；</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（5）其它未尽事宜，由评审小组审议确定(如意见不一致时，以记名方式投票确定)。</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highlight w:val="none"/>
        </w:rPr>
      </w:pPr>
      <w:bookmarkStart w:id="638" w:name="_Toc15054"/>
      <w:bookmarkStart w:id="639" w:name="_Toc21005"/>
      <w:bookmarkStart w:id="640" w:name="_Toc30979"/>
      <w:bookmarkStart w:id="641" w:name="_Toc14401"/>
      <w:bookmarkStart w:id="642" w:name="_Toc6388"/>
      <w:bookmarkStart w:id="643" w:name="_Toc10860"/>
      <w:bookmarkStart w:id="644" w:name="_Toc5576"/>
      <w:bookmarkStart w:id="645" w:name="_Toc471482375"/>
      <w:bookmarkStart w:id="646" w:name="_Toc7245"/>
      <w:bookmarkStart w:id="647" w:name="_Toc5579"/>
      <w:bookmarkStart w:id="648" w:name="_Toc31578"/>
      <w:bookmarkStart w:id="649" w:name="_Toc20237"/>
      <w:bookmarkStart w:id="650" w:name="_Toc26057"/>
      <w:bookmarkStart w:id="651" w:name="_Toc28435"/>
      <w:bookmarkStart w:id="652" w:name="_Toc12579"/>
      <w:bookmarkStart w:id="653" w:name="_Toc29182"/>
      <w:bookmarkStart w:id="654" w:name="_Toc29031"/>
      <w:r>
        <w:rPr>
          <w:rFonts w:hint="eastAsia"/>
          <w:color w:val="auto"/>
          <w:highlight w:val="none"/>
        </w:rPr>
        <w:t>二、总分计算公式</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总分即比选申请人评分综合得分，其计算公式：</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总分＝商务部分得分+技术部分得分</w:t>
      </w:r>
    </w:p>
    <w:p>
      <w:pPr>
        <w:ind w:right="753"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注：各项指标的分数计算四舍五入，取小数点后两位。</w:t>
      </w:r>
    </w:p>
    <w:p>
      <w:pPr>
        <w:pStyle w:val="4"/>
        <w:rPr>
          <w:color w:val="auto"/>
          <w:highlight w:val="none"/>
        </w:rPr>
      </w:pPr>
      <w:bookmarkStart w:id="655" w:name="_Toc23087"/>
      <w:bookmarkStart w:id="656" w:name="_Toc31364"/>
      <w:bookmarkStart w:id="657" w:name="_Toc10918"/>
      <w:bookmarkStart w:id="658" w:name="_Toc32296"/>
      <w:bookmarkStart w:id="659" w:name="_Toc9696"/>
      <w:bookmarkStart w:id="660" w:name="_Toc6470"/>
      <w:bookmarkStart w:id="661" w:name="_Toc18027"/>
      <w:bookmarkStart w:id="662" w:name="_Toc8001"/>
      <w:bookmarkStart w:id="663" w:name="_Toc28207"/>
      <w:bookmarkStart w:id="664" w:name="_Toc2392"/>
      <w:bookmarkStart w:id="665" w:name="_Toc4749"/>
      <w:bookmarkStart w:id="666" w:name="_Toc12777"/>
      <w:bookmarkStart w:id="667" w:name="_Toc13406"/>
      <w:bookmarkStart w:id="668" w:name="_Toc26842"/>
      <w:bookmarkStart w:id="669" w:name="_Toc471482376"/>
      <w:bookmarkStart w:id="670" w:name="_Toc31522"/>
      <w:bookmarkStart w:id="671" w:name="_Toc31078"/>
      <w:r>
        <w:rPr>
          <w:rFonts w:hint="eastAsia"/>
          <w:color w:val="auto"/>
          <w:highlight w:val="none"/>
        </w:rPr>
        <w:t>三、评分细则</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2"/>
        <w:rPr>
          <w:rFonts w:hint="eastAsia"/>
          <w:color w:val="auto"/>
          <w:sz w:val="28"/>
          <w:szCs w:val="28"/>
          <w:highlight w:val="none"/>
        </w:rPr>
      </w:pPr>
      <w:bookmarkStart w:id="672" w:name="_Toc18752"/>
      <w:bookmarkStart w:id="673" w:name="_Toc15382"/>
      <w:bookmarkStart w:id="674" w:name="_Toc1358"/>
      <w:r>
        <w:rPr>
          <w:rFonts w:hint="eastAsia"/>
          <w:color w:val="auto"/>
          <w:sz w:val="28"/>
          <w:szCs w:val="28"/>
          <w:highlight w:val="none"/>
        </w:rPr>
        <w:t>1.商务部分评分细则（满分</w:t>
      </w:r>
      <w:r>
        <w:rPr>
          <w:rFonts w:hint="eastAsia"/>
          <w:color w:val="auto"/>
          <w:sz w:val="28"/>
          <w:szCs w:val="28"/>
          <w:highlight w:val="none"/>
          <w:lang w:val="en-US" w:eastAsia="zh-CN"/>
        </w:rPr>
        <w:t>3</w:t>
      </w:r>
      <w:r>
        <w:rPr>
          <w:rFonts w:hint="eastAsia"/>
          <w:color w:val="auto"/>
          <w:sz w:val="28"/>
          <w:szCs w:val="28"/>
          <w:highlight w:val="none"/>
        </w:rPr>
        <w:t>0分）</w:t>
      </w:r>
      <w:bookmarkEnd w:id="672"/>
      <w:bookmarkEnd w:id="673"/>
      <w:bookmarkEnd w:id="674"/>
    </w:p>
    <w:tbl>
      <w:tblPr>
        <w:tblStyle w:val="14"/>
        <w:tblpPr w:leftFromText="180" w:rightFromText="180" w:vertAnchor="text" w:horzAnchor="page" w:tblpX="1767" w:tblpY="151"/>
        <w:tblOverlap w:val="never"/>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06"/>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70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499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2706"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0分）</w:t>
            </w:r>
          </w:p>
        </w:tc>
        <w:tc>
          <w:tcPr>
            <w:tcW w:w="4991" w:type="dxa"/>
            <w:vAlign w:val="center"/>
          </w:tcPr>
          <w:p>
            <w:pPr>
              <w:ind w:firstLine="0" w:firstLineChars="0"/>
              <w:jc w:val="left"/>
              <w:rPr>
                <w:rFonts w:ascii="宋体" w:hAnsi="宋体"/>
                <w:b/>
                <w:color w:val="auto"/>
                <w:kern w:val="0"/>
                <w:sz w:val="24"/>
                <w:highlight w:val="none"/>
              </w:rPr>
            </w:pPr>
            <w:r>
              <w:rPr>
                <w:rFonts w:ascii="宋体" w:hAnsi="宋体"/>
                <w:b/>
                <w:color w:val="auto"/>
                <w:kern w:val="0"/>
                <w:sz w:val="24"/>
                <w:highlight w:val="none"/>
              </w:rPr>
              <w:t>比选申请人价格大于上</w:t>
            </w:r>
            <w:r>
              <w:rPr>
                <w:rFonts w:hint="eastAsia" w:ascii="宋体" w:hAnsi="宋体"/>
                <w:b/>
                <w:color w:val="auto"/>
                <w:kern w:val="0"/>
                <w:sz w:val="24"/>
                <w:highlight w:val="none"/>
                <w:lang w:val="en-US" w:eastAsia="zh-CN"/>
              </w:rPr>
              <w:t>限</w:t>
            </w:r>
            <w:r>
              <w:rPr>
                <w:rFonts w:ascii="宋体" w:hAnsi="宋体"/>
                <w:b/>
                <w:color w:val="auto"/>
                <w:kern w:val="0"/>
                <w:sz w:val="24"/>
                <w:highlight w:val="none"/>
              </w:rPr>
              <w:t>控</w:t>
            </w:r>
            <w:r>
              <w:rPr>
                <w:rFonts w:hint="eastAsia" w:ascii="宋体" w:hAnsi="宋体"/>
                <w:b/>
                <w:color w:val="auto"/>
                <w:kern w:val="0"/>
                <w:sz w:val="24"/>
                <w:highlight w:val="none"/>
                <w:lang w:val="en-US" w:eastAsia="zh-CN"/>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p>
            <w:pPr>
              <w:spacing w:line="240" w:lineRule="auto"/>
              <w:rPr>
                <w:color w:val="auto"/>
                <w:szCs w:val="21"/>
                <w:highlight w:val="none"/>
              </w:rPr>
            </w:pPr>
            <w:r>
              <w:rPr>
                <w:color w:val="auto"/>
                <w:szCs w:val="21"/>
                <w:highlight w:val="none"/>
              </w:rPr>
              <w:t>下浮0%（含）~</w:t>
            </w:r>
            <w:r>
              <w:rPr>
                <w:rFonts w:hint="eastAsia"/>
                <w:color w:val="auto"/>
                <w:szCs w:val="21"/>
                <w:highlight w:val="none"/>
                <w:lang w:val="en-US" w:eastAsia="zh-CN"/>
              </w:rPr>
              <w:t>2</w:t>
            </w:r>
            <w:r>
              <w:rPr>
                <w:color w:val="auto"/>
                <w:szCs w:val="21"/>
                <w:highlight w:val="none"/>
              </w:rPr>
              <w:t>%（不含），得</w:t>
            </w:r>
            <w:r>
              <w:rPr>
                <w:rFonts w:hint="eastAsia"/>
                <w:color w:val="auto"/>
                <w:szCs w:val="21"/>
                <w:highlight w:val="none"/>
                <w:lang w:val="en-US" w:eastAsia="zh-CN"/>
              </w:rPr>
              <w:t>3</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2</w:t>
            </w:r>
            <w:r>
              <w:rPr>
                <w:color w:val="auto"/>
                <w:szCs w:val="21"/>
                <w:highlight w:val="none"/>
              </w:rPr>
              <w:t>%（含）~</w:t>
            </w:r>
            <w:r>
              <w:rPr>
                <w:rFonts w:hint="eastAsia"/>
                <w:color w:val="auto"/>
                <w:szCs w:val="21"/>
                <w:highlight w:val="none"/>
                <w:lang w:val="en-US" w:eastAsia="zh-CN"/>
              </w:rPr>
              <w:t>4</w:t>
            </w:r>
            <w:r>
              <w:rPr>
                <w:color w:val="auto"/>
                <w:szCs w:val="21"/>
                <w:highlight w:val="none"/>
              </w:rPr>
              <w:t>%（不含），得</w:t>
            </w:r>
            <w:r>
              <w:rPr>
                <w:rFonts w:hint="eastAsia"/>
                <w:color w:val="auto"/>
                <w:szCs w:val="21"/>
                <w:highlight w:val="none"/>
                <w:lang w:val="en-US" w:eastAsia="zh-CN"/>
              </w:rPr>
              <w:t>5</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4</w:t>
            </w:r>
            <w:r>
              <w:rPr>
                <w:color w:val="auto"/>
                <w:szCs w:val="21"/>
                <w:highlight w:val="none"/>
              </w:rPr>
              <w:t>%（含）~</w:t>
            </w:r>
            <w:r>
              <w:rPr>
                <w:rFonts w:hint="eastAsia"/>
                <w:color w:val="auto"/>
                <w:szCs w:val="21"/>
                <w:highlight w:val="none"/>
                <w:lang w:val="en-US" w:eastAsia="zh-CN"/>
              </w:rPr>
              <w:t>6</w:t>
            </w:r>
            <w:r>
              <w:rPr>
                <w:color w:val="auto"/>
                <w:szCs w:val="21"/>
                <w:highlight w:val="none"/>
              </w:rPr>
              <w:t>%（不含），得</w:t>
            </w:r>
            <w:r>
              <w:rPr>
                <w:rFonts w:hint="eastAsia"/>
                <w:color w:val="auto"/>
                <w:szCs w:val="21"/>
                <w:highlight w:val="none"/>
                <w:lang w:val="en-US" w:eastAsia="zh-CN"/>
              </w:rPr>
              <w:t>8</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6</w:t>
            </w:r>
            <w:r>
              <w:rPr>
                <w:color w:val="auto"/>
                <w:szCs w:val="21"/>
                <w:highlight w:val="none"/>
              </w:rPr>
              <w:t>%（含）~</w:t>
            </w:r>
            <w:r>
              <w:rPr>
                <w:rFonts w:hint="eastAsia"/>
                <w:color w:val="auto"/>
                <w:szCs w:val="21"/>
                <w:highlight w:val="none"/>
                <w:lang w:val="en-US" w:eastAsia="zh-CN"/>
              </w:rPr>
              <w:t>8</w:t>
            </w:r>
            <w:r>
              <w:rPr>
                <w:color w:val="auto"/>
                <w:szCs w:val="21"/>
                <w:highlight w:val="none"/>
              </w:rPr>
              <w:t>%（不含），得</w:t>
            </w:r>
            <w:r>
              <w:rPr>
                <w:rFonts w:hint="eastAsia"/>
                <w:color w:val="auto"/>
                <w:szCs w:val="21"/>
                <w:highlight w:val="none"/>
                <w:lang w:val="en-US" w:eastAsia="zh-CN"/>
              </w:rPr>
              <w:t>13</w:t>
            </w:r>
            <w:r>
              <w:rPr>
                <w:color w:val="auto"/>
                <w:szCs w:val="21"/>
                <w:highlight w:val="none"/>
              </w:rPr>
              <w:t>分；</w:t>
            </w:r>
          </w:p>
          <w:p>
            <w:pPr>
              <w:ind w:firstLine="0" w:firstLineChars="0"/>
              <w:jc w:val="left"/>
              <w:rPr>
                <w:color w:val="auto"/>
                <w:szCs w:val="21"/>
                <w:highlight w:val="none"/>
              </w:rPr>
            </w:pPr>
            <w:r>
              <w:rPr>
                <w:color w:val="auto"/>
                <w:szCs w:val="21"/>
                <w:highlight w:val="none"/>
              </w:rPr>
              <w:t>下浮</w:t>
            </w:r>
            <w:r>
              <w:rPr>
                <w:rFonts w:hint="eastAsia"/>
                <w:color w:val="auto"/>
                <w:szCs w:val="21"/>
                <w:highlight w:val="none"/>
                <w:lang w:val="en-US" w:eastAsia="zh-CN"/>
              </w:rPr>
              <w:t>8</w:t>
            </w:r>
            <w:r>
              <w:rPr>
                <w:color w:val="auto"/>
                <w:szCs w:val="21"/>
                <w:highlight w:val="none"/>
              </w:rPr>
              <w:t>%（含）~</w:t>
            </w:r>
            <w:r>
              <w:rPr>
                <w:rFonts w:hint="eastAsia"/>
                <w:color w:val="auto"/>
                <w:szCs w:val="21"/>
                <w:highlight w:val="none"/>
                <w:lang w:val="en-US" w:eastAsia="zh-CN"/>
              </w:rPr>
              <w:t>9</w:t>
            </w:r>
            <w:r>
              <w:rPr>
                <w:color w:val="auto"/>
                <w:szCs w:val="21"/>
                <w:highlight w:val="none"/>
              </w:rPr>
              <w:t>%（</w:t>
            </w:r>
            <w:r>
              <w:rPr>
                <w:rFonts w:hint="eastAsia"/>
                <w:color w:val="auto"/>
                <w:szCs w:val="21"/>
                <w:highlight w:val="none"/>
                <w:lang w:val="en-US" w:eastAsia="zh-CN"/>
              </w:rPr>
              <w:t>不</w:t>
            </w:r>
            <w:r>
              <w:rPr>
                <w:color w:val="auto"/>
                <w:szCs w:val="21"/>
                <w:highlight w:val="none"/>
              </w:rPr>
              <w:t>含），得</w:t>
            </w:r>
            <w:r>
              <w:rPr>
                <w:rFonts w:hint="eastAsia"/>
                <w:color w:val="auto"/>
                <w:szCs w:val="21"/>
                <w:highlight w:val="none"/>
                <w:lang w:val="en-US" w:eastAsia="zh-CN"/>
              </w:rPr>
              <w:t>16</w:t>
            </w:r>
            <w:r>
              <w:rPr>
                <w:color w:val="auto"/>
                <w:szCs w:val="21"/>
                <w:highlight w:val="none"/>
              </w:rPr>
              <w:t>分；</w:t>
            </w:r>
          </w:p>
          <w:p>
            <w:pPr>
              <w:ind w:firstLine="0" w:firstLineChars="0"/>
              <w:jc w:val="left"/>
              <w:rPr>
                <w:rFonts w:ascii="宋体" w:hAnsi="宋体"/>
                <w:color w:val="auto"/>
                <w:sz w:val="24"/>
                <w:highlight w:val="none"/>
              </w:rPr>
            </w:pPr>
            <w:r>
              <w:rPr>
                <w:color w:val="auto"/>
                <w:szCs w:val="21"/>
                <w:highlight w:val="none"/>
              </w:rPr>
              <w:t>下浮</w:t>
            </w:r>
            <w:r>
              <w:rPr>
                <w:rFonts w:hint="eastAsia"/>
                <w:color w:val="auto"/>
                <w:szCs w:val="21"/>
                <w:highlight w:val="none"/>
                <w:lang w:val="en-US" w:eastAsia="zh-CN"/>
              </w:rPr>
              <w:t>10</w:t>
            </w:r>
            <w:r>
              <w:rPr>
                <w:color w:val="auto"/>
                <w:szCs w:val="21"/>
                <w:highlight w:val="none"/>
              </w:rPr>
              <w:t>%</w:t>
            </w:r>
            <w:r>
              <w:rPr>
                <w:rFonts w:hint="eastAsia"/>
                <w:color w:val="auto"/>
                <w:szCs w:val="21"/>
                <w:highlight w:val="none"/>
                <w:lang w:val="en-US" w:eastAsia="zh-CN"/>
              </w:rPr>
              <w:t xml:space="preserve"> </w:t>
            </w:r>
            <w:r>
              <w:rPr>
                <w:color w:val="auto"/>
                <w:szCs w:val="21"/>
                <w:highlight w:val="none"/>
              </w:rPr>
              <w:t>得</w:t>
            </w:r>
            <w:r>
              <w:rPr>
                <w:rFonts w:hint="eastAsia"/>
                <w:color w:val="auto"/>
                <w:szCs w:val="21"/>
                <w:highlight w:val="none"/>
                <w:lang w:val="en-US" w:eastAsia="zh-CN"/>
              </w:rPr>
              <w:t>20</w:t>
            </w:r>
            <w:r>
              <w:rPr>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2</w:t>
            </w:r>
          </w:p>
        </w:tc>
        <w:tc>
          <w:tcPr>
            <w:tcW w:w="2706"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业绩表（满分 10分）</w:t>
            </w:r>
          </w:p>
        </w:tc>
        <w:tc>
          <w:tcPr>
            <w:tcW w:w="4991" w:type="dxa"/>
            <w:vAlign w:val="center"/>
          </w:tcPr>
          <w:p>
            <w:pPr>
              <w:ind w:firstLine="240" w:firstLineChars="1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年1 月 1 日至比选公告发布之日期间，有</w:t>
            </w:r>
            <w:r>
              <w:rPr>
                <w:rFonts w:hint="eastAsia" w:ascii="宋体" w:hAnsi="宋体" w:cs="宋体"/>
                <w:color w:val="auto"/>
                <w:sz w:val="24"/>
                <w:highlight w:val="none"/>
                <w:lang w:val="en-US" w:eastAsia="zh-CN"/>
              </w:rPr>
              <w:t>单项合同3000万及以上的市政</w:t>
            </w:r>
            <w:r>
              <w:rPr>
                <w:rFonts w:hint="eastAsia" w:ascii="宋体" w:hAnsi="宋体" w:cs="宋体"/>
                <w:color w:val="auto"/>
                <w:sz w:val="24"/>
                <w:highlight w:val="none"/>
              </w:rPr>
              <w:t>公用工程</w:t>
            </w:r>
            <w:r>
              <w:rPr>
                <w:rFonts w:hint="eastAsia" w:ascii="宋体" w:hAnsi="宋体" w:cs="宋体"/>
                <w:color w:val="auto"/>
                <w:sz w:val="24"/>
                <w:highlight w:val="none"/>
                <w:lang w:val="en-US" w:eastAsia="zh-CN"/>
              </w:rPr>
              <w:t>监理</w:t>
            </w:r>
            <w:r>
              <w:rPr>
                <w:rFonts w:hint="eastAsia" w:ascii="宋体" w:hAnsi="宋体" w:cs="宋体"/>
                <w:color w:val="auto"/>
                <w:sz w:val="24"/>
                <w:highlight w:val="none"/>
              </w:rPr>
              <w:t>服务经验，以提供合同复印件（体现合同对方名称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sz w:val="24"/>
                <w:highlight w:val="none"/>
              </w:rPr>
              <w:t>，涉及到商业秘密的内容可以隐去）证明材料为准。每个业绩得5分。</w:t>
            </w:r>
          </w:p>
        </w:tc>
      </w:tr>
    </w:tbl>
    <w:p>
      <w:pPr>
        <w:jc w:val="left"/>
        <w:rPr>
          <w:rFonts w:ascii="宋体" w:hAnsi="宋体" w:cs="宋体"/>
          <w:color w:val="auto"/>
          <w:sz w:val="28"/>
          <w:szCs w:val="28"/>
          <w:highlight w:val="none"/>
        </w:rPr>
      </w:pPr>
    </w:p>
    <w:p>
      <w:pPr>
        <w:numPr>
          <w:ilvl w:val="0"/>
          <w:numId w:val="9"/>
        </w:numPr>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技术部分评分细则（满分</w:t>
      </w: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0分）</w:t>
      </w:r>
    </w:p>
    <w:p>
      <w:pPr>
        <w:pStyle w:val="2"/>
        <w:rPr>
          <w:rFonts w:hint="eastAsia" w:ascii="宋体" w:hAnsi="宋体" w:cs="宋体"/>
          <w:color w:val="auto"/>
          <w:sz w:val="28"/>
          <w:szCs w:val="28"/>
          <w:highlight w:val="none"/>
        </w:rPr>
      </w:pPr>
    </w:p>
    <w:tbl>
      <w:tblPr>
        <w:tblStyle w:val="14"/>
        <w:tblpPr w:leftFromText="180" w:rightFromText="180" w:vertAnchor="text" w:horzAnchor="page" w:tblpX="1292" w:tblpY="367"/>
        <w:tblOverlap w:val="never"/>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113"/>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22"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评分因素</w:t>
            </w:r>
          </w:p>
        </w:tc>
        <w:tc>
          <w:tcPr>
            <w:tcW w:w="7772" w:type="dxa"/>
            <w:gridSpan w:val="2"/>
            <w:vAlign w:val="center"/>
          </w:tcPr>
          <w:p>
            <w:pPr>
              <w:jc w:val="center"/>
              <w:rPr>
                <w:rFonts w:hint="eastAsia" w:ascii="宋体" w:hAnsi="宋体" w:cs="宋体" w:eastAsiaTheme="minorEastAsia"/>
                <w:color w:val="auto"/>
                <w:kern w:val="0"/>
                <w:sz w:val="24"/>
                <w:highlight w:val="none"/>
                <w:lang w:eastAsia="zh-CN"/>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422" w:type="dxa"/>
            <w:vMerge w:val="restart"/>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服务方案</w:t>
            </w:r>
          </w:p>
          <w:p>
            <w:pPr>
              <w:jc w:val="left"/>
              <w:rPr>
                <w:rFonts w:hint="eastAsia" w:ascii="宋体" w:hAnsi="宋体" w:cs="宋体"/>
                <w:color w:val="auto"/>
                <w:sz w:val="24"/>
                <w:highlight w:val="none"/>
              </w:rPr>
            </w:pPr>
            <w:r>
              <w:rPr>
                <w:rFonts w:hint="eastAsia" w:ascii="宋体" w:hAnsi="宋体" w:cs="宋体"/>
                <w:color w:val="auto"/>
                <w:sz w:val="24"/>
                <w:highlight w:val="none"/>
              </w:rPr>
              <w:t>（满分</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分）</w:t>
            </w:r>
          </w:p>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工程特点、难点分析及监理对策（</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 xml:space="preserve">要求：分析深入、深刻。 </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 xml:space="preserve">：根据工程特点提出的难点、重点准确，提出解决方案科学合理。 </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 xml:space="preserve">分：根据工程特点能够提出的难点、重点，提出解决方案较合理。 </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分：提出的难点、重点不准确，解决方案不合理。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质量控制重点及监理措施（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要求：质量控制重点分析到位、明确；质量目标分解、规划合理，质量控制体系健全，质量控制措施有效可靠，控制手段先进完善。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进度控制重点及监理措施（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要求：节点或阶段工期明确，进度控制重点明确；工期总进度计划网络图科学、优化，工期控制点设置合理，控制措施与手段可靠有力。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eastAsiaTheme="minorEastAsia"/>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造价控制重点及监理措施（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投资控制重点分析到位明确；风险预测与防范对策有效可行；能抓住工程费用最易突破的环节，明确投资控制重点；控制措施与手段健全；能兼顾工期与质量目标，合理确定资金流量；能提出有效的合理化建议，降低工程投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合同及信息管理措施（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要求：合同及信息管理制度明确、程序清晰、控制措施合理全面。</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监理工作协调（</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要求：监理工作协调方法正确,措施得力。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环境保护及文明施工监理措施（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要求：环境保护、安全文明施工保证体系健全、可靠；安全事故控制措施得力；能有针对工程环境及工程特点、难点防范及化解安全事故的发生，措施得力。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422" w:type="dxa"/>
            <w:vMerge w:val="continue"/>
            <w:tcBorders>
              <w:bottom w:val="single" w:color="auto" w:sz="4" w:space="0"/>
            </w:tcBorders>
            <w:vAlign w:val="center"/>
          </w:tcPr>
          <w:p>
            <w:pPr>
              <w:jc w:val="left"/>
              <w:rPr>
                <w:rFonts w:hint="eastAsia" w:ascii="宋体" w:hAnsi="宋体" w:cs="宋体"/>
                <w:color w:val="auto"/>
                <w:sz w:val="24"/>
                <w:highlight w:val="none"/>
              </w:rPr>
            </w:pPr>
          </w:p>
        </w:tc>
        <w:tc>
          <w:tcPr>
            <w:tcW w:w="4113"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履行安全职责措施（</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要求：保证施工安全的监理控制措施体系健全、可靠；安全事故控制措施得力；能有针对工程特点、难点防范及化解安全事故的发生，措施得力。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bl>
    <w:p>
      <w:pPr>
        <w:pStyle w:val="2"/>
        <w:rPr>
          <w:rFonts w:hint="eastAsia" w:ascii="宋体" w:hAnsi="宋体" w:cs="宋体"/>
          <w:color w:val="auto"/>
          <w:sz w:val="28"/>
          <w:szCs w:val="28"/>
          <w:highlight w:val="none"/>
        </w:rPr>
      </w:pPr>
    </w:p>
    <w:p>
      <w:pPr>
        <w:pStyle w:val="2"/>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tbl>
      <w:tblPr>
        <w:tblStyle w:val="14"/>
        <w:tblpPr w:leftFromText="180" w:rightFromText="180" w:vertAnchor="text" w:horzAnchor="margin" w:tblpY="587"/>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134"/>
        <w:gridCol w:w="4678"/>
        <w:gridCol w:w="125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2" w:hRule="atLeast"/>
        </w:trPr>
        <w:tc>
          <w:tcPr>
            <w:tcW w:w="1149" w:type="dxa"/>
            <w:tcMar>
              <w:left w:w="0" w:type="dxa"/>
              <w:right w:w="0" w:type="dxa"/>
            </w:tcMar>
          </w:tcPr>
          <w:p>
            <w:pPr>
              <w:spacing w:line="360" w:lineRule="auto"/>
              <w:jc w:val="center"/>
              <w:rPr>
                <w:rFonts w:ascii="宋体" w:hAnsi="宋体"/>
                <w:color w:val="auto"/>
                <w:sz w:val="24"/>
                <w:highlight w:val="none"/>
              </w:rPr>
            </w:pPr>
            <w:r>
              <w:rPr>
                <w:rFonts w:hint="eastAsia" w:ascii="宋体" w:hAnsi="宋体"/>
                <w:color w:val="auto"/>
                <w:sz w:val="24"/>
                <w:highlight w:val="none"/>
              </w:rPr>
              <w:t>评分因素</w:t>
            </w:r>
          </w:p>
        </w:tc>
        <w:tc>
          <w:tcPr>
            <w:tcW w:w="8222" w:type="dxa"/>
            <w:gridSpan w:val="4"/>
          </w:tcPr>
          <w:p>
            <w:pPr>
              <w:spacing w:line="360" w:lineRule="auto"/>
              <w:jc w:val="center"/>
              <w:rPr>
                <w:rFonts w:ascii="宋体" w:hAnsi="宋体"/>
                <w:color w:val="auto"/>
                <w:sz w:val="24"/>
                <w:highlight w:val="none"/>
              </w:rPr>
            </w:pPr>
            <w:r>
              <w:rPr>
                <w:rFonts w:hint="eastAsia" w:ascii="宋体" w:hAnsi="宋体"/>
                <w:color w:val="auto"/>
                <w:sz w:val="24"/>
                <w:highlight w:val="none"/>
              </w:rPr>
              <w:t>评分标准（投标人员满足所有资历要求得满分，其中一项不满足得0分）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149" w:type="dxa"/>
            <w:vMerge w:val="restart"/>
            <w:tcMar>
              <w:left w:w="0" w:type="dxa"/>
              <w:right w:w="0" w:type="dxa"/>
            </w:tcMar>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拟投入人员配置明</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 xml:space="preserve">细（满分 </w:t>
            </w:r>
            <w:r>
              <w:rPr>
                <w:rFonts w:hint="eastAsia" w:ascii="宋体" w:hAnsi="宋体"/>
                <w:color w:val="auto"/>
                <w:sz w:val="24"/>
                <w:highlight w:val="none"/>
                <w:lang w:val="en-US" w:eastAsia="zh-CN"/>
              </w:rPr>
              <w:t>20</w:t>
            </w:r>
            <w:r>
              <w:rPr>
                <w:rFonts w:hint="eastAsia" w:ascii="宋体" w:hAnsi="宋体"/>
                <w:color w:val="auto"/>
                <w:sz w:val="24"/>
                <w:highlight w:val="none"/>
              </w:rPr>
              <w:t>分）</w:t>
            </w: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岗位</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资历要求</w:t>
            </w:r>
          </w:p>
        </w:tc>
        <w:tc>
          <w:tcPr>
            <w:tcW w:w="1256"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人数要求</w:t>
            </w:r>
          </w:p>
        </w:tc>
        <w:tc>
          <w:tcPr>
            <w:tcW w:w="1154"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总监理工程师</w:t>
            </w:r>
          </w:p>
        </w:tc>
        <w:tc>
          <w:tcPr>
            <w:tcW w:w="4678" w:type="dxa"/>
            <w:tcMar>
              <w:left w:w="0" w:type="dxa"/>
              <w:right w:w="0" w:type="dxa"/>
            </w:tcMar>
            <w:vAlign w:val="center"/>
          </w:tcPr>
          <w:p>
            <w:pPr>
              <w:spacing w:line="360" w:lineRule="auto"/>
              <w:jc w:val="both"/>
              <w:rPr>
                <w:rFonts w:hint="eastAsia" w:ascii="宋体" w:hAnsi="宋体" w:eastAsiaTheme="minorEastAsia"/>
                <w:color w:val="auto"/>
                <w:sz w:val="24"/>
                <w:highlight w:val="none"/>
                <w:lang w:eastAsia="zh-CN"/>
              </w:rPr>
            </w:pPr>
            <w:r>
              <w:rPr>
                <w:rFonts w:hint="eastAsia" w:ascii="宋体" w:hAnsi="宋体"/>
                <w:color w:val="auto"/>
                <w:sz w:val="24"/>
                <w:highlight w:val="none"/>
              </w:rPr>
              <w:t>持有国家建设部颁发的《注册监理工程师执业证书》</w:t>
            </w:r>
            <w:r>
              <w:rPr>
                <w:rFonts w:hint="eastAsia" w:ascii="宋体" w:hAnsi="宋体"/>
                <w:color w:val="auto"/>
                <w:sz w:val="24"/>
                <w:highlight w:val="none"/>
                <w:lang w:eastAsia="zh-CN"/>
              </w:rPr>
              <w:t>，</w:t>
            </w:r>
            <w:r>
              <w:rPr>
                <w:rFonts w:hint="eastAsia" w:ascii="宋体" w:hAnsi="宋体"/>
                <w:color w:val="auto"/>
                <w:sz w:val="24"/>
                <w:highlight w:val="none"/>
              </w:rPr>
              <w:t>注册专业为</w:t>
            </w:r>
            <w:r>
              <w:rPr>
                <w:rFonts w:hint="eastAsia" w:ascii="宋体" w:hAnsi="宋体"/>
                <w:color w:val="auto"/>
                <w:sz w:val="24"/>
                <w:highlight w:val="none"/>
                <w:lang w:val="en-US" w:eastAsia="zh-CN"/>
              </w:rPr>
              <w:t>市政</w:t>
            </w:r>
            <w:r>
              <w:rPr>
                <w:rFonts w:hint="eastAsia" w:ascii="宋体" w:hAnsi="宋体"/>
                <w:color w:val="auto"/>
                <w:sz w:val="24"/>
                <w:highlight w:val="none"/>
              </w:rPr>
              <w:t>工程</w:t>
            </w:r>
            <w:r>
              <w:rPr>
                <w:rFonts w:hint="eastAsia" w:ascii="宋体" w:hAnsi="宋体"/>
                <w:color w:val="auto"/>
                <w:sz w:val="24"/>
                <w:highlight w:val="none"/>
                <w:lang w:eastAsia="zh-CN"/>
              </w:rPr>
              <w:t>；</w:t>
            </w:r>
            <w:r>
              <w:rPr>
                <w:rFonts w:hint="eastAsia" w:ascii="宋体" w:hAnsi="宋体"/>
                <w:color w:val="auto"/>
                <w:sz w:val="24"/>
                <w:highlight w:val="none"/>
              </w:rPr>
              <w:t>具有本科及以上学历的；具有</w:t>
            </w:r>
            <w:r>
              <w:rPr>
                <w:rFonts w:hint="eastAsia" w:ascii="宋体" w:hAnsi="宋体"/>
                <w:color w:val="auto"/>
                <w:sz w:val="24"/>
                <w:highlight w:val="none"/>
                <w:lang w:val="en-US" w:eastAsia="zh-CN"/>
              </w:rPr>
              <w:t>副高</w:t>
            </w:r>
            <w:r>
              <w:rPr>
                <w:rFonts w:hint="eastAsia" w:ascii="宋体" w:hAnsi="宋体"/>
                <w:color w:val="auto"/>
                <w:sz w:val="24"/>
                <w:highlight w:val="none"/>
              </w:rPr>
              <w:t>级</w:t>
            </w:r>
            <w:r>
              <w:rPr>
                <w:rFonts w:hint="eastAsia" w:ascii="宋体" w:hAnsi="宋体"/>
                <w:color w:val="auto"/>
                <w:sz w:val="24"/>
                <w:highlight w:val="none"/>
                <w:lang w:val="en-US" w:eastAsia="zh-CN"/>
              </w:rPr>
              <w:t>及</w:t>
            </w:r>
            <w:r>
              <w:rPr>
                <w:rFonts w:hint="eastAsia" w:ascii="宋体" w:hAnsi="宋体"/>
                <w:color w:val="auto"/>
                <w:sz w:val="24"/>
                <w:highlight w:val="none"/>
              </w:rPr>
              <w:t xml:space="preserve">以上专业技术职称 </w:t>
            </w:r>
            <w:r>
              <w:rPr>
                <w:rFonts w:hint="eastAsia" w:ascii="宋体" w:hAnsi="宋体"/>
                <w:color w:val="auto"/>
                <w:sz w:val="24"/>
                <w:highlight w:val="none"/>
                <w:lang w:eastAsia="zh-CN"/>
              </w:rPr>
              <w:t>。</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土建专业监理工程师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安全监理工程师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测量专业监理工程师</w:t>
            </w:r>
          </w:p>
        </w:tc>
        <w:tc>
          <w:tcPr>
            <w:tcW w:w="4678"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rPr>
              <w:t>大专及以上学历；具有中级（含中级）以上专业技术职称；</w:t>
            </w:r>
            <w:r>
              <w:rPr>
                <w:rFonts w:hint="eastAsia" w:ascii="宋体" w:hAnsi="宋体"/>
                <w:color w:val="auto"/>
                <w:sz w:val="24"/>
                <w:highlight w:val="none"/>
                <w:lang w:val="en-US" w:eastAsia="zh-CN"/>
              </w:rPr>
              <w:t>持有监理培训证和测量上岗证</w:t>
            </w:r>
          </w:p>
        </w:tc>
        <w:tc>
          <w:tcPr>
            <w:tcW w:w="1256"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1人</w:t>
            </w:r>
          </w:p>
        </w:tc>
        <w:tc>
          <w:tcPr>
            <w:tcW w:w="1154" w:type="dxa"/>
            <w:vAlign w:val="center"/>
          </w:tcPr>
          <w:p>
            <w:pPr>
              <w:spacing w:line="360" w:lineRule="auto"/>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分</w:t>
            </w:r>
          </w:p>
        </w:tc>
      </w:tr>
    </w:tbl>
    <w:p>
      <w:pPr>
        <w:widowControl w:val="0"/>
        <w:numPr>
          <w:ilvl w:val="0"/>
          <w:numId w:val="0"/>
        </w:numPr>
        <w:jc w:val="left"/>
        <w:rPr>
          <w:rFonts w:hint="eastAsia" w:ascii="宋体" w:hAnsi="宋体" w:cs="宋体"/>
          <w:color w:val="auto"/>
          <w:sz w:val="28"/>
          <w:szCs w:val="28"/>
          <w:highlight w:val="none"/>
        </w:rPr>
      </w:pPr>
    </w:p>
    <w:p>
      <w:pPr>
        <w:widowControl w:val="0"/>
        <w:numPr>
          <w:ilvl w:val="0"/>
          <w:numId w:val="0"/>
        </w:numPr>
        <w:jc w:val="left"/>
        <w:rPr>
          <w:rFonts w:hint="eastAsia" w:ascii="宋体" w:hAnsi="宋体" w:cs="宋体"/>
          <w:color w:val="auto"/>
          <w:sz w:val="28"/>
          <w:szCs w:val="28"/>
          <w:highlight w:val="none"/>
        </w:rPr>
      </w:pPr>
    </w:p>
    <w:p>
      <w:pPr>
        <w:rPr>
          <w:color w:val="auto"/>
          <w:highlight w:val="none"/>
        </w:rPr>
      </w:pPr>
    </w:p>
    <w:p>
      <w:pPr>
        <w:pStyle w:val="4"/>
        <w:spacing w:line="240" w:lineRule="auto"/>
        <w:rPr>
          <w:color w:val="auto"/>
          <w:szCs w:val="28"/>
          <w:highlight w:val="none"/>
        </w:rPr>
      </w:pPr>
      <w:bookmarkStart w:id="675" w:name="_Toc19365"/>
      <w:bookmarkStart w:id="676" w:name="_Toc15663"/>
      <w:bookmarkStart w:id="677" w:name="_Toc4621"/>
      <w:bookmarkStart w:id="678" w:name="_Toc2968"/>
      <w:bookmarkStart w:id="679" w:name="_Toc3978"/>
      <w:bookmarkStart w:id="680" w:name="_Toc21685"/>
      <w:bookmarkStart w:id="681" w:name="_Toc14081"/>
      <w:bookmarkStart w:id="682" w:name="_Toc24296"/>
      <w:bookmarkStart w:id="683" w:name="_Toc22367"/>
      <w:bookmarkStart w:id="684" w:name="_Toc19395"/>
      <w:bookmarkStart w:id="685" w:name="_Toc22492"/>
      <w:bookmarkStart w:id="686" w:name="_Toc471482377"/>
      <w:bookmarkStart w:id="687" w:name="_Toc10183"/>
      <w:bookmarkStart w:id="688" w:name="_Toc29392"/>
      <w:bookmarkStart w:id="689" w:name="_Toc27525"/>
      <w:bookmarkStart w:id="690" w:name="_Toc30389"/>
      <w:bookmarkStart w:id="691" w:name="_Toc19593"/>
      <w:r>
        <w:rPr>
          <w:rFonts w:hint="eastAsia"/>
          <w:color w:val="auto"/>
          <w:szCs w:val="28"/>
          <w:highlight w:val="none"/>
        </w:rPr>
        <w:t>四、中选标准</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ascii="宋体" w:hAnsi="宋体" w:cs="宋体"/>
          <w:color w:val="auto"/>
          <w:sz w:val="28"/>
          <w:szCs w:val="28"/>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color w:val="auto"/>
          <w:sz w:val="28"/>
          <w:szCs w:val="28"/>
          <w:highlight w:val="none"/>
        </w:rPr>
      </w:pPr>
    </w:p>
    <w:p>
      <w:pPr>
        <w:numPr>
          <w:ilvl w:val="0"/>
          <w:numId w:val="0"/>
        </w:numPr>
        <w:ind w:leftChars="0" w:firstLine="280" w:firstLineChars="100"/>
        <w:rPr>
          <w:rFonts w:hint="default" w:ascii="宋体" w:hAnsi="宋体" w:cs="宋体" w:eastAsiaTheme="minorEastAsia"/>
          <w:b w:val="0"/>
          <w:bCs w:val="0"/>
          <w:color w:val="auto"/>
          <w:kern w:val="0"/>
          <w:sz w:val="28"/>
          <w:szCs w:val="28"/>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BBBD5"/>
    <w:multiLevelType w:val="singleLevel"/>
    <w:tmpl w:val="A01BBBD5"/>
    <w:lvl w:ilvl="0" w:tentative="0">
      <w:start w:val="1"/>
      <w:numFmt w:val="chineseCounting"/>
      <w:suff w:val="space"/>
      <w:lvlText w:val="第%1章"/>
      <w:lvlJc w:val="left"/>
      <w:rPr>
        <w:rFonts w:hint="eastAsia"/>
      </w:rPr>
    </w:lvl>
  </w:abstractNum>
  <w:abstractNum w:abstractNumId="1">
    <w:nsid w:val="CF9FA987"/>
    <w:multiLevelType w:val="singleLevel"/>
    <w:tmpl w:val="CF9FA987"/>
    <w:lvl w:ilvl="0" w:tentative="0">
      <w:start w:val="1"/>
      <w:numFmt w:val="decimal"/>
      <w:lvlText w:val="%1."/>
      <w:lvlJc w:val="left"/>
      <w:pPr>
        <w:tabs>
          <w:tab w:val="left" w:pos="312"/>
        </w:tabs>
      </w:pPr>
    </w:lvl>
  </w:abstractNum>
  <w:abstractNum w:abstractNumId="2">
    <w:nsid w:val="D96E9A08"/>
    <w:multiLevelType w:val="singleLevel"/>
    <w:tmpl w:val="D96E9A08"/>
    <w:lvl w:ilvl="0" w:tentative="0">
      <w:start w:val="2"/>
      <w:numFmt w:val="decimal"/>
      <w:lvlText w:val="%1."/>
      <w:lvlJc w:val="left"/>
      <w:pPr>
        <w:tabs>
          <w:tab w:val="left" w:pos="312"/>
        </w:tabs>
      </w:pPr>
    </w:lvl>
  </w:abstractNum>
  <w:abstractNum w:abstractNumId="3">
    <w:nsid w:val="F7EB345B"/>
    <w:multiLevelType w:val="singleLevel"/>
    <w:tmpl w:val="F7EB345B"/>
    <w:lvl w:ilvl="0" w:tentative="0">
      <w:start w:val="1"/>
      <w:numFmt w:val="decimal"/>
      <w:lvlText w:val="%1."/>
      <w:lvlJc w:val="left"/>
      <w:pPr>
        <w:tabs>
          <w:tab w:val="left" w:pos="312"/>
        </w:tabs>
      </w:pPr>
    </w:lvl>
  </w:abstractNum>
  <w:abstractNum w:abstractNumId="4">
    <w:nsid w:val="057BAFD7"/>
    <w:multiLevelType w:val="singleLevel"/>
    <w:tmpl w:val="057BAFD7"/>
    <w:lvl w:ilvl="0" w:tentative="0">
      <w:start w:val="3"/>
      <w:numFmt w:val="decimal"/>
      <w:lvlText w:val="%1."/>
      <w:lvlJc w:val="left"/>
      <w:pPr>
        <w:tabs>
          <w:tab w:val="left" w:pos="312"/>
        </w:tabs>
      </w:pPr>
    </w:lvl>
  </w:abstractNum>
  <w:abstractNum w:abstractNumId="5">
    <w:nsid w:val="1A98AD14"/>
    <w:multiLevelType w:val="singleLevel"/>
    <w:tmpl w:val="1A98AD14"/>
    <w:lvl w:ilvl="0" w:tentative="0">
      <w:start w:val="1"/>
      <w:numFmt w:val="decimal"/>
      <w:suff w:val="nothing"/>
      <w:lvlText w:val="（%1）"/>
      <w:lvlJc w:val="left"/>
    </w:lvl>
  </w:abstractNum>
  <w:abstractNum w:abstractNumId="6">
    <w:nsid w:val="213105F9"/>
    <w:multiLevelType w:val="singleLevel"/>
    <w:tmpl w:val="213105F9"/>
    <w:lvl w:ilvl="0" w:tentative="0">
      <w:start w:val="1"/>
      <w:numFmt w:val="decimal"/>
      <w:suff w:val="nothing"/>
      <w:lvlText w:val="（%1）"/>
      <w:lvlJc w:val="left"/>
    </w:lvl>
  </w:abstractNum>
  <w:abstractNum w:abstractNumId="7">
    <w:nsid w:val="52ABEA66"/>
    <w:multiLevelType w:val="singleLevel"/>
    <w:tmpl w:val="52ABEA66"/>
    <w:lvl w:ilvl="0" w:tentative="0">
      <w:start w:val="3"/>
      <w:numFmt w:val="chineseCounting"/>
      <w:suff w:val="space"/>
      <w:lvlText w:val="第%1章"/>
      <w:lvlJc w:val="left"/>
    </w:lvl>
  </w:abstractNum>
  <w:abstractNum w:abstractNumId="8">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ZTVjZjUzMWMzYTYzNzI1OWNjZTBiYTQ3ZDg5MDAifQ=="/>
  </w:docVars>
  <w:rsids>
    <w:rsidRoot w:val="04287A59"/>
    <w:rsid w:val="010A30B5"/>
    <w:rsid w:val="01F93E28"/>
    <w:rsid w:val="023B0E7F"/>
    <w:rsid w:val="024D6C3F"/>
    <w:rsid w:val="02CE1DF7"/>
    <w:rsid w:val="038D1E85"/>
    <w:rsid w:val="04287A59"/>
    <w:rsid w:val="044B7B75"/>
    <w:rsid w:val="04A21A6E"/>
    <w:rsid w:val="04EF3542"/>
    <w:rsid w:val="05F006FB"/>
    <w:rsid w:val="07583633"/>
    <w:rsid w:val="07DC7E75"/>
    <w:rsid w:val="08DA5226"/>
    <w:rsid w:val="08E14806"/>
    <w:rsid w:val="091F5E8D"/>
    <w:rsid w:val="09261CB8"/>
    <w:rsid w:val="0941123F"/>
    <w:rsid w:val="09E76D21"/>
    <w:rsid w:val="09F07F52"/>
    <w:rsid w:val="0B745BDD"/>
    <w:rsid w:val="0B842047"/>
    <w:rsid w:val="0CDC2107"/>
    <w:rsid w:val="0CE80DF9"/>
    <w:rsid w:val="0CF85562"/>
    <w:rsid w:val="0D44270F"/>
    <w:rsid w:val="0DEC25C4"/>
    <w:rsid w:val="0EB44DED"/>
    <w:rsid w:val="0FE03EB9"/>
    <w:rsid w:val="11695658"/>
    <w:rsid w:val="11BC3199"/>
    <w:rsid w:val="122138D6"/>
    <w:rsid w:val="12491C54"/>
    <w:rsid w:val="12BC56F7"/>
    <w:rsid w:val="14BB69D7"/>
    <w:rsid w:val="16CF0644"/>
    <w:rsid w:val="1701544F"/>
    <w:rsid w:val="181D20E9"/>
    <w:rsid w:val="188D5E27"/>
    <w:rsid w:val="18A423BF"/>
    <w:rsid w:val="18E02A7A"/>
    <w:rsid w:val="19225AFE"/>
    <w:rsid w:val="199557C9"/>
    <w:rsid w:val="1AE3031E"/>
    <w:rsid w:val="1B2A0989"/>
    <w:rsid w:val="1BE87941"/>
    <w:rsid w:val="1C744D1F"/>
    <w:rsid w:val="1C997638"/>
    <w:rsid w:val="1D477E44"/>
    <w:rsid w:val="1F334A62"/>
    <w:rsid w:val="1F390D9F"/>
    <w:rsid w:val="1FDE6619"/>
    <w:rsid w:val="208C6E8C"/>
    <w:rsid w:val="209A6FB8"/>
    <w:rsid w:val="20CF612F"/>
    <w:rsid w:val="20DC3B18"/>
    <w:rsid w:val="20FA3B95"/>
    <w:rsid w:val="21543113"/>
    <w:rsid w:val="21E0472D"/>
    <w:rsid w:val="22010E3A"/>
    <w:rsid w:val="233B1EFB"/>
    <w:rsid w:val="236A3046"/>
    <w:rsid w:val="23B13C28"/>
    <w:rsid w:val="23F94699"/>
    <w:rsid w:val="24291725"/>
    <w:rsid w:val="247A3B8B"/>
    <w:rsid w:val="256D2678"/>
    <w:rsid w:val="28184E04"/>
    <w:rsid w:val="281C3055"/>
    <w:rsid w:val="28350E55"/>
    <w:rsid w:val="286B323B"/>
    <w:rsid w:val="28B73933"/>
    <w:rsid w:val="28C82EF3"/>
    <w:rsid w:val="28EB7F76"/>
    <w:rsid w:val="297A1079"/>
    <w:rsid w:val="2A5F2B75"/>
    <w:rsid w:val="2A702BC8"/>
    <w:rsid w:val="2B106E77"/>
    <w:rsid w:val="2B492424"/>
    <w:rsid w:val="2BC44975"/>
    <w:rsid w:val="2C15532B"/>
    <w:rsid w:val="2C56613F"/>
    <w:rsid w:val="2F29567C"/>
    <w:rsid w:val="2F3E026E"/>
    <w:rsid w:val="2FD60DDE"/>
    <w:rsid w:val="30285715"/>
    <w:rsid w:val="30342252"/>
    <w:rsid w:val="30424FE6"/>
    <w:rsid w:val="30EC4C6B"/>
    <w:rsid w:val="311036D7"/>
    <w:rsid w:val="31280191"/>
    <w:rsid w:val="3135376A"/>
    <w:rsid w:val="316E5C56"/>
    <w:rsid w:val="31846795"/>
    <w:rsid w:val="31F8794B"/>
    <w:rsid w:val="3259360C"/>
    <w:rsid w:val="34750FC4"/>
    <w:rsid w:val="34F43859"/>
    <w:rsid w:val="35712C79"/>
    <w:rsid w:val="362B0447"/>
    <w:rsid w:val="36521A01"/>
    <w:rsid w:val="36FD5C1C"/>
    <w:rsid w:val="378249FE"/>
    <w:rsid w:val="37982CB9"/>
    <w:rsid w:val="38D8695B"/>
    <w:rsid w:val="3A9C574C"/>
    <w:rsid w:val="3AED47B6"/>
    <w:rsid w:val="3D1042CF"/>
    <w:rsid w:val="3DE730DB"/>
    <w:rsid w:val="3E3B1320"/>
    <w:rsid w:val="3E412892"/>
    <w:rsid w:val="3E941736"/>
    <w:rsid w:val="3EEC151F"/>
    <w:rsid w:val="3FE61CB3"/>
    <w:rsid w:val="407C0724"/>
    <w:rsid w:val="40AB79F3"/>
    <w:rsid w:val="41314E93"/>
    <w:rsid w:val="419C2C0F"/>
    <w:rsid w:val="4272310A"/>
    <w:rsid w:val="42F06635"/>
    <w:rsid w:val="44AE3555"/>
    <w:rsid w:val="453B7428"/>
    <w:rsid w:val="45682DFA"/>
    <w:rsid w:val="45784787"/>
    <w:rsid w:val="45A827F6"/>
    <w:rsid w:val="46AC06BD"/>
    <w:rsid w:val="479676A1"/>
    <w:rsid w:val="47E55C82"/>
    <w:rsid w:val="48463554"/>
    <w:rsid w:val="48566109"/>
    <w:rsid w:val="49CE2369"/>
    <w:rsid w:val="4ADE114C"/>
    <w:rsid w:val="4C0750C7"/>
    <w:rsid w:val="4C1E3517"/>
    <w:rsid w:val="4DB8452B"/>
    <w:rsid w:val="4DEF0D66"/>
    <w:rsid w:val="4EBF66A5"/>
    <w:rsid w:val="4F2B2670"/>
    <w:rsid w:val="51F1033F"/>
    <w:rsid w:val="5239750A"/>
    <w:rsid w:val="53046CAE"/>
    <w:rsid w:val="53882AC5"/>
    <w:rsid w:val="540168F4"/>
    <w:rsid w:val="54812D0C"/>
    <w:rsid w:val="551E29B9"/>
    <w:rsid w:val="55861BAE"/>
    <w:rsid w:val="568772DD"/>
    <w:rsid w:val="574C257C"/>
    <w:rsid w:val="576F69CF"/>
    <w:rsid w:val="5823588A"/>
    <w:rsid w:val="5859451E"/>
    <w:rsid w:val="589904C1"/>
    <w:rsid w:val="59011144"/>
    <w:rsid w:val="5A3C2FF9"/>
    <w:rsid w:val="5A5158DD"/>
    <w:rsid w:val="5A5D52B0"/>
    <w:rsid w:val="5AB1453B"/>
    <w:rsid w:val="5AE922D5"/>
    <w:rsid w:val="5C254429"/>
    <w:rsid w:val="5F377B72"/>
    <w:rsid w:val="5F4737FE"/>
    <w:rsid w:val="5F635F8B"/>
    <w:rsid w:val="5FD26E60"/>
    <w:rsid w:val="60957422"/>
    <w:rsid w:val="60CB6968"/>
    <w:rsid w:val="61830F53"/>
    <w:rsid w:val="61872D5D"/>
    <w:rsid w:val="62844D59"/>
    <w:rsid w:val="632626AC"/>
    <w:rsid w:val="64543FC3"/>
    <w:rsid w:val="64D4535E"/>
    <w:rsid w:val="677213F5"/>
    <w:rsid w:val="681D31BC"/>
    <w:rsid w:val="69420B12"/>
    <w:rsid w:val="6AD370C1"/>
    <w:rsid w:val="6B1067AD"/>
    <w:rsid w:val="6BD7247C"/>
    <w:rsid w:val="6D110753"/>
    <w:rsid w:val="6D864A09"/>
    <w:rsid w:val="6DC06482"/>
    <w:rsid w:val="6DD53EB7"/>
    <w:rsid w:val="6EE95014"/>
    <w:rsid w:val="6EF100B3"/>
    <w:rsid w:val="70EB791F"/>
    <w:rsid w:val="7122756D"/>
    <w:rsid w:val="71D70082"/>
    <w:rsid w:val="72DA702C"/>
    <w:rsid w:val="72F15ACA"/>
    <w:rsid w:val="733C3B9D"/>
    <w:rsid w:val="74040B23"/>
    <w:rsid w:val="74847908"/>
    <w:rsid w:val="75FF0680"/>
    <w:rsid w:val="765100C3"/>
    <w:rsid w:val="768C6099"/>
    <w:rsid w:val="76B0766B"/>
    <w:rsid w:val="76FD3152"/>
    <w:rsid w:val="77DF6831"/>
    <w:rsid w:val="78081EAE"/>
    <w:rsid w:val="784B239B"/>
    <w:rsid w:val="78867409"/>
    <w:rsid w:val="78A8469B"/>
    <w:rsid w:val="78C6737B"/>
    <w:rsid w:val="796F095E"/>
    <w:rsid w:val="7A573E1B"/>
    <w:rsid w:val="7A7A69DD"/>
    <w:rsid w:val="7AFB2B1C"/>
    <w:rsid w:val="7B2E6FA2"/>
    <w:rsid w:val="7BC81B56"/>
    <w:rsid w:val="7D233CDA"/>
    <w:rsid w:val="7DB63F07"/>
    <w:rsid w:val="7E1C6A9F"/>
    <w:rsid w:val="7EE50E2A"/>
    <w:rsid w:val="7FEF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5"/>
    <w:qFormat/>
    <w:uiPriority w:val="0"/>
    <w:pPr>
      <w:keepNext/>
      <w:keepLines/>
      <w:spacing w:before="260" w:after="260" w:line="413" w:lineRule="auto"/>
      <w:outlineLvl w:val="2"/>
    </w:pPr>
    <w:rPr>
      <w:kern w:val="0"/>
      <w:sz w:val="28"/>
      <w:szCs w:val="20"/>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rPr>
  </w:style>
  <w:style w:type="paragraph" w:styleId="6">
    <w:name w:val="annotation text"/>
    <w:basedOn w:val="1"/>
    <w:qFormat/>
    <w:uiPriority w:val="0"/>
    <w:pPr>
      <w:jc w:val="left"/>
    </w:pPr>
    <w:rPr>
      <w:rFonts w:ascii="Calibri" w:hAnsi="Calibri"/>
      <w:szCs w:val="22"/>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annotation subject"/>
    <w:basedOn w:val="6"/>
    <w:next w:val="6"/>
    <w:qFormat/>
    <w:uiPriority w:val="0"/>
    <w:rPr>
      <w:rFonts w:ascii="Times New Roman" w:hAnsi="Times New Roman"/>
      <w:b/>
      <w:bCs/>
      <w:szCs w:val="24"/>
    </w:rPr>
  </w:style>
  <w:style w:type="character" w:styleId="16">
    <w:name w:val="annotation reference"/>
    <w:qFormat/>
    <w:uiPriority w:val="0"/>
    <w:rPr>
      <w:sz w:val="21"/>
      <w:szCs w:val="21"/>
    </w:rPr>
  </w:style>
  <w:style w:type="paragraph" w:customStyle="1" w:styleId="1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标题 2_1"/>
    <w:basedOn w:val="20"/>
    <w:next w:val="20"/>
    <w:unhideWhenUsed/>
    <w:qFormat/>
    <w:uiPriority w:val="0"/>
    <w:pPr>
      <w:keepNext/>
      <w:keepLines/>
      <w:spacing w:before="260" w:after="260" w:line="416" w:lineRule="auto"/>
      <w:outlineLvl w:val="1"/>
    </w:pPr>
    <w:rPr>
      <w:rFonts w:ascii="Cambria" w:hAnsi="Cambria"/>
      <w:b/>
      <w:bCs/>
      <w:sz w:val="32"/>
      <w:szCs w:val="32"/>
    </w:rPr>
  </w:style>
  <w:style w:type="paragraph" w:customStyle="1" w:styleId="2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
    <w:name w:val="标题 3 Char"/>
    <w:link w:val="5"/>
    <w:qFormat/>
    <w:uiPriority w:val="0"/>
    <w:rPr>
      <w:kern w:val="0"/>
      <w:sz w:val="28"/>
      <w:szCs w:val="20"/>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标题 3_0"/>
    <w:basedOn w:val="26"/>
    <w:next w:val="26"/>
    <w:qFormat/>
    <w:uiPriority w:val="0"/>
    <w:pPr>
      <w:keepNext/>
      <w:keepLines/>
      <w:spacing w:line="360" w:lineRule="auto"/>
      <w:outlineLvl w:val="2"/>
    </w:pPr>
    <w:rPr>
      <w:rFonts w:eastAsia="黑体"/>
      <w:b/>
      <w:bCs/>
      <w:kern w:val="0"/>
      <w:sz w:val="20"/>
      <w:szCs w:val="32"/>
    </w:rPr>
  </w:style>
  <w:style w:type="paragraph" w:customStyle="1" w:styleId="28">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18751</Words>
  <Characters>19644</Characters>
  <Lines>0</Lines>
  <Paragraphs>0</Paragraphs>
  <TotalTime>6</TotalTime>
  <ScaleCrop>false</ScaleCrop>
  <LinksUpToDate>false</LinksUpToDate>
  <CharactersWithSpaces>22796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2022-05-27T07:08:00Z</dcterms:created>
  <dc:creator>陆国天</dc:creator>
  <cp:lastModifiedBy>一个人的海洋</cp:lastModifiedBy>
  <dcterms:modified xsi:type="dcterms:W3CDTF">2022-11-02T09:22:42Z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3018C8C9EB6342C9A5B798EA590280BC</vt:lpwstr>
  </property>
</Properties>
</file>