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jc w:val="center"/>
        <w:rPr>
          <w:rStyle w:val="51"/>
          <w:rFonts w:ascii="宋体" w:hAnsi="宋体" w:eastAsia="宋体"/>
          <w:b w:val="0"/>
          <w:highlight w:val="none"/>
        </w:rPr>
      </w:pPr>
      <w:bookmarkStart w:id="0" w:name="_Toc114134661"/>
      <w:bookmarkStart w:id="1" w:name="_Toc4374"/>
      <w:bookmarkStart w:id="2" w:name="_Toc31873"/>
      <w:bookmarkStart w:id="3" w:name="_Toc21689"/>
      <w:bookmarkStart w:id="4" w:name="_Toc28677"/>
      <w:bookmarkStart w:id="5" w:name="_Toc14790"/>
      <w:bookmarkStart w:id="6" w:name="_Toc29546"/>
      <w:bookmarkStart w:id="7" w:name="_Toc30920"/>
      <w:bookmarkStart w:id="8" w:name="_Toc17396"/>
      <w:bookmarkStart w:id="9" w:name="_Toc25306"/>
      <w:bookmarkStart w:id="10" w:name="_Toc27263"/>
      <w:bookmarkStart w:id="11" w:name="_Toc13167"/>
      <w:bookmarkStart w:id="12" w:name="_Toc6151"/>
      <w:bookmarkStart w:id="13" w:name="_Toc17261"/>
      <w:bookmarkStart w:id="14" w:name="_Toc28285"/>
      <w:bookmarkStart w:id="15" w:name="_Toc32011"/>
      <w:bookmarkStart w:id="16" w:name="_Toc31574"/>
      <w:bookmarkStart w:id="17" w:name="_Toc11320"/>
      <w:r>
        <w:rPr>
          <w:rStyle w:val="51"/>
          <w:rFonts w:hint="eastAsia" w:ascii="宋体" w:hAnsi="宋体" w:eastAsia="宋体"/>
          <w:b w:val="0"/>
          <w:highlight w:val="none"/>
        </w:rPr>
        <w:t>第四章</w:t>
      </w:r>
      <w:r>
        <w:rPr>
          <w:rStyle w:val="51"/>
          <w:rFonts w:hint="eastAsia" w:ascii="宋体" w:hAnsi="宋体"/>
          <w:b w:val="0"/>
          <w:highlight w:val="none"/>
          <w:lang w:val="en-US" w:eastAsia="zh-CN"/>
        </w:rPr>
        <w:t xml:space="preserve"> </w:t>
      </w:r>
      <w:r>
        <w:rPr>
          <w:rStyle w:val="51"/>
          <w:rFonts w:hint="eastAsia" w:ascii="宋体" w:hAnsi="宋体" w:eastAsia="宋体"/>
          <w:b w:val="0"/>
          <w:highlight w:val="none"/>
        </w:rPr>
        <w:t>比选申请文件格式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3"/>
        <w:spacing w:after="100"/>
        <w:ind w:right="-57" w:firstLine="0"/>
        <w:jc w:val="center"/>
        <w:rPr>
          <w:sz w:val="24"/>
          <w:szCs w:val="24"/>
          <w:highlight w:val="none"/>
        </w:rPr>
      </w:pPr>
      <w:bookmarkStart w:id="18" w:name="_Toc114134662"/>
      <w:bookmarkStart w:id="19" w:name="_Toc12984805"/>
      <w:bookmarkStart w:id="20" w:name="_Toc4027"/>
      <w:bookmarkStart w:id="21" w:name="_Toc23261"/>
      <w:bookmarkStart w:id="22" w:name="_Toc414290520"/>
      <w:bookmarkStart w:id="23" w:name="_Toc25325"/>
      <w:bookmarkStart w:id="24" w:name="_Toc31535"/>
      <w:bookmarkStart w:id="25" w:name="_Toc6941"/>
      <w:bookmarkStart w:id="26" w:name="_Toc12983549"/>
      <w:bookmarkStart w:id="27" w:name="_Toc31624"/>
      <w:bookmarkStart w:id="28" w:name="_Toc22709"/>
      <w:bookmarkStart w:id="29" w:name="_Toc24453"/>
      <w:bookmarkStart w:id="30" w:name="_Toc361"/>
      <w:bookmarkStart w:id="31" w:name="_Toc30705"/>
      <w:bookmarkStart w:id="32" w:name="_Toc4873"/>
      <w:bookmarkStart w:id="33" w:name="_Toc492478802"/>
      <w:bookmarkStart w:id="34" w:name="_Toc32185"/>
      <w:bookmarkStart w:id="35" w:name="_Toc21274"/>
      <w:bookmarkStart w:id="36" w:name="_Toc19412"/>
      <w:bookmarkStart w:id="37" w:name="_Toc3396"/>
      <w:bookmarkStart w:id="38" w:name="_Toc24824"/>
      <w:bookmarkStart w:id="39" w:name="_Toc16671"/>
      <w:r>
        <w:rPr>
          <w:sz w:val="24"/>
          <w:szCs w:val="24"/>
          <w:highlight w:val="none"/>
        </w:rPr>
        <w:t>A  资格审查</w:t>
      </w:r>
      <w:r>
        <w:rPr>
          <w:rFonts w:hint="eastAsia"/>
          <w:sz w:val="24"/>
          <w:szCs w:val="24"/>
          <w:highlight w:val="none"/>
        </w:rPr>
        <w:t>文件</w:t>
      </w:r>
      <w:bookmarkEnd w:id="18"/>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资格审查文件格式</w:t>
      </w:r>
    </w:p>
    <w:p>
      <w:pPr>
        <w:spacing w:before="0" w:after="0" w:afterAutospacing="0"/>
        <w:ind w:left="0" w:right="0" w:firstLine="420" w:firstLineChars="200"/>
        <w:rPr>
          <w:rFonts w:hint="eastAsia" w:hAnsi="宋体"/>
          <w:highlight w:val="none"/>
          <w:lang w:eastAsia="zh-CN"/>
        </w:rPr>
      </w:pPr>
      <w:r>
        <w:rPr>
          <w:rFonts w:hint="eastAsia" w:hAnsi="宋体"/>
          <w:highlight w:val="none"/>
          <w:lang w:eastAsia="zh-CN"/>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420" w:firstLineChars="200"/>
        <w:rPr>
          <w:rFonts w:hint="eastAsia" w:hAnsi="宋体"/>
          <w:highlight w:val="none"/>
          <w:lang w:eastAsia="zh-CN"/>
        </w:rPr>
      </w:pPr>
      <w:r>
        <w:rPr>
          <w:rFonts w:hint="eastAsia" w:hAnsi="宋体"/>
          <w:highlight w:val="none"/>
          <w:lang w:eastAsia="zh-CN"/>
        </w:rPr>
        <w:t>（2）比选申请人有效的营业执照及资质证书复印件（附软件著作权登记证明、公安部颁发的计算机信息系统安全专用产品销售许可证）；</w:t>
      </w:r>
    </w:p>
    <w:p>
      <w:pPr>
        <w:spacing w:before="0" w:after="0" w:afterAutospacing="0"/>
        <w:ind w:left="0" w:right="0" w:firstLine="420" w:firstLineChars="200"/>
        <w:rPr>
          <w:rFonts w:hint="eastAsia" w:hAnsi="宋体"/>
          <w:highlight w:val="none"/>
          <w:lang w:eastAsia="zh-CN"/>
        </w:rPr>
      </w:pPr>
      <w:r>
        <w:rPr>
          <w:rFonts w:hint="eastAsia" w:hAnsi="宋体"/>
          <w:highlight w:val="none"/>
          <w:lang w:eastAsia="zh-CN"/>
        </w:rPr>
        <w:t>（3）承诺书（格式见A3）；</w:t>
      </w:r>
    </w:p>
    <w:p>
      <w:pPr>
        <w:spacing w:before="0" w:after="0" w:afterAutospacing="0" w:line="360" w:lineRule="auto"/>
        <w:ind w:left="0" w:right="0" w:firstLine="420" w:firstLineChars="200"/>
        <w:rPr>
          <w:rFonts w:hint="eastAsia" w:hAnsi="宋体"/>
          <w:highlight w:val="none"/>
        </w:rPr>
      </w:pPr>
      <w:r>
        <w:rPr>
          <w:rFonts w:hint="eastAsia" w:hAnsi="宋体"/>
          <w:highlight w:val="none"/>
        </w:rPr>
        <w:t>（4）类似项目业绩表（A4）；</w:t>
      </w:r>
    </w:p>
    <w:p>
      <w:pPr>
        <w:spacing w:before="0" w:after="0" w:afterAutospacing="0"/>
        <w:ind w:left="0" w:right="0" w:firstLine="420" w:firstLineChars="200"/>
        <w:rPr>
          <w:rFonts w:hint="eastAsia" w:hAnsi="宋体"/>
          <w:highlight w:val="none"/>
        </w:rPr>
      </w:pPr>
      <w:r>
        <w:rPr>
          <w:rFonts w:hint="eastAsia" w:hAnsi="宋体"/>
          <w:highlight w:val="none"/>
        </w:rPr>
        <w:t>（5）比选申请人认为应提交的其他比选申请资料（如有）。</w:t>
      </w:r>
    </w:p>
    <w:p>
      <w:pPr>
        <w:spacing w:before="0" w:after="0" w:afterAutospacing="0"/>
        <w:ind w:left="0" w:right="0" w:firstLine="420" w:firstLineChars="200"/>
        <w:rPr>
          <w:rFonts w:hAnsi="宋体"/>
          <w:highlight w:val="none"/>
        </w:rPr>
      </w:pPr>
      <w:r>
        <w:rPr>
          <w:rFonts w:hint="eastAsia" w:hAnsi="宋体"/>
          <w:highlight w:val="none"/>
        </w:rPr>
        <w:t>注：</w:t>
      </w:r>
      <w:r>
        <w:rPr>
          <w:rFonts w:hAnsi="宋体"/>
          <w:highlight w:val="none"/>
        </w:rPr>
        <w:t>以上提供的复印件必须加盖比选申请人公章。</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0" w:afterAutospacing="0"/>
        <w:ind w:left="0" w:right="0" w:firstLine="420" w:firstLineChars="200"/>
        <w:rPr>
          <w:rFonts w:hAnsi="宋体"/>
          <w:highlight w:val="none"/>
        </w:rPr>
        <w:sectPr>
          <w:headerReference r:id="rId5" w:type="default"/>
          <w:footerReference r:id="rId6" w:type="default"/>
          <w:pgSz w:w="11905" w:h="16838"/>
          <w:pgMar w:top="1417" w:right="1417" w:bottom="1417" w:left="1417" w:header="454" w:footer="567" w:gutter="0"/>
          <w:cols w:space="720" w:num="1"/>
          <w:docGrid w:linePitch="312" w:charSpace="0"/>
        </w:sectPr>
      </w:pPr>
    </w:p>
    <w:p>
      <w:pPr>
        <w:numPr>
          <w:ilvl w:val="1"/>
          <w:numId w:val="1"/>
        </w:numPr>
        <w:snapToGrid w:val="0"/>
        <w:spacing w:before="0" w:line="240" w:lineRule="auto"/>
        <w:ind w:right="0" w:firstLine="0"/>
        <w:jc w:val="left"/>
        <w:outlineLvl w:val="0"/>
        <w:rPr>
          <w:rFonts w:ascii="宋体" w:hAnsi="宋体"/>
          <w:b/>
          <w:highlight w:val="none"/>
        </w:rPr>
      </w:pPr>
      <w:bookmarkStart w:id="40" w:name="_Toc10238"/>
      <w:bookmarkStart w:id="41" w:name="_Toc9658"/>
      <w:bookmarkStart w:id="42" w:name="_Toc8868"/>
      <w:bookmarkStart w:id="43" w:name="_Toc375564351"/>
      <w:bookmarkStart w:id="44" w:name="_Toc3499"/>
      <w:bookmarkStart w:id="45" w:name="_Toc22533"/>
      <w:bookmarkStart w:id="46" w:name="_Toc24436"/>
      <w:bookmarkStart w:id="47" w:name="_Toc956"/>
      <w:bookmarkStart w:id="48" w:name="_Toc414290522"/>
      <w:bookmarkStart w:id="49" w:name="_Toc492478804"/>
      <w:bookmarkStart w:id="50" w:name="_Toc25750675"/>
      <w:bookmarkStart w:id="51" w:name="_Toc15696"/>
      <w:bookmarkStart w:id="52" w:name="_Toc10789"/>
      <w:bookmarkStart w:id="53" w:name="_Toc20029"/>
      <w:bookmarkStart w:id="54" w:name="_Toc114134663"/>
      <w:bookmarkStart w:id="55" w:name="_Toc20671"/>
      <w:bookmarkStart w:id="56" w:name="_Toc7057"/>
      <w:bookmarkStart w:id="57" w:name="_Toc32455"/>
      <w:bookmarkStart w:id="58" w:name="_Toc4125"/>
      <w:bookmarkStart w:id="59" w:name="_Toc16089"/>
      <w:bookmarkStart w:id="60" w:name="_Toc13389"/>
      <w:bookmarkStart w:id="61" w:name="_Toc10433"/>
      <w:bookmarkStart w:id="62" w:name="_Toc20283"/>
      <w:bookmarkStart w:id="63" w:name="_Toc12984807"/>
      <w:r>
        <w:rPr>
          <w:rFonts w:ascii="宋体" w:hAnsi="宋体"/>
          <w:b/>
          <w:highlight w:val="none"/>
        </w:rPr>
        <w:t>法定代表人授权书格式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before="240" w:after="240"/>
        <w:ind w:right="0" w:firstLine="0"/>
        <w:jc w:val="center"/>
        <w:rPr>
          <w:rFonts w:ascii="宋体" w:hAnsi="宋体"/>
          <w:b/>
          <w:sz w:val="32"/>
          <w:szCs w:val="32"/>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hint="eastAsia" w:ascii="宋体" w:hAnsi="宋体" w:eastAsia="宋体"/>
          <w:highlight w:val="none"/>
          <w:lang w:eastAsia="zh-CN"/>
        </w:rPr>
      </w:pPr>
      <w:r>
        <w:rPr>
          <w:rFonts w:ascii="宋体" w:hAnsi="宋体"/>
          <w:highlight w:val="none"/>
        </w:rPr>
        <w:t>致：</w:t>
      </w:r>
      <w:r>
        <w:rPr>
          <w:rFonts w:hint="eastAsia" w:ascii="宋体" w:hAnsi="宋体"/>
          <w:highlight w:val="none"/>
          <w:lang w:eastAsia="zh-CN"/>
        </w:rPr>
        <w:t>南宁轨道地产集团有限责任公司</w:t>
      </w:r>
    </w:p>
    <w:p>
      <w:pPr>
        <w:keepNext w:val="0"/>
        <w:keepLines w:val="0"/>
        <w:pageBreakBefore w:val="0"/>
        <w:widowControl/>
        <w:tabs>
          <w:tab w:val="left" w:pos="8364"/>
        </w:tabs>
        <w:kinsoku/>
        <w:wordWrap/>
        <w:overflowPunct/>
        <w:topLinePunct w:val="0"/>
        <w:autoSpaceDE/>
        <w:autoSpaceDN/>
        <w:bidi w:val="0"/>
        <w:adjustRightInd/>
        <w:snapToGrid w:val="0"/>
        <w:spacing w:before="0" w:after="0" w:afterAutospacing="0"/>
        <w:ind w:left="0" w:leftChars="0" w:right="0" w:firstLine="420" w:firstLineChars="200"/>
        <w:textAlignment w:val="auto"/>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w:t>
      </w:r>
      <w:r>
        <w:rPr>
          <w:rFonts w:ascii="宋体" w:hAnsi="宋体"/>
          <w:highlight w:val="none"/>
          <w:u w:val="single"/>
        </w:rPr>
        <w:t>XXXX</w:t>
      </w:r>
      <w:r>
        <w:rPr>
          <w:rFonts w:ascii="宋体" w:hAnsi="宋体"/>
          <w:highlight w:val="none"/>
        </w:rPr>
        <w:t>项目的比选申请和合同执行，作为比选申请人代表以本公司的名义处理一切与之有关的事宜。</w:t>
      </w:r>
    </w:p>
    <w:p>
      <w:pPr>
        <w:keepNext w:val="0"/>
        <w:keepLines w:val="0"/>
        <w:pageBreakBefore w:val="0"/>
        <w:widowControl/>
        <w:tabs>
          <w:tab w:val="left" w:pos="8364"/>
        </w:tabs>
        <w:kinsoku/>
        <w:wordWrap/>
        <w:overflowPunct/>
        <w:topLinePunct w:val="0"/>
        <w:autoSpaceDE/>
        <w:autoSpaceDN/>
        <w:bidi w:val="0"/>
        <w:adjustRightInd/>
        <w:snapToGrid w:val="0"/>
        <w:spacing w:before="0" w:after="0" w:afterAutospacing="0"/>
        <w:ind w:left="0" w:leftChars="0" w:right="0" w:firstLine="420" w:firstLineChars="200"/>
        <w:textAlignment w:val="auto"/>
        <w:rPr>
          <w:rFonts w:ascii="宋体" w:hAnsi="宋体"/>
          <w:highlight w:val="none"/>
        </w:rPr>
      </w:pPr>
      <w:r>
        <w:rPr>
          <w:rFonts w:ascii="宋体" w:hAnsi="宋体"/>
          <w:highlight w:val="none"/>
        </w:rPr>
        <w:t>本授权书于年月日签字生效，特此声明。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spacing w:before="0"/>
        <w:ind w:right="0"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right="0" w:firstLine="200"/>
        <w:rPr>
          <w:rFonts w:ascii="宋体" w:hAnsi="宋体"/>
          <w:highlight w:val="none"/>
          <w:u w:val="single"/>
        </w:rPr>
      </w:pPr>
    </w:p>
    <w:p>
      <w:pPr>
        <w:numPr>
          <w:ilvl w:val="1"/>
          <w:numId w:val="1"/>
        </w:numPr>
        <w:snapToGrid w:val="0"/>
        <w:spacing w:before="0" w:line="240" w:lineRule="auto"/>
        <w:ind w:right="0" w:firstLine="0"/>
        <w:jc w:val="left"/>
        <w:outlineLvl w:val="0"/>
        <w:rPr>
          <w:rFonts w:ascii="宋体" w:hAnsi="宋体"/>
          <w:b/>
          <w:highlight w:val="none"/>
        </w:rPr>
      </w:pPr>
      <w:bookmarkStart w:id="64" w:name="_Toc13798"/>
      <w:bookmarkStart w:id="65" w:name="_Toc15980"/>
      <w:bookmarkStart w:id="66" w:name="_Toc26713"/>
      <w:bookmarkStart w:id="67" w:name="_Toc414290523"/>
      <w:bookmarkStart w:id="68" w:name="_Toc27722"/>
      <w:bookmarkStart w:id="69" w:name="_Toc24322"/>
      <w:bookmarkStart w:id="70" w:name="_Toc13606"/>
      <w:bookmarkStart w:id="71" w:name="_Toc9583"/>
      <w:bookmarkStart w:id="72" w:name="_Toc27657"/>
      <w:bookmarkStart w:id="73" w:name="_Toc15572"/>
      <w:bookmarkStart w:id="74" w:name="_Toc19744"/>
      <w:bookmarkStart w:id="75" w:name="_Toc12984808"/>
      <w:bookmarkStart w:id="76" w:name="_Toc114134664"/>
      <w:bookmarkStart w:id="77" w:name="_Toc375564352"/>
      <w:bookmarkStart w:id="78" w:name="_Toc20436"/>
      <w:bookmarkStart w:id="79" w:name="_Toc8654"/>
      <w:bookmarkStart w:id="80" w:name="_Toc492478805"/>
      <w:bookmarkStart w:id="81" w:name="_Toc25750676"/>
      <w:bookmarkStart w:id="82" w:name="_Toc13634"/>
      <w:bookmarkStart w:id="83" w:name="_Toc9757"/>
      <w:bookmarkStart w:id="84" w:name="_Toc17964"/>
      <w:bookmarkStart w:id="85" w:name="_Toc31808"/>
      <w:bookmarkStart w:id="86" w:name="_Toc7273"/>
      <w:bookmarkStart w:id="87" w:name="_Toc7753"/>
      <w:r>
        <w:rPr>
          <w:rFonts w:ascii="宋体" w:hAnsi="宋体"/>
          <w:b/>
          <w:highlight w:val="none"/>
        </w:rPr>
        <w:t>法定代表人资格证明书格式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ind w:right="0" w:firstLine="200"/>
        <w:rPr>
          <w:rFonts w:ascii="宋体" w:hAnsi="宋体"/>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p>
    <w:p>
      <w:pPr>
        <w:ind w:right="0" w:firstLine="200"/>
        <w:rPr>
          <w:rFonts w:ascii="宋体" w:hAnsi="宋体"/>
          <w:highlight w:val="none"/>
          <w:u w:val="single"/>
        </w:rPr>
      </w:pPr>
      <w:r>
        <w:rPr>
          <w:rFonts w:ascii="宋体" w:hAnsi="宋体"/>
          <w:highlight w:val="none"/>
        </w:rPr>
        <w:t>地址：</w:t>
      </w:r>
    </w:p>
    <w:p>
      <w:pPr>
        <w:ind w:right="0" w:firstLine="200"/>
        <w:rPr>
          <w:rFonts w:ascii="宋体" w:hAnsi="宋体"/>
          <w:highlight w:val="none"/>
          <w:u w:val="single"/>
        </w:rPr>
      </w:pPr>
      <w:r>
        <w:rPr>
          <w:rFonts w:ascii="宋体" w:hAnsi="宋体"/>
          <w:highlight w:val="none"/>
        </w:rPr>
        <w:t>姓名：性别：年龄：职务：</w:t>
      </w:r>
    </w:p>
    <w:p>
      <w:pPr>
        <w:ind w:right="0" w:firstLine="200"/>
        <w:rPr>
          <w:rFonts w:ascii="宋体" w:hAnsi="宋体"/>
          <w:highlight w:val="none"/>
        </w:rPr>
      </w:pPr>
      <w:r>
        <w:rPr>
          <w:rFonts w:ascii="宋体" w:hAnsi="宋体"/>
          <w:highlight w:val="none"/>
        </w:rPr>
        <w:t>系的法定代表人。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p>
    <w:p>
      <w:pPr>
        <w:ind w:right="0" w:firstLine="200"/>
        <w:rPr>
          <w:rFonts w:ascii="宋体" w:hAnsi="宋体"/>
          <w:highlight w:val="none"/>
        </w:rPr>
      </w:pPr>
      <w:r>
        <w:rPr>
          <w:rFonts w:ascii="宋体" w:hAnsi="宋体"/>
          <w:highlight w:val="none"/>
        </w:rPr>
        <w:t>日期：年月日</w:t>
      </w:r>
    </w:p>
    <w:p>
      <w:pPr>
        <w:rPr>
          <w:rFonts w:ascii="宋体" w:hAnsi="宋体"/>
          <w:b/>
          <w:highlight w:val="none"/>
        </w:rPr>
      </w:pPr>
      <w:bookmarkStart w:id="88"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pageBreakBefore/>
        <w:snapToGrid w:val="0"/>
        <w:ind w:right="0" w:firstLine="0"/>
        <w:jc w:val="left"/>
        <w:outlineLvl w:val="0"/>
        <w:rPr>
          <w:rFonts w:ascii="宋体" w:hAnsi="宋体"/>
          <w:b/>
          <w:highlight w:val="none"/>
        </w:rPr>
      </w:pPr>
      <w:bookmarkStart w:id="89" w:name="_Toc492478806"/>
      <w:bookmarkStart w:id="90" w:name="_Toc15394"/>
      <w:bookmarkStart w:id="91" w:name="_Toc31448"/>
      <w:bookmarkStart w:id="92" w:name="_Toc114134665"/>
      <w:bookmarkStart w:id="93" w:name="_Toc15609"/>
      <w:bookmarkStart w:id="94" w:name="_Toc414290524"/>
      <w:bookmarkStart w:id="95" w:name="_Toc26907"/>
      <w:bookmarkStart w:id="96" w:name="_Toc21307"/>
      <w:bookmarkStart w:id="97" w:name="_Toc1932"/>
      <w:bookmarkStart w:id="98" w:name="_Toc6033"/>
      <w:bookmarkStart w:id="99" w:name="_Toc375564353"/>
      <w:bookmarkStart w:id="100" w:name="_Toc7712"/>
      <w:bookmarkStart w:id="101" w:name="_Toc17745"/>
      <w:bookmarkStart w:id="102" w:name="_Toc29246"/>
      <w:bookmarkStart w:id="103" w:name="_Toc24848"/>
      <w:bookmarkStart w:id="104" w:name="_Toc25750677"/>
      <w:bookmarkStart w:id="105" w:name="_Toc32062"/>
      <w:bookmarkStart w:id="106" w:name="_Toc4894"/>
      <w:bookmarkStart w:id="107" w:name="_Toc16467"/>
      <w:bookmarkStart w:id="108" w:name="_Toc3426"/>
      <w:bookmarkStart w:id="109" w:name="_Toc26097"/>
      <w:bookmarkStart w:id="110" w:name="_Toc19721"/>
      <w:bookmarkStart w:id="111" w:name="_Toc11425"/>
      <w:r>
        <w:rPr>
          <w:rFonts w:hint="eastAsia" w:ascii="宋体" w:hAnsi="宋体"/>
          <w:b/>
          <w:highlight w:val="none"/>
        </w:rPr>
        <w:t xml:space="preserve">A3 </w:t>
      </w:r>
      <w:r>
        <w:rPr>
          <w:rFonts w:ascii="宋体" w:hAnsi="宋体"/>
          <w:b/>
          <w:highlight w:val="none"/>
        </w:rPr>
        <w:t>承诺书格式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pacing w:before="0" w:after="0" w:afterAutospacing="0"/>
        <w:ind w:right="0"/>
        <w:jc w:val="left"/>
        <w:rPr>
          <w:rFonts w:hint="eastAsia" w:ascii="宋体" w:hAnsi="宋体" w:eastAsia="宋体"/>
          <w:highlight w:val="none"/>
          <w:u w:val="single"/>
          <w:lang w:eastAsia="zh-CN"/>
        </w:rPr>
      </w:pPr>
      <w:r>
        <w:rPr>
          <w:rFonts w:ascii="宋体" w:hAnsi="宋体"/>
          <w:highlight w:val="none"/>
        </w:rPr>
        <w:t>致：</w:t>
      </w:r>
      <w:r>
        <w:rPr>
          <w:rFonts w:hint="eastAsia" w:ascii="宋体" w:hAnsi="宋体"/>
          <w:highlight w:val="none"/>
          <w:u w:val="single"/>
          <w:lang w:eastAsia="zh-CN"/>
        </w:rPr>
        <w:t>南宁轨道地产集团有限责任公司</w:t>
      </w:r>
    </w:p>
    <w:p>
      <w:pPr>
        <w:spacing w:before="0" w:after="0" w:afterAutospacing="0"/>
        <w:ind w:left="0" w:right="0" w:firstLine="420" w:firstLineChars="200"/>
        <w:jc w:val="left"/>
        <w:rPr>
          <w:rFonts w:ascii="宋体" w:hAnsi="宋体"/>
          <w:highlight w:val="none"/>
        </w:rPr>
      </w:pPr>
      <w:r>
        <w:rPr>
          <w:rFonts w:ascii="宋体" w:hAnsi="宋体"/>
          <w:highlight w:val="none"/>
        </w:rPr>
        <w:t>1</w:t>
      </w:r>
      <w:r>
        <w:rPr>
          <w:rFonts w:hint="eastAsia" w:ascii="宋体" w:hAnsi="宋体"/>
          <w:highlight w:val="none"/>
        </w:rPr>
        <w:t>.</w:t>
      </w:r>
      <w:r>
        <w:rPr>
          <w:rFonts w:ascii="宋体" w:hAnsi="宋体"/>
          <w:highlight w:val="none"/>
        </w:rPr>
        <w:t>在认真研读</w:t>
      </w:r>
      <w:r>
        <w:rPr>
          <w:rFonts w:hint="eastAsia" w:ascii="宋体" w:hAnsi="宋体"/>
          <w:highlight w:val="none"/>
          <w:lang w:eastAsia="zh-CN"/>
        </w:rPr>
        <w:t>南宁轨道地产集团有限责任公司</w:t>
      </w:r>
      <w:r>
        <w:rPr>
          <w:rFonts w:hint="eastAsia" w:ascii="宋体" w:hAnsi="宋体"/>
          <w:highlight w:val="none"/>
        </w:rPr>
        <w:t>的比选文件</w:t>
      </w:r>
      <w:r>
        <w:rPr>
          <w:rFonts w:ascii="宋体" w:hAnsi="宋体"/>
          <w:highlight w:val="none"/>
        </w:rPr>
        <w:t>后，我方经慎重考虑，郑重承诺参加</w:t>
      </w:r>
      <w:r>
        <w:rPr>
          <w:rFonts w:hint="eastAsia" w:ascii="宋体" w:hAnsi="宋体"/>
          <w:highlight w:val="none"/>
        </w:rPr>
        <w:t>项目的比选申请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w:t>
      </w:r>
      <w:r>
        <w:rPr>
          <w:rFonts w:hint="eastAsia" w:ascii="宋体" w:hAnsi="宋体"/>
          <w:highlight w:val="none"/>
        </w:rPr>
        <w:t>.</w:t>
      </w:r>
      <w:r>
        <w:rPr>
          <w:rFonts w:ascii="宋体" w:hAnsi="宋体"/>
          <w:highlight w:val="none"/>
        </w:rPr>
        <w:t>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比选申请过程中或者在中选后，比选人或者有管辖权的行政监管机构发现并查实我公司在所填报的该项目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w:t>
      </w:r>
      <w:r>
        <w:rPr>
          <w:rFonts w:ascii="宋体" w:hAnsi="宋体"/>
          <w:highlight w:val="none"/>
        </w:rPr>
        <w:t>比选人或有管辖权的监管机构的处罚；如果我公司已</w:t>
      </w:r>
      <w:r>
        <w:rPr>
          <w:rFonts w:hint="eastAsia" w:ascii="宋体" w:hAnsi="宋体"/>
          <w:highlight w:val="none"/>
        </w:rPr>
        <w:t>与比选人签订合同，则视为我公司违约，履约保证金由比选人没收</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招比选申请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比选申请人</w:t>
      </w:r>
      <w:r>
        <w:rPr>
          <w:rFonts w:ascii="宋体" w:hAnsi="宋体"/>
          <w:highlight w:val="none"/>
        </w:rPr>
        <w:t>地址：</w:t>
      </w:r>
    </w:p>
    <w:p>
      <w:pPr>
        <w:spacing w:before="0" w:after="0" w:afterAutospacing="0" w:line="480" w:lineRule="auto"/>
        <w:ind w:left="0" w:right="0" w:firstLine="200"/>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邮政编码：</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法定代表人（或委托代理人）：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电话：</w:t>
      </w:r>
      <w:r>
        <w:rPr>
          <w:rFonts w:ascii="宋体" w:hAnsi="宋体"/>
          <w:highlight w:val="none"/>
          <w:u w:val="single"/>
        </w:rPr>
        <w:t>　　</w:t>
      </w:r>
    </w:p>
    <w:p>
      <w:pPr>
        <w:spacing w:before="0" w:after="0" w:afterAutospacing="0" w:line="480" w:lineRule="auto"/>
        <w:ind w:left="0" w:right="0" w:firstLine="200"/>
        <w:rPr>
          <w:rFonts w:ascii="宋体" w:hAnsi="宋体"/>
          <w:highlight w:val="none"/>
          <w:u w:val="single"/>
        </w:rPr>
      </w:pPr>
      <w:r>
        <w:rPr>
          <w:rFonts w:ascii="宋体" w:hAnsi="宋体"/>
          <w:highlight w:val="none"/>
        </w:rPr>
        <w:t>传真：</w:t>
      </w:r>
    </w:p>
    <w:p>
      <w:pPr>
        <w:spacing w:before="0" w:after="0" w:afterAutospacing="0" w:line="480" w:lineRule="auto"/>
        <w:ind w:left="0" w:right="0" w:firstLine="200"/>
        <w:rPr>
          <w:rFonts w:ascii="宋体" w:hAnsi="宋体"/>
          <w:highlight w:val="none"/>
        </w:rPr>
      </w:pPr>
      <w:r>
        <w:rPr>
          <w:rFonts w:ascii="宋体" w:hAnsi="宋体"/>
          <w:highlight w:val="none"/>
        </w:rPr>
        <w:t>日期：</w:t>
      </w:r>
      <w:r>
        <w:rPr>
          <w:rFonts w:hint="eastAsia" w:ascii="宋体" w:hAnsi="宋体"/>
          <w:highlight w:val="none"/>
          <w:lang w:val="en-US" w:eastAsia="zh-CN"/>
        </w:rPr>
        <w:t xml:space="preserve">  </w:t>
      </w:r>
      <w:r>
        <w:rPr>
          <w:rFonts w:ascii="宋体" w:hAnsi="宋体"/>
          <w:highlight w:val="none"/>
        </w:rPr>
        <w:t>年</w:t>
      </w:r>
      <w:r>
        <w:rPr>
          <w:rFonts w:hint="eastAsia" w:ascii="宋体" w:hAnsi="宋体"/>
          <w:highlight w:val="none"/>
          <w:lang w:val="en-US" w:eastAsia="zh-CN"/>
        </w:rPr>
        <w:t xml:space="preserve">  </w:t>
      </w:r>
      <w:r>
        <w:rPr>
          <w:rFonts w:ascii="宋体" w:hAnsi="宋体"/>
          <w:highlight w:val="none"/>
        </w:rPr>
        <w:t>月</w:t>
      </w:r>
      <w:r>
        <w:rPr>
          <w:rFonts w:hint="eastAsia" w:ascii="宋体" w:hAnsi="宋体"/>
          <w:highlight w:val="none"/>
          <w:lang w:val="en-US" w:eastAsia="zh-CN"/>
        </w:rPr>
        <w:t xml:space="preserve">   </w:t>
      </w:r>
      <w:r>
        <w:rPr>
          <w:rFonts w:ascii="宋体" w:hAnsi="宋体"/>
          <w:highlight w:val="none"/>
        </w:rPr>
        <w:t>日</w:t>
      </w:r>
    </w:p>
    <w:p>
      <w:pPr>
        <w:pageBreakBefore/>
        <w:snapToGrid w:val="0"/>
        <w:ind w:right="0" w:firstLine="0"/>
        <w:jc w:val="left"/>
        <w:outlineLvl w:val="0"/>
        <w:rPr>
          <w:rFonts w:ascii="宋体" w:hAnsi="宋体"/>
          <w:b/>
          <w:highlight w:val="none"/>
        </w:rPr>
      </w:pPr>
      <w:bookmarkStart w:id="112" w:name="_Toc114134666"/>
      <w:bookmarkStart w:id="113" w:name="_Toc25750678"/>
      <w:r>
        <w:rPr>
          <w:rFonts w:ascii="宋体" w:hAnsi="宋体"/>
          <w:b/>
          <w:highlight w:val="none"/>
        </w:rPr>
        <w:t>A</w:t>
      </w:r>
      <w:r>
        <w:rPr>
          <w:rFonts w:hint="eastAsia" w:ascii="宋体" w:hAnsi="宋体"/>
          <w:b/>
          <w:highlight w:val="none"/>
        </w:rPr>
        <w:t>4  类似项目</w:t>
      </w:r>
      <w:r>
        <w:rPr>
          <w:rFonts w:ascii="宋体" w:hAnsi="宋体"/>
          <w:b/>
          <w:highlight w:val="none"/>
        </w:rPr>
        <w:t>业绩表格式</w:t>
      </w:r>
      <w:bookmarkEnd w:id="112"/>
      <w:bookmarkEnd w:id="113"/>
    </w:p>
    <w:p>
      <w:pPr>
        <w:spacing w:before="0"/>
        <w:ind w:right="-57" w:firstLine="0"/>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33"/>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合同内容（简述：含</w:t>
            </w:r>
            <w:r>
              <w:rPr>
                <w:rFonts w:hint="eastAsia" w:ascii="宋体" w:hAnsi="宋体"/>
                <w:highlight w:val="none"/>
                <w:lang w:val="en-US" w:eastAsia="zh-CN"/>
              </w:rPr>
              <w:t>项目概况</w:t>
            </w:r>
            <w:r>
              <w:rPr>
                <w:rFonts w:hint="eastAsia" w:ascii="宋体" w:hAnsi="宋体"/>
                <w:highlight w:val="none"/>
              </w:rPr>
              <w:t>等内容）</w:t>
            </w:r>
          </w:p>
        </w:tc>
        <w:tc>
          <w:tcPr>
            <w:tcW w:w="992"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签订</w:t>
            </w:r>
            <w:r>
              <w:rPr>
                <w:rFonts w:ascii="宋体" w:hAnsi="宋体"/>
                <w:highlight w:val="none"/>
              </w:rPr>
              <w:br w:type="textWrapping"/>
            </w:r>
            <w:r>
              <w:rPr>
                <w:rFonts w:hint="eastAsia" w:ascii="宋体" w:hAnsi="宋体"/>
                <w:highlight w:val="none"/>
              </w:rPr>
              <w:t>时间</w:t>
            </w:r>
          </w:p>
        </w:tc>
        <w:tc>
          <w:tcPr>
            <w:tcW w:w="1388"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highlight w:val="none"/>
              </w:rPr>
            </w:pPr>
          </w:p>
        </w:tc>
        <w:tc>
          <w:tcPr>
            <w:tcW w:w="1092" w:type="dxa"/>
          </w:tcPr>
          <w:p>
            <w:pPr>
              <w:ind w:left="0" w:firstLine="0"/>
              <w:rPr>
                <w:rFonts w:ascii="宋体" w:hAnsi="宋体"/>
                <w:highlight w:val="none"/>
              </w:rPr>
            </w:pPr>
          </w:p>
        </w:tc>
        <w:tc>
          <w:tcPr>
            <w:tcW w:w="1789" w:type="dxa"/>
          </w:tcPr>
          <w:p>
            <w:pPr>
              <w:ind w:left="0" w:firstLine="0"/>
              <w:rPr>
                <w:rFonts w:ascii="宋体" w:hAnsi="宋体"/>
                <w:highlight w:val="none"/>
              </w:rPr>
            </w:pPr>
          </w:p>
        </w:tc>
        <w:tc>
          <w:tcPr>
            <w:tcW w:w="992" w:type="dxa"/>
          </w:tcPr>
          <w:p>
            <w:pPr>
              <w:ind w:left="0" w:firstLine="0"/>
              <w:rPr>
                <w:rFonts w:ascii="宋体" w:hAnsi="宋体"/>
                <w:highlight w:val="none"/>
              </w:rPr>
            </w:pPr>
          </w:p>
        </w:tc>
        <w:tc>
          <w:tcPr>
            <w:tcW w:w="993" w:type="dxa"/>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tcPr>
          <w:p>
            <w:pPr>
              <w:ind w:left="0" w:firstLine="0"/>
              <w:rPr>
                <w:rFonts w:ascii="宋体" w:hAnsi="宋体"/>
                <w:highlight w:val="none"/>
              </w:rPr>
            </w:pPr>
          </w:p>
        </w:tc>
        <w:tc>
          <w:tcPr>
            <w:tcW w:w="1043" w:type="dxa"/>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bl>
    <w:p>
      <w:pPr>
        <w:spacing w:before="0"/>
        <w:ind w:left="567" w:right="-57" w:hanging="567"/>
        <w:jc w:val="left"/>
        <w:rPr>
          <w:rFonts w:ascii="宋体" w:hAnsi="宋体"/>
          <w:highlight w:val="none"/>
        </w:rPr>
      </w:pPr>
    </w:p>
    <w:p>
      <w:pPr>
        <w:spacing w:before="0" w:after="0" w:afterAutospacing="0"/>
        <w:ind w:left="0" w:right="0" w:firstLine="0"/>
        <w:rPr>
          <w:rFonts w:hint="eastAsia" w:ascii="宋体" w:hAnsi="宋体"/>
          <w:color w:val="000000"/>
          <w:highlight w:val="none"/>
        </w:rPr>
      </w:pPr>
      <w:r>
        <w:rPr>
          <w:rFonts w:ascii="宋体" w:hAnsi="宋体"/>
          <w:highlight w:val="none"/>
        </w:rPr>
        <w:t>注：1.</w:t>
      </w:r>
      <w:r>
        <w:rPr>
          <w:rFonts w:hint="eastAsia" w:ascii="宋体" w:hAnsi="宋体"/>
          <w:highlight w:val="none"/>
        </w:rPr>
        <w:t>类似项目业绩：</w:t>
      </w:r>
      <w:r>
        <w:rPr>
          <w:rFonts w:hint="eastAsia" w:ascii="宋体" w:hAnsi="宋体" w:eastAsia="宋体"/>
          <w:highlight w:val="none"/>
          <w:lang w:val="en-US" w:eastAsia="zh-CN"/>
        </w:rPr>
        <w:t>2019年至今安全态势感知系统建设业绩造价在300000.00元及以上的3个不同项目</w:t>
      </w:r>
      <w:r>
        <w:rPr>
          <w:rFonts w:hint="eastAsia" w:ascii="宋体" w:hAnsi="宋体"/>
          <w:color w:val="000000"/>
          <w:highlight w:val="none"/>
        </w:rPr>
        <w:t>合同业绩（原件备查，附合同复印件，合同内容需体现合同造价及主要内容，如无，需出具项目情况说明且加盖单位公章原件。）</w:t>
      </w:r>
    </w:p>
    <w:p>
      <w:pPr>
        <w:spacing w:before="0" w:after="0" w:afterAutospacing="0"/>
        <w:ind w:left="0" w:right="0" w:firstLine="0"/>
        <w:rPr>
          <w:rFonts w:ascii="宋体" w:hAnsi="宋体"/>
          <w:highlight w:val="none"/>
        </w:rPr>
      </w:pPr>
      <w:r>
        <w:rPr>
          <w:rFonts w:ascii="宋体" w:hAnsi="宋体"/>
          <w:highlight w:val="none"/>
        </w:rPr>
        <w:t>2.</w:t>
      </w:r>
      <w:r>
        <w:rPr>
          <w:rFonts w:hint="eastAsia" w:ascii="宋体" w:hAnsi="宋体"/>
          <w:highlight w:val="none"/>
        </w:rPr>
        <w:t>项目按照时间顺序排列，时间以合同签订时间为准。</w:t>
      </w:r>
    </w:p>
    <w:p>
      <w:pPr>
        <w:pStyle w:val="2"/>
        <w:rPr>
          <w:rFonts w:ascii="宋体" w:hAnsi="宋体"/>
          <w:b/>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日期：年月日</w:t>
      </w:r>
    </w:p>
    <w:p>
      <w:pPr>
        <w:pStyle w:val="2"/>
        <w:rPr>
          <w:highlight w:val="none"/>
        </w:rPr>
      </w:pPr>
    </w:p>
    <w:p>
      <w:pPr>
        <w:pStyle w:val="3"/>
        <w:pageBreakBefore/>
        <w:spacing w:after="100"/>
        <w:ind w:left="0" w:right="-57" w:firstLine="0"/>
        <w:jc w:val="center"/>
        <w:rPr>
          <w:rFonts w:ascii="宋体" w:hAnsi="宋体"/>
          <w:sz w:val="24"/>
          <w:szCs w:val="24"/>
          <w:highlight w:val="none"/>
        </w:rPr>
      </w:pPr>
      <w:bookmarkStart w:id="114" w:name="_Toc8914"/>
      <w:bookmarkStart w:id="115" w:name="_Toc27820"/>
      <w:bookmarkStart w:id="116" w:name="_Toc16676"/>
      <w:bookmarkStart w:id="117" w:name="_Toc17687"/>
      <w:bookmarkStart w:id="118" w:name="_Toc14586"/>
      <w:bookmarkStart w:id="119" w:name="_Toc14988"/>
      <w:bookmarkStart w:id="120" w:name="_Toc12984811"/>
      <w:bookmarkStart w:id="121" w:name="_Toc10812"/>
      <w:bookmarkStart w:id="122" w:name="_Toc12983551"/>
      <w:bookmarkStart w:id="123" w:name="_Toc11582"/>
      <w:bookmarkStart w:id="124" w:name="_Toc24971"/>
      <w:bookmarkStart w:id="125" w:name="_Toc8451"/>
      <w:bookmarkStart w:id="126" w:name="_Toc414290525"/>
      <w:bookmarkStart w:id="127" w:name="_Toc8874"/>
      <w:bookmarkStart w:id="128" w:name="_Toc29358"/>
      <w:bookmarkStart w:id="129" w:name="_Toc13328"/>
      <w:bookmarkStart w:id="130" w:name="_Toc492478807"/>
      <w:bookmarkStart w:id="131" w:name="_Toc23770"/>
      <w:bookmarkStart w:id="132" w:name="_Toc28662"/>
      <w:bookmarkStart w:id="133" w:name="_Toc18876"/>
      <w:bookmarkStart w:id="134" w:name="_Toc12677"/>
      <w:bookmarkStart w:id="135" w:name="_Toc114134667"/>
      <w:r>
        <w:rPr>
          <w:rFonts w:ascii="宋体" w:hAnsi="宋体"/>
          <w:sz w:val="24"/>
          <w:szCs w:val="24"/>
          <w:highlight w:val="none"/>
        </w:rPr>
        <w:t xml:space="preserve">B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ascii="宋体" w:hAnsi="宋体"/>
          <w:sz w:val="24"/>
          <w:szCs w:val="24"/>
          <w:highlight w:val="none"/>
        </w:rPr>
        <w:t>价格文件</w:t>
      </w:r>
      <w:bookmarkEnd w:id="135"/>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价格文件格式</w:t>
      </w:r>
    </w:p>
    <w:p>
      <w:pPr>
        <w:spacing w:before="0" w:after="0" w:afterAutospacing="0"/>
        <w:ind w:left="0" w:right="0" w:firstLine="420" w:firstLineChars="200"/>
        <w:rPr>
          <w:rFonts w:hint="eastAsia"/>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ind w:left="0" w:right="0" w:firstLine="420" w:firstLineChars="200"/>
        <w:rPr>
          <w:rFonts w:hint="eastAsia"/>
          <w:highlight w:val="none"/>
        </w:rPr>
      </w:pPr>
      <w:r>
        <w:rPr>
          <w:rFonts w:hint="eastAsia"/>
          <w:highlight w:val="none"/>
        </w:rPr>
        <w:t>（2）比选申请函（格式见B2）；</w:t>
      </w:r>
    </w:p>
    <w:p>
      <w:pPr>
        <w:spacing w:before="0" w:after="0" w:afterAutospacing="0"/>
        <w:ind w:left="0" w:right="0" w:firstLine="420" w:firstLineChars="200"/>
        <w:rPr>
          <w:rFonts w:hint="eastAsia" w:ascii="宋体" w:hAnsi="宋体" w:cs="Arial"/>
          <w:highlight w:val="none"/>
        </w:rPr>
      </w:pPr>
      <w:r>
        <w:rPr>
          <w:rFonts w:hint="eastAsia"/>
          <w:highlight w:val="none"/>
        </w:rPr>
        <w:t>（3）比选申请人认为应提交的其他比选申请资料（如有）。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sz w:val="21"/>
          <w:szCs w:val="21"/>
          <w:highlight w:val="none"/>
        </w:rPr>
      </w:pPr>
      <w:r>
        <w:rPr>
          <w:rFonts w:ascii="宋体" w:hAnsi="宋体" w:eastAsia="宋体"/>
          <w:highlight w:val="none"/>
        </w:rPr>
        <w:br w:type="page"/>
      </w:r>
      <w:bookmarkStart w:id="136" w:name="_Toc1158"/>
      <w:bookmarkStart w:id="137" w:name="_Toc12983552"/>
      <w:bookmarkStart w:id="138" w:name="_Toc27610"/>
      <w:bookmarkStart w:id="139" w:name="_Toc29688"/>
      <w:bookmarkStart w:id="140" w:name="_Toc12951"/>
      <w:bookmarkStart w:id="141" w:name="_Toc18340"/>
      <w:bookmarkStart w:id="142" w:name="_Toc29231"/>
      <w:bookmarkStart w:id="143" w:name="_Toc23615"/>
      <w:bookmarkStart w:id="144" w:name="_Toc10991"/>
      <w:bookmarkStart w:id="145" w:name="_Toc24326"/>
      <w:bookmarkStart w:id="146" w:name="_Toc18516"/>
      <w:bookmarkStart w:id="147" w:name="_Toc9560"/>
      <w:bookmarkStart w:id="148" w:name="_Toc16489"/>
      <w:bookmarkStart w:id="149" w:name="_Toc25419"/>
      <w:bookmarkStart w:id="150" w:name="_Toc12984812"/>
      <w:bookmarkStart w:id="151" w:name="_Toc7004"/>
      <w:bookmarkStart w:id="152" w:name="_Toc414290526"/>
      <w:bookmarkStart w:id="153" w:name="_Toc6992"/>
      <w:bookmarkStart w:id="154" w:name="_Toc9861"/>
      <w:bookmarkStart w:id="155" w:name="_Toc24487"/>
      <w:bookmarkStart w:id="156" w:name="_Toc25750680"/>
      <w:bookmarkStart w:id="157" w:name="_Toc114134668"/>
      <w:bookmarkStart w:id="158" w:name="_Toc13980"/>
      <w:bookmarkStart w:id="159" w:name="_Toc375564355"/>
      <w:bookmarkStart w:id="160" w:name="_Toc492478808"/>
      <w:r>
        <w:rPr>
          <w:rFonts w:ascii="宋体" w:hAnsi="宋体" w:eastAsia="宋体"/>
          <w:sz w:val="21"/>
          <w:szCs w:val="21"/>
          <w:highlight w:val="none"/>
        </w:rPr>
        <w:t>B1比选申请报价一览表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napToGrid w:val="0"/>
        <w:spacing w:after="50"/>
        <w:ind w:right="-57" w:firstLine="0"/>
        <w:jc w:val="center"/>
        <w:rPr>
          <w:rFonts w:ascii="宋体" w:hAnsi="宋体"/>
          <w:b/>
          <w:sz w:val="24"/>
          <w:szCs w:val="24"/>
          <w:highlight w:val="none"/>
        </w:rPr>
      </w:pPr>
      <w:r>
        <w:rPr>
          <w:rFonts w:hint="eastAsia" w:ascii="宋体" w:hAnsi="宋体"/>
          <w:b/>
          <w:sz w:val="24"/>
          <w:szCs w:val="24"/>
          <w:highlight w:val="none"/>
        </w:rPr>
        <w:t>比选申请报价一览表</w:t>
      </w:r>
    </w:p>
    <w:p>
      <w:pPr>
        <w:widowControl w:val="0"/>
        <w:snapToGrid w:val="0"/>
        <w:spacing w:before="0" w:after="0" w:afterAutospacing="0"/>
        <w:ind w:left="0" w:right="-57" w:rightChars="-27" w:firstLine="0"/>
        <w:rPr>
          <w:rFonts w:ascii="宋体" w:hAnsi="宋体"/>
          <w:highlight w:val="none"/>
          <w:u w:val="single"/>
        </w:rPr>
      </w:pPr>
      <w:r>
        <w:rPr>
          <w:rFonts w:hint="eastAsia" w:ascii="宋体" w:hAnsi="宋体"/>
          <w:kern w:val="2"/>
          <w:highlight w:val="none"/>
        </w:rPr>
        <w:t>项目名称：</w:t>
      </w:r>
    </w:p>
    <w:p>
      <w:pPr>
        <w:widowControl w:val="0"/>
        <w:snapToGrid w:val="0"/>
        <w:spacing w:before="0" w:after="0" w:afterAutospacing="0"/>
        <w:ind w:right="-57" w:rightChars="-27"/>
        <w:rPr>
          <w:rFonts w:ascii="宋体" w:hAnsi="宋体"/>
          <w:kern w:val="2"/>
          <w:highlight w:val="none"/>
        </w:rPr>
      </w:pPr>
      <w:r>
        <w:rPr>
          <w:rFonts w:hint="eastAsia" w:ascii="宋体" w:hAnsi="宋体"/>
          <w:kern w:val="2"/>
          <w:highlight w:val="none"/>
        </w:rPr>
        <w:t>比选申请人名称：                     单位：元</w:t>
      </w:r>
    </w:p>
    <w:tbl>
      <w:tblPr>
        <w:tblStyle w:val="3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ascii="宋体" w:hAnsi="宋体"/>
                <w:b/>
                <w:bCs/>
                <w:kern w:val="2"/>
                <w:sz w:val="24"/>
                <w:szCs w:val="24"/>
                <w:highlight w:val="none"/>
              </w:rPr>
            </w:pPr>
            <w:r>
              <w:rPr>
                <w:rFonts w:hint="eastAsia" w:ascii="宋体" w:hAnsi="宋体"/>
                <w:b/>
                <w:bCs/>
                <w:sz w:val="24"/>
                <w:szCs w:val="24"/>
                <w:highlight w:val="none"/>
              </w:rPr>
              <w:t>不含税总价：</w:t>
            </w:r>
          </w:p>
        </w:tc>
        <w:tc>
          <w:tcPr>
            <w:tcW w:w="3713" w:type="pct"/>
            <w:tcBorders>
              <w:top w:val="single" w:color="auto" w:sz="4" w:space="0"/>
              <w:left w:val="single" w:color="auto" w:sz="4" w:space="0"/>
              <w:bottom w:val="single" w:color="auto" w:sz="4" w:space="0"/>
              <w:right w:val="single" w:color="auto" w:sz="4" w:space="0"/>
            </w:tcBorders>
          </w:tcPr>
          <w:p>
            <w:pPr>
              <w:snapToGrid w:val="0"/>
              <w:spacing w:line="500" w:lineRule="exact"/>
              <w:rPr>
                <w:rFonts w:ascii="宋体" w:hAnsi="宋体"/>
                <w:b/>
                <w:bCs/>
                <w:kern w:val="2"/>
                <w:sz w:val="24"/>
                <w:szCs w:val="24"/>
                <w:highlight w:val="none"/>
              </w:rPr>
            </w:pPr>
            <w:r>
              <w:rPr>
                <w:rFonts w:hint="eastAsia" w:ascii="宋体" w:hAnsi="宋体"/>
                <w:b/>
                <w:bCs/>
                <w:sz w:val="24"/>
                <w:szCs w:val="24"/>
                <w:highlight w:val="none"/>
              </w:rPr>
              <w:t>大写：</w:t>
            </w:r>
          </w:p>
          <w:p>
            <w:pPr>
              <w:widowControl w:val="0"/>
              <w:snapToGrid w:val="0"/>
              <w:spacing w:line="500" w:lineRule="exact"/>
              <w:ind w:left="0" w:firstLine="0"/>
              <w:rPr>
                <w:rFonts w:ascii="宋体" w:hAnsi="宋体"/>
                <w:b/>
                <w:bCs/>
                <w:kern w:val="2"/>
                <w:sz w:val="24"/>
                <w:szCs w:val="24"/>
                <w:highlight w:val="none"/>
              </w:rPr>
            </w:pPr>
            <w:r>
              <w:rPr>
                <w:rFonts w:hint="eastAsia" w:ascii="宋体" w:hAnsi="宋体"/>
                <w:b/>
                <w:bCs/>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ascii="宋体" w:hAnsi="宋体"/>
                <w:b/>
                <w:bCs/>
                <w:sz w:val="24"/>
                <w:szCs w:val="24"/>
                <w:highlight w:val="none"/>
              </w:rPr>
            </w:pPr>
            <w:r>
              <w:rPr>
                <w:rFonts w:hint="eastAsia" w:ascii="宋体" w:hAnsi="宋体"/>
                <w:b/>
                <w:bCs/>
                <w:sz w:val="24"/>
                <w:szCs w:val="24"/>
                <w:highlight w:val="none"/>
              </w:rPr>
              <w:t>税率</w:t>
            </w:r>
          </w:p>
        </w:tc>
        <w:tc>
          <w:tcPr>
            <w:tcW w:w="3713"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735" w:leftChars="350" w:firstLine="590" w:firstLineChars="245"/>
              <w:rPr>
                <w:rFonts w:ascii="宋体" w:hAnsi="宋体"/>
                <w:b/>
                <w:bCs/>
                <w:sz w:val="24"/>
                <w:szCs w:val="24"/>
                <w:highlight w:val="none"/>
                <w:u w:val="single"/>
              </w:rPr>
            </w:pPr>
            <w:r>
              <w:rPr>
                <w:rFonts w:hint="eastAsia" w:ascii="宋体" w:hAnsi="宋体"/>
                <w:b/>
                <w:bCs/>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hint="eastAsia" w:ascii="宋体" w:hAnsi="宋体"/>
                <w:b/>
                <w:bCs/>
                <w:sz w:val="24"/>
                <w:szCs w:val="24"/>
                <w:highlight w:val="none"/>
              </w:rPr>
            </w:pPr>
          </w:p>
        </w:tc>
        <w:tc>
          <w:tcPr>
            <w:tcW w:w="3713"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hint="eastAsia" w:ascii="宋体" w:hAnsi="宋体"/>
                <w:b/>
                <w:bCs/>
                <w:sz w:val="24"/>
                <w:szCs w:val="24"/>
                <w:highlight w:val="none"/>
                <w:u w:val="single"/>
              </w:rPr>
            </w:pPr>
          </w:p>
        </w:tc>
      </w:tr>
    </w:tbl>
    <w:p>
      <w:pPr>
        <w:pStyle w:val="32"/>
        <w:ind w:firstLine="480"/>
        <w:rPr>
          <w:rFonts w:eastAsiaTheme="minorEastAsia"/>
          <w:highlight w:val="none"/>
        </w:rPr>
      </w:pPr>
    </w:p>
    <w:p>
      <w:pPr>
        <w:pStyle w:val="16"/>
        <w:rPr>
          <w:rFonts w:hAnsi="宋体"/>
          <w:highlight w:val="none"/>
        </w:rPr>
      </w:pPr>
    </w:p>
    <w:p>
      <w:pP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w:t>
      </w:r>
    </w:p>
    <w:p>
      <w:pPr>
        <w:spacing w:before="0"/>
        <w:ind w:right="-57" w:firstLine="0"/>
        <w:jc w:val="center"/>
        <w:rPr>
          <w:rFonts w:ascii="宋体" w:hAnsi="宋体"/>
          <w:highlight w:val="none"/>
        </w:rPr>
      </w:pPr>
      <w:r>
        <w:rPr>
          <w:rFonts w:hint="eastAsia" w:ascii="宋体" w:hAnsi="宋体"/>
          <w:highlight w:val="none"/>
        </w:rPr>
        <w:t>日  期：     年  月  日</w:t>
      </w:r>
    </w:p>
    <w:p>
      <w:pPr>
        <w:pStyle w:val="4"/>
        <w:tabs>
          <w:tab w:val="left" w:pos="567"/>
          <w:tab w:val="left" w:pos="720"/>
        </w:tabs>
        <w:snapToGrid w:val="0"/>
        <w:spacing w:after="0" w:line="360" w:lineRule="auto"/>
        <w:ind w:right="0" w:firstLine="0"/>
        <w:jc w:val="left"/>
        <w:rPr>
          <w:rFonts w:ascii="宋体" w:hAnsi="宋体" w:eastAsia="宋体" w:cs="Arial"/>
          <w:highlight w:val="none"/>
        </w:rPr>
      </w:pPr>
      <w:r>
        <w:rPr>
          <w:rFonts w:ascii="宋体" w:hAnsi="宋体" w:eastAsia="宋体"/>
          <w:highlight w:val="none"/>
        </w:rPr>
        <w:br w:type="page"/>
      </w:r>
      <w:bookmarkStart w:id="161" w:name="_Toc61680485"/>
      <w:bookmarkStart w:id="162" w:name="_Toc68859063"/>
      <w:bookmarkStart w:id="163" w:name="_Toc110413986"/>
      <w:bookmarkStart w:id="164" w:name="_Toc58124833"/>
      <w:bookmarkStart w:id="165" w:name="_Toc21109"/>
      <w:bookmarkStart w:id="166" w:name="_Toc12984813"/>
      <w:bookmarkStart w:id="167" w:name="_Toc8713"/>
      <w:bookmarkStart w:id="168" w:name="_Toc14503"/>
      <w:bookmarkStart w:id="169" w:name="_Toc375564356"/>
      <w:bookmarkStart w:id="170" w:name="_Toc2257"/>
      <w:bookmarkStart w:id="171" w:name="_Toc20737"/>
      <w:bookmarkStart w:id="172" w:name="_Toc17112"/>
      <w:bookmarkStart w:id="173" w:name="_Toc11065"/>
      <w:bookmarkStart w:id="174" w:name="_Toc20864"/>
      <w:bookmarkStart w:id="175" w:name="_Toc6833"/>
      <w:bookmarkStart w:id="176" w:name="_Toc2585"/>
      <w:bookmarkStart w:id="177" w:name="_Toc10260"/>
      <w:bookmarkStart w:id="178" w:name="_Toc14859"/>
      <w:bookmarkStart w:id="179" w:name="_Toc492478809"/>
      <w:bookmarkStart w:id="180" w:name="_Toc414290527"/>
      <w:bookmarkStart w:id="181" w:name="_Toc12983553"/>
      <w:bookmarkStart w:id="182" w:name="_Toc241920153"/>
      <w:bookmarkStart w:id="183" w:name="_Toc15419"/>
      <w:bookmarkStart w:id="184" w:name="_Toc32224"/>
      <w:bookmarkStart w:id="185" w:name="_Toc25869"/>
      <w:bookmarkStart w:id="186" w:name="_Toc4976"/>
      <w:bookmarkStart w:id="187" w:name="_Toc29702"/>
      <w:bookmarkStart w:id="188" w:name="_Toc114134669"/>
      <w:bookmarkStart w:id="189" w:name="_Toc25750681"/>
      <w:bookmarkStart w:id="190" w:name="_Toc6270"/>
      <w:r>
        <w:rPr>
          <w:rFonts w:ascii="宋体" w:hAnsi="宋体" w:eastAsia="宋体"/>
          <w:sz w:val="21"/>
          <w:szCs w:val="21"/>
          <w:highlight w:val="none"/>
        </w:rPr>
        <w:t>B2比选申请</w:t>
      </w:r>
      <w:bookmarkEnd w:id="161"/>
      <w:bookmarkEnd w:id="162"/>
      <w:bookmarkEnd w:id="163"/>
      <w:bookmarkEnd w:id="164"/>
      <w:r>
        <w:rPr>
          <w:rFonts w:ascii="宋体" w:hAnsi="宋体" w:eastAsia="宋体"/>
          <w:sz w:val="21"/>
          <w:szCs w:val="21"/>
          <w:highlight w:val="none"/>
        </w:rPr>
        <w:t>函格式</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before="0" w:after="0" w:afterAutospacing="0"/>
        <w:ind w:right="0" w:firstLine="0"/>
        <w:jc w:val="center"/>
        <w:rPr>
          <w:rFonts w:ascii="宋体" w:hAnsi="宋体"/>
          <w:b/>
          <w:sz w:val="32"/>
          <w:szCs w:val="32"/>
          <w:highlight w:val="none"/>
        </w:rPr>
      </w:pPr>
      <w:r>
        <w:rPr>
          <w:rFonts w:ascii="宋体" w:hAnsi="宋体"/>
          <w:b/>
          <w:sz w:val="32"/>
          <w:szCs w:val="32"/>
          <w:highlight w:val="none"/>
        </w:rPr>
        <w:t>比选申请函</w:t>
      </w:r>
    </w:p>
    <w:p>
      <w:pPr>
        <w:spacing w:before="0" w:after="0" w:afterAutospacing="0"/>
        <w:ind w:left="0" w:right="0" w:firstLine="0"/>
        <w:rPr>
          <w:rFonts w:hint="eastAsia" w:ascii="宋体" w:hAnsi="宋体" w:eastAsia="宋体"/>
          <w:highlight w:val="none"/>
          <w:lang w:eastAsia="zh-CN"/>
        </w:rPr>
      </w:pPr>
      <w:r>
        <w:rPr>
          <w:rFonts w:ascii="宋体" w:hAnsi="宋体"/>
          <w:highlight w:val="none"/>
        </w:rPr>
        <w:t>致：</w:t>
      </w:r>
      <w:r>
        <w:rPr>
          <w:rFonts w:hint="eastAsia" w:ascii="宋体" w:hAnsi="宋体"/>
          <w:highlight w:val="none"/>
          <w:lang w:eastAsia="zh-CN"/>
        </w:rPr>
        <w:t>南宁轨道地产集团有限责任公司</w:t>
      </w:r>
    </w:p>
    <w:p>
      <w:pP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rPr>
        <w:t>项目</w:t>
      </w:r>
      <w:r>
        <w:rPr>
          <w:rFonts w:ascii="宋体" w:hAnsi="宋体"/>
          <w:highlight w:val="none"/>
        </w:rPr>
        <w:t>比选申请，签字人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w:t>
      </w:r>
      <w:r>
        <w:rPr>
          <w:rFonts w:hint="eastAsia" w:ascii="宋体" w:hAnsi="宋体"/>
          <w:highlight w:val="none"/>
          <w:u w:val="single"/>
          <w:lang w:val="en-US" w:eastAsia="zh-CN"/>
        </w:rPr>
        <w:t>1</w:t>
      </w:r>
      <w:r>
        <w:rPr>
          <w:rFonts w:ascii="宋体" w:hAnsi="宋体"/>
          <w:highlight w:val="none"/>
          <w:u w:val="single"/>
        </w:rPr>
        <w:t xml:space="preserve"> </w:t>
      </w:r>
      <w:r>
        <w:rPr>
          <w:rFonts w:ascii="宋体" w:hAnsi="宋体"/>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91" w:name="_Toc375564357"/>
      <w:r>
        <w:rPr>
          <w:rFonts w:ascii="宋体" w:hAnsi="宋体"/>
          <w:highlight w:val="none"/>
        </w:rPr>
        <w:t>1. 按比选文件要求规定的应提交和交付的服务并履行全部合同义务的比选申请</w:t>
      </w:r>
      <w:r>
        <w:rPr>
          <w:rFonts w:hint="eastAsia" w:ascii="宋体" w:hAnsi="宋体"/>
          <w:highlight w:val="none"/>
        </w:rPr>
        <w:t>，</w:t>
      </w:r>
      <w:r>
        <w:rPr>
          <w:rFonts w:ascii="宋体" w:hAnsi="宋体"/>
          <w:highlight w:val="none"/>
        </w:rPr>
        <w:t>总价如本比选申请文件</w:t>
      </w:r>
      <w:r>
        <w:rPr>
          <w:rFonts w:hint="eastAsia" w:ascii="宋体" w:hAnsi="宋体"/>
          <w:highlight w:val="none"/>
        </w:rPr>
        <w:t>价格文件</w:t>
      </w:r>
      <w:r>
        <w:rPr>
          <w:rFonts w:ascii="宋体" w:hAnsi="宋体"/>
          <w:highlight w:val="none"/>
        </w:rPr>
        <w:t>“比选申请报价一览表”所述。</w:t>
      </w:r>
      <w:bookmarkEnd w:id="191"/>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b/>
          <w:highlight w:val="none"/>
          <w:u w:val="single"/>
        </w:rPr>
        <w:t>（备注：与前附表一致）</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8</w:t>
      </w:r>
      <w:r>
        <w:rPr>
          <w:rFonts w:ascii="宋体" w:hAnsi="宋体"/>
          <w:highlight w:val="none"/>
        </w:rPr>
        <w:t>.与本比选申请有关的一切正式往来通讯请发往：</w:t>
      </w:r>
      <w:r>
        <w:rPr>
          <w:rFonts w:ascii="宋体" w:hAnsi="宋体"/>
          <w:highlight w:val="none"/>
        </w:rPr>
        <w:tab/>
      </w:r>
    </w:p>
    <w:p>
      <w:pPr>
        <w:spacing w:before="0" w:after="0" w:afterAutospacing="0"/>
        <w:ind w:left="0" w:right="0" w:firstLine="420" w:firstLineChars="200"/>
        <w:rPr>
          <w:rFonts w:ascii="宋体" w:hAnsi="宋体"/>
          <w:highlight w:val="none"/>
          <w:u w:val="single"/>
        </w:rPr>
      </w:pPr>
      <w:r>
        <w:rPr>
          <w:rFonts w:ascii="宋体" w:hAnsi="宋体"/>
          <w:highlight w:val="none"/>
        </w:rPr>
        <w:t>地址：</w:t>
      </w:r>
    </w:p>
    <w:p>
      <w:pPr>
        <w:spacing w:before="0" w:after="0" w:afterAutospacing="0"/>
        <w:ind w:left="0" w:right="0" w:firstLine="420" w:firstLineChars="200"/>
        <w:rPr>
          <w:rFonts w:ascii="宋体" w:hAnsi="宋体"/>
          <w:highlight w:val="none"/>
        </w:rPr>
      </w:pPr>
      <w:r>
        <w:rPr>
          <w:rFonts w:ascii="宋体" w:hAnsi="宋体"/>
          <w:highlight w:val="none"/>
        </w:rPr>
        <w:t>邮编：传真：</w:t>
      </w:r>
    </w:p>
    <w:p>
      <w:pPr>
        <w:spacing w:before="0" w:after="0" w:afterAutospacing="0"/>
        <w:ind w:left="0" w:right="0" w:firstLine="420" w:firstLineChars="200"/>
        <w:rPr>
          <w:rFonts w:ascii="宋体" w:hAnsi="宋体"/>
          <w:highlight w:val="none"/>
        </w:rPr>
      </w:pPr>
      <w:r>
        <w:rPr>
          <w:rFonts w:ascii="宋体" w:hAnsi="宋体"/>
          <w:highlight w:val="none"/>
        </w:rPr>
        <w:t>电话：电子邮件：</w:t>
      </w:r>
    </w:p>
    <w:p>
      <w:pPr>
        <w:spacing w:before="0" w:after="0" w:afterAutospacing="0"/>
        <w:ind w:left="0" w:right="0" w:firstLine="420" w:firstLineChars="200"/>
        <w:rPr>
          <w:rFonts w:ascii="宋体" w:hAnsi="宋体"/>
          <w:highlight w:val="none"/>
          <w:u w:val="single"/>
        </w:rPr>
      </w:pPr>
      <w:r>
        <w:rPr>
          <w:rFonts w:ascii="宋体" w:hAnsi="宋体"/>
          <w:highlight w:val="none"/>
        </w:rPr>
        <w:t>比选申请人名称：</w:t>
      </w:r>
      <w:r>
        <w:rPr>
          <w:rFonts w:ascii="宋体" w:hAnsi="宋体"/>
          <w:highlight w:val="none"/>
          <w:u w:val="single"/>
        </w:rPr>
        <w:t>（全称并加盖公章）</w:t>
      </w:r>
    </w:p>
    <w:p>
      <w:pPr>
        <w:spacing w:before="0" w:after="0" w:afterAutospacing="0"/>
        <w:ind w:left="0" w:right="0"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p>
    <w:p>
      <w:pPr>
        <w:spacing w:before="0" w:after="0" w:afterAutospacing="0"/>
        <w:ind w:left="0" w:right="0" w:firstLine="420" w:firstLineChars="200"/>
        <w:rPr>
          <w:rFonts w:ascii="宋体" w:hAnsi="宋体"/>
          <w:highlight w:val="none"/>
        </w:rPr>
      </w:pPr>
      <w:r>
        <w:rPr>
          <w:rFonts w:hint="eastAsia" w:ascii="宋体" w:hAnsi="宋体" w:cs="Arial"/>
          <w:highlight w:val="none"/>
        </w:rPr>
        <w:t xml:space="preserve">日期：   </w:t>
      </w:r>
      <w:r>
        <w:rPr>
          <w:rFonts w:ascii="宋体" w:hAnsi="宋体"/>
          <w:highlight w:val="none"/>
        </w:rPr>
        <w:t>年月日</w:t>
      </w:r>
    </w:p>
    <w:p>
      <w:pPr>
        <w:rPr>
          <w:rFonts w:ascii="宋体" w:hAnsi="宋体"/>
          <w:highlight w:val="none"/>
        </w:rPr>
      </w:pPr>
    </w:p>
    <w:p>
      <w:pPr>
        <w:rPr>
          <w:rFonts w:ascii="宋体" w:hAnsi="宋体"/>
          <w:highlight w:val="none"/>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3"/>
        <w:pageBreakBefore/>
        <w:spacing w:after="100"/>
        <w:ind w:right="-57" w:firstLine="0"/>
        <w:jc w:val="center"/>
        <w:rPr>
          <w:rFonts w:hAnsi="宋体"/>
          <w:b w:val="0"/>
          <w:sz w:val="24"/>
          <w:szCs w:val="24"/>
          <w:highlight w:val="none"/>
        </w:rPr>
      </w:pPr>
      <w:bookmarkStart w:id="192" w:name="_Toc414290562"/>
      <w:bookmarkStart w:id="193" w:name="_Toc492478827"/>
      <w:bookmarkStart w:id="194" w:name="_Toc19107"/>
      <w:bookmarkStart w:id="195" w:name="_Toc19413"/>
      <w:bookmarkStart w:id="196" w:name="_Toc13870"/>
      <w:bookmarkStart w:id="197" w:name="_Toc22423"/>
      <w:bookmarkStart w:id="198" w:name="_Toc15451"/>
      <w:bookmarkStart w:id="199" w:name="_Toc32381"/>
      <w:bookmarkStart w:id="200" w:name="_Toc30812"/>
      <w:bookmarkStart w:id="201" w:name="_Toc25220"/>
      <w:bookmarkStart w:id="202" w:name="_Toc3307"/>
      <w:bookmarkStart w:id="203" w:name="_Toc6034"/>
      <w:bookmarkStart w:id="204" w:name="_Toc14091"/>
      <w:bookmarkStart w:id="205" w:name="_Toc25635"/>
      <w:bookmarkStart w:id="206" w:name="_Toc9876"/>
      <w:bookmarkStart w:id="207" w:name="_Toc29577"/>
      <w:bookmarkStart w:id="208" w:name="_Toc8563"/>
      <w:bookmarkStart w:id="209" w:name="_Toc114134670"/>
      <w:bookmarkStart w:id="210" w:name="_Toc17664"/>
      <w:bookmarkStart w:id="211" w:name="_Toc2327"/>
      <w:r>
        <w:rPr>
          <w:rFonts w:hint="eastAsia"/>
          <w:sz w:val="24"/>
          <w:szCs w:val="24"/>
          <w:highlight w:val="none"/>
        </w:rPr>
        <w:t>C</w:t>
      </w:r>
      <w:r>
        <w:rPr>
          <w:rFonts w:hAnsi="宋体"/>
          <w:sz w:val="24"/>
          <w:szCs w:val="24"/>
          <w:highlight w:val="none"/>
        </w:rPr>
        <w:t>技术</w:t>
      </w:r>
      <w:bookmarkEnd w:id="192"/>
      <w:bookmarkEnd w:id="193"/>
      <w:bookmarkEnd w:id="194"/>
      <w:bookmarkStart w:id="212" w:name="_Toc99697927"/>
      <w:bookmarkStart w:id="213" w:name="_Toc74938308"/>
      <w:bookmarkStart w:id="214" w:name="_Toc18770050"/>
      <w:bookmarkStart w:id="215" w:name="_Toc17887241"/>
      <w:bookmarkStart w:id="216" w:name="_Toc224010320"/>
      <w:r>
        <w:rPr>
          <w:rFonts w:hint="eastAsia" w:hAnsi="宋体"/>
          <w:sz w:val="24"/>
          <w:szCs w:val="24"/>
          <w:highlight w:val="none"/>
        </w:rPr>
        <w:t>文件</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spacing w:before="0" w:after="0" w:afterAutospacing="0"/>
        <w:ind w:left="0" w:right="0" w:firstLine="422" w:firstLineChars="200"/>
        <w:jc w:val="left"/>
        <w:rPr>
          <w:rFonts w:hAnsi="宋体"/>
          <w:b/>
          <w:highlight w:val="none"/>
        </w:rPr>
      </w:pPr>
      <w:r>
        <w:rPr>
          <w:rFonts w:hint="eastAsia" w:hAnsi="宋体"/>
          <w:b/>
          <w:highlight w:val="none"/>
        </w:rPr>
        <w:t>技术文件格式</w:t>
      </w:r>
    </w:p>
    <w:bookmarkEnd w:id="212"/>
    <w:bookmarkEnd w:id="213"/>
    <w:bookmarkEnd w:id="214"/>
    <w:bookmarkEnd w:id="215"/>
    <w:bookmarkEnd w:id="216"/>
    <w:p>
      <w:pPr>
        <w:spacing w:before="0" w:after="0" w:afterAutospacing="0"/>
        <w:ind w:left="0" w:right="0" w:firstLine="315" w:firstLineChars="150"/>
        <w:rPr>
          <w:rFonts w:hint="eastAsia"/>
          <w:highlight w:val="none"/>
        </w:rPr>
      </w:pPr>
      <w:bookmarkStart w:id="217" w:name="_Toc25750684"/>
      <w:r>
        <w:rPr>
          <w:rFonts w:hint="eastAsia"/>
          <w:highlight w:val="none"/>
        </w:rPr>
        <w:t>（1）技术响应表（格式见C1）；</w:t>
      </w:r>
    </w:p>
    <w:p>
      <w:pPr>
        <w:spacing w:before="0" w:after="0" w:afterAutospacing="0"/>
        <w:ind w:left="0" w:right="0" w:firstLine="315" w:firstLineChars="150"/>
        <w:rPr>
          <w:rFonts w:hint="eastAsia"/>
          <w:highlight w:val="none"/>
        </w:rPr>
      </w:pPr>
      <w:r>
        <w:rPr>
          <w:rFonts w:hint="eastAsia"/>
          <w:highlight w:val="none"/>
        </w:rPr>
        <w:t>（2）商务响应表（格式见C2）；</w:t>
      </w:r>
    </w:p>
    <w:p>
      <w:pPr>
        <w:spacing w:before="0" w:after="0" w:afterAutospacing="0"/>
        <w:ind w:left="0" w:right="0" w:firstLine="315" w:firstLineChars="150"/>
        <w:rPr>
          <w:rFonts w:hint="eastAsia"/>
          <w:highlight w:val="none"/>
        </w:rPr>
      </w:pPr>
      <w:r>
        <w:rPr>
          <w:rFonts w:hint="eastAsia"/>
          <w:highlight w:val="none"/>
        </w:rPr>
        <w:t>（3）项目建设方案：比选申请人应结合项目实际情况编制项目建设方案，包括但不限于项目背景、设备选型理由及功能介绍、项目实施计划及人员配置（需要安排原厂工程师进行实施）、培训计划等内容（C3，格式自拟）；</w:t>
      </w:r>
    </w:p>
    <w:p>
      <w:pPr>
        <w:spacing w:before="0" w:after="0" w:afterAutospacing="0"/>
        <w:ind w:left="0" w:right="0" w:firstLine="315" w:firstLineChars="150"/>
        <w:rPr>
          <w:rFonts w:hint="eastAsia"/>
          <w:highlight w:val="none"/>
        </w:rPr>
      </w:pPr>
      <w:r>
        <w:rPr>
          <w:rFonts w:hint="eastAsia"/>
          <w:highlight w:val="none"/>
        </w:rPr>
        <w:t>（4）售后服务承诺书：比选申请人需求提供售后服务承诺书（格式见C4）；</w:t>
      </w:r>
    </w:p>
    <w:p>
      <w:pPr>
        <w:spacing w:before="0" w:after="0" w:afterAutospacing="0"/>
        <w:ind w:left="0" w:right="0" w:firstLine="315" w:firstLineChars="150"/>
        <w:rPr>
          <w:rFonts w:hint="eastAsia"/>
          <w:highlight w:val="none"/>
        </w:rPr>
      </w:pPr>
      <w:r>
        <w:rPr>
          <w:rFonts w:hint="eastAsia"/>
          <w:highlight w:val="none"/>
        </w:rPr>
        <w:t>（5）质量保证承诺书：比选申请人需求提供质量保证承诺书（格式见C5）；</w:t>
      </w:r>
    </w:p>
    <w:p>
      <w:pPr>
        <w:spacing w:before="0" w:after="0" w:afterAutospacing="0"/>
        <w:ind w:left="0" w:right="0" w:firstLine="315" w:firstLineChars="150"/>
        <w:rPr>
          <w:rFonts w:hint="eastAsia"/>
          <w:highlight w:val="none"/>
        </w:rPr>
      </w:pPr>
      <w:r>
        <w:rPr>
          <w:rFonts w:hint="eastAsia"/>
          <w:highlight w:val="none"/>
        </w:rPr>
        <w:t>（6）2019年至今安全态势感知系统建设业绩造价在300000.00元及以上的不同项目合同业绩（原件备查，附合同复印件，合同内容需体现合同造价及主要内容，如无，需出具项目情况说明且加盖单位公章原件。）（格式见C6）；</w:t>
      </w:r>
    </w:p>
    <w:p>
      <w:pPr>
        <w:spacing w:before="0" w:after="0" w:afterAutospacing="0"/>
        <w:ind w:left="0" w:right="0" w:firstLine="315" w:firstLineChars="150"/>
        <w:rPr>
          <w:rFonts w:hint="eastAsia"/>
          <w:highlight w:val="none"/>
        </w:rPr>
      </w:pPr>
      <w:r>
        <w:rPr>
          <w:rFonts w:hint="eastAsia"/>
          <w:highlight w:val="none"/>
          <w:lang w:eastAsia="zh-CN"/>
        </w:rPr>
        <w:t>（</w:t>
      </w:r>
      <w:r>
        <w:rPr>
          <w:rFonts w:hint="eastAsia"/>
          <w:highlight w:val="none"/>
          <w:lang w:val="en-US" w:eastAsia="zh-CN"/>
        </w:rPr>
        <w:t>7</w:t>
      </w:r>
      <w:r>
        <w:rPr>
          <w:rFonts w:hint="eastAsia"/>
          <w:highlight w:val="none"/>
          <w:lang w:eastAsia="zh-CN"/>
        </w:rPr>
        <w:t>）</w:t>
      </w:r>
      <w:r>
        <w:rPr>
          <w:rFonts w:hint="eastAsia"/>
          <w:highlight w:val="none"/>
          <w:lang w:val="zh-CN"/>
        </w:rPr>
        <w:t>设备技术参数表</w:t>
      </w:r>
      <w:r>
        <w:rPr>
          <w:rFonts w:hint="eastAsia"/>
          <w:highlight w:val="none"/>
          <w:lang w:val="en-US" w:eastAsia="zh-CN"/>
        </w:rPr>
        <w:t>偏离表</w:t>
      </w:r>
      <w:r>
        <w:rPr>
          <w:rFonts w:hint="eastAsia"/>
          <w:highlight w:val="none"/>
        </w:rPr>
        <w:t>（格式见C</w:t>
      </w:r>
      <w:r>
        <w:rPr>
          <w:rFonts w:hint="eastAsia"/>
          <w:highlight w:val="none"/>
          <w:lang w:val="en-US" w:eastAsia="zh-CN"/>
        </w:rPr>
        <w:t>7</w:t>
      </w:r>
      <w:r>
        <w:rPr>
          <w:rFonts w:hint="eastAsia"/>
          <w:highlight w:val="none"/>
        </w:rPr>
        <w:t>）；</w:t>
      </w:r>
    </w:p>
    <w:p>
      <w:pPr>
        <w:spacing w:before="0" w:after="0" w:afterAutospacing="0"/>
        <w:ind w:left="0" w:right="0" w:firstLine="315" w:firstLineChars="150"/>
        <w:rPr>
          <w:rFonts w:hint="eastAsia"/>
          <w:highlight w:val="none"/>
        </w:rPr>
      </w:pPr>
      <w:r>
        <w:rPr>
          <w:rFonts w:hint="eastAsia"/>
          <w:highlight w:val="none"/>
          <w:lang w:eastAsia="zh-CN"/>
        </w:rPr>
        <w:t>（</w:t>
      </w:r>
      <w:r>
        <w:rPr>
          <w:rFonts w:hint="eastAsia"/>
          <w:highlight w:val="none"/>
          <w:lang w:val="en-US" w:eastAsia="zh-CN"/>
        </w:rPr>
        <w:t>8</w:t>
      </w:r>
      <w:r>
        <w:rPr>
          <w:rFonts w:hint="eastAsia"/>
          <w:highlight w:val="none"/>
          <w:lang w:eastAsia="zh-CN"/>
        </w:rPr>
        <w:t>）</w:t>
      </w:r>
      <w:r>
        <w:rPr>
          <w:rFonts w:hint="eastAsia"/>
          <w:highlight w:val="none"/>
        </w:rPr>
        <w:t>比选申请人认为应提交的其他比选申请资料（如有）。</w:t>
      </w:r>
    </w:p>
    <w:p>
      <w:pPr>
        <w:spacing w:before="0" w:after="0" w:afterAutospacing="0"/>
        <w:ind w:left="0" w:right="0" w:firstLine="315" w:firstLineChars="150"/>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pStyle w:val="32"/>
        <w:numPr>
          <w:ilvl w:val="0"/>
          <w:numId w:val="0"/>
        </w:numPr>
        <w:spacing w:before="120" w:after="120" w:afterAutospacing="1" w:line="240" w:lineRule="auto"/>
        <w:ind w:right="-27" w:rightChars="0"/>
        <w:jc w:val="both"/>
        <w:rPr>
          <w:rFonts w:hint="eastAsia"/>
          <w:highlight w:val="none"/>
        </w:rPr>
      </w:pPr>
    </w:p>
    <w:p>
      <w:pPr>
        <w:spacing w:before="0" w:after="0" w:afterAutospacing="0"/>
        <w:ind w:left="0" w:right="0" w:firstLine="315" w:firstLineChars="150"/>
        <w:rPr>
          <w:rFonts w:hint="eastAsia"/>
          <w:highlight w:val="none"/>
        </w:rPr>
      </w:pPr>
    </w:p>
    <w:p>
      <w:pPr>
        <w:pStyle w:val="4"/>
        <w:tabs>
          <w:tab w:val="left" w:pos="567"/>
          <w:tab w:val="left" w:pos="720"/>
        </w:tabs>
        <w:snapToGrid w:val="0"/>
        <w:spacing w:after="100" w:line="360" w:lineRule="auto"/>
        <w:ind w:right="-57" w:firstLine="0"/>
        <w:jc w:val="left"/>
        <w:rPr>
          <w:rFonts w:ascii="宋体" w:hAnsi="宋体" w:eastAsia="宋体"/>
          <w:sz w:val="21"/>
          <w:szCs w:val="21"/>
          <w:highlight w:val="none"/>
        </w:rPr>
      </w:pPr>
      <w:bookmarkStart w:id="218" w:name="_Toc114134671"/>
      <w:r>
        <w:rPr>
          <w:rFonts w:hint="eastAsia" w:ascii="宋体" w:hAnsi="宋体" w:eastAsia="宋体"/>
          <w:sz w:val="21"/>
          <w:szCs w:val="21"/>
          <w:highlight w:val="none"/>
        </w:rPr>
        <w:t xml:space="preserve">C1 </w:t>
      </w:r>
      <w:r>
        <w:rPr>
          <w:rFonts w:ascii="宋体" w:hAnsi="宋体" w:eastAsia="宋体"/>
          <w:sz w:val="21"/>
          <w:szCs w:val="21"/>
          <w:highlight w:val="none"/>
        </w:rPr>
        <w:t>技术响应表</w:t>
      </w:r>
      <w:r>
        <w:rPr>
          <w:rFonts w:hint="eastAsia" w:ascii="宋体" w:hAnsi="宋体" w:eastAsia="宋体"/>
          <w:sz w:val="21"/>
          <w:szCs w:val="21"/>
          <w:highlight w:val="none"/>
        </w:rPr>
        <w:t>格式</w:t>
      </w:r>
      <w:bookmarkEnd w:id="217"/>
      <w:bookmarkEnd w:id="218"/>
    </w:p>
    <w:p>
      <w:pPr>
        <w:spacing w:before="0"/>
        <w:ind w:right="-57" w:firstLine="0"/>
        <w:jc w:val="center"/>
        <w:rPr>
          <w:rFonts w:ascii="宋体" w:hAnsi="宋体"/>
          <w:b/>
          <w:sz w:val="28"/>
          <w:szCs w:val="28"/>
          <w:highlight w:val="none"/>
        </w:rPr>
      </w:pPr>
      <w:r>
        <w:rPr>
          <w:rFonts w:hint="eastAsia" w:ascii="宋体" w:hAnsi="宋体"/>
          <w:b/>
          <w:highlight w:val="none"/>
        </w:rPr>
        <w:t>技术响应表</w:t>
      </w:r>
      <w:r>
        <w:rPr>
          <w:rFonts w:hint="eastAsia" w:ascii="宋体" w:hAnsi="宋体" w:cs="宋体"/>
          <w:sz w:val="16"/>
          <w:szCs w:val="16"/>
          <w:highlight w:val="none"/>
        </w:rPr>
        <w:t>（不论有无偏离，均须逐项填写偏离情况）</w:t>
      </w:r>
    </w:p>
    <w:p>
      <w:pPr>
        <w:spacing w:before="0" w:after="0" w:afterAutospacing="0"/>
        <w:ind w:right="0"/>
        <w:rPr>
          <w:rFonts w:ascii="宋体" w:hAnsi="宋体"/>
          <w:highlight w:val="none"/>
          <w:u w:val="single"/>
        </w:rPr>
      </w:pPr>
      <w:r>
        <w:rPr>
          <w:rFonts w:ascii="宋体" w:hAnsi="宋体"/>
          <w:highlight w:val="none"/>
        </w:rPr>
        <w:t>比选申请人名称：</w:t>
      </w:r>
    </w:p>
    <w:tbl>
      <w:tblPr>
        <w:tblStyle w:val="33"/>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0"/>
        <w:gridCol w:w="1593"/>
        <w:gridCol w:w="1961"/>
        <w:gridCol w:w="2201"/>
        <w:gridCol w:w="141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highlight w:val="none"/>
              </w:rPr>
            </w:pPr>
            <w:r>
              <w:rPr>
                <w:rFonts w:hint="eastAsia" w:ascii="宋体" w:hAnsi="宋体"/>
                <w:highlight w:val="none"/>
              </w:rPr>
              <w:t>比选文件条目号</w:t>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比选文件要求</w:t>
            </w:r>
          </w:p>
        </w:tc>
        <w:tc>
          <w:tcPr>
            <w:tcW w:w="220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highlight w:val="none"/>
              </w:rPr>
            </w:pPr>
            <w:r>
              <w:rPr>
                <w:rFonts w:hint="eastAsia" w:ascii="宋体" w:hAnsi="宋体"/>
                <w:highlight w:val="none"/>
              </w:rPr>
              <w:t>比选申请文件响应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偏离</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highlight w:val="none"/>
              </w:rPr>
            </w:pPr>
            <w:r>
              <w:rPr>
                <w:rFonts w:hint="eastAsia" w:ascii="宋体" w:hAnsi="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rFonts w:hint="eastAsia" w:cs="Arial"/>
                <w:kern w:val="2"/>
                <w:highlight w:val="none"/>
                <w:u w:val="none"/>
              </w:rPr>
              <w:t>1</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highlight w:val="none"/>
                <w:u w:val="none"/>
              </w:rPr>
              <w:fldChar w:fldCharType="begin"/>
            </w:r>
            <w:r>
              <w:rPr>
                <w:highlight w:val="none"/>
                <w:u w:val="none"/>
              </w:rPr>
              <w:instrText xml:space="preserve"> HYPERLINK \l "_Toc25750588" </w:instrText>
            </w:r>
            <w:r>
              <w:rPr>
                <w:highlight w:val="none"/>
                <w:u w:val="none"/>
              </w:rPr>
              <w:fldChar w:fldCharType="separate"/>
            </w:r>
            <w:r>
              <w:rPr>
                <w:rFonts w:hint="eastAsia" w:ascii="宋体" w:hAnsi="宋体"/>
                <w:highlight w:val="none"/>
                <w:u w:val="none"/>
              </w:rPr>
              <w:t>第一章</w:t>
            </w:r>
            <w:r>
              <w:rPr>
                <w:rFonts w:hint="eastAsia" w:ascii="宋体" w:hAnsi="宋体"/>
                <w:highlight w:val="none"/>
                <w:u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比选公告</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rFonts w:hint="eastAsia" w:cs="Arial"/>
                <w:kern w:val="2"/>
                <w:highlight w:val="none"/>
                <w:u w:val="none"/>
              </w:rPr>
              <w:t>2</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highlight w:val="none"/>
                <w:u w:val="none"/>
              </w:rPr>
              <w:fldChar w:fldCharType="begin"/>
            </w:r>
            <w:r>
              <w:rPr>
                <w:highlight w:val="none"/>
                <w:u w:val="none"/>
              </w:rPr>
              <w:instrText xml:space="preserve"> HYPERLINK \l "_Toc25750588" </w:instrText>
            </w:r>
            <w:r>
              <w:rPr>
                <w:highlight w:val="none"/>
                <w:u w:val="none"/>
              </w:rPr>
              <w:fldChar w:fldCharType="separate"/>
            </w:r>
            <w:r>
              <w:rPr>
                <w:rFonts w:hint="eastAsia" w:ascii="宋体" w:hAnsi="宋体"/>
                <w:highlight w:val="none"/>
                <w:u w:val="none"/>
              </w:rPr>
              <w:t>第二章</w:t>
            </w:r>
            <w:r>
              <w:rPr>
                <w:rFonts w:hint="eastAsia" w:ascii="宋体" w:hAnsi="宋体"/>
                <w:highlight w:val="none"/>
                <w:u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比选申请须知</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rFonts w:hint="eastAsia" w:cs="Arial"/>
                <w:kern w:val="2"/>
                <w:highlight w:val="none"/>
                <w:u w:val="none"/>
              </w:rPr>
              <w:t>3</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highlight w:val="none"/>
                <w:u w:val="none"/>
              </w:rPr>
              <w:fldChar w:fldCharType="begin"/>
            </w:r>
            <w:r>
              <w:rPr>
                <w:highlight w:val="none"/>
                <w:u w:val="none"/>
              </w:rPr>
              <w:instrText xml:space="preserve"> HYPERLINK \l "_Toc25750588" </w:instrText>
            </w:r>
            <w:r>
              <w:rPr>
                <w:highlight w:val="none"/>
                <w:u w:val="none"/>
              </w:rPr>
              <w:fldChar w:fldCharType="separate"/>
            </w:r>
            <w:r>
              <w:rPr>
                <w:rFonts w:hint="eastAsia" w:ascii="宋体" w:hAnsi="宋体"/>
                <w:highlight w:val="none"/>
                <w:u w:val="none"/>
              </w:rPr>
              <w:t>第三章</w:t>
            </w:r>
            <w:r>
              <w:rPr>
                <w:rFonts w:hint="eastAsia" w:ascii="宋体" w:hAnsi="宋体"/>
                <w:highlight w:val="none"/>
                <w:u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合同条款及格式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rFonts w:hint="eastAsia" w:cs="Arial"/>
                <w:kern w:val="2"/>
                <w:highlight w:val="none"/>
                <w:u w:val="none"/>
              </w:rPr>
              <w:t>4</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r>
              <w:rPr>
                <w:highlight w:val="none"/>
                <w:u w:val="none"/>
              </w:rPr>
              <w:fldChar w:fldCharType="begin"/>
            </w:r>
            <w:r>
              <w:rPr>
                <w:highlight w:val="none"/>
                <w:u w:val="none"/>
              </w:rPr>
              <w:instrText xml:space="preserve"> HYPERLINK \l "_Toc25750588" </w:instrText>
            </w:r>
            <w:r>
              <w:rPr>
                <w:highlight w:val="none"/>
                <w:u w:val="none"/>
              </w:rPr>
              <w:fldChar w:fldCharType="separate"/>
            </w:r>
            <w:r>
              <w:rPr>
                <w:rFonts w:hint="eastAsia" w:ascii="宋体" w:hAnsi="宋体"/>
                <w:highlight w:val="none"/>
                <w:u w:val="none"/>
              </w:rPr>
              <w:t>第四章</w:t>
            </w:r>
            <w:r>
              <w:rPr>
                <w:rFonts w:hint="eastAsia" w:ascii="宋体" w:hAnsi="宋体"/>
                <w:highlight w:val="none"/>
                <w:u w:val="none"/>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r>
              <w:rPr>
                <w:rFonts w:hint="eastAsia" w:ascii="宋体" w:hAnsi="宋体"/>
                <w:highlight w:val="none"/>
              </w:rPr>
              <w:t>比选申请文件格式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afterAutospacing="0"/>
              <w:ind w:left="0" w:right="0" w:firstLine="0"/>
              <w:jc w:val="both"/>
              <w:textAlignment w:val="auto"/>
              <w:rPr>
                <w:rFonts w:cs="Arial"/>
                <w:kern w:val="2"/>
                <w:highlight w:val="none"/>
              </w:rPr>
            </w:pPr>
            <w:r>
              <w:rPr>
                <w:rFonts w:hint="eastAsia" w:cs="Arial"/>
                <w:highlight w:val="none"/>
              </w:rPr>
              <w:t>我方确认：除了表中所列的条款外，我方的比选申请函将依从比选文件对于技术的全部要求和规定。</w:t>
            </w:r>
          </w:p>
        </w:tc>
      </w:tr>
    </w:tbl>
    <w:p>
      <w:pPr>
        <w:snapToGrid w:val="0"/>
        <w:spacing w:after="50" w:line="280" w:lineRule="exact"/>
        <w:ind w:left="955" w:leftChars="455" w:right="-817" w:firstLine="2832" w:firstLineChars="1349"/>
        <w:rPr>
          <w:rFonts w:ascii="宋体" w:hAnsi="宋体"/>
          <w:highlight w:val="none"/>
        </w:rPr>
      </w:pPr>
    </w:p>
    <w:p>
      <w:pPr>
        <w:snapToGrid w:val="0"/>
        <w:spacing w:after="50" w:line="280" w:lineRule="exact"/>
        <w:ind w:left="955" w:leftChars="455" w:right="-817" w:firstLine="2832" w:firstLineChars="1349"/>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hint="eastAsia"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  期：  年  月  日</w:t>
      </w:r>
    </w:p>
    <w:p>
      <w:pPr>
        <w:spacing w:before="0"/>
        <w:ind w:right="-57" w:firstLine="0"/>
        <w:rPr>
          <w:rFonts w:ascii="宋体" w:hAnsi="宋体"/>
          <w:highlight w:val="none"/>
        </w:rPr>
      </w:pPr>
    </w:p>
    <w:p>
      <w:pPr>
        <w:spacing w:before="0" w:after="0" w:afterAutospacing="0"/>
        <w:ind w:left="607" w:right="0" w:hanging="607" w:hangingChars="336"/>
        <w:rPr>
          <w:rFonts w:ascii="宋体" w:hAnsi="宋体"/>
          <w:b/>
          <w:sz w:val="18"/>
          <w:szCs w:val="18"/>
          <w:highlight w:val="none"/>
        </w:rPr>
      </w:pPr>
      <w:r>
        <w:rPr>
          <w:rFonts w:ascii="宋体" w:hAnsi="宋体"/>
          <w:b/>
          <w:sz w:val="18"/>
          <w:szCs w:val="18"/>
          <w:highlight w:val="none"/>
        </w:rPr>
        <w:t>说明：</w:t>
      </w:r>
    </w:p>
    <w:p>
      <w:pPr>
        <w:pStyle w:val="46"/>
        <w:tabs>
          <w:tab w:val="left" w:pos="720"/>
        </w:tabs>
        <w:spacing w:before="0" w:after="0" w:afterAutospacing="0"/>
        <w:ind w:left="0" w:right="0" w:firstLine="360" w:firstLineChars="200"/>
        <w:rPr>
          <w:rFonts w:ascii="宋体" w:hAnsi="宋体"/>
          <w:sz w:val="18"/>
          <w:szCs w:val="18"/>
          <w:highlight w:val="none"/>
        </w:rPr>
      </w:pPr>
      <w:r>
        <w:rPr>
          <w:rFonts w:hint="eastAsia" w:ascii="宋体" w:hAnsi="宋体"/>
          <w:sz w:val="18"/>
          <w:szCs w:val="18"/>
          <w:highlight w:val="none"/>
        </w:rPr>
        <w:t>1.对完全响应的条目在本表“偏离情况”列中选注“完全响应”。对有偏离的条目在本表“偏离情况”列中选注“正偏离”或“负偏离”，并对“正偏离”或“负偏离”加以说明。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360" w:firstLineChars="200"/>
        <w:rPr>
          <w:rFonts w:ascii="宋体" w:hAnsi="宋体"/>
          <w:sz w:val="18"/>
          <w:szCs w:val="18"/>
          <w:highlight w:val="none"/>
        </w:rPr>
      </w:pPr>
      <w:r>
        <w:rPr>
          <w:rFonts w:hint="eastAsia" w:ascii="宋体" w:hAnsi="宋体"/>
          <w:sz w:val="18"/>
          <w:szCs w:val="18"/>
          <w:highlight w:val="none"/>
        </w:rPr>
        <w:t>2.</w:t>
      </w:r>
      <w:r>
        <w:rPr>
          <w:rFonts w:ascii="宋体" w:hAnsi="宋体"/>
          <w:sz w:val="18"/>
          <w:szCs w:val="18"/>
          <w:highlight w:val="none"/>
        </w:rPr>
        <w:t>正偏离是指应答的条件高于比选文件要求，负偏离是指应答的条件低于比选文件要求。</w:t>
      </w:r>
    </w:p>
    <w:p>
      <w:pPr>
        <w:tabs>
          <w:tab w:val="left" w:pos="720"/>
        </w:tabs>
        <w:spacing w:before="0" w:after="0" w:afterAutospacing="0"/>
        <w:ind w:left="0" w:right="0" w:firstLine="360" w:firstLineChars="200"/>
        <w:rPr>
          <w:rFonts w:ascii="宋体" w:hAnsi="宋体"/>
          <w:sz w:val="18"/>
          <w:szCs w:val="18"/>
          <w:highlight w:val="none"/>
        </w:rPr>
      </w:pPr>
      <w:r>
        <w:rPr>
          <w:rFonts w:hint="eastAsia" w:ascii="宋体" w:hAnsi="宋体"/>
          <w:sz w:val="18"/>
          <w:szCs w:val="18"/>
          <w:highlight w:val="none"/>
        </w:rPr>
        <w:t>3.</w:t>
      </w:r>
      <w:r>
        <w:rPr>
          <w:rFonts w:ascii="宋体" w:hAnsi="宋体"/>
          <w:sz w:val="18"/>
          <w:szCs w:val="18"/>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sz w:val="18"/>
          <w:szCs w:val="18"/>
          <w:highlight w:val="none"/>
        </w:rPr>
        <w:t xml:space="preserve">。     </w:t>
      </w:r>
    </w:p>
    <w:p>
      <w:pPr>
        <w:spacing w:before="0"/>
        <w:ind w:left="105" w:leftChars="50" w:right="-57" w:firstLine="271" w:firstLineChars="150"/>
        <w:rPr>
          <w:rFonts w:ascii="宋体" w:hAnsi="宋体"/>
          <w:b/>
          <w:sz w:val="18"/>
          <w:szCs w:val="18"/>
          <w:highlight w:val="none"/>
        </w:rPr>
      </w:pPr>
      <w:r>
        <w:rPr>
          <w:rFonts w:hint="eastAsia" w:ascii="宋体" w:hAnsi="宋体"/>
          <w:b/>
          <w:sz w:val="18"/>
          <w:szCs w:val="18"/>
          <w:highlight w:val="none"/>
        </w:rPr>
        <w:t>6.如有任意一项负偏离，比选申请人将不能通过符合性评审。</w:t>
      </w:r>
    </w:p>
    <w:p>
      <w:pPr>
        <w:pStyle w:val="4"/>
        <w:tabs>
          <w:tab w:val="left" w:pos="567"/>
          <w:tab w:val="left" w:pos="720"/>
        </w:tabs>
        <w:snapToGrid w:val="0"/>
        <w:spacing w:after="100" w:line="360" w:lineRule="auto"/>
        <w:ind w:right="-57" w:firstLine="0"/>
        <w:jc w:val="left"/>
        <w:rPr>
          <w:rFonts w:ascii="宋体" w:hAnsi="宋体" w:eastAsia="宋体"/>
          <w:sz w:val="18"/>
          <w:szCs w:val="18"/>
          <w:highlight w:val="none"/>
        </w:rPr>
        <w:sectPr>
          <w:pgSz w:w="11905" w:h="16838"/>
          <w:pgMar w:top="1418" w:right="1418" w:bottom="1304" w:left="1418" w:header="454" w:footer="567" w:gutter="0"/>
          <w:cols w:space="720" w:num="1"/>
          <w:docGrid w:linePitch="312" w:charSpace="0"/>
        </w:sectPr>
      </w:pPr>
      <w:bookmarkStart w:id="219" w:name="_Toc25750685"/>
    </w:p>
    <w:bookmarkEnd w:id="219"/>
    <w:p>
      <w:pPr>
        <w:pStyle w:val="4"/>
        <w:tabs>
          <w:tab w:val="left" w:pos="567"/>
          <w:tab w:val="left" w:pos="720"/>
        </w:tabs>
        <w:snapToGrid w:val="0"/>
        <w:spacing w:before="120" w:after="0" w:line="360" w:lineRule="auto"/>
        <w:ind w:right="-57" w:firstLine="0"/>
        <w:jc w:val="left"/>
        <w:rPr>
          <w:rFonts w:ascii="宋体" w:hAnsi="宋体" w:eastAsia="宋体"/>
          <w:sz w:val="21"/>
          <w:szCs w:val="21"/>
          <w:highlight w:val="none"/>
        </w:rPr>
      </w:pPr>
      <w:bookmarkStart w:id="220" w:name="_Toc25750687"/>
      <w:bookmarkStart w:id="221" w:name="_Toc114134672"/>
      <w:r>
        <w:rPr>
          <w:rFonts w:hint="eastAsia" w:ascii="宋体" w:hAnsi="宋体" w:eastAsia="宋体"/>
          <w:sz w:val="21"/>
          <w:szCs w:val="21"/>
          <w:highlight w:val="none"/>
        </w:rPr>
        <w:t>C2商务响应表</w:t>
      </w:r>
      <w:r>
        <w:rPr>
          <w:rFonts w:ascii="宋体" w:hAnsi="宋体" w:eastAsia="宋体"/>
          <w:sz w:val="21"/>
          <w:szCs w:val="21"/>
          <w:highlight w:val="none"/>
        </w:rPr>
        <w:t>格式</w:t>
      </w:r>
      <w:bookmarkEnd w:id="220"/>
      <w:bookmarkEnd w:id="221"/>
    </w:p>
    <w:p>
      <w:pPr>
        <w:ind w:right="-57" w:firstLine="0"/>
        <w:jc w:val="center"/>
        <w:rPr>
          <w:rFonts w:ascii="宋体" w:hAnsi="宋体"/>
          <w:b/>
          <w:highlight w:val="none"/>
        </w:rPr>
      </w:pPr>
      <w:r>
        <w:rPr>
          <w:rFonts w:hint="eastAsia" w:ascii="宋体" w:hAnsi="宋体"/>
          <w:b/>
          <w:highlight w:val="none"/>
        </w:rPr>
        <w:t>商务响应表</w:t>
      </w:r>
    </w:p>
    <w:p>
      <w:pPr>
        <w:spacing w:before="0" w:after="0" w:afterAutospacing="0"/>
        <w:ind w:right="-57" w:firstLine="0"/>
        <w:jc w:val="left"/>
        <w:rPr>
          <w:rFonts w:ascii="宋体" w:hAnsi="宋体"/>
          <w:highlight w:val="none"/>
          <w:u w:val="single"/>
        </w:rPr>
      </w:pPr>
      <w:r>
        <w:rPr>
          <w:rFonts w:hint="eastAsia" w:ascii="宋体" w:hAnsi="宋体"/>
          <w:highlight w:val="none"/>
        </w:rPr>
        <w:t>项目名称：</w:t>
      </w:r>
    </w:p>
    <w:tbl>
      <w:tblPr>
        <w:tblStyle w:val="33"/>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napToGrid w:val="0"/>
        <w:spacing w:after="50"/>
        <w:ind w:right="-57" w:firstLine="0"/>
        <w:rPr>
          <w:rFonts w:ascii="宋体" w:hAnsi="宋体"/>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after="50"/>
        <w:ind w:right="-57" w:firstLine="0"/>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日期：年月日</w:t>
      </w:r>
    </w:p>
    <w:p>
      <w:pPr>
        <w:spacing w:before="0"/>
        <w:ind w:left="105" w:leftChars="50" w:right="-57" w:firstLine="316" w:firstLineChars="150"/>
        <w:rPr>
          <w:rFonts w:ascii="宋体" w:hAnsi="宋体"/>
          <w:b/>
          <w:highlight w:val="none"/>
        </w:rPr>
      </w:pPr>
    </w:p>
    <w:p>
      <w:pPr>
        <w:spacing w:before="0" w:after="0" w:afterAutospacing="0" w:line="240" w:lineRule="auto"/>
        <w:ind w:left="0" w:right="0" w:firstLine="0"/>
        <w:jc w:val="left"/>
        <w:rPr>
          <w:rStyle w:val="51"/>
          <w:rFonts w:ascii="宋体" w:hAnsi="宋体" w:eastAsia="宋体" w:cs="宋体"/>
          <w:highlight w:val="none"/>
        </w:rPr>
      </w:pPr>
      <w:bookmarkStart w:id="222" w:name="_Toc30897"/>
      <w:bookmarkStart w:id="223" w:name="_Toc492478835"/>
      <w:bookmarkStart w:id="224" w:name="_Toc16754"/>
      <w:bookmarkStart w:id="225" w:name="_Toc6337"/>
      <w:bookmarkStart w:id="226" w:name="_Toc25750688"/>
      <w:bookmarkStart w:id="227" w:name="_Toc12695"/>
      <w:bookmarkStart w:id="228" w:name="_Toc13941"/>
      <w:bookmarkStart w:id="229" w:name="_Toc20298"/>
      <w:bookmarkStart w:id="230" w:name="_Toc5010"/>
      <w:bookmarkStart w:id="231" w:name="_Toc328"/>
      <w:bookmarkStart w:id="232" w:name="_Toc28135"/>
      <w:bookmarkStart w:id="233" w:name="_Toc25061"/>
      <w:bookmarkStart w:id="234" w:name="_Toc26409"/>
      <w:bookmarkStart w:id="235" w:name="_Toc9597"/>
      <w:bookmarkStart w:id="236" w:name="_Toc6454"/>
      <w:bookmarkStart w:id="237" w:name="_Toc14566"/>
      <w:bookmarkStart w:id="238" w:name="_Toc21321"/>
      <w:bookmarkStart w:id="239" w:name="_Toc28535"/>
      <w:bookmarkStart w:id="240" w:name="_Toc31681"/>
      <w:r>
        <w:rPr>
          <w:rStyle w:val="51"/>
          <w:rFonts w:ascii="宋体" w:hAnsi="宋体" w:eastAsia="宋体"/>
          <w:highlight w:val="none"/>
        </w:rPr>
        <w:br w:type="page"/>
      </w:r>
    </w:p>
    <w:p>
      <w:pPr>
        <w:spacing w:before="0" w:after="0" w:afterAutospacing="0" w:line="240" w:lineRule="auto"/>
        <w:ind w:left="0" w:right="0" w:firstLine="0"/>
        <w:jc w:val="left"/>
        <w:rPr>
          <w:rFonts w:hint="eastAsia" w:hAnsi="宋体"/>
          <w:b/>
          <w:highlight w:val="none"/>
        </w:rPr>
      </w:pPr>
      <w:bookmarkStart w:id="241" w:name="_Toc114134673"/>
      <w:r>
        <w:rPr>
          <w:rFonts w:hint="eastAsia" w:ascii="宋体" w:hAnsi="宋体"/>
          <w:b/>
          <w:highlight w:val="none"/>
        </w:rPr>
        <w:t>C3：</w:t>
      </w:r>
      <w:r>
        <w:rPr>
          <w:rFonts w:hint="eastAsia" w:hAnsi="宋体"/>
          <w:b/>
          <w:highlight w:val="none"/>
        </w:rPr>
        <w:t>项目建设方案：比选申请人应结合项目实际情况编制项目建设方案，包括但不限于项目背景、设备选型理由及功能介绍、项目实施计划及人员配置（需要安排原厂工程师进行实施）、培训计划等内容（自行编写）。</w:t>
      </w: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ascii="Times New Roman" w:hAnsi="宋体" w:eastAsia="宋体" w:cs="Times New Roman"/>
          <w:b/>
          <w:sz w:val="21"/>
          <w:szCs w:val="21"/>
          <w:highlight w:val="none"/>
          <w:lang w:val="en-US" w:eastAsia="zh-CN" w:bidi="ar-SA"/>
        </w:rPr>
      </w:pPr>
      <w:r>
        <w:rPr>
          <w:rFonts w:hint="eastAsia" w:ascii="Times New Roman" w:hAnsi="宋体" w:eastAsia="宋体" w:cs="Times New Roman"/>
          <w:b/>
          <w:sz w:val="21"/>
          <w:szCs w:val="21"/>
          <w:highlight w:val="none"/>
          <w:lang w:val="en-US" w:eastAsia="zh-CN" w:bidi="ar-SA"/>
        </w:rPr>
        <w:t>C4：售后服务承诺书（自行编写）</w:t>
      </w:r>
    </w:p>
    <w:p>
      <w:pPr>
        <w:pStyle w:val="2"/>
        <w:keepNext w:val="0"/>
        <w:keepLines w:val="0"/>
        <w:pageBreakBefore w:val="0"/>
        <w:widowControl/>
        <w:kinsoku/>
        <w:wordWrap/>
        <w:overflowPunct/>
        <w:topLinePunct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需包括以下基本内容：</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1、</w:t>
      </w:r>
      <w:r>
        <w:rPr>
          <w:rFonts w:hint="eastAsia" w:ascii="宋体" w:hAnsi="宋体" w:cs="Times New Roman"/>
          <w:sz w:val="21"/>
          <w:szCs w:val="21"/>
          <w:highlight w:val="none"/>
          <w:lang w:val="en-US" w:eastAsia="zh-CN" w:bidi="ar-SA"/>
        </w:rPr>
        <w:t>比选申请</w:t>
      </w:r>
      <w:r>
        <w:rPr>
          <w:rFonts w:hint="eastAsia" w:ascii="宋体" w:hAnsi="宋体" w:eastAsia="宋体" w:cs="Times New Roman"/>
          <w:sz w:val="21"/>
          <w:szCs w:val="21"/>
          <w:highlight w:val="none"/>
          <w:lang w:val="zh-CN" w:eastAsia="zh-CN" w:bidi="ar-SA"/>
        </w:rPr>
        <w:t>人应提供及时周到的售后服务，应保证每半年至少一次上门回访、检修。</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2、质保期内或售后服务合同续存期间，当设备故障时，</w:t>
      </w:r>
      <w:r>
        <w:rPr>
          <w:rFonts w:hint="eastAsia" w:ascii="宋体" w:hAnsi="宋体" w:cs="Times New Roman"/>
          <w:sz w:val="21"/>
          <w:szCs w:val="21"/>
          <w:highlight w:val="none"/>
          <w:lang w:val="en-US" w:eastAsia="zh-CN" w:bidi="ar-SA"/>
        </w:rPr>
        <w:t>比选申请</w:t>
      </w:r>
      <w:r>
        <w:rPr>
          <w:rFonts w:hint="eastAsia" w:ascii="宋体" w:hAnsi="宋体" w:eastAsia="宋体" w:cs="Times New Roman"/>
          <w:sz w:val="21"/>
          <w:szCs w:val="21"/>
          <w:highlight w:val="none"/>
          <w:lang w:val="zh-CN" w:eastAsia="zh-CN" w:bidi="ar-SA"/>
        </w:rPr>
        <w:t>人在接</w:t>
      </w:r>
      <w:r>
        <w:rPr>
          <w:rFonts w:hint="eastAsia" w:ascii="宋体" w:hAnsi="宋体" w:cs="Times New Roman"/>
          <w:sz w:val="21"/>
          <w:szCs w:val="21"/>
          <w:highlight w:val="none"/>
          <w:lang w:val="en-US" w:eastAsia="zh-CN" w:bidi="ar-SA"/>
        </w:rPr>
        <w:t>比选</w:t>
      </w:r>
      <w:r>
        <w:rPr>
          <w:rFonts w:hint="eastAsia" w:ascii="宋体" w:hAnsi="宋体" w:eastAsia="宋体" w:cs="Times New Roman"/>
          <w:sz w:val="21"/>
          <w:szCs w:val="21"/>
          <w:highlight w:val="none"/>
          <w:lang w:val="zh-CN" w:eastAsia="zh-CN" w:bidi="ar-SA"/>
        </w:rPr>
        <w:t>人通知2小时做出响应，12小时内到达现场，72小时内维修完毕，不能在规定时间内修好的要免费提供备品（机）备件进行替换使用，以免影响</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相关工作开展。</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3、</w:t>
      </w:r>
      <w:r>
        <w:rPr>
          <w:rFonts w:hint="eastAsia" w:ascii="宋体" w:hAnsi="宋体" w:cs="Times New Roman"/>
          <w:sz w:val="21"/>
          <w:szCs w:val="21"/>
          <w:highlight w:val="none"/>
          <w:lang w:val="en-US" w:eastAsia="zh-CN" w:bidi="ar-SA"/>
        </w:rPr>
        <w:t>比选申请人</w:t>
      </w:r>
      <w:r>
        <w:rPr>
          <w:rFonts w:hint="eastAsia" w:ascii="宋体" w:hAnsi="宋体" w:eastAsia="宋体" w:cs="Times New Roman"/>
          <w:sz w:val="21"/>
          <w:szCs w:val="21"/>
          <w:highlight w:val="none"/>
          <w:lang w:val="zh-CN" w:eastAsia="zh-CN" w:bidi="ar-SA"/>
        </w:rPr>
        <w:t>应有可靠的售后服务保障，在南宁市内有固定的维修服务机构（须提供售后服务机构营业执照副本原件、双方协议书原件），能提供正常的技术、备品备件服务。</w:t>
      </w:r>
      <w:r>
        <w:rPr>
          <w:rFonts w:hint="eastAsia" w:ascii="宋体" w:hAnsi="宋体" w:cs="Times New Roman"/>
          <w:sz w:val="21"/>
          <w:szCs w:val="21"/>
          <w:highlight w:val="none"/>
          <w:lang w:val="en-US" w:eastAsia="zh-CN" w:bidi="ar-SA"/>
        </w:rPr>
        <w:t>比选申请人</w:t>
      </w:r>
      <w:r>
        <w:rPr>
          <w:rFonts w:hint="eastAsia" w:ascii="宋体" w:hAnsi="宋体" w:eastAsia="宋体" w:cs="Times New Roman"/>
          <w:sz w:val="21"/>
          <w:szCs w:val="21"/>
          <w:highlight w:val="none"/>
          <w:lang w:val="zh-CN" w:eastAsia="zh-CN" w:bidi="ar-SA"/>
        </w:rPr>
        <w:t>应提供对所投货物的终身维护，并有相关零配件和和耗材的常年优惠供应。</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4、所供应主要设备的生产厂商在国内应设立有技术服务中心，免费提供给客户方法开发、样品分析等协助，并终生提供与设备相关的软件的免费升级。</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5、</w:t>
      </w:r>
      <w:r>
        <w:rPr>
          <w:rFonts w:hint="eastAsia" w:ascii="宋体" w:hAnsi="宋体" w:cs="Times New Roman"/>
          <w:sz w:val="21"/>
          <w:szCs w:val="21"/>
          <w:highlight w:val="none"/>
          <w:lang w:val="en-US" w:eastAsia="zh-CN" w:bidi="ar-SA"/>
        </w:rPr>
        <w:t>比选申请人</w:t>
      </w:r>
      <w:r>
        <w:rPr>
          <w:rFonts w:hint="eastAsia" w:ascii="宋体" w:hAnsi="宋体" w:eastAsia="宋体" w:cs="Times New Roman"/>
          <w:sz w:val="21"/>
          <w:szCs w:val="21"/>
          <w:highlight w:val="none"/>
          <w:lang w:val="zh-CN" w:eastAsia="zh-CN" w:bidi="ar-SA"/>
        </w:rPr>
        <w:t>免费为</w:t>
      </w:r>
      <w:r>
        <w:rPr>
          <w:rFonts w:hint="eastAsia" w:ascii="宋体" w:hAnsi="宋体" w:cs="Times New Roman"/>
          <w:sz w:val="21"/>
          <w:szCs w:val="21"/>
          <w:highlight w:val="none"/>
          <w:lang w:val="en-US" w:eastAsia="zh-CN" w:bidi="ar-SA"/>
        </w:rPr>
        <w:t>比选</w:t>
      </w:r>
      <w:r>
        <w:rPr>
          <w:rFonts w:hint="eastAsia" w:ascii="宋体" w:hAnsi="宋体" w:eastAsia="宋体" w:cs="Times New Roman"/>
          <w:sz w:val="21"/>
          <w:szCs w:val="21"/>
          <w:highlight w:val="none"/>
          <w:lang w:val="zh-CN" w:eastAsia="zh-CN" w:bidi="ar-SA"/>
        </w:rPr>
        <w:t>人提供中文操作手册并培训操作人员，其中包括讲解产品的结构以及原理、产品的使用以及维护保养、产品故障排除，直至操作人员能够熟练独立的操作使用。</w:t>
      </w:r>
    </w:p>
    <w:p>
      <w:pPr>
        <w:pStyle w:val="32"/>
        <w:rPr>
          <w:rFonts w:hint="eastAsia"/>
          <w:highlight w:val="none"/>
          <w:lang w:val="zh-CN" w:eastAsia="zh-CN"/>
        </w:rPr>
      </w:pP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2" w:firstLineChars="200"/>
        <w:textAlignment w:val="auto"/>
        <w:rPr>
          <w:rFonts w:hint="eastAsia" w:ascii="宋体" w:hAnsi="宋体" w:eastAsia="宋体" w:cs="Times New Roman"/>
          <w:b/>
          <w:bCs/>
          <w:sz w:val="21"/>
          <w:szCs w:val="21"/>
          <w:highlight w:val="none"/>
          <w:lang w:val="zh-CN" w:eastAsia="zh-CN" w:bidi="ar-SA"/>
        </w:rPr>
      </w:pPr>
      <w:r>
        <w:rPr>
          <w:rFonts w:hint="eastAsia" w:ascii="宋体" w:hAnsi="宋体" w:cs="Times New Roman"/>
          <w:b/>
          <w:bCs/>
          <w:sz w:val="21"/>
          <w:szCs w:val="21"/>
          <w:highlight w:val="none"/>
          <w:lang w:val="en-US" w:eastAsia="zh-CN" w:bidi="ar-SA"/>
        </w:rPr>
        <w:t>比选申请人</w:t>
      </w:r>
      <w:r>
        <w:rPr>
          <w:rFonts w:hint="eastAsia" w:ascii="宋体" w:hAnsi="宋体" w:eastAsia="宋体" w:cs="Times New Roman"/>
          <w:b/>
          <w:bCs/>
          <w:sz w:val="21"/>
          <w:szCs w:val="21"/>
          <w:highlight w:val="none"/>
          <w:lang w:val="zh-CN" w:eastAsia="zh-CN" w:bidi="ar-SA"/>
        </w:rPr>
        <w:t>需制定售后服务承诺书，明确以上内容及更详细的质保期内售后服务计划，同时还需包含质保期外技术支持和服务计划。</w:t>
      </w:r>
    </w:p>
    <w:p>
      <w:pPr>
        <w:rPr>
          <w:rFonts w:ascii="宋体" w:hAnsi="宋体"/>
          <w:highlight w:val="none"/>
        </w:rPr>
      </w:pPr>
    </w:p>
    <w:p>
      <w:pPr>
        <w:keepNext w:val="0"/>
        <w:keepLines w:val="0"/>
        <w:pageBreakBefore w:val="0"/>
        <w:widowControl w:val="0"/>
        <w:numPr>
          <w:ilvl w:val="0"/>
          <w:numId w:val="0"/>
        </w:numPr>
        <w:kinsoku/>
        <w:wordWrap/>
        <w:overflowPunct/>
        <w:topLinePunct w:val="0"/>
        <w:autoSpaceDE/>
        <w:autoSpaceDN/>
        <w:bidi w:val="0"/>
        <w:adjustRightInd/>
        <w:spacing w:before="0" w:after="0" w:afterAutospacing="0" w:line="360" w:lineRule="auto"/>
        <w:ind w:left="0" w:leftChars="0" w:right="0" w:rightChars="0" w:firstLine="420" w:firstLineChars="200"/>
        <w:textAlignment w:val="auto"/>
        <w:rPr>
          <w:rFonts w:hint="eastAsia" w:ascii="宋体" w:hAnsi="宋体"/>
          <w:szCs w:val="21"/>
          <w:highlight w:val="none"/>
          <w:lang w:val="en-US" w:eastAsia="zh-CN"/>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2"/>
        <w:rPr>
          <w:rFonts w:hint="eastAsia" w:hAnsi="宋体"/>
          <w:b/>
          <w:highlight w:val="none"/>
        </w:rPr>
      </w:pPr>
    </w:p>
    <w:p>
      <w:pPr>
        <w:pStyle w:val="4"/>
        <w:tabs>
          <w:tab w:val="left" w:pos="567"/>
          <w:tab w:val="left" w:pos="720"/>
        </w:tabs>
        <w:snapToGrid w:val="0"/>
        <w:spacing w:before="120" w:after="0" w:line="360" w:lineRule="auto"/>
        <w:ind w:right="-57"/>
        <w:jc w:val="left"/>
        <w:rPr>
          <w:rFonts w:hint="eastAsia" w:ascii="宋体" w:hAnsi="宋体" w:eastAsia="宋体"/>
          <w:sz w:val="21"/>
          <w:szCs w:val="21"/>
          <w:highlight w:val="none"/>
        </w:rPr>
      </w:pPr>
      <w:bookmarkStart w:id="242" w:name="_Toc114134674"/>
    </w:p>
    <w:p>
      <w:pPr>
        <w:pStyle w:val="5"/>
        <w:rPr>
          <w:rFonts w:hint="eastAsia" w:ascii="Times New Roman" w:hAnsi="宋体" w:eastAsia="宋体" w:cs="Times New Roman"/>
          <w:b/>
          <w:sz w:val="21"/>
          <w:szCs w:val="21"/>
          <w:highlight w:val="none"/>
          <w:lang w:val="en-US" w:eastAsia="zh-CN" w:bidi="ar-SA"/>
        </w:rPr>
      </w:pPr>
      <w:r>
        <w:rPr>
          <w:rFonts w:hint="eastAsia" w:ascii="Times New Roman" w:hAnsi="宋体" w:eastAsia="宋体" w:cs="Times New Roman"/>
          <w:b/>
          <w:sz w:val="21"/>
          <w:szCs w:val="21"/>
          <w:highlight w:val="none"/>
          <w:lang w:val="en-US" w:eastAsia="zh-CN" w:bidi="ar-SA"/>
        </w:rPr>
        <w:t>C</w:t>
      </w:r>
      <w:r>
        <w:rPr>
          <w:rFonts w:hint="eastAsia" w:hAnsi="宋体" w:cs="Times New Roman"/>
          <w:b/>
          <w:sz w:val="21"/>
          <w:szCs w:val="21"/>
          <w:highlight w:val="none"/>
          <w:lang w:val="en-US" w:eastAsia="zh-CN" w:bidi="ar-SA"/>
        </w:rPr>
        <w:t>5</w:t>
      </w:r>
      <w:r>
        <w:rPr>
          <w:rFonts w:hint="eastAsia" w:ascii="Times New Roman" w:hAnsi="宋体" w:eastAsia="宋体" w:cs="Times New Roman"/>
          <w:b/>
          <w:sz w:val="21"/>
          <w:szCs w:val="21"/>
          <w:highlight w:val="none"/>
          <w:lang w:val="en-US" w:eastAsia="zh-CN" w:bidi="ar-SA"/>
        </w:rPr>
        <w:t>：质量保证承诺书</w:t>
      </w:r>
    </w:p>
    <w:p>
      <w:pPr>
        <w:pStyle w:val="18"/>
        <w:keepNext w:val="0"/>
        <w:keepLines w:val="0"/>
        <w:pageBreakBefore w:val="0"/>
        <w:kinsoku/>
        <w:wordWrap/>
        <w:overflowPunct w:val="0"/>
        <w:topLinePunct w:val="0"/>
        <w:autoSpaceDE w:val="0"/>
        <w:autoSpaceDN w:val="0"/>
        <w:bidi w:val="0"/>
        <w:adjustRightInd/>
        <w:snapToGrid w:val="0"/>
        <w:spacing w:before="0" w:after="0" w:afterAutospacing="0" w:line="360" w:lineRule="auto"/>
        <w:ind w:left="0" w:leftChars="0" w:right="0" w:firstLine="0" w:firstLineChars="0"/>
        <w:textAlignment w:val="auto"/>
        <w:rPr>
          <w:sz w:val="21"/>
          <w:szCs w:val="21"/>
          <w:highlight w:val="none"/>
        </w:rPr>
      </w:pPr>
      <w:r>
        <w:rPr>
          <w:rFonts w:hint="eastAsia"/>
          <w:sz w:val="21"/>
          <w:szCs w:val="21"/>
          <w:highlight w:val="none"/>
        </w:rPr>
        <w:t>致：南宁轨道地产集团有限责任公司</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en-US" w:eastAsia="zh-CN" w:bidi="ar-SA"/>
        </w:rPr>
      </w:pPr>
      <w:r>
        <w:rPr>
          <w:rFonts w:hint="eastAsia" w:ascii="宋体" w:hAnsi="宋体" w:eastAsia="宋体" w:cs="Times New Roman"/>
          <w:sz w:val="21"/>
          <w:szCs w:val="21"/>
          <w:highlight w:val="none"/>
          <w:lang w:val="zh-CN" w:eastAsia="zh-CN" w:bidi="ar-SA"/>
        </w:rPr>
        <w:t>我方参与</w:t>
      </w:r>
      <w:r>
        <w:rPr>
          <w:rFonts w:hint="eastAsia" w:ascii="宋体" w:hAnsi="宋体" w:eastAsia="宋体" w:cs="Times New Roman"/>
          <w:sz w:val="21"/>
          <w:szCs w:val="21"/>
          <w:highlight w:val="none"/>
          <w:lang w:val="en-US" w:eastAsia="zh-CN" w:bidi="ar-SA"/>
        </w:rPr>
        <w:t>贵方比选项目，一旦确定为中选人，我方保证在产品供货后，提供以下质量保证承诺：</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1 、对于所供设备而向</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提供的免费包换期为36个月，质保期3年（均自设备验收合格并签署验收报告之日起算）。如设备出厂所附包换（修）文件提供质量保证期长于上述所承诺期限的，以相关包换（修）文件为准。</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2、质保期内，如果证实货物是有缺陷的，包括潜在的缺陷或者使用不符合要求的材料等，</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立即免费维修或者更换有缺陷的货物或者部件，保证达到合同规定的技术以及性能要求。如果</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在收到</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通知后</w:t>
      </w:r>
      <w:r>
        <w:rPr>
          <w:rFonts w:hint="eastAsia" w:ascii="宋体" w:hAnsi="宋体" w:cs="Times New Roman"/>
          <w:sz w:val="21"/>
          <w:szCs w:val="21"/>
          <w:highlight w:val="none"/>
          <w:lang w:val="en-US" w:eastAsia="zh-CN" w:bidi="ar-SA"/>
        </w:rPr>
        <w:t>10</w:t>
      </w:r>
      <w:r>
        <w:rPr>
          <w:rFonts w:hint="eastAsia" w:ascii="宋体" w:hAnsi="宋体" w:eastAsia="宋体" w:cs="Times New Roman"/>
          <w:sz w:val="21"/>
          <w:szCs w:val="21"/>
          <w:highlight w:val="none"/>
          <w:lang w:val="zh-CN" w:eastAsia="zh-CN" w:bidi="ar-SA"/>
        </w:rPr>
        <w:t>天内没有弥补缺陷，</w:t>
      </w:r>
      <w:r>
        <w:rPr>
          <w:rFonts w:hint="eastAsia" w:ascii="宋体" w:hAnsi="宋体" w:cs="Times New Roman"/>
          <w:sz w:val="21"/>
          <w:szCs w:val="21"/>
          <w:highlight w:val="none"/>
          <w:lang w:val="en-US" w:eastAsia="zh-CN" w:bidi="ar-SA"/>
        </w:rPr>
        <w:t>比选</w:t>
      </w:r>
      <w:r>
        <w:rPr>
          <w:rFonts w:hint="eastAsia" w:ascii="宋体" w:hAnsi="宋体" w:eastAsia="宋体" w:cs="Times New Roman"/>
          <w:sz w:val="21"/>
          <w:szCs w:val="21"/>
          <w:highlight w:val="none"/>
          <w:lang w:val="zh-CN" w:eastAsia="zh-CN" w:bidi="ar-SA"/>
        </w:rPr>
        <w:t>人可自行采取必要的补救措施，但风险和费用由</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承担，</w:t>
      </w:r>
      <w:r>
        <w:rPr>
          <w:rFonts w:hint="eastAsia" w:ascii="宋体" w:hAnsi="宋体" w:cs="Times New Roman"/>
          <w:sz w:val="21"/>
          <w:szCs w:val="21"/>
          <w:highlight w:val="none"/>
          <w:lang w:val="en-US" w:eastAsia="zh-CN" w:bidi="ar-SA"/>
        </w:rPr>
        <w:t>比选</w:t>
      </w:r>
      <w:r>
        <w:rPr>
          <w:rFonts w:hint="eastAsia" w:ascii="宋体" w:hAnsi="宋体" w:eastAsia="宋体" w:cs="Times New Roman"/>
          <w:sz w:val="21"/>
          <w:szCs w:val="21"/>
          <w:highlight w:val="none"/>
          <w:lang w:val="zh-CN" w:eastAsia="zh-CN" w:bidi="ar-SA"/>
        </w:rPr>
        <w:t>人同时保留通过法律途径进行索赔的权利。</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3、质保期内，若设备运行过程中出现故障的，</w:t>
      </w:r>
      <w:r>
        <w:rPr>
          <w:rFonts w:hint="eastAsia" w:ascii="宋体" w:hAnsi="宋体" w:cs="Times New Roman"/>
          <w:sz w:val="21"/>
          <w:szCs w:val="21"/>
          <w:highlight w:val="none"/>
          <w:lang w:val="en-US" w:eastAsia="zh-CN" w:bidi="ar-SA"/>
        </w:rPr>
        <w:t>我方应</w:t>
      </w:r>
      <w:r>
        <w:rPr>
          <w:rFonts w:hint="eastAsia" w:ascii="宋体" w:hAnsi="宋体" w:eastAsia="宋体" w:cs="Times New Roman"/>
          <w:sz w:val="21"/>
          <w:szCs w:val="21"/>
          <w:highlight w:val="none"/>
          <w:lang w:val="zh-CN" w:eastAsia="zh-CN" w:bidi="ar-SA"/>
        </w:rPr>
        <w:t>立即指派专业技术人员进行排除，对出现故障的部件、元件或零件免费进行修理或更换（替换品不包括合同中约定的、由</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向</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提供的维护用的备件）。紧急情况下，为了使设备正常运行，经</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同意，</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可以使用</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的备件。使用结束后，</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应及时归还或配齐使用过的所有备件、元件。对需要现场维修的，</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技术人员应在收到</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故障通知后，在提供远程服务的同时，应在最短时间内赶赴现场维修设备。</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4、若</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收到</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故障通知后3日内未能排除故障的，</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有权要求</w:t>
      </w:r>
      <w:r>
        <w:rPr>
          <w:rFonts w:hint="eastAsia" w:ascii="宋体" w:hAnsi="宋体" w:cs="Times New Roman"/>
          <w:sz w:val="21"/>
          <w:szCs w:val="21"/>
          <w:highlight w:val="none"/>
          <w:lang w:val="en-US" w:eastAsia="zh-CN" w:bidi="ar-SA"/>
        </w:rPr>
        <w:t>我方</w:t>
      </w:r>
      <w:r>
        <w:rPr>
          <w:rFonts w:hint="eastAsia" w:ascii="宋体" w:hAnsi="宋体" w:eastAsia="宋体" w:cs="Times New Roman"/>
          <w:sz w:val="21"/>
          <w:szCs w:val="21"/>
          <w:highlight w:val="none"/>
          <w:lang w:val="zh-CN" w:eastAsia="zh-CN" w:bidi="ar-SA"/>
        </w:rPr>
        <w:t>免费提供同档次的全新设备，</w:t>
      </w:r>
      <w:r>
        <w:rPr>
          <w:rFonts w:hint="eastAsia" w:ascii="宋体" w:hAnsi="宋体" w:cs="Times New Roman"/>
          <w:sz w:val="21"/>
          <w:szCs w:val="21"/>
          <w:highlight w:val="none"/>
          <w:lang w:val="zh-CN" w:eastAsia="zh-CN" w:bidi="ar-SA"/>
        </w:rPr>
        <w:t>我</w:t>
      </w:r>
      <w:r>
        <w:rPr>
          <w:rFonts w:hint="eastAsia" w:ascii="宋体" w:hAnsi="宋体" w:cs="Times New Roman"/>
          <w:sz w:val="21"/>
          <w:szCs w:val="21"/>
          <w:highlight w:val="none"/>
          <w:lang w:val="en-US" w:eastAsia="zh-CN" w:bidi="ar-SA"/>
        </w:rPr>
        <w:t>方</w:t>
      </w:r>
      <w:r>
        <w:rPr>
          <w:rFonts w:hint="eastAsia" w:ascii="宋体" w:hAnsi="宋体" w:eastAsia="宋体" w:cs="Times New Roman"/>
          <w:sz w:val="21"/>
          <w:szCs w:val="21"/>
          <w:highlight w:val="none"/>
          <w:lang w:val="zh-CN" w:eastAsia="zh-CN" w:bidi="ar-SA"/>
        </w:rPr>
        <w:t>应于3日内免费提供相关设备供</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临时使用。</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5、质保期内，对于保修范围内的保修服务所发生的全部物质损耗和人员费用等，均由</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方承担。如</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方未及时承担保修责任的，</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有权委托第三方对设备进行维修，由此产生的费用由</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方承担。对设备在质保期间因质量缺陷造成的</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和/或第三人财产和/或人身损害，</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方应予以赔偿。</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6、在质保期内，如果</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方提供的设备所使用的软件升级，</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方应按</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要求免费给设备软件升级；质保期届满后，如果</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认为有必要进行软件升级的，</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方应以不高于成本价的费用给设备进行软件升级。</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7、质保期届满后，</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方仍有责任保证及时提供技术支援和设备支援，并应持续对设备运行期间出现的故障提供维修服务。</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方在质保期届满后提供的服务价格和设备供货价格不得高于本合同同等设备、软件或服务的价格。</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zh-CN" w:eastAsia="zh-CN" w:bidi="ar-SA"/>
        </w:rPr>
      </w:pPr>
      <w:r>
        <w:rPr>
          <w:rFonts w:hint="eastAsia" w:ascii="宋体" w:hAnsi="宋体" w:eastAsia="宋体" w:cs="Times New Roman"/>
          <w:sz w:val="21"/>
          <w:szCs w:val="21"/>
          <w:highlight w:val="none"/>
          <w:lang w:val="zh-CN" w:eastAsia="zh-CN" w:bidi="ar-SA"/>
        </w:rPr>
        <w:t>8、 如果</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需要，</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方保证在本合同质保期届满之日起3年内，以不高于合同的价格向</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提供足够的备件。在上述期限内，如果本合同所涉设备或备件停止生产的，</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方应在设备或备件停产前一年书面通知</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，使其能够提前购买。如果</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需要，</w:t>
      </w:r>
      <w:r>
        <w:rPr>
          <w:rFonts w:hint="eastAsia" w:ascii="宋体" w:hAnsi="宋体" w:cs="Times New Roman"/>
          <w:sz w:val="21"/>
          <w:szCs w:val="21"/>
          <w:highlight w:val="none"/>
          <w:lang w:val="zh-CN" w:eastAsia="zh-CN" w:bidi="ar-SA"/>
        </w:rPr>
        <w:t>我</w:t>
      </w:r>
      <w:r>
        <w:rPr>
          <w:rFonts w:hint="eastAsia" w:ascii="宋体" w:hAnsi="宋体" w:eastAsia="宋体" w:cs="Times New Roman"/>
          <w:sz w:val="21"/>
          <w:szCs w:val="21"/>
          <w:highlight w:val="none"/>
          <w:lang w:val="zh-CN" w:eastAsia="zh-CN" w:bidi="ar-SA"/>
        </w:rPr>
        <w:t>方保证以不高于本合同价格的优惠价格向</w:t>
      </w:r>
      <w:r>
        <w:rPr>
          <w:rFonts w:hint="eastAsia" w:ascii="宋体" w:hAnsi="宋体" w:cs="Times New Roman"/>
          <w:sz w:val="21"/>
          <w:szCs w:val="21"/>
          <w:highlight w:val="none"/>
          <w:lang w:val="en-US" w:eastAsia="zh-CN" w:bidi="ar-SA"/>
        </w:rPr>
        <w:t>比选人</w:t>
      </w:r>
      <w:r>
        <w:rPr>
          <w:rFonts w:hint="eastAsia" w:ascii="宋体" w:hAnsi="宋体" w:eastAsia="宋体" w:cs="Times New Roman"/>
          <w:sz w:val="21"/>
          <w:szCs w:val="21"/>
          <w:highlight w:val="none"/>
          <w:lang w:val="zh-CN" w:eastAsia="zh-CN" w:bidi="ar-SA"/>
        </w:rPr>
        <w:t>提供具有同样功能的替代设备。</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en-US" w:eastAsia="zh-CN" w:bidi="ar-SA"/>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日期：</w:t>
      </w:r>
      <w:r>
        <w:rPr>
          <w:rFonts w:hint="eastAsia" w:ascii="宋体" w:hAnsi="宋体"/>
          <w:highlight w:val="none"/>
          <w:lang w:val="en-US" w:eastAsia="zh-CN"/>
        </w:rPr>
        <w:t xml:space="preserve"> </w:t>
      </w:r>
      <w:r>
        <w:rPr>
          <w:rFonts w:hint="eastAsia" w:ascii="宋体" w:hAnsi="宋体"/>
          <w:highlight w:val="none"/>
        </w:rPr>
        <w:t>年</w:t>
      </w:r>
      <w:r>
        <w:rPr>
          <w:rFonts w:hint="eastAsia" w:ascii="宋体" w:hAnsi="宋体"/>
          <w:highlight w:val="none"/>
          <w:lang w:val="en-US" w:eastAsia="zh-CN"/>
        </w:rPr>
        <w:t xml:space="preserve">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rPr>
        <w:t>日</w:t>
      </w:r>
    </w:p>
    <w:p>
      <w:pPr>
        <w:keepNext w:val="0"/>
        <w:keepLines w:val="0"/>
        <w:pageBreakBefore w:val="0"/>
        <w:widowControl/>
        <w:kinsoku/>
        <w:wordWrap/>
        <w:overflowPunct/>
        <w:topLinePunct w:val="0"/>
        <w:autoSpaceDE w:val="0"/>
        <w:autoSpaceDN w:val="0"/>
        <w:bidi w:val="0"/>
        <w:adjustRightInd w:val="0"/>
        <w:spacing w:before="0" w:after="0" w:afterAutospacing="0" w:line="360" w:lineRule="auto"/>
        <w:ind w:left="0" w:right="0" w:firstLine="420" w:firstLineChars="200"/>
        <w:textAlignment w:val="auto"/>
        <w:rPr>
          <w:rFonts w:hint="eastAsia" w:ascii="宋体" w:hAnsi="宋体" w:eastAsia="宋体" w:cs="Times New Roman"/>
          <w:sz w:val="21"/>
          <w:szCs w:val="21"/>
          <w:highlight w:val="none"/>
          <w:lang w:val="en-US" w:eastAsia="zh-CN" w:bidi="ar-SA"/>
        </w:rPr>
      </w:pPr>
    </w:p>
    <w:p>
      <w:pPr>
        <w:pStyle w:val="4"/>
        <w:tabs>
          <w:tab w:val="left" w:pos="567"/>
          <w:tab w:val="left" w:pos="720"/>
        </w:tabs>
        <w:snapToGrid w:val="0"/>
        <w:spacing w:before="120" w:after="0" w:line="360" w:lineRule="auto"/>
        <w:ind w:right="-57"/>
        <w:jc w:val="left"/>
        <w:rPr>
          <w:rFonts w:ascii="宋体" w:hAnsi="宋体" w:eastAsia="宋体"/>
          <w:sz w:val="21"/>
          <w:szCs w:val="21"/>
          <w:highlight w:val="none"/>
        </w:rPr>
      </w:pPr>
      <w:r>
        <w:rPr>
          <w:rFonts w:hint="eastAsia" w:ascii="宋体" w:hAnsi="宋体" w:eastAsia="宋体"/>
          <w:sz w:val="21"/>
          <w:szCs w:val="21"/>
          <w:highlight w:val="none"/>
        </w:rPr>
        <w:t>C</w:t>
      </w:r>
      <w:r>
        <w:rPr>
          <w:rFonts w:hint="eastAsia" w:ascii="宋体" w:hAnsi="宋体" w:eastAsia="宋体"/>
          <w:sz w:val="21"/>
          <w:szCs w:val="21"/>
          <w:highlight w:val="none"/>
          <w:lang w:val="en-US" w:eastAsia="zh-CN"/>
        </w:rPr>
        <w:t>6</w:t>
      </w:r>
      <w:r>
        <w:rPr>
          <w:rFonts w:hint="eastAsia" w:ascii="宋体" w:hAnsi="宋体" w:eastAsia="宋体"/>
          <w:sz w:val="21"/>
          <w:szCs w:val="21"/>
          <w:highlight w:val="none"/>
        </w:rPr>
        <w:t>业绩表</w:t>
      </w:r>
      <w:bookmarkEnd w:id="242"/>
    </w:p>
    <w:p>
      <w:pPr>
        <w:spacing w:before="0"/>
        <w:ind w:right="-57" w:firstLine="0"/>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33"/>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合同内容（简述：含</w:t>
            </w:r>
            <w:r>
              <w:rPr>
                <w:rFonts w:hint="eastAsia" w:ascii="宋体" w:hAnsi="宋体"/>
                <w:highlight w:val="none"/>
                <w:lang w:val="en-US" w:eastAsia="zh-CN"/>
              </w:rPr>
              <w:t>项目概况</w:t>
            </w:r>
            <w:r>
              <w:rPr>
                <w:rFonts w:hint="eastAsia" w:ascii="宋体" w:hAnsi="宋体"/>
                <w:highlight w:val="none"/>
              </w:rPr>
              <w:t>等内容）</w:t>
            </w:r>
          </w:p>
        </w:tc>
        <w:tc>
          <w:tcPr>
            <w:tcW w:w="992"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合同</w:t>
            </w:r>
            <w:r>
              <w:rPr>
                <w:rFonts w:ascii="宋体" w:hAnsi="宋体"/>
                <w:highlight w:val="none"/>
              </w:rPr>
              <w:br w:type="textWrapping"/>
            </w:r>
            <w:r>
              <w:rPr>
                <w:rFonts w:hint="eastAsia" w:ascii="宋体" w:hAnsi="宋体"/>
                <w:highlight w:val="none"/>
              </w:rPr>
              <w:t>金额</w:t>
            </w:r>
          </w:p>
        </w:tc>
        <w:tc>
          <w:tcPr>
            <w:tcW w:w="993"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签订</w:t>
            </w:r>
            <w:r>
              <w:rPr>
                <w:rFonts w:ascii="宋体" w:hAnsi="宋体"/>
                <w:highlight w:val="none"/>
              </w:rPr>
              <w:br w:type="textWrapping"/>
            </w:r>
            <w:r>
              <w:rPr>
                <w:rFonts w:hint="eastAsia" w:ascii="宋体" w:hAnsi="宋体"/>
                <w:highlight w:val="none"/>
              </w:rPr>
              <w:t>时间</w:t>
            </w:r>
          </w:p>
        </w:tc>
        <w:tc>
          <w:tcPr>
            <w:tcW w:w="1388"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highlight w:val="none"/>
              </w:rPr>
            </w:pPr>
          </w:p>
        </w:tc>
        <w:tc>
          <w:tcPr>
            <w:tcW w:w="1092" w:type="dxa"/>
          </w:tcPr>
          <w:p>
            <w:pPr>
              <w:ind w:left="0" w:firstLine="0"/>
              <w:rPr>
                <w:rFonts w:ascii="宋体" w:hAnsi="宋体"/>
                <w:highlight w:val="none"/>
              </w:rPr>
            </w:pPr>
          </w:p>
        </w:tc>
        <w:tc>
          <w:tcPr>
            <w:tcW w:w="1789" w:type="dxa"/>
          </w:tcPr>
          <w:p>
            <w:pPr>
              <w:ind w:left="0" w:firstLine="0"/>
              <w:rPr>
                <w:rFonts w:ascii="宋体" w:hAnsi="宋体"/>
                <w:highlight w:val="none"/>
              </w:rPr>
            </w:pPr>
          </w:p>
        </w:tc>
        <w:tc>
          <w:tcPr>
            <w:tcW w:w="992" w:type="dxa"/>
          </w:tcPr>
          <w:p>
            <w:pPr>
              <w:ind w:left="0" w:firstLine="0"/>
              <w:rPr>
                <w:rFonts w:ascii="宋体" w:hAnsi="宋体"/>
                <w:highlight w:val="none"/>
              </w:rPr>
            </w:pPr>
          </w:p>
        </w:tc>
        <w:tc>
          <w:tcPr>
            <w:tcW w:w="993" w:type="dxa"/>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tcPr>
          <w:p>
            <w:pPr>
              <w:ind w:left="0" w:firstLine="0"/>
              <w:rPr>
                <w:rFonts w:ascii="宋体" w:hAnsi="宋体"/>
                <w:highlight w:val="none"/>
              </w:rPr>
            </w:pPr>
          </w:p>
        </w:tc>
        <w:tc>
          <w:tcPr>
            <w:tcW w:w="1043" w:type="dxa"/>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bl>
    <w:p>
      <w:pPr>
        <w:spacing w:before="0"/>
        <w:ind w:left="567" w:right="-57" w:hanging="567"/>
        <w:jc w:val="left"/>
        <w:rPr>
          <w:rFonts w:ascii="宋体" w:hAnsi="宋体"/>
          <w:highlight w:val="none"/>
        </w:rPr>
      </w:pPr>
    </w:p>
    <w:p>
      <w:pPr>
        <w:spacing w:before="0" w:after="0" w:afterAutospacing="0"/>
        <w:ind w:left="0" w:right="0" w:firstLine="0"/>
        <w:rPr>
          <w:rFonts w:hint="eastAsia" w:ascii="宋体" w:hAnsi="宋体"/>
          <w:color w:val="000000"/>
          <w:highlight w:val="none"/>
        </w:rPr>
      </w:pPr>
      <w:r>
        <w:rPr>
          <w:rFonts w:ascii="宋体" w:hAnsi="宋体"/>
          <w:highlight w:val="none"/>
        </w:rPr>
        <w:t>注：1.</w:t>
      </w:r>
      <w:r>
        <w:rPr>
          <w:rFonts w:hint="eastAsia" w:ascii="宋体" w:hAnsi="宋体"/>
          <w:highlight w:val="none"/>
        </w:rPr>
        <w:t>类似项目业绩：</w:t>
      </w:r>
      <w:r>
        <w:rPr>
          <w:rFonts w:hint="eastAsia" w:ascii="宋体" w:hAnsi="宋体"/>
          <w:color w:val="000000"/>
          <w:highlight w:val="none"/>
        </w:rPr>
        <w:t>2019年至今安全态势感知系统建设业绩造价在300000.00元及以上的不同项目合同业绩（原件备查，附合同复印件，合同内容需体现合同造价及主要内容，如无，需出具项目情况说明且加盖单位公章原件。）</w:t>
      </w:r>
    </w:p>
    <w:p>
      <w:pPr>
        <w:spacing w:before="0" w:after="0" w:afterAutospacing="0"/>
        <w:ind w:left="0" w:right="0" w:firstLine="0"/>
        <w:rPr>
          <w:rFonts w:ascii="宋体" w:hAnsi="宋体"/>
          <w:highlight w:val="none"/>
        </w:rPr>
      </w:pPr>
      <w:r>
        <w:rPr>
          <w:rFonts w:ascii="宋体" w:hAnsi="宋体"/>
          <w:highlight w:val="none"/>
        </w:rPr>
        <w:t>2.</w:t>
      </w:r>
      <w:r>
        <w:rPr>
          <w:rFonts w:hint="eastAsia" w:ascii="宋体" w:hAnsi="宋体"/>
          <w:highlight w:val="none"/>
        </w:rPr>
        <w:t>项目按照时间顺序排列，时间以合同签订时间为准。</w:t>
      </w:r>
    </w:p>
    <w:p>
      <w:pPr>
        <w:pStyle w:val="2"/>
        <w:rPr>
          <w:rFonts w:ascii="宋体" w:hAnsi="宋体"/>
          <w:b/>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pacing w:before="0"/>
        <w:ind w:right="-57" w:firstLine="0"/>
        <w:jc w:val="center"/>
        <w:rPr>
          <w:rFonts w:hint="eastAsia" w:ascii="宋体" w:hAnsi="宋体"/>
          <w:highlight w:val="none"/>
        </w:rPr>
      </w:pPr>
      <w:r>
        <w:rPr>
          <w:rFonts w:hint="eastAsia" w:ascii="宋体" w:hAnsi="宋体"/>
          <w:highlight w:val="none"/>
        </w:rPr>
        <w:t>日期：年月日</w:t>
      </w:r>
    </w:p>
    <w:p>
      <w:pPr>
        <w:pStyle w:val="2"/>
        <w:rPr>
          <w:rFonts w:hint="eastAsia" w:ascii="宋体" w:hAnsi="宋体"/>
          <w:highlight w:val="none"/>
        </w:rPr>
      </w:pPr>
    </w:p>
    <w:p>
      <w:pPr>
        <w:pStyle w:val="2"/>
        <w:rPr>
          <w:rFonts w:hint="eastAsia" w:ascii="宋体" w:hAnsi="宋体"/>
          <w:highlight w:val="none"/>
        </w:rPr>
      </w:pPr>
    </w:p>
    <w:p>
      <w:pPr>
        <w:jc w:val="left"/>
        <w:rPr>
          <w:rFonts w:hint="eastAsia"/>
          <w:b/>
          <w:szCs w:val="22"/>
          <w:highlight w:val="none"/>
        </w:rPr>
      </w:pPr>
      <w:r>
        <w:rPr>
          <w:rFonts w:hint="eastAsia"/>
          <w:b/>
          <w:szCs w:val="22"/>
          <w:highlight w:val="none"/>
        </w:rPr>
        <w:t>C</w:t>
      </w:r>
      <w:r>
        <w:rPr>
          <w:rFonts w:hint="eastAsia"/>
          <w:b/>
          <w:szCs w:val="22"/>
          <w:highlight w:val="none"/>
          <w:lang w:val="en-US" w:eastAsia="zh-CN"/>
        </w:rPr>
        <w:t>7</w:t>
      </w:r>
      <w:r>
        <w:rPr>
          <w:rFonts w:hint="eastAsia"/>
          <w:b/>
          <w:szCs w:val="22"/>
          <w:highlight w:val="none"/>
        </w:rPr>
        <w:t>设备技术</w:t>
      </w:r>
      <w:bookmarkStart w:id="243" w:name="_GoBack"/>
      <w:bookmarkEnd w:id="243"/>
      <w:r>
        <w:rPr>
          <w:rFonts w:hint="eastAsia"/>
          <w:b/>
          <w:szCs w:val="22"/>
          <w:highlight w:val="none"/>
        </w:rPr>
        <w:t>参数表偏离表</w:t>
      </w:r>
    </w:p>
    <w:tbl>
      <w:tblPr>
        <w:tblStyle w:val="33"/>
        <w:tblpPr w:leftFromText="180" w:rightFromText="180" w:vertAnchor="text" w:horzAnchor="page" w:tblpXSpec="center" w:tblpY="674"/>
        <w:tblOverlap w:val="never"/>
        <w:tblW w:w="5000" w:type="pct"/>
        <w:jc w:val="center"/>
        <w:tblLayout w:type="fixed"/>
        <w:tblCellMar>
          <w:top w:w="0" w:type="dxa"/>
          <w:left w:w="108" w:type="dxa"/>
          <w:bottom w:w="0" w:type="dxa"/>
          <w:right w:w="108" w:type="dxa"/>
        </w:tblCellMar>
      </w:tblPr>
      <w:tblGrid>
        <w:gridCol w:w="380"/>
        <w:gridCol w:w="749"/>
        <w:gridCol w:w="4331"/>
        <w:gridCol w:w="1578"/>
        <w:gridCol w:w="1359"/>
        <w:gridCol w:w="890"/>
      </w:tblGrid>
      <w:tr>
        <w:tblPrEx>
          <w:tblCellMar>
            <w:top w:w="0" w:type="dxa"/>
            <w:left w:w="108" w:type="dxa"/>
            <w:bottom w:w="0" w:type="dxa"/>
            <w:right w:w="108" w:type="dxa"/>
          </w:tblCellMar>
        </w:tblPrEx>
        <w:trPr>
          <w:trHeight w:val="420" w:hRule="atLeast"/>
          <w:jc w:val="center"/>
        </w:trPr>
        <w:tc>
          <w:tcPr>
            <w:tcW w:w="20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jc w:val="center"/>
              <w:textAlignment w:val="auto"/>
              <w:rPr>
                <w:rFonts w:ascii="宋体" w:hAnsi="宋体"/>
                <w:highlight w:val="none"/>
                <w:lang w:val="zh-CN"/>
              </w:rPr>
            </w:pPr>
            <w:r>
              <w:rPr>
                <w:rFonts w:hint="eastAsia" w:ascii="宋体" w:hAnsi="宋体" w:cs="仿宋"/>
                <w:highlight w:val="none"/>
                <w:lang w:val="zh-CN"/>
              </w:rPr>
              <w:t>序号</w:t>
            </w:r>
          </w:p>
        </w:tc>
        <w:tc>
          <w:tcPr>
            <w:tcW w:w="40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textAlignment w:val="auto"/>
              <w:rPr>
                <w:rFonts w:ascii="宋体" w:hAnsi="宋体"/>
                <w:highlight w:val="none"/>
                <w:lang w:val="zh-CN"/>
              </w:rPr>
            </w:pPr>
            <w:r>
              <w:rPr>
                <w:rFonts w:hint="eastAsia" w:ascii="宋体" w:hAnsi="宋体"/>
                <w:highlight w:val="none"/>
                <w:lang w:val="zh-CN"/>
              </w:rPr>
              <w:t>货物设备名称</w:t>
            </w:r>
          </w:p>
        </w:tc>
        <w:tc>
          <w:tcPr>
            <w:tcW w:w="233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jc w:val="center"/>
              <w:textAlignment w:val="auto"/>
              <w:rPr>
                <w:rFonts w:ascii="宋体" w:hAnsi="宋体"/>
                <w:highlight w:val="none"/>
                <w:lang w:val="zh-CN"/>
              </w:rPr>
            </w:pPr>
            <w:r>
              <w:rPr>
                <w:rFonts w:hint="eastAsia" w:ascii="宋体" w:hAnsi="宋体" w:cs="仿宋"/>
                <w:highlight w:val="none"/>
                <w:lang w:val="zh-CN"/>
              </w:rPr>
              <w:t>技术指标要求</w:t>
            </w:r>
          </w:p>
        </w:tc>
        <w:tc>
          <w:tcPr>
            <w:tcW w:w="849"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jc w:val="center"/>
              <w:textAlignment w:val="auto"/>
              <w:rPr>
                <w:rFonts w:hint="default" w:ascii="宋体" w:hAnsi="宋体" w:eastAsia="宋体" w:cs="仿宋"/>
                <w:highlight w:val="none"/>
                <w:lang w:val="en-US" w:eastAsia="zh-CN"/>
              </w:rPr>
            </w:pPr>
            <w:r>
              <w:rPr>
                <w:rFonts w:hint="eastAsia" w:ascii="宋体" w:hAnsi="宋体" w:cs="仿宋"/>
                <w:highlight w:val="none"/>
                <w:lang w:val="en-US" w:eastAsia="zh-CN"/>
              </w:rPr>
              <w:t>比选申请产品技术指标</w:t>
            </w:r>
          </w:p>
        </w:tc>
        <w:tc>
          <w:tcPr>
            <w:tcW w:w="731"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jc w:val="center"/>
              <w:textAlignment w:val="auto"/>
              <w:rPr>
                <w:rFonts w:hint="default" w:ascii="宋体" w:hAnsi="宋体" w:cs="仿宋"/>
                <w:highlight w:val="none"/>
                <w:lang w:val="en-US" w:eastAsia="zh-CN"/>
              </w:rPr>
            </w:pPr>
            <w:r>
              <w:rPr>
                <w:rFonts w:hint="eastAsia"/>
                <w:color w:val="auto"/>
                <w:highlight w:val="none"/>
              </w:rPr>
              <w:t>品牌、厂家、型号</w:t>
            </w:r>
          </w:p>
        </w:tc>
        <w:tc>
          <w:tcPr>
            <w:tcW w:w="479"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val="0"/>
              <w:autoSpaceDN w:val="0"/>
              <w:bidi w:val="0"/>
              <w:adjustRightInd w:val="0"/>
              <w:snapToGrid/>
              <w:spacing w:before="0" w:after="0" w:afterAutospacing="0" w:line="240" w:lineRule="auto"/>
              <w:ind w:left="0" w:right="0" w:firstLine="0"/>
              <w:jc w:val="center"/>
              <w:textAlignment w:val="auto"/>
              <w:rPr>
                <w:rFonts w:hint="eastAsia" w:ascii="宋体" w:hAnsi="宋体" w:cs="仿宋"/>
                <w:highlight w:val="none"/>
                <w:lang w:val="en-US" w:eastAsia="zh-CN"/>
              </w:rPr>
            </w:pPr>
            <w:r>
              <w:rPr>
                <w:rFonts w:hint="eastAsia" w:ascii="宋体" w:hAnsi="宋体" w:cs="仿宋"/>
                <w:highlight w:val="none"/>
                <w:lang w:val="en-US" w:eastAsia="zh-CN"/>
              </w:rPr>
              <w:t>偏离说明</w:t>
            </w:r>
          </w:p>
        </w:tc>
      </w:tr>
      <w:tr>
        <w:tblPrEx>
          <w:tblCellMar>
            <w:top w:w="0" w:type="dxa"/>
            <w:left w:w="108" w:type="dxa"/>
            <w:bottom w:w="0" w:type="dxa"/>
            <w:right w:w="108" w:type="dxa"/>
          </w:tblCellMar>
        </w:tblPrEx>
        <w:trPr>
          <w:trHeight w:val="340" w:hRule="atLeast"/>
          <w:jc w:val="center"/>
        </w:trPr>
        <w:tc>
          <w:tcPr>
            <w:tcW w:w="20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center"/>
              <w:textAlignment w:val="auto"/>
              <w:rPr>
                <w:rFonts w:ascii="宋体" w:hAnsi="宋体" w:cs="仿宋"/>
                <w:highlight w:val="none"/>
                <w:lang w:val="zh-CN"/>
              </w:rPr>
            </w:pPr>
            <w:r>
              <w:rPr>
                <w:rFonts w:hint="eastAsia" w:ascii="宋体" w:hAnsi="宋体" w:cs="仿宋"/>
                <w:highlight w:val="none"/>
                <w:lang w:val="zh-CN"/>
              </w:rPr>
              <w:t>1</w:t>
            </w:r>
          </w:p>
        </w:tc>
        <w:tc>
          <w:tcPr>
            <w:tcW w:w="40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textAlignment w:val="auto"/>
              <w:rPr>
                <w:rFonts w:ascii="宋体" w:hAnsi="宋体" w:cs="仿宋"/>
                <w:highlight w:val="none"/>
                <w:lang w:val="zh-CN"/>
              </w:rPr>
            </w:pPr>
            <w:r>
              <w:rPr>
                <w:rFonts w:hint="eastAsia" w:ascii="宋体" w:hAnsi="宋体" w:cs="仿宋"/>
                <w:highlight w:val="none"/>
                <w:lang w:val="zh-CN"/>
              </w:rPr>
              <w:t>■</w:t>
            </w:r>
            <w:r>
              <w:rPr>
                <w:rFonts w:ascii="宋体" w:hAnsi="宋体" w:cs="仿宋"/>
                <w:color w:val="000000"/>
                <w:kern w:val="0"/>
                <w:highlight w:val="none"/>
                <w:lang w:val="zh-CN"/>
              </w:rPr>
              <w:t>安全态势感知系统及设备（一体机）</w:t>
            </w:r>
          </w:p>
        </w:tc>
        <w:tc>
          <w:tcPr>
            <w:tcW w:w="233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ascii="宋体" w:hAnsi="宋体" w:cs="仿宋"/>
                <w:sz w:val="18"/>
                <w:szCs w:val="18"/>
                <w:highlight w:val="none"/>
                <w:lang w:val="zh-CN"/>
              </w:rPr>
            </w:pPr>
            <w:r>
              <w:rPr>
                <w:rFonts w:ascii="宋体" w:hAnsi="宋体" w:cs="仿宋"/>
                <w:sz w:val="18"/>
                <w:szCs w:val="18"/>
                <w:highlight w:val="none"/>
                <w:lang w:val="zh-CN"/>
              </w:rPr>
              <w:t>一、硬件要求</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1、</w:t>
            </w: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基本配置：标准2U设备，CPU ≥24核 ，内存≥256GB，配置企业级磁盘≥48TB，冗余电源</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2、千兆网口≥4个，万兆光口≥2个</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3、</w:t>
            </w:r>
            <w:r>
              <w:rPr>
                <w:rFonts w:hint="eastAsia" w:ascii="宋体" w:hAnsi="宋体" w:eastAsia="宋体" w:cs="仿宋"/>
                <w:sz w:val="18"/>
                <w:szCs w:val="18"/>
                <w:highlight w:val="none"/>
                <w:lang w:val="zh-CN"/>
              </w:rPr>
              <w:t>★单台设备</w:t>
            </w:r>
            <w:r>
              <w:rPr>
                <w:rFonts w:hint="eastAsia" w:ascii="宋体" w:hAnsi="宋体" w:eastAsia="宋体"/>
                <w:sz w:val="18"/>
                <w:szCs w:val="18"/>
                <w:highlight w:val="none"/>
                <w:lang w:val="zh-CN"/>
              </w:rPr>
              <w:t>数据采集及处理性能≥20000EPS，支持10亿条数据秒级检索响应</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二、软件功能要求</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1、支持态势大屏展示，包括全网态势、威胁态势、资产态势、漏洞态势、攻击态势等不少于10种态势大屏，支持大屏轮播，支持态势大屏中相关信息下钻跳转到对应的详细页面。（提供截图证明）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2、支持流量实时识别漏洞分析，漏洞分析类型包含不限于操作系统、数据库、Web应用等。</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3、支持明文密码及弱口令泄露行为检测及分析。</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4、支持通过多种类型的安全、泛安全类数据接入采集，应包括但不限于设备日志数据（同品牌或第三方设备）、流量数据、弱点漏洞数据、系统性能数据、威胁情报数据、资产人员数据。</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5、支持联动漏扫设备、手动导入漏扫报告两种方式实现漏洞数据采集，支持同品牌及第三方漏扫设备联动。</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6、支持黑白名单，通过对IP加白、加黑等操作，实现对误告警的过滤和对重点告警的关注。</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7、支持业务网络拓扑监控，支持监控Web业务系统、服务器、主机、安全设备、网络设备等至少5种网络实体类型，支持拓扑动态提示管理设备产生的告警，支持通过拓扑图查看选中设备的设备概览、设备详情、告警列表等信息。</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8、内置安全分析模型，包括但不限于规则模型、关联模型、分析模型等，或者根据自身产品特点进行的其他安全分析模型分类，不少于5大类。（提供截图说明）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9、支持通过态势感知平台直接点击跳转产品厂商的威胁情报中心进行威胁信息查询。</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10、支持对日志的详情展示，支持日志溯源，对日志详情进行深度分析，，支持安全日志名称、源地址、目的地址、日志类型、目的端口、应用协议、设备地址等信息的展示。（提供截图证明）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11、支持通过流量无侵入式自动发现新增资产。</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12、支持与同品牌安全软件、设备联动，如能实现与第三方设备联动更佳。</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13、支持场景化分析，内置包括但不限于WEB攻击、DDOS攻击、暴力破解、APT攻击、恶意程序、扫描威胁、后门类发现检测、弱密码、高危端口/服务等各类场景不少于10个。（提供截图证明）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14、支持对原始日志数据、安全告警数据进行分类检索，从检索结果可关联威胁情报和资产信息并一键跳转。（提供截图证明）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15、支持各类报表可视化图表展示，包括但不限于时序图、饼图、柱状图等。（提供截图证明）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16、支持对威胁源进行画像分析，展示威胁源的各类基础信息。（提供截图证明）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17、支持对资产进行多维度画像分析，如资产基础信息、告警信息、攻击信息、行为信息、漏洞信息等。（提供截图证明）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ascii="宋体" w:hAnsi="宋体" w:eastAsia="宋体"/>
                <w:sz w:val="18"/>
                <w:szCs w:val="18"/>
                <w:highlight w:val="none"/>
                <w:lang w:val="zh-CN"/>
              </w:rPr>
            </w:pPr>
            <w:r>
              <w:rPr>
                <w:rFonts w:hint="eastAsia" w:ascii="宋体" w:hAnsi="宋体" w:eastAsia="宋体"/>
                <w:sz w:val="18"/>
                <w:szCs w:val="18"/>
                <w:highlight w:val="none"/>
                <w:lang w:val="zh-CN"/>
              </w:rPr>
              <w:t>18、支持工单管理，包括工单分派、工单分组等功能。</w:t>
            </w:r>
          </w:p>
        </w:tc>
        <w:tc>
          <w:tcPr>
            <w:tcW w:w="849" w:type="pct"/>
            <w:tcBorders>
              <w:top w:val="single" w:color="auto" w:sz="6" w:space="0"/>
              <w:left w:val="single" w:color="auto" w:sz="6" w:space="0"/>
              <w:bottom w:val="single" w:color="auto" w:sz="6" w:space="0"/>
              <w:right w:val="single" w:color="auto" w:sz="6" w:space="0"/>
            </w:tcBorders>
            <w:vAlign w:val="center"/>
          </w:tcPr>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p>
        </w:tc>
        <w:tc>
          <w:tcPr>
            <w:tcW w:w="731" w:type="pct"/>
            <w:tcBorders>
              <w:top w:val="single" w:color="auto" w:sz="6" w:space="0"/>
              <w:left w:val="single" w:color="auto" w:sz="6" w:space="0"/>
              <w:bottom w:val="single" w:color="auto" w:sz="6" w:space="0"/>
              <w:right w:val="single" w:color="auto" w:sz="6" w:space="0"/>
            </w:tcBorders>
            <w:vAlign w:val="center"/>
          </w:tcPr>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p>
        </w:tc>
        <w:tc>
          <w:tcPr>
            <w:tcW w:w="479" w:type="pct"/>
            <w:tcBorders>
              <w:top w:val="single" w:color="auto" w:sz="6" w:space="0"/>
              <w:left w:val="single" w:color="auto" w:sz="6" w:space="0"/>
              <w:bottom w:val="single" w:color="auto" w:sz="6" w:space="0"/>
              <w:right w:val="single" w:color="auto" w:sz="6" w:space="0"/>
            </w:tcBorders>
            <w:vAlign w:val="center"/>
          </w:tcPr>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p>
        </w:tc>
      </w:tr>
      <w:tr>
        <w:tblPrEx>
          <w:tblCellMar>
            <w:top w:w="0" w:type="dxa"/>
            <w:left w:w="108" w:type="dxa"/>
            <w:bottom w:w="0" w:type="dxa"/>
            <w:right w:w="108" w:type="dxa"/>
          </w:tblCellMar>
        </w:tblPrEx>
        <w:trPr>
          <w:trHeight w:val="340" w:hRule="atLeast"/>
          <w:jc w:val="center"/>
        </w:trPr>
        <w:tc>
          <w:tcPr>
            <w:tcW w:w="20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center"/>
              <w:textAlignment w:val="auto"/>
              <w:rPr>
                <w:rFonts w:ascii="宋体" w:hAnsi="宋体" w:cs="仿宋"/>
                <w:highlight w:val="none"/>
                <w:lang w:val="zh-CN"/>
              </w:rPr>
            </w:pPr>
            <w:r>
              <w:rPr>
                <w:rFonts w:hint="eastAsia" w:ascii="宋体" w:hAnsi="宋体" w:cs="仿宋"/>
                <w:highlight w:val="none"/>
                <w:lang w:val="zh-CN"/>
              </w:rPr>
              <w:t>2</w:t>
            </w:r>
          </w:p>
        </w:tc>
        <w:tc>
          <w:tcPr>
            <w:tcW w:w="40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textAlignment w:val="auto"/>
              <w:rPr>
                <w:rFonts w:ascii="宋体" w:hAnsi="宋体" w:cs="仿宋"/>
                <w:highlight w:val="none"/>
                <w:lang w:val="zh-CN"/>
              </w:rPr>
            </w:pPr>
            <w:r>
              <w:rPr>
                <w:rFonts w:hint="eastAsia" w:ascii="宋体" w:hAnsi="宋体" w:cs="仿宋"/>
                <w:highlight w:val="none"/>
                <w:lang w:val="zh-CN"/>
              </w:rPr>
              <w:t>■</w:t>
            </w:r>
            <w:r>
              <w:rPr>
                <w:rFonts w:ascii="宋体" w:hAnsi="宋体" w:cs="仿宋"/>
                <w:color w:val="000000"/>
                <w:kern w:val="0"/>
                <w:highlight w:val="none"/>
                <w:lang w:val="zh-CN"/>
              </w:rPr>
              <w:t>流量探针（一体机）</w:t>
            </w:r>
          </w:p>
        </w:tc>
        <w:tc>
          <w:tcPr>
            <w:tcW w:w="233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textAlignment w:val="auto"/>
              <w:rPr>
                <w:rFonts w:hint="eastAsia" w:ascii="宋体" w:hAnsi="宋体" w:cs="仿宋"/>
                <w:sz w:val="18"/>
                <w:szCs w:val="18"/>
                <w:highlight w:val="none"/>
                <w:lang w:val="zh-CN"/>
              </w:rPr>
            </w:pPr>
            <w:r>
              <w:rPr>
                <w:rFonts w:ascii="宋体" w:hAnsi="宋体" w:cs="仿宋"/>
                <w:sz w:val="18"/>
                <w:szCs w:val="18"/>
                <w:highlight w:val="none"/>
                <w:lang w:val="zh-CN"/>
              </w:rPr>
              <w:t>一、硬件要求</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1、基本要求：标准机架设备，CPU≥8核，内存大小≥32GB，硬盘≥2TB，冗余电源。</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sz w:val="18"/>
                <w:szCs w:val="18"/>
                <w:highlight w:val="none"/>
                <w:lang w:val="zh-CN"/>
              </w:rPr>
              <w:t>2、千兆电口≥4个，千兆光口≥2个</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3、网络吞吐率≥1Gbps，支持旁路部署</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4、为保证平台的兼容性，流量探针必须与态势感知设备为同一个厂商。</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sz w:val="18"/>
                <w:szCs w:val="18"/>
                <w:highlight w:val="none"/>
                <w:lang w:val="zh-CN"/>
              </w:rPr>
              <w:t>二、软件功能要求</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1、支持各类网络协议，还原网络流量，如 HTTP、 FTP、 TFTP、 SMTP、POP3、 IMAP、 SNMP、IRC、 DNS、 DHCP、P2P、SMB、RDP、VNC、TELNET、TCP、UDP等。</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2、支持扫描探测、暴力猜解、拒绝服务攻击、后门控制、溢出攻击、非授权访问攻击、URL跳转、跨站攻击、浏览器劫持、文件漏洞攻击等多种常见攻击行为检测。（提供截图证明）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sz w:val="18"/>
                <w:szCs w:val="18"/>
                <w:highlight w:val="none"/>
                <w:lang w:val="zh-CN"/>
              </w:rPr>
              <w:t>3、支持各类Web攻击检测，包括Webshell请求、XSS攻击、SQL注入、远程代码执行、命令注入、远程文件包含、本地文件包含、文件上传、路径遍历、信息泄露、越权访问、XXE注入、网页篡改、SSRF攻击等。</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4、支持漏洞利用检测，包括SMB漏洞、RDP漏洞、软件漏洞、设备漏洞、系统漏洞、拒绝服务漏洞、shellcode等各种漏洞利用检测规则。</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sz w:val="18"/>
                <w:szCs w:val="18"/>
                <w:highlight w:val="none"/>
                <w:lang w:val="zh-CN"/>
              </w:rPr>
              <w:t>5、支持常用数据库协议，如</w:t>
            </w:r>
            <w:r>
              <w:rPr>
                <w:rFonts w:ascii="宋体" w:hAnsi="宋体" w:eastAsia="宋体"/>
                <w:sz w:val="18"/>
                <w:szCs w:val="18"/>
                <w:highlight w:val="none"/>
                <w:lang w:val="zh-CN"/>
              </w:rPr>
              <w:t>MSSQL</w:t>
            </w:r>
            <w:r>
              <w:rPr>
                <w:rFonts w:hint="eastAsia" w:ascii="宋体" w:hAnsi="宋体" w:eastAsia="宋体"/>
                <w:sz w:val="18"/>
                <w:szCs w:val="18"/>
                <w:highlight w:val="none"/>
                <w:lang w:val="zh-CN"/>
              </w:rPr>
              <w:t>、</w:t>
            </w:r>
            <w:r>
              <w:rPr>
                <w:rFonts w:ascii="宋体" w:hAnsi="宋体" w:eastAsia="宋体"/>
                <w:sz w:val="18"/>
                <w:szCs w:val="18"/>
                <w:highlight w:val="none"/>
                <w:lang w:val="zh-CN"/>
              </w:rPr>
              <w:t xml:space="preserve"> MySQL</w:t>
            </w:r>
            <w:r>
              <w:rPr>
                <w:rFonts w:hint="eastAsia" w:ascii="宋体" w:hAnsi="宋体" w:eastAsia="宋体"/>
                <w:sz w:val="18"/>
                <w:szCs w:val="18"/>
                <w:highlight w:val="none"/>
                <w:lang w:val="zh-CN"/>
              </w:rPr>
              <w:t>、</w:t>
            </w:r>
            <w:r>
              <w:rPr>
                <w:rFonts w:ascii="宋体" w:hAnsi="宋体" w:eastAsia="宋体"/>
                <w:sz w:val="18"/>
                <w:szCs w:val="18"/>
                <w:highlight w:val="none"/>
                <w:lang w:val="zh-CN"/>
              </w:rPr>
              <w:t>Oracle等。</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cs="仿宋"/>
                <w:sz w:val="18"/>
                <w:szCs w:val="18"/>
                <w:highlight w:val="none"/>
                <w:lang w:val="zh-CN"/>
              </w:rPr>
              <w:t>★</w:t>
            </w:r>
            <w:r>
              <w:rPr>
                <w:rFonts w:hint="eastAsia" w:ascii="宋体" w:hAnsi="宋体" w:eastAsia="宋体"/>
                <w:sz w:val="18"/>
                <w:szCs w:val="18"/>
                <w:highlight w:val="none"/>
                <w:lang w:val="zh-CN"/>
              </w:rPr>
              <w:t>6、支持对流量中出现文件传输行为进行发现和还原，将文件相关信息发送至分析设备进行分析检测，识别恶意文件。（提供截图证明）</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sz w:val="18"/>
                <w:szCs w:val="18"/>
                <w:highlight w:val="none"/>
                <w:lang w:val="zh-CN"/>
              </w:rPr>
              <w:t>7、支持各种方式对恶意程序进行检测。</w:t>
            </w:r>
          </w:p>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r>
              <w:rPr>
                <w:rFonts w:hint="eastAsia" w:ascii="宋体" w:hAnsi="宋体" w:eastAsia="宋体"/>
                <w:sz w:val="18"/>
                <w:szCs w:val="18"/>
                <w:highlight w:val="none"/>
                <w:lang w:val="zh-CN"/>
              </w:rPr>
              <w:t>8、支持对主流Webshell工具、黑客工具检测。（提供截图证明）</w:t>
            </w:r>
          </w:p>
        </w:tc>
        <w:tc>
          <w:tcPr>
            <w:tcW w:w="849" w:type="pct"/>
            <w:tcBorders>
              <w:top w:val="single" w:color="auto" w:sz="6" w:space="0"/>
              <w:left w:val="single" w:color="auto" w:sz="6" w:space="0"/>
              <w:bottom w:val="single" w:color="auto" w:sz="6" w:space="0"/>
              <w:right w:val="single" w:color="auto" w:sz="6" w:space="0"/>
            </w:tcBorders>
            <w:vAlign w:val="center"/>
          </w:tcPr>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p>
        </w:tc>
        <w:tc>
          <w:tcPr>
            <w:tcW w:w="731" w:type="pct"/>
            <w:tcBorders>
              <w:top w:val="single" w:color="auto" w:sz="6" w:space="0"/>
              <w:left w:val="single" w:color="auto" w:sz="6" w:space="0"/>
              <w:bottom w:val="single" w:color="auto" w:sz="6" w:space="0"/>
              <w:right w:val="single" w:color="auto" w:sz="6" w:space="0"/>
            </w:tcBorders>
            <w:vAlign w:val="center"/>
          </w:tcPr>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p>
        </w:tc>
        <w:tc>
          <w:tcPr>
            <w:tcW w:w="479" w:type="pct"/>
            <w:tcBorders>
              <w:top w:val="single" w:color="auto" w:sz="6" w:space="0"/>
              <w:left w:val="single" w:color="auto" w:sz="6" w:space="0"/>
              <w:bottom w:val="single" w:color="auto" w:sz="6" w:space="0"/>
              <w:right w:val="single" w:color="auto" w:sz="6" w:space="0"/>
            </w:tcBorders>
            <w:vAlign w:val="center"/>
          </w:tcPr>
          <w:p>
            <w:pPr>
              <w:pStyle w:val="32"/>
              <w:keepNext w:val="0"/>
              <w:keepLines w:val="0"/>
              <w:pageBreakBefore w:val="0"/>
              <w:widowControl/>
              <w:kinsoku/>
              <w:wordWrap/>
              <w:overflowPunct/>
              <w:topLinePunct w:val="0"/>
              <w:bidi w:val="0"/>
              <w:snapToGrid/>
              <w:spacing w:before="0" w:after="0" w:afterAutospacing="0" w:line="240" w:lineRule="auto"/>
              <w:ind w:left="0" w:leftChars="0" w:right="0" w:firstLine="0" w:firstLineChars="0"/>
              <w:textAlignment w:val="auto"/>
              <w:rPr>
                <w:rFonts w:hint="eastAsia" w:ascii="宋体" w:hAnsi="宋体" w:eastAsia="宋体"/>
                <w:sz w:val="18"/>
                <w:szCs w:val="18"/>
                <w:highlight w:val="none"/>
                <w:lang w:val="zh-CN"/>
              </w:rPr>
            </w:pPr>
          </w:p>
        </w:tc>
      </w:tr>
      <w:tr>
        <w:tblPrEx>
          <w:tblCellMar>
            <w:top w:w="0" w:type="dxa"/>
            <w:left w:w="108" w:type="dxa"/>
            <w:bottom w:w="0" w:type="dxa"/>
            <w:right w:w="108" w:type="dxa"/>
          </w:tblCellMar>
        </w:tblPrEx>
        <w:trPr>
          <w:trHeight w:val="1866" w:hRule="atLeast"/>
          <w:jc w:val="center"/>
        </w:trPr>
        <w:tc>
          <w:tcPr>
            <w:tcW w:w="205"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center"/>
              <w:textAlignment w:val="auto"/>
              <w:rPr>
                <w:rFonts w:ascii="宋体" w:hAnsi="宋体" w:cs="仿宋"/>
                <w:highlight w:val="none"/>
                <w:lang w:val="zh-CN"/>
              </w:rPr>
            </w:pPr>
            <w:r>
              <w:rPr>
                <w:rFonts w:hint="eastAsia" w:ascii="宋体" w:hAnsi="宋体" w:cs="仿宋"/>
                <w:highlight w:val="none"/>
                <w:lang w:val="zh-CN"/>
              </w:rPr>
              <w:t>3</w:t>
            </w:r>
          </w:p>
        </w:tc>
        <w:tc>
          <w:tcPr>
            <w:tcW w:w="403"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textAlignment w:val="auto"/>
              <w:rPr>
                <w:rFonts w:ascii="宋体" w:hAnsi="宋体" w:cs="仿宋"/>
                <w:highlight w:val="none"/>
                <w:lang w:val="zh-CN"/>
              </w:rPr>
            </w:pPr>
            <w:r>
              <w:rPr>
                <w:rFonts w:ascii="宋体" w:hAnsi="宋体" w:cs="仿宋"/>
                <w:color w:val="000000"/>
                <w:kern w:val="0"/>
                <w:highlight w:val="none"/>
                <w:lang w:val="zh-CN"/>
              </w:rPr>
              <w:t>其他配套设备及配件（光纤、网线、光模块、设备托盘等）</w:t>
            </w:r>
          </w:p>
        </w:tc>
        <w:tc>
          <w:tcPr>
            <w:tcW w:w="233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ascii="宋体" w:hAnsi="宋体" w:cs="仿宋"/>
                <w:sz w:val="18"/>
                <w:szCs w:val="18"/>
                <w:highlight w:val="none"/>
                <w:lang w:val="zh-CN"/>
              </w:rPr>
            </w:pPr>
            <w:r>
              <w:rPr>
                <w:rFonts w:ascii="宋体" w:hAnsi="宋体" w:cs="仿宋"/>
                <w:sz w:val="18"/>
                <w:szCs w:val="18"/>
                <w:highlight w:val="none"/>
                <w:lang w:val="zh-CN"/>
              </w:rPr>
              <w:t>供应商需根据所提供安全态势感知产品特点，按需配备满足项目建设需求相应的其他配套设备及配件，以便整套安全态势感知系统平台能够正常安装使用。需列出配套设备及配件的配置数量清单。</w:t>
            </w:r>
          </w:p>
        </w:tc>
        <w:tc>
          <w:tcPr>
            <w:tcW w:w="849"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ascii="宋体" w:hAnsi="宋体" w:cs="仿宋"/>
                <w:sz w:val="18"/>
                <w:szCs w:val="18"/>
                <w:highlight w:val="none"/>
                <w:lang w:val="zh-CN"/>
              </w:rPr>
            </w:pPr>
          </w:p>
        </w:tc>
        <w:tc>
          <w:tcPr>
            <w:tcW w:w="731"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ascii="宋体" w:hAnsi="宋体" w:cs="仿宋"/>
                <w:sz w:val="18"/>
                <w:szCs w:val="18"/>
                <w:highlight w:val="none"/>
                <w:lang w:val="zh-CN"/>
              </w:rPr>
            </w:pPr>
          </w:p>
        </w:tc>
        <w:tc>
          <w:tcPr>
            <w:tcW w:w="479"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ascii="宋体" w:hAnsi="宋体" w:cs="仿宋"/>
                <w:sz w:val="18"/>
                <w:szCs w:val="18"/>
                <w:highlight w:val="none"/>
                <w:lang w:val="zh-CN"/>
              </w:rPr>
            </w:pPr>
          </w:p>
        </w:tc>
      </w:tr>
    </w:tbl>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hint="eastAsia" w:ascii="宋体" w:hAnsi="宋体" w:cs="仿宋"/>
          <w:sz w:val="21"/>
          <w:szCs w:val="21"/>
          <w:highlight w:val="none"/>
          <w:lang w:val="zh-CN"/>
        </w:rPr>
      </w:pPr>
      <w:r>
        <w:rPr>
          <w:rFonts w:hint="eastAsia" w:ascii="宋体" w:hAnsi="宋体" w:cs="仿宋"/>
          <w:sz w:val="21"/>
          <w:szCs w:val="21"/>
          <w:highlight w:val="none"/>
          <w:lang w:val="zh-CN"/>
        </w:rPr>
        <w:t>注：</w:t>
      </w:r>
      <w:r>
        <w:rPr>
          <w:rFonts w:hint="eastAsia" w:ascii="宋体" w:hAnsi="宋体" w:cs="仿宋"/>
          <w:sz w:val="21"/>
          <w:szCs w:val="21"/>
          <w:highlight w:val="none"/>
          <w:lang w:val="en-US" w:eastAsia="zh-CN"/>
        </w:rPr>
        <w:t>1、</w:t>
      </w:r>
      <w:r>
        <w:rPr>
          <w:rFonts w:hint="eastAsia" w:ascii="宋体" w:hAnsi="宋体" w:cs="仿宋"/>
          <w:sz w:val="21"/>
          <w:szCs w:val="21"/>
          <w:highlight w:val="none"/>
          <w:lang w:val="zh-CN"/>
        </w:rPr>
        <w:t>带“★”条款为实质性条款，</w:t>
      </w:r>
      <w:r>
        <w:rPr>
          <w:rFonts w:hint="eastAsia" w:ascii="宋体" w:hAnsi="宋体" w:cs="仿宋"/>
          <w:sz w:val="21"/>
          <w:szCs w:val="21"/>
          <w:highlight w:val="none"/>
          <w:lang w:val="en-US" w:eastAsia="zh-CN"/>
        </w:rPr>
        <w:t>比选申请</w:t>
      </w:r>
      <w:r>
        <w:rPr>
          <w:rFonts w:hint="eastAsia" w:ascii="宋体" w:hAnsi="宋体" w:cs="仿宋"/>
          <w:sz w:val="21"/>
          <w:szCs w:val="21"/>
          <w:highlight w:val="none"/>
          <w:lang w:val="zh-CN"/>
        </w:rPr>
        <w:t>人必须按照</w:t>
      </w:r>
      <w:r>
        <w:rPr>
          <w:rFonts w:hint="eastAsia" w:ascii="宋体" w:hAnsi="宋体" w:cs="仿宋"/>
          <w:sz w:val="21"/>
          <w:szCs w:val="21"/>
          <w:highlight w:val="none"/>
          <w:lang w:val="en-US" w:eastAsia="zh-CN"/>
        </w:rPr>
        <w:t>比选</w:t>
      </w:r>
      <w:r>
        <w:rPr>
          <w:rFonts w:hint="eastAsia" w:ascii="宋体" w:hAnsi="宋体" w:cs="仿宋"/>
          <w:sz w:val="21"/>
          <w:szCs w:val="21"/>
          <w:highlight w:val="none"/>
          <w:lang w:val="zh-CN"/>
        </w:rPr>
        <w:t>文件的要求做出实质性响应，有一项不满足的即为</w:t>
      </w:r>
      <w:r>
        <w:rPr>
          <w:rFonts w:hint="eastAsia" w:ascii="宋体" w:hAnsi="宋体" w:cs="仿宋"/>
          <w:sz w:val="21"/>
          <w:szCs w:val="21"/>
          <w:highlight w:val="none"/>
          <w:lang w:val="en-US" w:eastAsia="zh-CN"/>
        </w:rPr>
        <w:t>比选申请</w:t>
      </w:r>
      <w:r>
        <w:rPr>
          <w:rFonts w:hint="eastAsia" w:ascii="宋体" w:hAnsi="宋体" w:cs="仿宋"/>
          <w:sz w:val="21"/>
          <w:szCs w:val="21"/>
          <w:highlight w:val="none"/>
          <w:lang w:val="zh-CN"/>
        </w:rPr>
        <w:t>无效。（在技术指标中进行标注）</w:t>
      </w:r>
    </w:p>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hint="eastAsia" w:ascii="宋体" w:hAnsi="宋体" w:cs="仿宋"/>
          <w:sz w:val="21"/>
          <w:szCs w:val="21"/>
          <w:highlight w:val="none"/>
          <w:lang w:val="zh-CN"/>
        </w:rPr>
      </w:pPr>
      <w:r>
        <w:rPr>
          <w:rFonts w:hint="eastAsia" w:ascii="宋体" w:hAnsi="宋体" w:cs="仿宋"/>
          <w:sz w:val="21"/>
          <w:szCs w:val="21"/>
          <w:highlight w:val="none"/>
          <w:lang w:val="en-US" w:eastAsia="zh-CN"/>
        </w:rPr>
        <w:t>2、</w:t>
      </w:r>
      <w:r>
        <w:rPr>
          <w:rFonts w:hint="eastAsia" w:ascii="宋体" w:hAnsi="宋体" w:cs="仿宋"/>
          <w:sz w:val="21"/>
          <w:szCs w:val="21"/>
          <w:highlight w:val="none"/>
          <w:lang w:val="zh-CN"/>
        </w:rPr>
        <w:t>带“■”标注的产品为本项目采购所需的主要产品，若</w:t>
      </w:r>
      <w:r>
        <w:rPr>
          <w:rFonts w:hint="eastAsia" w:ascii="宋体" w:hAnsi="宋体" w:cs="仿宋"/>
          <w:sz w:val="21"/>
          <w:szCs w:val="21"/>
          <w:highlight w:val="none"/>
          <w:lang w:val="en-US" w:eastAsia="zh-CN"/>
        </w:rPr>
        <w:t>比选申请</w:t>
      </w:r>
      <w:r>
        <w:rPr>
          <w:rFonts w:hint="eastAsia" w:ascii="宋体" w:hAnsi="宋体" w:cs="仿宋"/>
          <w:sz w:val="21"/>
          <w:szCs w:val="21"/>
          <w:highlight w:val="none"/>
          <w:lang w:val="zh-CN"/>
        </w:rPr>
        <w:t>人为代理商的须提供该产品生产制造商针对本项目出具的唯一授权书原件，否则</w:t>
      </w:r>
      <w:r>
        <w:rPr>
          <w:rFonts w:hint="eastAsia" w:ascii="宋体" w:hAnsi="宋体" w:cs="仿宋"/>
          <w:sz w:val="21"/>
          <w:szCs w:val="21"/>
          <w:highlight w:val="none"/>
          <w:lang w:val="en-US" w:eastAsia="zh-CN"/>
        </w:rPr>
        <w:t>比选申请</w:t>
      </w:r>
      <w:r>
        <w:rPr>
          <w:rFonts w:hint="eastAsia" w:ascii="宋体" w:hAnsi="宋体" w:cs="仿宋"/>
          <w:sz w:val="21"/>
          <w:szCs w:val="21"/>
          <w:highlight w:val="none"/>
          <w:lang w:val="zh-CN"/>
        </w:rPr>
        <w:t>无效。（在设备名称中进行标注）</w:t>
      </w:r>
    </w:p>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hint="eastAsia" w:ascii="宋体" w:hAnsi="宋体" w:cs="仿宋"/>
          <w:sz w:val="21"/>
          <w:szCs w:val="21"/>
          <w:highlight w:val="none"/>
          <w:lang w:val="en-US" w:eastAsia="zh-CN"/>
        </w:rPr>
      </w:pPr>
      <w:r>
        <w:rPr>
          <w:rFonts w:hint="eastAsia" w:ascii="宋体" w:hAnsi="宋体" w:cs="仿宋"/>
          <w:sz w:val="21"/>
          <w:szCs w:val="21"/>
          <w:highlight w:val="none"/>
          <w:lang w:val="en-US" w:eastAsia="zh-CN"/>
        </w:rPr>
        <w:t>3、请根据所投产品的实际技术参数，</w:t>
      </w:r>
      <w:r>
        <w:rPr>
          <w:rFonts w:hint="eastAsia" w:ascii="宋体" w:hAnsi="宋体" w:cs="仿宋"/>
          <w:b/>
          <w:bCs/>
          <w:sz w:val="21"/>
          <w:szCs w:val="21"/>
          <w:highlight w:val="none"/>
          <w:lang w:val="en-US" w:eastAsia="zh-CN"/>
        </w:rPr>
        <w:t>逐条对应</w:t>
      </w:r>
      <w:r>
        <w:rPr>
          <w:rFonts w:hint="eastAsia" w:ascii="宋体" w:hAnsi="宋体" w:cs="仿宋"/>
          <w:sz w:val="21"/>
          <w:szCs w:val="21"/>
          <w:highlight w:val="none"/>
          <w:lang w:val="en-US" w:eastAsia="zh-CN"/>
        </w:rPr>
        <w:t>本项目</w:t>
      </w:r>
      <w:r>
        <w:rPr>
          <w:rFonts w:hint="eastAsia" w:ascii="宋体" w:hAnsi="宋体" w:cs="仿宋"/>
          <w:highlight w:val="none"/>
          <w:lang w:val="zh-CN"/>
        </w:rPr>
        <w:t>技术指标要求</w:t>
      </w:r>
      <w:r>
        <w:rPr>
          <w:rFonts w:hint="eastAsia" w:ascii="宋体" w:hAnsi="宋体" w:cs="仿宋"/>
          <w:sz w:val="21"/>
          <w:szCs w:val="21"/>
          <w:highlight w:val="none"/>
          <w:lang w:val="en-US" w:eastAsia="zh-CN"/>
        </w:rPr>
        <w:t>中技术参数及性能配置要求、技术性能认真填写该表，“偏离说明”一栏选择“正偏离”、“负偏离”或“无偏离”进行填写，否则比选申请无效。</w:t>
      </w:r>
    </w:p>
    <w:p>
      <w:pPr>
        <w:keepNext w:val="0"/>
        <w:keepLines w:val="0"/>
        <w:pageBreakBefore w:val="0"/>
        <w:widowControl/>
        <w:kinsoku/>
        <w:wordWrap/>
        <w:overflowPunct/>
        <w:topLinePunct w:val="0"/>
        <w:bidi w:val="0"/>
        <w:snapToGrid/>
        <w:spacing w:before="0" w:after="0" w:afterAutospacing="0" w:line="240" w:lineRule="auto"/>
        <w:ind w:left="0" w:right="0" w:firstLine="0"/>
        <w:jc w:val="left"/>
        <w:textAlignment w:val="auto"/>
        <w:rPr>
          <w:rFonts w:hint="eastAsia" w:ascii="宋体" w:hAnsi="宋体" w:cs="仿宋"/>
          <w:sz w:val="21"/>
          <w:szCs w:val="21"/>
          <w:highlight w:val="none"/>
          <w:lang w:val="zh-CN"/>
        </w:rPr>
      </w:pPr>
    </w:p>
    <w:p>
      <w:pPr>
        <w:snapToGrid w:val="0"/>
        <w:spacing w:after="50" w:line="280" w:lineRule="exact"/>
        <w:ind w:left="955" w:right="-817" w:firstLine="2835" w:firstLineChars="1350"/>
        <w:rPr>
          <w:rFonts w:hint="eastAsia" w:ascii="宋体" w:hAnsi="宋体"/>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法定代表人或被授权人（签字）：</w:t>
      </w:r>
    </w:p>
    <w:p>
      <w:pPr>
        <w:spacing w:before="0"/>
        <w:ind w:right="-57" w:firstLine="0"/>
        <w:jc w:val="center"/>
        <w:rPr>
          <w:rFonts w:hint="eastAsia" w:ascii="宋体" w:hAnsi="宋体"/>
          <w:highlight w:val="none"/>
        </w:rPr>
      </w:pPr>
      <w:r>
        <w:rPr>
          <w:rFonts w:hint="eastAsia" w:ascii="宋体" w:hAnsi="宋体"/>
          <w:highlight w:val="none"/>
        </w:rPr>
        <w:t>日期：</w:t>
      </w:r>
      <w:r>
        <w:rPr>
          <w:rFonts w:hint="eastAsia" w:ascii="宋体" w:hAnsi="宋体"/>
          <w:highlight w:val="none"/>
          <w:lang w:val="en-US" w:eastAsia="zh-CN"/>
        </w:rPr>
        <w:t xml:space="preserve"> </w:t>
      </w:r>
      <w:r>
        <w:rPr>
          <w:rFonts w:hint="eastAsia" w:ascii="宋体" w:hAnsi="宋体"/>
          <w:highlight w:val="none"/>
        </w:rPr>
        <w:t>年</w:t>
      </w:r>
      <w:r>
        <w:rPr>
          <w:rFonts w:hint="eastAsia" w:ascii="宋体" w:hAnsi="宋体"/>
          <w:highlight w:val="none"/>
          <w:lang w:val="en-US" w:eastAsia="zh-CN"/>
        </w:rPr>
        <w:t xml:space="preserve">  </w:t>
      </w:r>
      <w:r>
        <w:rPr>
          <w:rFonts w:hint="eastAsia" w:ascii="宋体" w:hAnsi="宋体"/>
          <w:highlight w:val="none"/>
        </w:rPr>
        <w:t>月</w:t>
      </w:r>
      <w:r>
        <w:rPr>
          <w:rFonts w:hint="eastAsia" w:ascii="宋体" w:hAnsi="宋体"/>
          <w:highlight w:val="none"/>
          <w:lang w:val="en-US" w:eastAsia="zh-CN"/>
        </w:rPr>
        <w:t xml:space="preserve">    </w:t>
      </w:r>
      <w:r>
        <w:rPr>
          <w:rFonts w:hint="eastAsia" w:ascii="宋体" w:hAnsi="宋体"/>
          <w:highlight w:val="none"/>
        </w:rPr>
        <w:t>日</w:t>
      </w:r>
    </w:p>
    <w:p>
      <w:pPr>
        <w:pStyle w:val="5"/>
        <w:rPr>
          <w:rFonts w:hint="eastAsia" w:ascii="宋体" w:hAnsi="宋体"/>
          <w:highlight w:val="none"/>
        </w:rPr>
      </w:pPr>
    </w:p>
    <w:p>
      <w:pPr>
        <w:rPr>
          <w:rFonts w:hint="eastAsia" w:ascii="宋体" w:hAnsi="宋体"/>
          <w:highlight w:val="none"/>
        </w:rPr>
      </w:pP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spacing w:before="0" w:after="0"/>
        <w:ind w:left="0" w:leftChars="0" w:right="0" w:firstLine="0" w:firstLineChars="0"/>
        <w:jc w:val="left"/>
        <w:rPr>
          <w:rFonts w:ascii="宋体" w:hAnsi="宋体"/>
          <w:highlight w:val="none"/>
        </w:rPr>
      </w:pPr>
    </w:p>
    <w:sectPr>
      <w:headerReference r:id="rId9" w:type="default"/>
      <w:footerReference r:id="rId10" w:type="default"/>
      <w:pgSz w:w="11905" w:h="16838"/>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default"/>
    <w:sig w:usb0="E00006FF" w:usb1="0000FCFF" w:usb2="00000001" w:usb3="00000000" w:csb0="600001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inheri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58471"/>
    </w:sdtPr>
    <w:sdtContent>
      <w:p>
        <w:pPr>
          <w:pStyle w:val="20"/>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21"/>
      <w:pBdr>
        <w:bottom w:val="none" w:color="auto" w:sz="0" w:space="0"/>
      </w:pBdr>
      <w:tabs>
        <w:tab w:val="right" w:pos="8728"/>
        <w:tab w:val="clear" w:pos="4153"/>
        <w:tab w:val="clear" w:pos="8306"/>
      </w:tabs>
      <w:ind w:left="0" w:right="343"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path/>
          <v:fill on="f" focussize="0,0"/>
          <v:stroke on="f" weight="0.5pt" joinstyle="miter"/>
          <v:imagedata o:title=""/>
          <o:lock v:ext="edit"/>
          <v:textbox inset="0mm,0mm,0mm,0mm" style="mso-fit-shape-to-text:t;">
            <w:txbxContent>
              <w:p>
                <w:r>
                  <w:fldChar w:fldCharType="begin"/>
                </w:r>
                <w:r>
                  <w:instrText xml:space="preserve">PAGE  \* MERGEFORMAT</w:instrText>
                </w:r>
                <w:r>
                  <w:fldChar w:fldCharType="separate"/>
                </w:r>
                <w:r>
                  <w:t>58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documentProtection w:edit="trackedChanges" w:enforcement="0"/>
  <w:defaultTabStop w:val="420"/>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xMWU0ZjM2NjBhNGRiZWIyNzg4MGNjZDQ0ZTBlMjgifQ=="/>
  </w:docVars>
  <w:rsids>
    <w:rsidRoot w:val="00BA3124"/>
    <w:rsid w:val="000000F2"/>
    <w:rsid w:val="00000139"/>
    <w:rsid w:val="000045EA"/>
    <w:rsid w:val="00007C3F"/>
    <w:rsid w:val="00012496"/>
    <w:rsid w:val="000143B4"/>
    <w:rsid w:val="00015B06"/>
    <w:rsid w:val="00020684"/>
    <w:rsid w:val="00022F88"/>
    <w:rsid w:val="000257D8"/>
    <w:rsid w:val="00030F30"/>
    <w:rsid w:val="000437E6"/>
    <w:rsid w:val="00043E88"/>
    <w:rsid w:val="0004419E"/>
    <w:rsid w:val="0005200D"/>
    <w:rsid w:val="00056DA9"/>
    <w:rsid w:val="00070470"/>
    <w:rsid w:val="00074337"/>
    <w:rsid w:val="0008222E"/>
    <w:rsid w:val="00090575"/>
    <w:rsid w:val="00092270"/>
    <w:rsid w:val="0009493E"/>
    <w:rsid w:val="00095B78"/>
    <w:rsid w:val="000A1767"/>
    <w:rsid w:val="000A49C9"/>
    <w:rsid w:val="000B34C7"/>
    <w:rsid w:val="000B467E"/>
    <w:rsid w:val="000B534C"/>
    <w:rsid w:val="000B55C2"/>
    <w:rsid w:val="000B5BA2"/>
    <w:rsid w:val="000C1668"/>
    <w:rsid w:val="000C1D2F"/>
    <w:rsid w:val="000C20C1"/>
    <w:rsid w:val="000C32A2"/>
    <w:rsid w:val="000C401F"/>
    <w:rsid w:val="000C48AC"/>
    <w:rsid w:val="000C53FF"/>
    <w:rsid w:val="000C56A1"/>
    <w:rsid w:val="000C68D6"/>
    <w:rsid w:val="000D2B9F"/>
    <w:rsid w:val="000D3045"/>
    <w:rsid w:val="000D3933"/>
    <w:rsid w:val="000E072A"/>
    <w:rsid w:val="000E0ABE"/>
    <w:rsid w:val="000E7218"/>
    <w:rsid w:val="000E7DA5"/>
    <w:rsid w:val="000F56F5"/>
    <w:rsid w:val="000F5E28"/>
    <w:rsid w:val="000F6EB3"/>
    <w:rsid w:val="00100517"/>
    <w:rsid w:val="0010099F"/>
    <w:rsid w:val="00106C71"/>
    <w:rsid w:val="0011106B"/>
    <w:rsid w:val="0011296C"/>
    <w:rsid w:val="001169E8"/>
    <w:rsid w:val="001207B4"/>
    <w:rsid w:val="00126FBA"/>
    <w:rsid w:val="001315CE"/>
    <w:rsid w:val="00133A8C"/>
    <w:rsid w:val="00134F25"/>
    <w:rsid w:val="00135B62"/>
    <w:rsid w:val="00136FF6"/>
    <w:rsid w:val="00141670"/>
    <w:rsid w:val="001445DC"/>
    <w:rsid w:val="001520D4"/>
    <w:rsid w:val="0015296D"/>
    <w:rsid w:val="00155FD4"/>
    <w:rsid w:val="00157D88"/>
    <w:rsid w:val="0016064F"/>
    <w:rsid w:val="00164343"/>
    <w:rsid w:val="00164B38"/>
    <w:rsid w:val="0017175E"/>
    <w:rsid w:val="00171822"/>
    <w:rsid w:val="00173A08"/>
    <w:rsid w:val="00180594"/>
    <w:rsid w:val="001866EC"/>
    <w:rsid w:val="00186A28"/>
    <w:rsid w:val="00190D52"/>
    <w:rsid w:val="001A37D3"/>
    <w:rsid w:val="001A3FCA"/>
    <w:rsid w:val="001B0893"/>
    <w:rsid w:val="001B1944"/>
    <w:rsid w:val="001B7C5A"/>
    <w:rsid w:val="001C0C50"/>
    <w:rsid w:val="001C638D"/>
    <w:rsid w:val="001D0502"/>
    <w:rsid w:val="001D225F"/>
    <w:rsid w:val="001D5AE2"/>
    <w:rsid w:val="001E0D82"/>
    <w:rsid w:val="001E0D93"/>
    <w:rsid w:val="001E5985"/>
    <w:rsid w:val="001E5F4A"/>
    <w:rsid w:val="001F02C6"/>
    <w:rsid w:val="001F1EC3"/>
    <w:rsid w:val="001F4F93"/>
    <w:rsid w:val="001F780D"/>
    <w:rsid w:val="002041A6"/>
    <w:rsid w:val="002060E8"/>
    <w:rsid w:val="00206D2E"/>
    <w:rsid w:val="00210D44"/>
    <w:rsid w:val="00212AF9"/>
    <w:rsid w:val="0021370B"/>
    <w:rsid w:val="002140EE"/>
    <w:rsid w:val="00226768"/>
    <w:rsid w:val="00226771"/>
    <w:rsid w:val="00226B2E"/>
    <w:rsid w:val="00226D0E"/>
    <w:rsid w:val="0023676E"/>
    <w:rsid w:val="00236C72"/>
    <w:rsid w:val="00237A98"/>
    <w:rsid w:val="0024287B"/>
    <w:rsid w:val="0024305E"/>
    <w:rsid w:val="002441F7"/>
    <w:rsid w:val="0024741B"/>
    <w:rsid w:val="00261C93"/>
    <w:rsid w:val="00262D37"/>
    <w:rsid w:val="00265564"/>
    <w:rsid w:val="00272F80"/>
    <w:rsid w:val="00273D37"/>
    <w:rsid w:val="0027764C"/>
    <w:rsid w:val="0028366D"/>
    <w:rsid w:val="002A0A97"/>
    <w:rsid w:val="002A20A0"/>
    <w:rsid w:val="002A455F"/>
    <w:rsid w:val="002A5261"/>
    <w:rsid w:val="002B1199"/>
    <w:rsid w:val="002B1394"/>
    <w:rsid w:val="002B33D2"/>
    <w:rsid w:val="002C4CDE"/>
    <w:rsid w:val="002C556E"/>
    <w:rsid w:val="002C5B0F"/>
    <w:rsid w:val="002D23D9"/>
    <w:rsid w:val="002D2931"/>
    <w:rsid w:val="002D4681"/>
    <w:rsid w:val="002D6D0E"/>
    <w:rsid w:val="002E190D"/>
    <w:rsid w:val="002E6BE3"/>
    <w:rsid w:val="002F6933"/>
    <w:rsid w:val="00301F81"/>
    <w:rsid w:val="003021FF"/>
    <w:rsid w:val="00302C2E"/>
    <w:rsid w:val="0030463E"/>
    <w:rsid w:val="00307ACC"/>
    <w:rsid w:val="003151F7"/>
    <w:rsid w:val="00315C23"/>
    <w:rsid w:val="003166B6"/>
    <w:rsid w:val="00316E03"/>
    <w:rsid w:val="003207F4"/>
    <w:rsid w:val="00320BB7"/>
    <w:rsid w:val="00322E79"/>
    <w:rsid w:val="00326B1C"/>
    <w:rsid w:val="00330D78"/>
    <w:rsid w:val="00331CB9"/>
    <w:rsid w:val="00333690"/>
    <w:rsid w:val="003354EE"/>
    <w:rsid w:val="003357D8"/>
    <w:rsid w:val="0033783D"/>
    <w:rsid w:val="00337C6A"/>
    <w:rsid w:val="003464E7"/>
    <w:rsid w:val="003500BC"/>
    <w:rsid w:val="00353318"/>
    <w:rsid w:val="00354E36"/>
    <w:rsid w:val="00355D2E"/>
    <w:rsid w:val="003568E4"/>
    <w:rsid w:val="00357135"/>
    <w:rsid w:val="00361313"/>
    <w:rsid w:val="0036732D"/>
    <w:rsid w:val="003706A5"/>
    <w:rsid w:val="003712A4"/>
    <w:rsid w:val="00383573"/>
    <w:rsid w:val="00393EBC"/>
    <w:rsid w:val="00395A23"/>
    <w:rsid w:val="003976F0"/>
    <w:rsid w:val="003A0C71"/>
    <w:rsid w:val="003A170B"/>
    <w:rsid w:val="003A1E4C"/>
    <w:rsid w:val="003A1E63"/>
    <w:rsid w:val="003A286A"/>
    <w:rsid w:val="003A4618"/>
    <w:rsid w:val="003A7A05"/>
    <w:rsid w:val="003A7F1A"/>
    <w:rsid w:val="003B097F"/>
    <w:rsid w:val="003B2656"/>
    <w:rsid w:val="003B3099"/>
    <w:rsid w:val="003B43D3"/>
    <w:rsid w:val="003B6BE9"/>
    <w:rsid w:val="003C312A"/>
    <w:rsid w:val="003C4653"/>
    <w:rsid w:val="003D0506"/>
    <w:rsid w:val="003D3A75"/>
    <w:rsid w:val="003D6118"/>
    <w:rsid w:val="003D67AC"/>
    <w:rsid w:val="003E148A"/>
    <w:rsid w:val="003E454F"/>
    <w:rsid w:val="003E6DFB"/>
    <w:rsid w:val="003F2270"/>
    <w:rsid w:val="003F746F"/>
    <w:rsid w:val="00403D28"/>
    <w:rsid w:val="004043A2"/>
    <w:rsid w:val="00410FCA"/>
    <w:rsid w:val="004117BD"/>
    <w:rsid w:val="00412A48"/>
    <w:rsid w:val="00414B71"/>
    <w:rsid w:val="004151CE"/>
    <w:rsid w:val="00417574"/>
    <w:rsid w:val="004215F1"/>
    <w:rsid w:val="0042215D"/>
    <w:rsid w:val="00430E82"/>
    <w:rsid w:val="0043285C"/>
    <w:rsid w:val="00433287"/>
    <w:rsid w:val="00436E82"/>
    <w:rsid w:val="00440F9A"/>
    <w:rsid w:val="00443ADE"/>
    <w:rsid w:val="0044418D"/>
    <w:rsid w:val="004518D2"/>
    <w:rsid w:val="0045479E"/>
    <w:rsid w:val="0045655F"/>
    <w:rsid w:val="004619A4"/>
    <w:rsid w:val="004632AA"/>
    <w:rsid w:val="00474EDC"/>
    <w:rsid w:val="00474FAA"/>
    <w:rsid w:val="00476FBE"/>
    <w:rsid w:val="004810F7"/>
    <w:rsid w:val="00483264"/>
    <w:rsid w:val="004A0C16"/>
    <w:rsid w:val="004A0D30"/>
    <w:rsid w:val="004A15D9"/>
    <w:rsid w:val="004A5884"/>
    <w:rsid w:val="004B1E96"/>
    <w:rsid w:val="004B337A"/>
    <w:rsid w:val="004B508D"/>
    <w:rsid w:val="004B62C0"/>
    <w:rsid w:val="004B6350"/>
    <w:rsid w:val="004B6AEB"/>
    <w:rsid w:val="004C0462"/>
    <w:rsid w:val="004C09AF"/>
    <w:rsid w:val="004C7017"/>
    <w:rsid w:val="004C7456"/>
    <w:rsid w:val="004D03B0"/>
    <w:rsid w:val="004D1018"/>
    <w:rsid w:val="004D1DC8"/>
    <w:rsid w:val="004D1DC9"/>
    <w:rsid w:val="004D2987"/>
    <w:rsid w:val="004D449E"/>
    <w:rsid w:val="004D5FD7"/>
    <w:rsid w:val="004E12DE"/>
    <w:rsid w:val="004E33AC"/>
    <w:rsid w:val="004E6FB9"/>
    <w:rsid w:val="004E71AB"/>
    <w:rsid w:val="004F1783"/>
    <w:rsid w:val="004F6E95"/>
    <w:rsid w:val="00500C4A"/>
    <w:rsid w:val="00505261"/>
    <w:rsid w:val="00510E4D"/>
    <w:rsid w:val="00512A45"/>
    <w:rsid w:val="0052311B"/>
    <w:rsid w:val="00524A56"/>
    <w:rsid w:val="0052634A"/>
    <w:rsid w:val="005266E9"/>
    <w:rsid w:val="00532363"/>
    <w:rsid w:val="00533081"/>
    <w:rsid w:val="005336C8"/>
    <w:rsid w:val="00540EA2"/>
    <w:rsid w:val="00541401"/>
    <w:rsid w:val="005418DB"/>
    <w:rsid w:val="0054269C"/>
    <w:rsid w:val="005448AD"/>
    <w:rsid w:val="00545594"/>
    <w:rsid w:val="00545844"/>
    <w:rsid w:val="00550F16"/>
    <w:rsid w:val="00564C20"/>
    <w:rsid w:val="00565889"/>
    <w:rsid w:val="00571D43"/>
    <w:rsid w:val="005740F5"/>
    <w:rsid w:val="00574C3B"/>
    <w:rsid w:val="00575AB8"/>
    <w:rsid w:val="0057690D"/>
    <w:rsid w:val="005801B6"/>
    <w:rsid w:val="0058368C"/>
    <w:rsid w:val="005839EE"/>
    <w:rsid w:val="00584B5D"/>
    <w:rsid w:val="00587B70"/>
    <w:rsid w:val="00587D80"/>
    <w:rsid w:val="005A1A6A"/>
    <w:rsid w:val="005A2E67"/>
    <w:rsid w:val="005A5B47"/>
    <w:rsid w:val="005A62DF"/>
    <w:rsid w:val="005B01E0"/>
    <w:rsid w:val="005B0BAE"/>
    <w:rsid w:val="005B2E43"/>
    <w:rsid w:val="005B439E"/>
    <w:rsid w:val="005B54A3"/>
    <w:rsid w:val="005C5B0E"/>
    <w:rsid w:val="005C6087"/>
    <w:rsid w:val="005D0BB2"/>
    <w:rsid w:val="005D10F7"/>
    <w:rsid w:val="005D30DE"/>
    <w:rsid w:val="005D7FBA"/>
    <w:rsid w:val="005E5912"/>
    <w:rsid w:val="005F2A05"/>
    <w:rsid w:val="005F2C46"/>
    <w:rsid w:val="005F5B89"/>
    <w:rsid w:val="00602F5C"/>
    <w:rsid w:val="00606397"/>
    <w:rsid w:val="00611C5B"/>
    <w:rsid w:val="006141A3"/>
    <w:rsid w:val="00615A0F"/>
    <w:rsid w:val="006173A4"/>
    <w:rsid w:val="00620F1A"/>
    <w:rsid w:val="00622520"/>
    <w:rsid w:val="006279E7"/>
    <w:rsid w:val="00634596"/>
    <w:rsid w:val="006425FA"/>
    <w:rsid w:val="00642B95"/>
    <w:rsid w:val="00647559"/>
    <w:rsid w:val="006523EB"/>
    <w:rsid w:val="0065265C"/>
    <w:rsid w:val="00653C14"/>
    <w:rsid w:val="0065460D"/>
    <w:rsid w:val="00657D99"/>
    <w:rsid w:val="0066001D"/>
    <w:rsid w:val="006679DC"/>
    <w:rsid w:val="00670400"/>
    <w:rsid w:val="006724B7"/>
    <w:rsid w:val="00677925"/>
    <w:rsid w:val="00677A8A"/>
    <w:rsid w:val="00680AD6"/>
    <w:rsid w:val="00681B00"/>
    <w:rsid w:val="006869D8"/>
    <w:rsid w:val="006870F1"/>
    <w:rsid w:val="006918F7"/>
    <w:rsid w:val="006922EC"/>
    <w:rsid w:val="00695EDE"/>
    <w:rsid w:val="006A23E9"/>
    <w:rsid w:val="006A2F07"/>
    <w:rsid w:val="006A341C"/>
    <w:rsid w:val="006A4D72"/>
    <w:rsid w:val="006A543A"/>
    <w:rsid w:val="006B6F3C"/>
    <w:rsid w:val="006C27BF"/>
    <w:rsid w:val="006C2D0C"/>
    <w:rsid w:val="006C4DC3"/>
    <w:rsid w:val="006C77CD"/>
    <w:rsid w:val="006D0072"/>
    <w:rsid w:val="006D2C2B"/>
    <w:rsid w:val="006D3513"/>
    <w:rsid w:val="006D5D9F"/>
    <w:rsid w:val="006D7949"/>
    <w:rsid w:val="006E1C8A"/>
    <w:rsid w:val="006E32D8"/>
    <w:rsid w:val="006E37AD"/>
    <w:rsid w:val="006E6222"/>
    <w:rsid w:val="006F0669"/>
    <w:rsid w:val="006F48AD"/>
    <w:rsid w:val="006F56A7"/>
    <w:rsid w:val="006F601F"/>
    <w:rsid w:val="006F629E"/>
    <w:rsid w:val="00702CEF"/>
    <w:rsid w:val="007032FC"/>
    <w:rsid w:val="00703D29"/>
    <w:rsid w:val="00703F0B"/>
    <w:rsid w:val="007076B1"/>
    <w:rsid w:val="0071236E"/>
    <w:rsid w:val="0071264D"/>
    <w:rsid w:val="0071330B"/>
    <w:rsid w:val="00717623"/>
    <w:rsid w:val="00722F66"/>
    <w:rsid w:val="00722FCE"/>
    <w:rsid w:val="00723EEC"/>
    <w:rsid w:val="007258A2"/>
    <w:rsid w:val="00733600"/>
    <w:rsid w:val="007339A9"/>
    <w:rsid w:val="007345D7"/>
    <w:rsid w:val="00735BD4"/>
    <w:rsid w:val="00737A61"/>
    <w:rsid w:val="00741B8D"/>
    <w:rsid w:val="00742E26"/>
    <w:rsid w:val="00746901"/>
    <w:rsid w:val="007469E7"/>
    <w:rsid w:val="00746D36"/>
    <w:rsid w:val="00750C92"/>
    <w:rsid w:val="00751CDD"/>
    <w:rsid w:val="00753178"/>
    <w:rsid w:val="007534CB"/>
    <w:rsid w:val="00754FB0"/>
    <w:rsid w:val="00756CAA"/>
    <w:rsid w:val="00762CB8"/>
    <w:rsid w:val="0076576D"/>
    <w:rsid w:val="0077088A"/>
    <w:rsid w:val="00774525"/>
    <w:rsid w:val="00785F88"/>
    <w:rsid w:val="00786B37"/>
    <w:rsid w:val="007877D5"/>
    <w:rsid w:val="00792362"/>
    <w:rsid w:val="0079519C"/>
    <w:rsid w:val="007A04DC"/>
    <w:rsid w:val="007A287A"/>
    <w:rsid w:val="007A2EB0"/>
    <w:rsid w:val="007A3CC2"/>
    <w:rsid w:val="007B04FF"/>
    <w:rsid w:val="007B6DA0"/>
    <w:rsid w:val="007C15ED"/>
    <w:rsid w:val="007C19AE"/>
    <w:rsid w:val="007C2CCC"/>
    <w:rsid w:val="007C337F"/>
    <w:rsid w:val="007D04F4"/>
    <w:rsid w:val="007D0888"/>
    <w:rsid w:val="007D2179"/>
    <w:rsid w:val="007D2FAE"/>
    <w:rsid w:val="007D399D"/>
    <w:rsid w:val="007D59AF"/>
    <w:rsid w:val="007D7DEB"/>
    <w:rsid w:val="007E1DE6"/>
    <w:rsid w:val="007E201C"/>
    <w:rsid w:val="007F0619"/>
    <w:rsid w:val="007F28DB"/>
    <w:rsid w:val="007F4345"/>
    <w:rsid w:val="007F7B34"/>
    <w:rsid w:val="0080399C"/>
    <w:rsid w:val="00803C1E"/>
    <w:rsid w:val="00804954"/>
    <w:rsid w:val="00810B98"/>
    <w:rsid w:val="0081164E"/>
    <w:rsid w:val="00816129"/>
    <w:rsid w:val="008176A7"/>
    <w:rsid w:val="008177BD"/>
    <w:rsid w:val="00824189"/>
    <w:rsid w:val="008252F0"/>
    <w:rsid w:val="00826EBD"/>
    <w:rsid w:val="008325A6"/>
    <w:rsid w:val="0083668C"/>
    <w:rsid w:val="00837C00"/>
    <w:rsid w:val="00837FA1"/>
    <w:rsid w:val="00840E0D"/>
    <w:rsid w:val="008461E9"/>
    <w:rsid w:val="008475AA"/>
    <w:rsid w:val="00855A4E"/>
    <w:rsid w:val="00856676"/>
    <w:rsid w:val="00856873"/>
    <w:rsid w:val="00860F02"/>
    <w:rsid w:val="00861912"/>
    <w:rsid w:val="0086365B"/>
    <w:rsid w:val="008657A4"/>
    <w:rsid w:val="0086730C"/>
    <w:rsid w:val="0088026D"/>
    <w:rsid w:val="00881EB7"/>
    <w:rsid w:val="00884884"/>
    <w:rsid w:val="0088570D"/>
    <w:rsid w:val="00887902"/>
    <w:rsid w:val="00891420"/>
    <w:rsid w:val="00892334"/>
    <w:rsid w:val="00895FBB"/>
    <w:rsid w:val="008A0C18"/>
    <w:rsid w:val="008A1E1B"/>
    <w:rsid w:val="008A5FBB"/>
    <w:rsid w:val="008B0302"/>
    <w:rsid w:val="008B09E8"/>
    <w:rsid w:val="008B224C"/>
    <w:rsid w:val="008C05CF"/>
    <w:rsid w:val="008C1461"/>
    <w:rsid w:val="008C2226"/>
    <w:rsid w:val="008C4276"/>
    <w:rsid w:val="008C4887"/>
    <w:rsid w:val="008C77F8"/>
    <w:rsid w:val="008D2976"/>
    <w:rsid w:val="008D55B2"/>
    <w:rsid w:val="008D6D95"/>
    <w:rsid w:val="008E500C"/>
    <w:rsid w:val="008F2A48"/>
    <w:rsid w:val="008F6C65"/>
    <w:rsid w:val="008F720F"/>
    <w:rsid w:val="009021F6"/>
    <w:rsid w:val="00902910"/>
    <w:rsid w:val="00904592"/>
    <w:rsid w:val="009060CB"/>
    <w:rsid w:val="00906D34"/>
    <w:rsid w:val="0091169E"/>
    <w:rsid w:val="009120C7"/>
    <w:rsid w:val="009123C5"/>
    <w:rsid w:val="00916179"/>
    <w:rsid w:val="00917615"/>
    <w:rsid w:val="00921A28"/>
    <w:rsid w:val="00925337"/>
    <w:rsid w:val="009305DD"/>
    <w:rsid w:val="00931174"/>
    <w:rsid w:val="00937B1F"/>
    <w:rsid w:val="0094110B"/>
    <w:rsid w:val="00944B82"/>
    <w:rsid w:val="00945006"/>
    <w:rsid w:val="00956B31"/>
    <w:rsid w:val="00956FA8"/>
    <w:rsid w:val="00957AA0"/>
    <w:rsid w:val="009604CB"/>
    <w:rsid w:val="00965538"/>
    <w:rsid w:val="00971F0D"/>
    <w:rsid w:val="0097464F"/>
    <w:rsid w:val="00980E99"/>
    <w:rsid w:val="00984BFB"/>
    <w:rsid w:val="00991B49"/>
    <w:rsid w:val="00995A55"/>
    <w:rsid w:val="009964B6"/>
    <w:rsid w:val="009A1C5B"/>
    <w:rsid w:val="009A5D9E"/>
    <w:rsid w:val="009A7B76"/>
    <w:rsid w:val="009B0988"/>
    <w:rsid w:val="009B0D74"/>
    <w:rsid w:val="009B2373"/>
    <w:rsid w:val="009B2B4B"/>
    <w:rsid w:val="009C5DF4"/>
    <w:rsid w:val="009C6C4E"/>
    <w:rsid w:val="009D003A"/>
    <w:rsid w:val="009D3453"/>
    <w:rsid w:val="009D431A"/>
    <w:rsid w:val="009E1329"/>
    <w:rsid w:val="009E28E5"/>
    <w:rsid w:val="009E4340"/>
    <w:rsid w:val="009E446F"/>
    <w:rsid w:val="009E4CE3"/>
    <w:rsid w:val="009F214A"/>
    <w:rsid w:val="009F2F79"/>
    <w:rsid w:val="009F374F"/>
    <w:rsid w:val="009F588C"/>
    <w:rsid w:val="00A02C14"/>
    <w:rsid w:val="00A03373"/>
    <w:rsid w:val="00A05ECF"/>
    <w:rsid w:val="00A100F7"/>
    <w:rsid w:val="00A11C51"/>
    <w:rsid w:val="00A126E5"/>
    <w:rsid w:val="00A12C63"/>
    <w:rsid w:val="00A1337E"/>
    <w:rsid w:val="00A24133"/>
    <w:rsid w:val="00A249A4"/>
    <w:rsid w:val="00A2528E"/>
    <w:rsid w:val="00A33F45"/>
    <w:rsid w:val="00A34C49"/>
    <w:rsid w:val="00A3642F"/>
    <w:rsid w:val="00A421CE"/>
    <w:rsid w:val="00A54F86"/>
    <w:rsid w:val="00A63392"/>
    <w:rsid w:val="00A722C5"/>
    <w:rsid w:val="00A80044"/>
    <w:rsid w:val="00A859DC"/>
    <w:rsid w:val="00A85D7D"/>
    <w:rsid w:val="00A85EAD"/>
    <w:rsid w:val="00A86417"/>
    <w:rsid w:val="00A872DA"/>
    <w:rsid w:val="00A9122E"/>
    <w:rsid w:val="00A91F36"/>
    <w:rsid w:val="00A93A7F"/>
    <w:rsid w:val="00A97B0B"/>
    <w:rsid w:val="00AA4795"/>
    <w:rsid w:val="00AA63BA"/>
    <w:rsid w:val="00AB19DA"/>
    <w:rsid w:val="00AB6B27"/>
    <w:rsid w:val="00AD629B"/>
    <w:rsid w:val="00AD6B25"/>
    <w:rsid w:val="00AD6ED0"/>
    <w:rsid w:val="00AE1284"/>
    <w:rsid w:val="00AE2C17"/>
    <w:rsid w:val="00AE5333"/>
    <w:rsid w:val="00AE61ED"/>
    <w:rsid w:val="00AE6F3C"/>
    <w:rsid w:val="00AF196A"/>
    <w:rsid w:val="00AF54E1"/>
    <w:rsid w:val="00AF6683"/>
    <w:rsid w:val="00B0080D"/>
    <w:rsid w:val="00B01CD3"/>
    <w:rsid w:val="00B02E88"/>
    <w:rsid w:val="00B04E81"/>
    <w:rsid w:val="00B054A7"/>
    <w:rsid w:val="00B0579A"/>
    <w:rsid w:val="00B05F20"/>
    <w:rsid w:val="00B11D96"/>
    <w:rsid w:val="00B14E6B"/>
    <w:rsid w:val="00B16089"/>
    <w:rsid w:val="00B25923"/>
    <w:rsid w:val="00B26432"/>
    <w:rsid w:val="00B266B6"/>
    <w:rsid w:val="00B3570D"/>
    <w:rsid w:val="00B369E1"/>
    <w:rsid w:val="00B36CB6"/>
    <w:rsid w:val="00B457D5"/>
    <w:rsid w:val="00B47764"/>
    <w:rsid w:val="00B4784E"/>
    <w:rsid w:val="00B52D63"/>
    <w:rsid w:val="00B565D4"/>
    <w:rsid w:val="00B62476"/>
    <w:rsid w:val="00B626BB"/>
    <w:rsid w:val="00B724FE"/>
    <w:rsid w:val="00B73951"/>
    <w:rsid w:val="00B80D2F"/>
    <w:rsid w:val="00B82061"/>
    <w:rsid w:val="00B82E58"/>
    <w:rsid w:val="00B863CD"/>
    <w:rsid w:val="00B90B22"/>
    <w:rsid w:val="00B90EB4"/>
    <w:rsid w:val="00B97802"/>
    <w:rsid w:val="00BA0E5D"/>
    <w:rsid w:val="00BA2846"/>
    <w:rsid w:val="00BA3124"/>
    <w:rsid w:val="00BA37AA"/>
    <w:rsid w:val="00BA55B3"/>
    <w:rsid w:val="00BB13C2"/>
    <w:rsid w:val="00BB2465"/>
    <w:rsid w:val="00BB2B84"/>
    <w:rsid w:val="00BC0AB2"/>
    <w:rsid w:val="00BC4999"/>
    <w:rsid w:val="00BD389A"/>
    <w:rsid w:val="00BE1F58"/>
    <w:rsid w:val="00BE2F9C"/>
    <w:rsid w:val="00BE3C13"/>
    <w:rsid w:val="00BF3812"/>
    <w:rsid w:val="00BF4099"/>
    <w:rsid w:val="00C03FB6"/>
    <w:rsid w:val="00C06587"/>
    <w:rsid w:val="00C07A4F"/>
    <w:rsid w:val="00C13489"/>
    <w:rsid w:val="00C244BA"/>
    <w:rsid w:val="00C2519C"/>
    <w:rsid w:val="00C25425"/>
    <w:rsid w:val="00C254EC"/>
    <w:rsid w:val="00C25AD7"/>
    <w:rsid w:val="00C31620"/>
    <w:rsid w:val="00C3532B"/>
    <w:rsid w:val="00C3605A"/>
    <w:rsid w:val="00C4070E"/>
    <w:rsid w:val="00C46538"/>
    <w:rsid w:val="00C46568"/>
    <w:rsid w:val="00C475B3"/>
    <w:rsid w:val="00C519A3"/>
    <w:rsid w:val="00C524FA"/>
    <w:rsid w:val="00C54866"/>
    <w:rsid w:val="00C54E7F"/>
    <w:rsid w:val="00C557E5"/>
    <w:rsid w:val="00C56715"/>
    <w:rsid w:val="00C61DF1"/>
    <w:rsid w:val="00C636A8"/>
    <w:rsid w:val="00C649A3"/>
    <w:rsid w:val="00C64C38"/>
    <w:rsid w:val="00C716E6"/>
    <w:rsid w:val="00C7432E"/>
    <w:rsid w:val="00C76FE6"/>
    <w:rsid w:val="00C8124B"/>
    <w:rsid w:val="00C834F6"/>
    <w:rsid w:val="00C84A36"/>
    <w:rsid w:val="00C85D99"/>
    <w:rsid w:val="00C91707"/>
    <w:rsid w:val="00C91765"/>
    <w:rsid w:val="00CA115B"/>
    <w:rsid w:val="00CA3F44"/>
    <w:rsid w:val="00CA4DB7"/>
    <w:rsid w:val="00CA4EDA"/>
    <w:rsid w:val="00CA6CAC"/>
    <w:rsid w:val="00CB3033"/>
    <w:rsid w:val="00CB3C9F"/>
    <w:rsid w:val="00CB5F47"/>
    <w:rsid w:val="00CC0FA9"/>
    <w:rsid w:val="00CC18DB"/>
    <w:rsid w:val="00CC1C15"/>
    <w:rsid w:val="00CC375D"/>
    <w:rsid w:val="00CC46A2"/>
    <w:rsid w:val="00CC5B47"/>
    <w:rsid w:val="00CC6D92"/>
    <w:rsid w:val="00CD04A5"/>
    <w:rsid w:val="00CD7D67"/>
    <w:rsid w:val="00CE01EF"/>
    <w:rsid w:val="00CF001A"/>
    <w:rsid w:val="00CF0250"/>
    <w:rsid w:val="00CF355D"/>
    <w:rsid w:val="00D0134F"/>
    <w:rsid w:val="00D0202D"/>
    <w:rsid w:val="00D06C66"/>
    <w:rsid w:val="00D1119F"/>
    <w:rsid w:val="00D14E99"/>
    <w:rsid w:val="00D1571D"/>
    <w:rsid w:val="00D21E36"/>
    <w:rsid w:val="00D22BAB"/>
    <w:rsid w:val="00D22CA2"/>
    <w:rsid w:val="00D2321E"/>
    <w:rsid w:val="00D23492"/>
    <w:rsid w:val="00D26520"/>
    <w:rsid w:val="00D277F8"/>
    <w:rsid w:val="00D300DD"/>
    <w:rsid w:val="00D44F13"/>
    <w:rsid w:val="00D479CD"/>
    <w:rsid w:val="00D55A38"/>
    <w:rsid w:val="00D6016D"/>
    <w:rsid w:val="00D62A4A"/>
    <w:rsid w:val="00D66AB0"/>
    <w:rsid w:val="00D812C8"/>
    <w:rsid w:val="00D829D0"/>
    <w:rsid w:val="00D841A1"/>
    <w:rsid w:val="00D84F11"/>
    <w:rsid w:val="00D91940"/>
    <w:rsid w:val="00D92C17"/>
    <w:rsid w:val="00D930BB"/>
    <w:rsid w:val="00D932AD"/>
    <w:rsid w:val="00D93779"/>
    <w:rsid w:val="00D95A48"/>
    <w:rsid w:val="00D95A4C"/>
    <w:rsid w:val="00D97F97"/>
    <w:rsid w:val="00DA12F0"/>
    <w:rsid w:val="00DB181C"/>
    <w:rsid w:val="00DC3C79"/>
    <w:rsid w:val="00DC5EB5"/>
    <w:rsid w:val="00DC5F38"/>
    <w:rsid w:val="00DE249D"/>
    <w:rsid w:val="00DE7E18"/>
    <w:rsid w:val="00DF439B"/>
    <w:rsid w:val="00DF5814"/>
    <w:rsid w:val="00DF7BB9"/>
    <w:rsid w:val="00E02431"/>
    <w:rsid w:val="00E03C51"/>
    <w:rsid w:val="00E11081"/>
    <w:rsid w:val="00E14AB1"/>
    <w:rsid w:val="00E2004A"/>
    <w:rsid w:val="00E22781"/>
    <w:rsid w:val="00E255AC"/>
    <w:rsid w:val="00E26053"/>
    <w:rsid w:val="00E312D2"/>
    <w:rsid w:val="00E33009"/>
    <w:rsid w:val="00E3415B"/>
    <w:rsid w:val="00E41050"/>
    <w:rsid w:val="00E4115E"/>
    <w:rsid w:val="00E42EAA"/>
    <w:rsid w:val="00E43660"/>
    <w:rsid w:val="00E449D8"/>
    <w:rsid w:val="00E45D74"/>
    <w:rsid w:val="00E51F99"/>
    <w:rsid w:val="00E52414"/>
    <w:rsid w:val="00E55177"/>
    <w:rsid w:val="00E57591"/>
    <w:rsid w:val="00E60C9D"/>
    <w:rsid w:val="00E653F5"/>
    <w:rsid w:val="00E667FC"/>
    <w:rsid w:val="00E72F1F"/>
    <w:rsid w:val="00E75B40"/>
    <w:rsid w:val="00E763ED"/>
    <w:rsid w:val="00E80883"/>
    <w:rsid w:val="00E86025"/>
    <w:rsid w:val="00E864B4"/>
    <w:rsid w:val="00E8709E"/>
    <w:rsid w:val="00E93BCC"/>
    <w:rsid w:val="00E9439E"/>
    <w:rsid w:val="00E96E54"/>
    <w:rsid w:val="00EA1145"/>
    <w:rsid w:val="00EA11E5"/>
    <w:rsid w:val="00EA1ED7"/>
    <w:rsid w:val="00EA5C66"/>
    <w:rsid w:val="00EB09CB"/>
    <w:rsid w:val="00EB0C24"/>
    <w:rsid w:val="00EB13EB"/>
    <w:rsid w:val="00EB6ED0"/>
    <w:rsid w:val="00EC2752"/>
    <w:rsid w:val="00EC2D7B"/>
    <w:rsid w:val="00EC7653"/>
    <w:rsid w:val="00ED4554"/>
    <w:rsid w:val="00ED49CE"/>
    <w:rsid w:val="00ED5241"/>
    <w:rsid w:val="00ED64CD"/>
    <w:rsid w:val="00ED7DBB"/>
    <w:rsid w:val="00EE5896"/>
    <w:rsid w:val="00EE6E83"/>
    <w:rsid w:val="00EF20F4"/>
    <w:rsid w:val="00EF2D43"/>
    <w:rsid w:val="00EF2D68"/>
    <w:rsid w:val="00EF5BD9"/>
    <w:rsid w:val="00EF6456"/>
    <w:rsid w:val="00F00891"/>
    <w:rsid w:val="00F06631"/>
    <w:rsid w:val="00F115E5"/>
    <w:rsid w:val="00F121C0"/>
    <w:rsid w:val="00F129A8"/>
    <w:rsid w:val="00F1492D"/>
    <w:rsid w:val="00F2140E"/>
    <w:rsid w:val="00F275D0"/>
    <w:rsid w:val="00F331FE"/>
    <w:rsid w:val="00F33C35"/>
    <w:rsid w:val="00F344D6"/>
    <w:rsid w:val="00F35244"/>
    <w:rsid w:val="00F37250"/>
    <w:rsid w:val="00F3752A"/>
    <w:rsid w:val="00F40FBF"/>
    <w:rsid w:val="00F41038"/>
    <w:rsid w:val="00F4149C"/>
    <w:rsid w:val="00F41ABA"/>
    <w:rsid w:val="00F43D41"/>
    <w:rsid w:val="00F502E0"/>
    <w:rsid w:val="00F52C3C"/>
    <w:rsid w:val="00F52F5A"/>
    <w:rsid w:val="00F53420"/>
    <w:rsid w:val="00F56501"/>
    <w:rsid w:val="00F57034"/>
    <w:rsid w:val="00F5705E"/>
    <w:rsid w:val="00F603CC"/>
    <w:rsid w:val="00F627C1"/>
    <w:rsid w:val="00F64A9E"/>
    <w:rsid w:val="00F74EBD"/>
    <w:rsid w:val="00F82ADB"/>
    <w:rsid w:val="00F831B3"/>
    <w:rsid w:val="00F86B8B"/>
    <w:rsid w:val="00F8733F"/>
    <w:rsid w:val="00F910EF"/>
    <w:rsid w:val="00F91562"/>
    <w:rsid w:val="00F921B4"/>
    <w:rsid w:val="00F94057"/>
    <w:rsid w:val="00F96524"/>
    <w:rsid w:val="00FA25D3"/>
    <w:rsid w:val="00FA37F2"/>
    <w:rsid w:val="00FB3AAB"/>
    <w:rsid w:val="00FB3BE8"/>
    <w:rsid w:val="00FB44A3"/>
    <w:rsid w:val="00FB7E37"/>
    <w:rsid w:val="00FC02B4"/>
    <w:rsid w:val="00FD1370"/>
    <w:rsid w:val="00FD5F55"/>
    <w:rsid w:val="00FD6415"/>
    <w:rsid w:val="00FE0D6B"/>
    <w:rsid w:val="00FE2042"/>
    <w:rsid w:val="00FE3364"/>
    <w:rsid w:val="00FE6711"/>
    <w:rsid w:val="00FF2D5E"/>
    <w:rsid w:val="00FF3FB5"/>
    <w:rsid w:val="00FF5A2F"/>
    <w:rsid w:val="018A2DD6"/>
    <w:rsid w:val="01B81CE2"/>
    <w:rsid w:val="021B48C8"/>
    <w:rsid w:val="022F6BC7"/>
    <w:rsid w:val="02A9706C"/>
    <w:rsid w:val="037E7B55"/>
    <w:rsid w:val="058A5177"/>
    <w:rsid w:val="06B46DF4"/>
    <w:rsid w:val="06B502A7"/>
    <w:rsid w:val="07C30DC0"/>
    <w:rsid w:val="07F36949"/>
    <w:rsid w:val="08E92ED7"/>
    <w:rsid w:val="0A1914A2"/>
    <w:rsid w:val="0A510704"/>
    <w:rsid w:val="0A7A508D"/>
    <w:rsid w:val="0AB623B0"/>
    <w:rsid w:val="0ABC2E87"/>
    <w:rsid w:val="0B6357F2"/>
    <w:rsid w:val="0BCE5D22"/>
    <w:rsid w:val="0C1C7286"/>
    <w:rsid w:val="0C3279E8"/>
    <w:rsid w:val="0C6D2071"/>
    <w:rsid w:val="0C8B7F7D"/>
    <w:rsid w:val="0D026F29"/>
    <w:rsid w:val="0D460BF6"/>
    <w:rsid w:val="0D750EA4"/>
    <w:rsid w:val="0DB05806"/>
    <w:rsid w:val="0DF742E8"/>
    <w:rsid w:val="0E4179D3"/>
    <w:rsid w:val="0E9A16A0"/>
    <w:rsid w:val="0EA83860"/>
    <w:rsid w:val="0EE3596D"/>
    <w:rsid w:val="0F334EAC"/>
    <w:rsid w:val="0F394008"/>
    <w:rsid w:val="0F482EAC"/>
    <w:rsid w:val="0FAE47D0"/>
    <w:rsid w:val="0FCD2BDB"/>
    <w:rsid w:val="10394744"/>
    <w:rsid w:val="10A05B0A"/>
    <w:rsid w:val="11790C53"/>
    <w:rsid w:val="11D87F8D"/>
    <w:rsid w:val="133176F4"/>
    <w:rsid w:val="13D85897"/>
    <w:rsid w:val="142F2909"/>
    <w:rsid w:val="142F43C4"/>
    <w:rsid w:val="146E0F17"/>
    <w:rsid w:val="14D80741"/>
    <w:rsid w:val="1608351E"/>
    <w:rsid w:val="16244BA5"/>
    <w:rsid w:val="16920812"/>
    <w:rsid w:val="17451FF2"/>
    <w:rsid w:val="180F4F9D"/>
    <w:rsid w:val="1A4A65D3"/>
    <w:rsid w:val="1A82366D"/>
    <w:rsid w:val="1AE82C29"/>
    <w:rsid w:val="1AE84762"/>
    <w:rsid w:val="1DED79A4"/>
    <w:rsid w:val="1E5A0411"/>
    <w:rsid w:val="1F75782B"/>
    <w:rsid w:val="1FF05C03"/>
    <w:rsid w:val="20010171"/>
    <w:rsid w:val="23865A00"/>
    <w:rsid w:val="24151E43"/>
    <w:rsid w:val="243E1570"/>
    <w:rsid w:val="244E1C1C"/>
    <w:rsid w:val="24ED56A6"/>
    <w:rsid w:val="25397845"/>
    <w:rsid w:val="257A3F63"/>
    <w:rsid w:val="25C744D7"/>
    <w:rsid w:val="26081CB0"/>
    <w:rsid w:val="26522EA8"/>
    <w:rsid w:val="26CC0950"/>
    <w:rsid w:val="27D8263D"/>
    <w:rsid w:val="27D85BC0"/>
    <w:rsid w:val="29235B3A"/>
    <w:rsid w:val="29303DA4"/>
    <w:rsid w:val="29EB2AFB"/>
    <w:rsid w:val="2CFA3055"/>
    <w:rsid w:val="2D511C5B"/>
    <w:rsid w:val="2DA72A14"/>
    <w:rsid w:val="2DDF2633"/>
    <w:rsid w:val="2E11065B"/>
    <w:rsid w:val="2E361093"/>
    <w:rsid w:val="2F6011C4"/>
    <w:rsid w:val="2F920A51"/>
    <w:rsid w:val="2FB05DB2"/>
    <w:rsid w:val="310314D0"/>
    <w:rsid w:val="31253DE5"/>
    <w:rsid w:val="313E7737"/>
    <w:rsid w:val="32016C06"/>
    <w:rsid w:val="323D23EA"/>
    <w:rsid w:val="3363332D"/>
    <w:rsid w:val="338A111E"/>
    <w:rsid w:val="33F971D5"/>
    <w:rsid w:val="343D3142"/>
    <w:rsid w:val="34A22009"/>
    <w:rsid w:val="351A46E3"/>
    <w:rsid w:val="369860BB"/>
    <w:rsid w:val="36A623A0"/>
    <w:rsid w:val="39376BFA"/>
    <w:rsid w:val="39A66FFB"/>
    <w:rsid w:val="39B90520"/>
    <w:rsid w:val="39D0437E"/>
    <w:rsid w:val="3A46626E"/>
    <w:rsid w:val="3A5A0149"/>
    <w:rsid w:val="3A6C4287"/>
    <w:rsid w:val="3A6F280E"/>
    <w:rsid w:val="3AA7642C"/>
    <w:rsid w:val="3ABB2076"/>
    <w:rsid w:val="3AEB7A38"/>
    <w:rsid w:val="3AEC50AC"/>
    <w:rsid w:val="3B442786"/>
    <w:rsid w:val="3B963CA8"/>
    <w:rsid w:val="3C333252"/>
    <w:rsid w:val="3C8664CF"/>
    <w:rsid w:val="3CB274A9"/>
    <w:rsid w:val="3E2F3C47"/>
    <w:rsid w:val="3E4E45BF"/>
    <w:rsid w:val="3E781559"/>
    <w:rsid w:val="3F5056EE"/>
    <w:rsid w:val="3FA25898"/>
    <w:rsid w:val="400D5119"/>
    <w:rsid w:val="406A40CF"/>
    <w:rsid w:val="407F5DE0"/>
    <w:rsid w:val="40D57DED"/>
    <w:rsid w:val="40E17A00"/>
    <w:rsid w:val="419B4CF5"/>
    <w:rsid w:val="428668EC"/>
    <w:rsid w:val="43621CD6"/>
    <w:rsid w:val="44892512"/>
    <w:rsid w:val="47107740"/>
    <w:rsid w:val="47396092"/>
    <w:rsid w:val="475A058C"/>
    <w:rsid w:val="479C1380"/>
    <w:rsid w:val="480F3C80"/>
    <w:rsid w:val="481A32B8"/>
    <w:rsid w:val="481C1916"/>
    <w:rsid w:val="486149D1"/>
    <w:rsid w:val="487E214D"/>
    <w:rsid w:val="491A0BFD"/>
    <w:rsid w:val="4989523E"/>
    <w:rsid w:val="49CD639A"/>
    <w:rsid w:val="4B4834B2"/>
    <w:rsid w:val="4B831467"/>
    <w:rsid w:val="4BC834D8"/>
    <w:rsid w:val="4CA01D0F"/>
    <w:rsid w:val="4DCA28A4"/>
    <w:rsid w:val="4F7C2E75"/>
    <w:rsid w:val="4F810626"/>
    <w:rsid w:val="4FD10746"/>
    <w:rsid w:val="502F4E91"/>
    <w:rsid w:val="508A00C9"/>
    <w:rsid w:val="513C1084"/>
    <w:rsid w:val="51C54122"/>
    <w:rsid w:val="520914C1"/>
    <w:rsid w:val="541212FA"/>
    <w:rsid w:val="54595F7A"/>
    <w:rsid w:val="550A5C7C"/>
    <w:rsid w:val="5553766F"/>
    <w:rsid w:val="56B011F9"/>
    <w:rsid w:val="573619C6"/>
    <w:rsid w:val="58C91CEA"/>
    <w:rsid w:val="59B63206"/>
    <w:rsid w:val="59B9352D"/>
    <w:rsid w:val="5B096777"/>
    <w:rsid w:val="5B0972E9"/>
    <w:rsid w:val="5C675762"/>
    <w:rsid w:val="5D120A4A"/>
    <w:rsid w:val="5DBC03E8"/>
    <w:rsid w:val="5E7A4F02"/>
    <w:rsid w:val="5FE054D2"/>
    <w:rsid w:val="604D26C1"/>
    <w:rsid w:val="60692C39"/>
    <w:rsid w:val="6161547F"/>
    <w:rsid w:val="61640AD8"/>
    <w:rsid w:val="617E64C8"/>
    <w:rsid w:val="61B31E2C"/>
    <w:rsid w:val="61B57012"/>
    <w:rsid w:val="62B643EE"/>
    <w:rsid w:val="63053144"/>
    <w:rsid w:val="644D709C"/>
    <w:rsid w:val="64827BC4"/>
    <w:rsid w:val="64A8519B"/>
    <w:rsid w:val="64DA3F5C"/>
    <w:rsid w:val="64E67E4B"/>
    <w:rsid w:val="6587291F"/>
    <w:rsid w:val="659066F6"/>
    <w:rsid w:val="65E511F4"/>
    <w:rsid w:val="65E83187"/>
    <w:rsid w:val="662C2DFD"/>
    <w:rsid w:val="666F2A0D"/>
    <w:rsid w:val="66A94529"/>
    <w:rsid w:val="66F940CB"/>
    <w:rsid w:val="674E1E9C"/>
    <w:rsid w:val="684F0A33"/>
    <w:rsid w:val="68724BB2"/>
    <w:rsid w:val="697002F0"/>
    <w:rsid w:val="69F72A7A"/>
    <w:rsid w:val="6AB50D72"/>
    <w:rsid w:val="6BDF57E0"/>
    <w:rsid w:val="6C2E1DA3"/>
    <w:rsid w:val="6CD111F5"/>
    <w:rsid w:val="6CF21078"/>
    <w:rsid w:val="70642C7D"/>
    <w:rsid w:val="70A06482"/>
    <w:rsid w:val="71105B0B"/>
    <w:rsid w:val="714125CE"/>
    <w:rsid w:val="717A29A8"/>
    <w:rsid w:val="71B33332"/>
    <w:rsid w:val="72941D3D"/>
    <w:rsid w:val="72A643DF"/>
    <w:rsid w:val="74C53D6E"/>
    <w:rsid w:val="74D77E17"/>
    <w:rsid w:val="74D84235"/>
    <w:rsid w:val="75120E16"/>
    <w:rsid w:val="75293BB6"/>
    <w:rsid w:val="756F34FD"/>
    <w:rsid w:val="75B9739F"/>
    <w:rsid w:val="75D85A64"/>
    <w:rsid w:val="77275DC2"/>
    <w:rsid w:val="77513D79"/>
    <w:rsid w:val="77982373"/>
    <w:rsid w:val="77D45F4A"/>
    <w:rsid w:val="782634DE"/>
    <w:rsid w:val="785C257D"/>
    <w:rsid w:val="7A6F61AA"/>
    <w:rsid w:val="7AEF6BF7"/>
    <w:rsid w:val="7BFD36FB"/>
    <w:rsid w:val="7C341A17"/>
    <w:rsid w:val="7C876C3E"/>
    <w:rsid w:val="7DD52CF4"/>
    <w:rsid w:val="7EE37EAA"/>
    <w:rsid w:val="7FC5392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5"/>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样式 行距: 1.5 倍行距 首行缩进:  2 字符"/>
    <w:basedOn w:val="1"/>
    <w:qFormat/>
    <w:uiPriority w:val="0"/>
    <w:pPr>
      <w:adjustRightInd w:val="0"/>
      <w:snapToGrid w:val="0"/>
      <w:spacing w:line="460" w:lineRule="exact"/>
    </w:pPr>
    <w:rPr>
      <w:sz w:val="24"/>
      <w:szCs w:val="24"/>
    </w:rPr>
  </w:style>
  <w:style w:type="paragraph" w:styleId="5">
    <w:name w:val="Body Text"/>
    <w:basedOn w:val="1"/>
    <w:next w:val="1"/>
    <w:link w:val="61"/>
    <w:unhideWhenUsed/>
    <w:qFormat/>
    <w:uiPriority w:val="99"/>
    <w:pPr>
      <w:spacing w:after="120"/>
    </w:p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Normal Indent"/>
    <w:basedOn w:val="1"/>
    <w:qFormat/>
    <w:uiPriority w:val="0"/>
    <w:pPr>
      <w:widowControl/>
      <w:adjustRightInd/>
      <w:spacing w:line="240" w:lineRule="auto"/>
      <w:ind w:firstLine="420"/>
      <w:jc w:val="left"/>
      <w:textAlignment w:val="auto"/>
    </w:pPr>
    <w:rPr>
      <w:sz w:val="20"/>
    </w:rPr>
  </w:style>
  <w:style w:type="paragraph" w:styleId="10">
    <w:name w:val="caption"/>
    <w:basedOn w:val="1"/>
    <w:next w:val="1"/>
    <w:qFormat/>
    <w:uiPriority w:val="99"/>
    <w:pPr>
      <w:widowControl w:val="0"/>
      <w:spacing w:before="152" w:after="160" w:afterAutospacing="0" w:line="240" w:lineRule="auto"/>
      <w:ind w:left="0" w:right="0" w:firstLine="0"/>
    </w:pPr>
    <w:rPr>
      <w:rFonts w:ascii="Arial" w:hAnsi="Arial" w:eastAsia="黑体" w:cs="Arial"/>
      <w:kern w:val="2"/>
      <w:sz w:val="20"/>
      <w:szCs w:val="20"/>
    </w:rPr>
  </w:style>
  <w:style w:type="paragraph" w:styleId="11">
    <w:name w:val="Document Map"/>
    <w:basedOn w:val="1"/>
    <w:semiHidden/>
    <w:unhideWhenUsed/>
    <w:qFormat/>
    <w:uiPriority w:val="0"/>
    <w:rPr>
      <w:rFonts w:ascii="宋体"/>
      <w:sz w:val="18"/>
      <w:szCs w:val="18"/>
    </w:rPr>
  </w:style>
  <w:style w:type="paragraph" w:styleId="12">
    <w:name w:val="annotation text"/>
    <w:basedOn w:val="1"/>
    <w:semiHidden/>
    <w:unhideWhenUsed/>
    <w:qFormat/>
    <w:uiPriority w:val="0"/>
    <w:pPr>
      <w:jc w:val="left"/>
    </w:pPr>
  </w:style>
  <w:style w:type="paragraph" w:styleId="13">
    <w:name w:val="Body Text Indent"/>
    <w:basedOn w:val="1"/>
    <w:link w:val="68"/>
    <w:qFormat/>
    <w:uiPriority w:val="99"/>
    <w:pPr>
      <w:spacing w:line="480" w:lineRule="exact"/>
      <w:ind w:firstLine="560" w:firstLineChars="200"/>
    </w:pPr>
    <w:rPr>
      <w:sz w:val="24"/>
    </w:rPr>
  </w:style>
  <w:style w:type="paragraph" w:styleId="14">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unhideWhenUsed/>
    <w:qFormat/>
    <w:uiPriority w:val="39"/>
    <w:pPr>
      <w:ind w:left="840" w:firstLine="0"/>
    </w:pPr>
  </w:style>
  <w:style w:type="paragraph" w:styleId="16">
    <w:name w:val="Plain Text"/>
    <w:basedOn w:val="1"/>
    <w:link w:val="59"/>
    <w:unhideWhenUsed/>
    <w:qFormat/>
    <w:uiPriority w:val="99"/>
    <w:rPr>
      <w:rFonts w:ascii="宋体" w:hAnsi="Courier New" w:cs="宋体"/>
      <w:sz w:val="20"/>
      <w:szCs w:val="20"/>
    </w:rPr>
  </w:style>
  <w:style w:type="paragraph" w:styleId="17">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8">
    <w:name w:val="Date"/>
    <w:basedOn w:val="1"/>
    <w:next w:val="1"/>
    <w:link w:val="63"/>
    <w:semiHidden/>
    <w:unhideWhenUsed/>
    <w:qFormat/>
    <w:uiPriority w:val="99"/>
    <w:pPr>
      <w:ind w:left="100" w:leftChars="2500"/>
    </w:pPr>
  </w:style>
  <w:style w:type="paragraph" w:styleId="19">
    <w:name w:val="Balloon Text"/>
    <w:basedOn w:val="1"/>
    <w:semiHidden/>
    <w:unhideWhenUsed/>
    <w:qFormat/>
    <w:uiPriority w:val="0"/>
    <w:pPr>
      <w:spacing w:after="0" w:line="240" w:lineRule="auto"/>
    </w:pPr>
    <w:rPr>
      <w:sz w:val="18"/>
      <w:szCs w:val="18"/>
    </w:rPr>
  </w:style>
  <w:style w:type="paragraph" w:styleId="20">
    <w:name w:val="footer"/>
    <w:basedOn w:val="1"/>
    <w:qFormat/>
    <w:uiPriority w:val="99"/>
    <w:pPr>
      <w:tabs>
        <w:tab w:val="center" w:pos="4153"/>
        <w:tab w:val="right" w:pos="8306"/>
      </w:tabs>
      <w:snapToGrid w:val="0"/>
      <w:jc w:val="left"/>
    </w:pPr>
    <w:rPr>
      <w:sz w:val="18"/>
      <w:szCs w:val="18"/>
    </w:rPr>
  </w:style>
  <w:style w:type="paragraph" w:styleId="21">
    <w:name w:val="header"/>
    <w:basedOn w:val="1"/>
    <w:link w:val="70"/>
    <w:qFormat/>
    <w:uiPriority w:val="99"/>
    <w:pPr>
      <w:pBdr>
        <w:bottom w:val="single" w:color="000000"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4">
    <w:name w:val="footnote text"/>
    <w:basedOn w:val="1"/>
    <w:semiHidden/>
    <w:unhideWhenUsed/>
    <w:qFormat/>
    <w:uiPriority w:val="0"/>
    <w:pPr>
      <w:snapToGrid w:val="0"/>
      <w:jc w:val="left"/>
    </w:pPr>
    <w:rPr>
      <w:sz w:val="18"/>
      <w:szCs w:val="18"/>
    </w:rPr>
  </w:style>
  <w:style w:type="paragraph" w:styleId="25">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6">
    <w:name w:val="Body Text Indent 3"/>
    <w:basedOn w:val="1"/>
    <w:qFormat/>
    <w:uiPriority w:val="0"/>
    <w:pPr>
      <w:spacing w:after="120"/>
      <w:ind w:left="420" w:firstLine="0"/>
    </w:pPr>
    <w:rPr>
      <w:sz w:val="16"/>
      <w:szCs w:val="16"/>
    </w:rPr>
  </w:style>
  <w:style w:type="paragraph" w:styleId="27">
    <w:name w:val="toc 2"/>
    <w:basedOn w:val="1"/>
    <w:next w:val="1"/>
    <w:unhideWhenUsed/>
    <w:qFormat/>
    <w:uiPriority w:val="39"/>
    <w:pPr>
      <w:ind w:left="420" w:firstLine="0"/>
    </w:pPr>
  </w:style>
  <w:style w:type="paragraph" w:styleId="28">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9">
    <w:name w:val="Body Text 2"/>
    <w:basedOn w:val="1"/>
    <w:unhideWhenUsed/>
    <w:qFormat/>
    <w:uiPriority w:val="0"/>
    <w:pPr>
      <w:spacing w:after="120" w:line="480" w:lineRule="auto"/>
    </w:pPr>
  </w:style>
  <w:style w:type="paragraph" w:styleId="30">
    <w:name w:val="Normal (Web)"/>
    <w:basedOn w:val="1"/>
    <w:unhideWhenUsed/>
    <w:qFormat/>
    <w:uiPriority w:val="0"/>
    <w:pPr>
      <w:spacing w:before="100" w:beforeAutospacing="1" w:line="240" w:lineRule="auto"/>
      <w:ind w:left="0" w:right="0" w:firstLine="0"/>
      <w:jc w:val="left"/>
    </w:pPr>
    <w:rPr>
      <w:rFonts w:ascii="Arial Unicode MS" w:hAnsi="Arial Unicode MS" w:eastAsia="Arial Unicode MS" w:cs="Arial Unicode MS"/>
      <w:sz w:val="24"/>
      <w:szCs w:val="24"/>
    </w:rPr>
  </w:style>
  <w:style w:type="paragraph" w:styleId="31">
    <w:name w:val="annotation subject"/>
    <w:basedOn w:val="12"/>
    <w:next w:val="12"/>
    <w:semiHidden/>
    <w:unhideWhenUsed/>
    <w:qFormat/>
    <w:uiPriority w:val="0"/>
    <w:rPr>
      <w:b/>
    </w:rPr>
  </w:style>
  <w:style w:type="paragraph" w:styleId="32">
    <w:name w:val="Body Text First Indent 2"/>
    <w:basedOn w:val="13"/>
    <w:link w:val="69"/>
    <w:unhideWhenUsed/>
    <w:qFormat/>
    <w:uiPriority w:val="99"/>
    <w:pPr>
      <w:spacing w:after="120" w:line="240" w:lineRule="auto"/>
      <w:ind w:left="420" w:leftChars="200" w:firstLine="420"/>
    </w:pPr>
    <w:rPr>
      <w:rFonts w:ascii="Calibri" w:hAnsi="Calibri" w:eastAsia="Times New Roman"/>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0"/>
    <w:rPr>
      <w:rFonts w:cs="Times New Roman"/>
      <w:b/>
    </w:rPr>
  </w:style>
  <w:style w:type="character" w:styleId="37">
    <w:name w:val="page number"/>
    <w:basedOn w:val="35"/>
    <w:qFormat/>
    <w:uiPriority w:val="0"/>
  </w:style>
  <w:style w:type="character" w:styleId="38">
    <w:name w:val="FollowedHyperlink"/>
    <w:basedOn w:val="35"/>
    <w:semiHidden/>
    <w:unhideWhenUsed/>
    <w:qFormat/>
    <w:uiPriority w:val="99"/>
    <w:rPr>
      <w:color w:val="666666"/>
      <w:u w:val="none"/>
    </w:rPr>
  </w:style>
  <w:style w:type="character" w:styleId="39">
    <w:name w:val="HTML Definition"/>
    <w:basedOn w:val="35"/>
    <w:semiHidden/>
    <w:unhideWhenUsed/>
    <w:qFormat/>
    <w:uiPriority w:val="99"/>
    <w:rPr>
      <w:i/>
      <w:iCs/>
    </w:rPr>
  </w:style>
  <w:style w:type="character" w:styleId="40">
    <w:name w:val="Hyperlink"/>
    <w:basedOn w:val="35"/>
    <w:unhideWhenUsed/>
    <w:qFormat/>
    <w:uiPriority w:val="99"/>
    <w:rPr>
      <w:color w:val="0000FF"/>
      <w:u w:val="single"/>
    </w:rPr>
  </w:style>
  <w:style w:type="character" w:styleId="41">
    <w:name w:val="HTML Code"/>
    <w:basedOn w:val="35"/>
    <w:semiHidden/>
    <w:unhideWhenUsed/>
    <w:qFormat/>
    <w:uiPriority w:val="99"/>
    <w:rPr>
      <w:rFonts w:ascii="Consolas" w:hAnsi="Consolas" w:eastAsia="Consolas" w:cs="Consolas"/>
      <w:color w:val="C7254E"/>
      <w:sz w:val="21"/>
      <w:szCs w:val="21"/>
      <w:shd w:val="clear" w:color="auto" w:fill="F9F2F4"/>
    </w:rPr>
  </w:style>
  <w:style w:type="character" w:styleId="42">
    <w:name w:val="annotation reference"/>
    <w:basedOn w:val="35"/>
    <w:semiHidden/>
    <w:unhideWhenUsed/>
    <w:qFormat/>
    <w:uiPriority w:val="0"/>
    <w:rPr>
      <w:sz w:val="21"/>
      <w:szCs w:val="21"/>
    </w:rPr>
  </w:style>
  <w:style w:type="character" w:styleId="43">
    <w:name w:val="footnote reference"/>
    <w:basedOn w:val="35"/>
    <w:semiHidden/>
    <w:unhideWhenUsed/>
    <w:qFormat/>
    <w:uiPriority w:val="0"/>
    <w:rPr>
      <w:vertAlign w:val="superscript"/>
    </w:rPr>
  </w:style>
  <w:style w:type="character" w:styleId="44">
    <w:name w:val="HTML Keyboard"/>
    <w:basedOn w:val="35"/>
    <w:semiHidden/>
    <w:unhideWhenUsed/>
    <w:qFormat/>
    <w:uiPriority w:val="99"/>
    <w:rPr>
      <w:rFonts w:hint="default" w:ascii="Consolas" w:hAnsi="Consolas" w:eastAsia="Consolas" w:cs="Consolas"/>
      <w:color w:val="FFFFFF"/>
      <w:sz w:val="21"/>
      <w:szCs w:val="21"/>
      <w:shd w:val="clear" w:color="auto" w:fill="333333"/>
    </w:rPr>
  </w:style>
  <w:style w:type="character" w:styleId="45">
    <w:name w:val="HTML Sample"/>
    <w:basedOn w:val="35"/>
    <w:semiHidden/>
    <w:unhideWhenUsed/>
    <w:qFormat/>
    <w:uiPriority w:val="99"/>
    <w:rPr>
      <w:rFonts w:hint="default" w:ascii="Consolas" w:hAnsi="Consolas" w:eastAsia="Consolas" w:cs="Consolas"/>
      <w:sz w:val="21"/>
      <w:szCs w:val="21"/>
    </w:rPr>
  </w:style>
  <w:style w:type="paragraph" w:styleId="46">
    <w:name w:val="List Paragraph"/>
    <w:basedOn w:val="1"/>
    <w:qFormat/>
    <w:uiPriority w:val="34"/>
    <w:pPr>
      <w:ind w:firstLine="200"/>
    </w:pPr>
    <w:rPr>
      <w:rFonts w:ascii="Calibri" w:hAnsi="Calibri"/>
    </w:rPr>
  </w:style>
  <w:style w:type="character" w:customStyle="1" w:styleId="47">
    <w:name w:val="正文文本 2 Char"/>
    <w:basedOn w:val="35"/>
    <w:qFormat/>
    <w:uiPriority w:val="0"/>
    <w:rPr>
      <w:rFonts w:ascii="Times New Roman" w:hAnsi="Times New Roman" w:eastAsia="宋体" w:cs="Times New Roman"/>
    </w:rPr>
  </w:style>
  <w:style w:type="character" w:customStyle="1" w:styleId="48">
    <w:name w:val="16"/>
    <w:basedOn w:val="35"/>
    <w:qFormat/>
    <w:uiPriority w:val="0"/>
    <w:rPr>
      <w:rFonts w:hint="default" w:ascii="Times New Roman" w:hAnsi="Times New Roman" w:cs="Times New Roman"/>
      <w:color w:val="0000FF"/>
      <w:u w:val="single"/>
    </w:rPr>
  </w:style>
  <w:style w:type="character" w:customStyle="1" w:styleId="49">
    <w:name w:val="15"/>
    <w:basedOn w:val="35"/>
    <w:qFormat/>
    <w:uiPriority w:val="0"/>
    <w:rPr>
      <w:rFonts w:hint="default" w:ascii="Times New Roman" w:hAnsi="Times New Roman" w:cs="Times New Roman"/>
      <w:color w:val="0000FF"/>
      <w:u w:val="single"/>
    </w:rPr>
  </w:style>
  <w:style w:type="character" w:customStyle="1" w:styleId="50">
    <w:name w:val="标题 3 Char"/>
    <w:qFormat/>
    <w:uiPriority w:val="0"/>
    <w:rPr>
      <w:b/>
      <w:sz w:val="24"/>
      <w:szCs w:val="24"/>
    </w:rPr>
  </w:style>
  <w:style w:type="character" w:customStyle="1" w:styleId="51">
    <w:name w:val="标题 2 Char"/>
    <w:qFormat/>
    <w:uiPriority w:val="0"/>
    <w:rPr>
      <w:rFonts w:ascii="Arial" w:hAnsi="Arial" w:eastAsia="黑体"/>
      <w:b/>
      <w:sz w:val="32"/>
      <w:szCs w:val="32"/>
    </w:rPr>
  </w:style>
  <w:style w:type="character" w:customStyle="1" w:styleId="52">
    <w:name w:val="批注框文本 Char"/>
    <w:basedOn w:val="35"/>
    <w:semiHidden/>
    <w:qFormat/>
    <w:uiPriority w:val="0"/>
    <w:rPr>
      <w:sz w:val="18"/>
      <w:szCs w:val="18"/>
    </w:rPr>
  </w:style>
  <w:style w:type="character" w:customStyle="1" w:styleId="53">
    <w:name w:val="批注文字 Char"/>
    <w:basedOn w:val="35"/>
    <w:semiHidden/>
    <w:qFormat/>
    <w:uiPriority w:val="0"/>
    <w:rPr>
      <w:sz w:val="21"/>
      <w:szCs w:val="21"/>
    </w:rPr>
  </w:style>
  <w:style w:type="character" w:customStyle="1" w:styleId="54">
    <w:name w:val="批注主题 Char"/>
    <w:basedOn w:val="53"/>
    <w:semiHidden/>
    <w:qFormat/>
    <w:uiPriority w:val="0"/>
    <w:rPr>
      <w:b/>
      <w:sz w:val="21"/>
      <w:szCs w:val="21"/>
    </w:rPr>
  </w:style>
  <w:style w:type="character" w:customStyle="1" w:styleId="55">
    <w:name w:val="文档结构图 Char"/>
    <w:basedOn w:val="35"/>
    <w:semiHidden/>
    <w:qFormat/>
    <w:uiPriority w:val="0"/>
    <w:rPr>
      <w:rFonts w:ascii="宋体"/>
      <w:sz w:val="18"/>
      <w:szCs w:val="18"/>
    </w:rPr>
  </w:style>
  <w:style w:type="character" w:customStyle="1" w:styleId="56">
    <w:name w:val="页脚 Char"/>
    <w:qFormat/>
    <w:uiPriority w:val="99"/>
    <w:rPr>
      <w:sz w:val="18"/>
      <w:szCs w:val="18"/>
    </w:rPr>
  </w:style>
  <w:style w:type="character" w:customStyle="1" w:styleId="57">
    <w:name w:val="脚注文本 Char"/>
    <w:basedOn w:val="35"/>
    <w:semiHidden/>
    <w:qFormat/>
    <w:uiPriority w:val="0"/>
    <w:rPr>
      <w:sz w:val="18"/>
      <w:szCs w:val="18"/>
    </w:rPr>
  </w:style>
  <w:style w:type="paragraph" w:customStyle="1" w:styleId="58">
    <w:name w:val="TOC 标题1"/>
    <w:basedOn w:val="3"/>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9">
    <w:name w:val="纯文本 Char"/>
    <w:link w:val="16"/>
    <w:qFormat/>
    <w:locked/>
    <w:uiPriority w:val="99"/>
    <w:rPr>
      <w:rFonts w:ascii="宋体" w:hAnsi="Courier New" w:cs="宋体"/>
    </w:rPr>
  </w:style>
  <w:style w:type="paragraph" w:customStyle="1" w:styleId="60">
    <w:name w:val="修订1"/>
    <w:hidden/>
    <w:semiHidden/>
    <w:qFormat/>
    <w:uiPriority w:val="99"/>
    <w:rPr>
      <w:rFonts w:ascii="Times New Roman" w:hAnsi="Times New Roman" w:eastAsia="宋体" w:cs="Times New Roman"/>
      <w:sz w:val="21"/>
      <w:szCs w:val="21"/>
      <w:lang w:val="en-US" w:eastAsia="zh-CN" w:bidi="ar-SA"/>
    </w:rPr>
  </w:style>
  <w:style w:type="character" w:customStyle="1" w:styleId="61">
    <w:name w:val="正文文本 Char"/>
    <w:basedOn w:val="35"/>
    <w:link w:val="5"/>
    <w:qFormat/>
    <w:uiPriority w:val="99"/>
    <w:rPr>
      <w:sz w:val="21"/>
      <w:szCs w:val="21"/>
    </w:rPr>
  </w:style>
  <w:style w:type="paragraph" w:customStyle="1" w:styleId="62">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63">
    <w:name w:val="日期 Char"/>
    <w:basedOn w:val="35"/>
    <w:link w:val="18"/>
    <w:semiHidden/>
    <w:qFormat/>
    <w:uiPriority w:val="99"/>
    <w:rPr>
      <w:sz w:val="21"/>
      <w:szCs w:val="21"/>
    </w:rPr>
  </w:style>
  <w:style w:type="paragraph" w:customStyle="1" w:styleId="6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5">
    <w:name w:val="disabled1"/>
    <w:basedOn w:val="35"/>
    <w:qFormat/>
    <w:uiPriority w:val="0"/>
  </w:style>
  <w:style w:type="character" w:customStyle="1" w:styleId="66">
    <w:name w:val="layui-layer-tabnow"/>
    <w:basedOn w:val="35"/>
    <w:qFormat/>
    <w:uiPriority w:val="0"/>
    <w:rPr>
      <w:bdr w:val="single" w:color="CCCCCC" w:sz="4" w:space="0"/>
      <w:shd w:val="clear" w:color="auto" w:fill="FFFFFF"/>
    </w:rPr>
  </w:style>
  <w:style w:type="character" w:customStyle="1" w:styleId="67">
    <w:name w:val="first-child"/>
    <w:basedOn w:val="35"/>
    <w:qFormat/>
    <w:uiPriority w:val="0"/>
  </w:style>
  <w:style w:type="character" w:customStyle="1" w:styleId="68">
    <w:name w:val="正文文本缩进 Char"/>
    <w:basedOn w:val="35"/>
    <w:link w:val="13"/>
    <w:qFormat/>
    <w:uiPriority w:val="99"/>
    <w:rPr>
      <w:sz w:val="24"/>
      <w:szCs w:val="21"/>
    </w:rPr>
  </w:style>
  <w:style w:type="character" w:customStyle="1" w:styleId="69">
    <w:name w:val="正文首行缩进 2 Char"/>
    <w:basedOn w:val="68"/>
    <w:link w:val="32"/>
    <w:qFormat/>
    <w:uiPriority w:val="99"/>
    <w:rPr>
      <w:rFonts w:ascii="Calibri" w:hAnsi="Calibri" w:eastAsia="Times New Roman"/>
    </w:rPr>
  </w:style>
  <w:style w:type="character" w:customStyle="1" w:styleId="70">
    <w:name w:val="页眉 Char"/>
    <w:basedOn w:val="35"/>
    <w:link w:val="21"/>
    <w:qFormat/>
    <w:uiPriority w:val="99"/>
    <w:rPr>
      <w:sz w:val="18"/>
      <w:szCs w:val="18"/>
    </w:rPr>
  </w:style>
  <w:style w:type="paragraph" w:customStyle="1" w:styleId="71">
    <w:name w:val="彩色列表 - 着色 11"/>
    <w:basedOn w:val="1"/>
    <w:qFormat/>
    <w:uiPriority w:val="99"/>
    <w:pPr>
      <w:widowControl w:val="0"/>
      <w:adjustRightInd w:val="0"/>
      <w:spacing w:before="0" w:after="0" w:afterAutospacing="0" w:line="312" w:lineRule="atLeast"/>
      <w:ind w:left="0" w:right="0" w:firstLine="420" w:firstLineChars="200"/>
      <w:textAlignment w:val="baseline"/>
    </w:pPr>
    <w:rPr>
      <w:rFonts w:ascii="Calibri" w:hAnsi="Calibri" w:cs="Calibri"/>
    </w:rPr>
  </w:style>
  <w:style w:type="character" w:customStyle="1" w:styleId="72">
    <w:name w:val="_Style 1"/>
    <w:basedOn w:val="35"/>
    <w:qFormat/>
    <w:uiPriority w:val="19"/>
    <w:rPr>
      <w:i/>
      <w:iCs/>
      <w:color w:val="808080"/>
    </w:rPr>
  </w:style>
  <w:style w:type="paragraph" w:customStyle="1" w:styleId="73">
    <w:name w:val="列出段落3"/>
    <w:basedOn w:val="1"/>
    <w:qFormat/>
    <w:uiPriority w:val="99"/>
    <w:pPr>
      <w:ind w:firstLine="420" w:firstLineChars="200"/>
    </w:pPr>
  </w:style>
  <w:style w:type="paragraph" w:customStyle="1" w:styleId="74">
    <w:name w:val="列出段落1"/>
    <w:basedOn w:val="1"/>
    <w:qFormat/>
    <w:uiPriority w:val="34"/>
    <w:pPr>
      <w:ind w:firstLine="420" w:firstLineChars="200"/>
    </w:pPr>
    <w:rPr>
      <w:rFonts w:ascii="Calibri" w:hAnsi="Calibri"/>
      <w:szCs w:val="22"/>
    </w:rPr>
  </w:style>
  <w:style w:type="paragraph" w:customStyle="1" w:styleId="75">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76">
    <w:name w:val="样式6"/>
    <w:basedOn w:val="6"/>
    <w:qFormat/>
    <w:uiPriority w:val="0"/>
    <w:pPr>
      <w:widowControl/>
      <w:numPr>
        <w:ilvl w:val="0"/>
        <w:numId w:val="0"/>
      </w:numPr>
      <w:tabs>
        <w:tab w:val="left" w:pos="567"/>
      </w:tabs>
      <w:snapToGrid w:val="0"/>
      <w:spacing w:before="0" w:after="0" w:line="360" w:lineRule="auto"/>
      <w:ind w:left="567" w:hanging="567"/>
      <w:jc w:val="left"/>
    </w:pPr>
    <w:rPr>
      <w:rFonts w:hint="default" w:ascii="Times New Roman"/>
      <w:b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7FC0-CBF2-4294-8332-34214648AF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65</Pages>
  <Words>5146</Words>
  <Characters>29337</Characters>
  <Lines>244</Lines>
  <Paragraphs>68</Paragraphs>
  <TotalTime>1</TotalTime>
  <ScaleCrop>false</ScaleCrop>
  <LinksUpToDate>false</LinksUpToDate>
  <CharactersWithSpaces>34415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2022-09-22T02:46:00Z</dcterms:created>
  <dc:creator>NTKO</dc:creator>
  <cp:lastModifiedBy>黎卓然,lizr</cp:lastModifiedBy>
  <cp:lastPrinted>2022-09-28T07:43:00Z</cp:lastPrinted>
  <dcterms:modified xsi:type="dcterms:W3CDTF">2022-11-08T09:25:12Z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6D054A54EA474E07B4046426D78DF792</vt:lpwstr>
  </property>
</Properties>
</file>