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firstLine="2249" w:firstLineChars="700"/>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lang w:val="en-US" w:eastAsia="zh-CN"/>
        </w:rPr>
        <w:t xml:space="preserve"> </w:t>
      </w:r>
      <w:r>
        <w:rPr>
          <w:rFonts w:hint="eastAsia" w:ascii="宋体" w:hAnsi="宋体" w:cs="宋体"/>
          <w:b/>
          <w:bCs/>
          <w:color w:val="auto"/>
          <w:kern w:val="0"/>
          <w:sz w:val="32"/>
          <w:szCs w:val="32"/>
          <w:highlight w:val="none"/>
        </w:rPr>
        <w:t>南宁</w:t>
      </w:r>
      <w:r>
        <w:rPr>
          <w:rFonts w:hint="eastAsia" w:ascii="宋体" w:hAnsi="宋体" w:cs="宋体"/>
          <w:b/>
          <w:bCs/>
          <w:color w:val="auto"/>
          <w:kern w:val="0"/>
          <w:sz w:val="32"/>
          <w:szCs w:val="32"/>
          <w:highlight w:val="none"/>
          <w:lang w:val="en-US" w:eastAsia="zh-CN"/>
        </w:rPr>
        <w:t>铁路枢纽投有限</w:t>
      </w:r>
      <w:r>
        <w:rPr>
          <w:rFonts w:hint="eastAsia" w:ascii="宋体" w:hAnsi="宋体" w:cs="宋体"/>
          <w:b/>
          <w:bCs/>
          <w:color w:val="auto"/>
          <w:kern w:val="0"/>
          <w:sz w:val="32"/>
          <w:szCs w:val="32"/>
          <w:highlight w:val="none"/>
        </w:rPr>
        <w:t>公司</w:t>
      </w:r>
    </w:p>
    <w:p>
      <w:pPr>
        <w:numPr>
          <w:ilvl w:val="0"/>
          <w:numId w:val="0"/>
        </w:numPr>
        <w:ind w:leftChars="0" w:firstLine="1285" w:firstLineChars="400"/>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u w:val="single"/>
          <w:lang w:val="en-US" w:eastAsia="zh-CN"/>
        </w:rPr>
        <w:t>南宁火车北站东广场整理工程</w:t>
      </w:r>
      <w:r>
        <w:rPr>
          <w:rFonts w:hint="eastAsia" w:ascii="宋体" w:hAnsi="宋体" w:cs="宋体"/>
          <w:b/>
          <w:bCs/>
          <w:color w:val="auto"/>
          <w:kern w:val="0"/>
          <w:sz w:val="32"/>
          <w:szCs w:val="32"/>
          <w:highlight w:val="none"/>
          <w:u w:val="none"/>
          <w:lang w:val="en-US" w:eastAsia="zh-CN"/>
        </w:rPr>
        <w:t>监理</w:t>
      </w:r>
      <w:r>
        <w:rPr>
          <w:rFonts w:hint="eastAsia" w:ascii="宋体" w:hAnsi="宋体" w:cs="宋体"/>
          <w:b/>
          <w:bCs/>
          <w:color w:val="auto"/>
          <w:kern w:val="0"/>
          <w:sz w:val="32"/>
          <w:szCs w:val="32"/>
          <w:highlight w:val="none"/>
          <w:lang w:val="en-US" w:eastAsia="zh-CN"/>
        </w:rPr>
        <w:t>项目</w:t>
      </w:r>
    </w:p>
    <w:p>
      <w:pPr>
        <w:numPr>
          <w:ilvl w:val="0"/>
          <w:numId w:val="0"/>
        </w:numPr>
        <w:ind w:leftChars="0" w:firstLine="643" w:firstLineChars="200"/>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t xml:space="preserve">             </w:t>
      </w:r>
    </w:p>
    <w:p>
      <w:pPr>
        <w:numPr>
          <w:ilvl w:val="0"/>
          <w:numId w:val="0"/>
        </w:numPr>
        <w:ind w:leftChars="0" w:firstLine="643" w:firstLineChars="200"/>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32"/>
          <w:szCs w:val="32"/>
          <w:highlight w:val="none"/>
          <w:lang w:val="en-US" w:eastAsia="zh-CN"/>
        </w:rPr>
        <w:t xml:space="preserve">                  </w:t>
      </w:r>
      <w:r>
        <w:rPr>
          <w:rFonts w:hint="eastAsia" w:ascii="宋体" w:hAnsi="宋体" w:cs="宋体"/>
          <w:b/>
          <w:bCs/>
          <w:color w:val="auto"/>
          <w:kern w:val="0"/>
          <w:sz w:val="72"/>
          <w:szCs w:val="72"/>
          <w:highlight w:val="none"/>
          <w:lang w:val="en-US" w:eastAsia="zh-CN"/>
        </w:rPr>
        <w:t xml:space="preserve"> </w:t>
      </w:r>
      <w:r>
        <w:rPr>
          <w:rFonts w:hint="eastAsia" w:ascii="宋体" w:hAnsi="宋体" w:cs="宋体"/>
          <w:b/>
          <w:bCs/>
          <w:color w:val="auto"/>
          <w:kern w:val="0"/>
          <w:sz w:val="52"/>
          <w:szCs w:val="52"/>
          <w:highlight w:val="none"/>
          <w:lang w:val="en-US" w:eastAsia="zh-CN"/>
        </w:rPr>
        <w:t xml:space="preserve">比 </w:t>
      </w:r>
    </w:p>
    <w:p>
      <w:pPr>
        <w:numPr>
          <w:ilvl w:val="0"/>
          <w:numId w:val="0"/>
        </w:numPr>
        <w:ind w:leftChars="0" w:firstLine="562" w:firstLineChars="200"/>
        <w:rPr>
          <w:rFonts w:hint="eastAsia" w:ascii="宋体" w:hAnsi="宋体" w:cs="宋体"/>
          <w:b/>
          <w:bCs/>
          <w:color w:val="auto"/>
          <w:kern w:val="0"/>
          <w:sz w:val="28"/>
          <w:szCs w:val="28"/>
          <w:highlight w:val="none"/>
          <w:lang w:val="en-US" w:eastAsia="zh-CN"/>
        </w:rPr>
      </w:pPr>
    </w:p>
    <w:p>
      <w:pPr>
        <w:numPr>
          <w:ilvl w:val="0"/>
          <w:numId w:val="0"/>
        </w:numPr>
        <w:ind w:leftChars="0" w:firstLine="1044" w:firstLineChars="200"/>
        <w:rPr>
          <w:rFonts w:hint="default"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选</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文</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r>
        <w:rPr>
          <w:rFonts w:hint="eastAsia" w:ascii="宋体" w:hAnsi="宋体" w:cs="宋体"/>
          <w:b/>
          <w:bCs/>
          <w:color w:val="auto"/>
          <w:kern w:val="0"/>
          <w:sz w:val="52"/>
          <w:szCs w:val="52"/>
          <w:highlight w:val="none"/>
          <w:lang w:val="en-US" w:eastAsia="zh-CN"/>
        </w:rPr>
        <w:t xml:space="preserve">           件</w:t>
      </w:r>
    </w:p>
    <w:p>
      <w:pPr>
        <w:numPr>
          <w:ilvl w:val="0"/>
          <w:numId w:val="0"/>
        </w:numPr>
        <w:ind w:leftChars="0" w:firstLine="1044" w:firstLineChars="200"/>
        <w:rPr>
          <w:rFonts w:hint="eastAsia" w:ascii="宋体" w:hAnsi="宋体" w:cs="宋体"/>
          <w:b/>
          <w:bCs/>
          <w:color w:val="auto"/>
          <w:kern w:val="0"/>
          <w:sz w:val="52"/>
          <w:szCs w:val="52"/>
          <w:highlight w:val="none"/>
          <w:lang w:val="en-US" w:eastAsia="zh-CN"/>
        </w:rPr>
      </w:pPr>
    </w:p>
    <w:p>
      <w:pPr>
        <w:numPr>
          <w:ilvl w:val="0"/>
          <w:numId w:val="0"/>
        </w:numPr>
        <w:ind w:leftChars="0" w:firstLine="1405" w:firstLineChars="500"/>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比选发起人：南宁铁路枢纽投有限公司</w:t>
      </w:r>
    </w:p>
    <w:p>
      <w:pPr>
        <w:numPr>
          <w:ilvl w:val="0"/>
          <w:numId w:val="0"/>
        </w:numPr>
        <w:ind w:leftChars="0" w:firstLine="562" w:firstLineChars="200"/>
        <w:rPr>
          <w:rFonts w:hint="default" w:ascii="宋体" w:hAnsi="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 xml:space="preserve">               2022年  11 月 10  日</w:t>
      </w:r>
    </w:p>
    <w:p>
      <w:pPr>
        <w:pStyle w:val="3"/>
        <w:tabs>
          <w:tab w:val="right" w:leader="dot" w:pos="9219"/>
        </w:tabs>
        <w:rPr>
          <w:b w:val="0"/>
          <w:color w:val="auto"/>
          <w:highlight w:val="none"/>
        </w:rPr>
      </w:pPr>
      <w:bookmarkStart w:id="0" w:name="_Toc32122"/>
      <w:bookmarkStart w:id="1" w:name="_Toc9454"/>
      <w:bookmarkStart w:id="2" w:name="_Toc12363"/>
      <w:bookmarkStart w:id="3" w:name="_Toc25905"/>
      <w:bookmarkStart w:id="4" w:name="_Toc14943"/>
      <w:bookmarkStart w:id="5" w:name="_Toc461525293"/>
      <w:bookmarkStart w:id="6" w:name="_Toc21106"/>
      <w:bookmarkStart w:id="7" w:name="_Toc23188"/>
      <w:bookmarkStart w:id="8" w:name="_Toc9760"/>
      <w:bookmarkStart w:id="9" w:name="_Toc18159"/>
      <w:bookmarkStart w:id="10" w:name="_Toc32247"/>
      <w:bookmarkStart w:id="11" w:name="_Toc4954"/>
      <w:bookmarkStart w:id="12" w:name="_Toc30863"/>
      <w:bookmarkStart w:id="13" w:name="_Toc9980"/>
      <w:bookmarkStart w:id="14" w:name="_Toc13122"/>
      <w:bookmarkStart w:id="15" w:name="_Toc27692"/>
      <w:bookmarkStart w:id="16" w:name="_Toc471482358"/>
      <w:bookmarkStart w:id="17" w:name="_Toc6597"/>
      <w:bookmarkStart w:id="18" w:name="_Toc27074"/>
      <w:r>
        <w:rPr>
          <w:rFonts w:hint="eastAsia"/>
          <w:b w:val="0"/>
          <w:color w:val="auto"/>
          <w:highlight w:val="none"/>
        </w:rPr>
        <w:t>目</w:t>
      </w:r>
      <w:r>
        <w:rPr>
          <w:rFonts w:hint="eastAsia"/>
          <w:b w:val="0"/>
          <w:color w:val="auto"/>
          <w:highlight w:val="none"/>
          <w:lang w:val="en-US" w:eastAsia="zh-CN"/>
        </w:rPr>
        <w:t xml:space="preserve"> </w:t>
      </w:r>
      <w:r>
        <w:rPr>
          <w:rFonts w:hint="eastAsia"/>
          <w:b w:val="0"/>
          <w:color w:val="auto"/>
          <w:highlight w:val="none"/>
        </w:rPr>
        <w:t>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TOC \o "1-2" \h \z \u </w:instrText>
      </w:r>
      <w:r>
        <w:rPr>
          <w:rFonts w:ascii="宋体" w:hAnsi="宋体" w:cs="宋体"/>
          <w:color w:val="auto"/>
          <w:szCs w:val="28"/>
          <w:highlight w:val="none"/>
        </w:rPr>
        <w:fldChar w:fldCharType="separate"/>
      </w: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_Toc9454 </w:instrText>
      </w:r>
      <w:r>
        <w:rPr>
          <w:rFonts w:ascii="宋体" w:hAnsi="宋体" w:cs="宋体"/>
          <w:color w:val="auto"/>
          <w:szCs w:val="28"/>
          <w:highlight w:val="none"/>
        </w:rPr>
        <w:fldChar w:fldCharType="separate"/>
      </w:r>
      <w:r>
        <w:rPr>
          <w:rFonts w:hint="eastAsia"/>
          <w:color w:val="auto"/>
          <w:highlight w:val="none"/>
        </w:rPr>
        <w:t>目录</w:t>
      </w:r>
      <w:r>
        <w:rPr>
          <w:color w:val="auto"/>
          <w:highlight w:val="none"/>
        </w:rPr>
        <w:tab/>
      </w:r>
      <w:r>
        <w:rPr>
          <w:color w:val="auto"/>
          <w:highlight w:val="none"/>
        </w:rPr>
        <w:fldChar w:fldCharType="begin"/>
      </w:r>
      <w:r>
        <w:rPr>
          <w:color w:val="auto"/>
          <w:highlight w:val="none"/>
        </w:rPr>
        <w:instrText xml:space="preserve"> PAGEREF _Toc9454 </w:instrText>
      </w:r>
      <w:r>
        <w:rPr>
          <w:color w:val="auto"/>
          <w:highlight w:val="none"/>
        </w:rPr>
        <w:fldChar w:fldCharType="separate"/>
      </w:r>
      <w:r>
        <w:rPr>
          <w:color w:val="auto"/>
          <w:highlight w:val="none"/>
        </w:rPr>
        <w:t>1</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_Toc10124 </w:instrText>
      </w:r>
      <w:r>
        <w:rPr>
          <w:rFonts w:ascii="宋体" w:hAnsi="宋体" w:cs="宋体"/>
          <w:color w:val="auto"/>
          <w:szCs w:val="28"/>
          <w:highlight w:val="none"/>
        </w:rPr>
        <w:fldChar w:fldCharType="separate"/>
      </w:r>
      <w:r>
        <w:rPr>
          <w:rFonts w:hint="eastAsia" w:ascii="宋体" w:hAnsi="宋体" w:cs="宋体"/>
          <w:color w:val="auto"/>
          <w:szCs w:val="28"/>
          <w:highlight w:val="none"/>
        </w:rPr>
        <w:t xml:space="preserve">第一章 </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比选须知</w:t>
      </w:r>
      <w:r>
        <w:rPr>
          <w:color w:val="auto"/>
          <w:highlight w:val="none"/>
        </w:rPr>
        <w:tab/>
      </w:r>
      <w:r>
        <w:rPr>
          <w:color w:val="auto"/>
          <w:highlight w:val="none"/>
        </w:rPr>
        <w:fldChar w:fldCharType="begin"/>
      </w:r>
      <w:r>
        <w:rPr>
          <w:color w:val="auto"/>
          <w:highlight w:val="none"/>
        </w:rPr>
        <w:instrText xml:space="preserve"> PAGEREF _Toc10124 </w:instrText>
      </w:r>
      <w:r>
        <w:rPr>
          <w:color w:val="auto"/>
          <w:highlight w:val="none"/>
        </w:rPr>
        <w:fldChar w:fldCharType="separate"/>
      </w:r>
      <w:r>
        <w:rPr>
          <w:color w:val="auto"/>
          <w:highlight w:val="none"/>
        </w:rPr>
        <w:t>2</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_Toc18948 </w:instrText>
      </w:r>
      <w:r>
        <w:rPr>
          <w:rFonts w:ascii="宋体" w:hAnsi="宋体" w:cs="宋体"/>
          <w:color w:val="auto"/>
          <w:szCs w:val="28"/>
          <w:highlight w:val="none"/>
        </w:rPr>
        <w:fldChar w:fldCharType="separate"/>
      </w:r>
      <w:r>
        <w:rPr>
          <w:color w:val="auto"/>
          <w:szCs w:val="24"/>
          <w:highlight w:val="none"/>
        </w:rPr>
        <w:t>前附表</w:t>
      </w:r>
      <w:r>
        <w:rPr>
          <w:color w:val="auto"/>
          <w:highlight w:val="none"/>
        </w:rPr>
        <w:tab/>
      </w:r>
      <w:r>
        <w:rPr>
          <w:color w:val="auto"/>
          <w:highlight w:val="none"/>
        </w:rPr>
        <w:fldChar w:fldCharType="begin"/>
      </w:r>
      <w:r>
        <w:rPr>
          <w:color w:val="auto"/>
          <w:highlight w:val="none"/>
        </w:rPr>
        <w:instrText xml:space="preserve"> PAGEREF _Toc18948 </w:instrText>
      </w:r>
      <w:r>
        <w:rPr>
          <w:color w:val="auto"/>
          <w:highlight w:val="none"/>
        </w:rPr>
        <w:fldChar w:fldCharType="separate"/>
      </w:r>
      <w:r>
        <w:rPr>
          <w:color w:val="auto"/>
          <w:highlight w:val="none"/>
        </w:rPr>
        <w:t>2</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_Toc15190 </w:instrText>
      </w:r>
      <w:r>
        <w:rPr>
          <w:rFonts w:ascii="宋体" w:hAnsi="宋体" w:cs="宋体"/>
          <w:color w:val="auto"/>
          <w:szCs w:val="28"/>
          <w:highlight w:val="none"/>
        </w:rPr>
        <w:fldChar w:fldCharType="separate"/>
      </w:r>
      <w:r>
        <w:rPr>
          <w:rFonts w:hint="eastAsia"/>
          <w:color w:val="auto"/>
          <w:szCs w:val="21"/>
          <w:highlight w:val="none"/>
        </w:rPr>
        <w:t>一、</w:t>
      </w:r>
      <w:r>
        <w:rPr>
          <w:color w:val="auto"/>
          <w:szCs w:val="21"/>
          <w:highlight w:val="none"/>
        </w:rPr>
        <w:t>总则</w:t>
      </w:r>
      <w:r>
        <w:rPr>
          <w:color w:val="auto"/>
          <w:highlight w:val="none"/>
        </w:rPr>
        <w:tab/>
      </w:r>
      <w:r>
        <w:rPr>
          <w:color w:val="auto"/>
          <w:highlight w:val="none"/>
        </w:rPr>
        <w:fldChar w:fldCharType="begin"/>
      </w:r>
      <w:r>
        <w:rPr>
          <w:color w:val="auto"/>
          <w:highlight w:val="none"/>
        </w:rPr>
        <w:instrText xml:space="preserve"> PAGEREF _Toc15190 </w:instrText>
      </w:r>
      <w:r>
        <w:rPr>
          <w:color w:val="auto"/>
          <w:highlight w:val="none"/>
        </w:rPr>
        <w:fldChar w:fldCharType="separate"/>
      </w:r>
      <w:r>
        <w:rPr>
          <w:color w:val="auto"/>
          <w:highlight w:val="none"/>
        </w:rPr>
        <w:t>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_Toc5665 </w:instrText>
      </w:r>
      <w:r>
        <w:rPr>
          <w:rFonts w:ascii="宋体" w:hAnsi="宋体" w:cs="宋体"/>
          <w:color w:val="auto"/>
          <w:szCs w:val="28"/>
          <w:highlight w:val="none"/>
        </w:rPr>
        <w:fldChar w:fldCharType="separate"/>
      </w:r>
      <w:r>
        <w:rPr>
          <w:rFonts w:hint="eastAsia"/>
          <w:color w:val="auto"/>
          <w:szCs w:val="21"/>
          <w:highlight w:val="none"/>
        </w:rPr>
        <w:t>二、</w:t>
      </w:r>
      <w:r>
        <w:rPr>
          <w:color w:val="auto"/>
          <w:szCs w:val="21"/>
          <w:highlight w:val="none"/>
        </w:rPr>
        <w:t>比选文件</w:t>
      </w:r>
      <w:r>
        <w:rPr>
          <w:color w:val="auto"/>
          <w:highlight w:val="none"/>
        </w:rPr>
        <w:tab/>
      </w:r>
      <w:r>
        <w:rPr>
          <w:color w:val="auto"/>
          <w:highlight w:val="none"/>
        </w:rPr>
        <w:fldChar w:fldCharType="begin"/>
      </w:r>
      <w:r>
        <w:rPr>
          <w:color w:val="auto"/>
          <w:highlight w:val="none"/>
        </w:rPr>
        <w:instrText xml:space="preserve"> PAGEREF _Toc5665 </w:instrText>
      </w:r>
      <w:r>
        <w:rPr>
          <w:color w:val="auto"/>
          <w:highlight w:val="none"/>
        </w:rPr>
        <w:fldChar w:fldCharType="separate"/>
      </w:r>
      <w:r>
        <w:rPr>
          <w:color w:val="auto"/>
          <w:highlight w:val="none"/>
        </w:rPr>
        <w:t>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_Toc3750 </w:instrText>
      </w:r>
      <w:r>
        <w:rPr>
          <w:rFonts w:ascii="宋体" w:hAnsi="宋体" w:cs="宋体"/>
          <w:color w:val="auto"/>
          <w:szCs w:val="28"/>
          <w:highlight w:val="none"/>
        </w:rPr>
        <w:fldChar w:fldCharType="separate"/>
      </w:r>
      <w:r>
        <w:rPr>
          <w:rFonts w:hint="eastAsia"/>
          <w:color w:val="auto"/>
          <w:szCs w:val="21"/>
          <w:highlight w:val="none"/>
        </w:rPr>
        <w:t>三、申请比选报价说明</w:t>
      </w:r>
      <w:r>
        <w:rPr>
          <w:color w:val="auto"/>
          <w:highlight w:val="none"/>
        </w:rPr>
        <w:tab/>
      </w:r>
      <w:r>
        <w:rPr>
          <w:color w:val="auto"/>
          <w:highlight w:val="none"/>
        </w:rPr>
        <w:fldChar w:fldCharType="begin"/>
      </w:r>
      <w:r>
        <w:rPr>
          <w:color w:val="auto"/>
          <w:highlight w:val="none"/>
        </w:rPr>
        <w:instrText xml:space="preserve"> PAGEREF _Toc3750 </w:instrText>
      </w:r>
      <w:r>
        <w:rPr>
          <w:color w:val="auto"/>
          <w:highlight w:val="none"/>
        </w:rPr>
        <w:fldChar w:fldCharType="separate"/>
      </w:r>
      <w:r>
        <w:rPr>
          <w:color w:val="auto"/>
          <w:highlight w:val="none"/>
        </w:rPr>
        <w:t>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_Toc2776 </w:instrText>
      </w:r>
      <w:r>
        <w:rPr>
          <w:rFonts w:ascii="宋体" w:hAnsi="宋体" w:cs="宋体"/>
          <w:color w:val="auto"/>
          <w:szCs w:val="28"/>
          <w:highlight w:val="none"/>
        </w:rPr>
        <w:fldChar w:fldCharType="separate"/>
      </w:r>
      <w:r>
        <w:rPr>
          <w:rFonts w:hint="eastAsia"/>
          <w:color w:val="auto"/>
          <w:szCs w:val="21"/>
          <w:highlight w:val="none"/>
        </w:rPr>
        <w:t>四、比选申请文件的编制</w:t>
      </w:r>
      <w:r>
        <w:rPr>
          <w:color w:val="auto"/>
          <w:highlight w:val="none"/>
        </w:rPr>
        <w:tab/>
      </w:r>
      <w:r>
        <w:rPr>
          <w:color w:val="auto"/>
          <w:highlight w:val="none"/>
        </w:rPr>
        <w:fldChar w:fldCharType="begin"/>
      </w:r>
      <w:r>
        <w:rPr>
          <w:color w:val="auto"/>
          <w:highlight w:val="none"/>
        </w:rPr>
        <w:instrText xml:space="preserve"> PAGEREF _Toc2776 </w:instrText>
      </w:r>
      <w:r>
        <w:rPr>
          <w:color w:val="auto"/>
          <w:highlight w:val="none"/>
        </w:rPr>
        <w:fldChar w:fldCharType="separate"/>
      </w:r>
      <w:r>
        <w:rPr>
          <w:color w:val="auto"/>
          <w:highlight w:val="none"/>
        </w:rPr>
        <w:t>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_Toc9139 </w:instrText>
      </w:r>
      <w:r>
        <w:rPr>
          <w:rFonts w:ascii="宋体" w:hAnsi="宋体" w:cs="宋体"/>
          <w:color w:val="auto"/>
          <w:szCs w:val="28"/>
          <w:highlight w:val="none"/>
        </w:rPr>
        <w:fldChar w:fldCharType="separate"/>
      </w:r>
      <w:r>
        <w:rPr>
          <w:rFonts w:hint="eastAsia"/>
          <w:color w:val="auto"/>
          <w:szCs w:val="21"/>
          <w:highlight w:val="none"/>
        </w:rPr>
        <w:t>五、</w:t>
      </w:r>
      <w:r>
        <w:rPr>
          <w:color w:val="auto"/>
          <w:szCs w:val="21"/>
          <w:highlight w:val="none"/>
        </w:rPr>
        <w:t>比选申请文件的递交</w:t>
      </w:r>
      <w:r>
        <w:rPr>
          <w:color w:val="auto"/>
          <w:highlight w:val="none"/>
        </w:rPr>
        <w:tab/>
      </w:r>
      <w:r>
        <w:rPr>
          <w:color w:val="auto"/>
          <w:highlight w:val="none"/>
        </w:rPr>
        <w:fldChar w:fldCharType="begin"/>
      </w:r>
      <w:r>
        <w:rPr>
          <w:color w:val="auto"/>
          <w:highlight w:val="none"/>
        </w:rPr>
        <w:instrText xml:space="preserve"> PAGEREF _Toc9139 </w:instrText>
      </w:r>
      <w:r>
        <w:rPr>
          <w:color w:val="auto"/>
          <w:highlight w:val="none"/>
        </w:rPr>
        <w:fldChar w:fldCharType="separate"/>
      </w:r>
      <w:r>
        <w:rPr>
          <w:color w:val="auto"/>
          <w:highlight w:val="none"/>
        </w:rPr>
        <w:t>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_Toc13505 </w:instrText>
      </w:r>
      <w:r>
        <w:rPr>
          <w:rFonts w:ascii="宋体" w:hAnsi="宋体" w:cs="宋体"/>
          <w:color w:val="auto"/>
          <w:szCs w:val="28"/>
          <w:highlight w:val="none"/>
        </w:rPr>
        <w:fldChar w:fldCharType="separate"/>
      </w:r>
      <w:r>
        <w:rPr>
          <w:rFonts w:hint="eastAsia"/>
          <w:color w:val="auto"/>
          <w:szCs w:val="21"/>
          <w:highlight w:val="none"/>
        </w:rPr>
        <w:t>六、评比</w:t>
      </w:r>
      <w:r>
        <w:rPr>
          <w:color w:val="auto"/>
          <w:highlight w:val="none"/>
        </w:rPr>
        <w:tab/>
      </w:r>
      <w:r>
        <w:rPr>
          <w:color w:val="auto"/>
          <w:highlight w:val="none"/>
        </w:rPr>
        <w:fldChar w:fldCharType="begin"/>
      </w:r>
      <w:r>
        <w:rPr>
          <w:color w:val="auto"/>
          <w:highlight w:val="none"/>
        </w:rPr>
        <w:instrText xml:space="preserve"> PAGEREF _Toc13505 </w:instrText>
      </w:r>
      <w:r>
        <w:rPr>
          <w:color w:val="auto"/>
          <w:highlight w:val="none"/>
        </w:rPr>
        <w:fldChar w:fldCharType="separate"/>
      </w:r>
      <w:r>
        <w:rPr>
          <w:color w:val="auto"/>
          <w:highlight w:val="none"/>
        </w:rPr>
        <w:t>7</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_Toc8936 </w:instrText>
      </w:r>
      <w:r>
        <w:rPr>
          <w:rFonts w:ascii="宋体" w:hAnsi="宋体" w:cs="宋体"/>
          <w:color w:val="auto"/>
          <w:szCs w:val="28"/>
          <w:highlight w:val="none"/>
        </w:rPr>
        <w:fldChar w:fldCharType="separate"/>
      </w:r>
      <w:r>
        <w:rPr>
          <w:rFonts w:hint="eastAsia"/>
          <w:color w:val="auto"/>
          <w:szCs w:val="21"/>
          <w:highlight w:val="none"/>
        </w:rPr>
        <w:t>七、</w:t>
      </w:r>
      <w:r>
        <w:rPr>
          <w:color w:val="auto"/>
          <w:szCs w:val="21"/>
          <w:highlight w:val="none"/>
        </w:rPr>
        <w:t>授予合同</w:t>
      </w:r>
      <w:r>
        <w:rPr>
          <w:color w:val="auto"/>
          <w:highlight w:val="none"/>
        </w:rPr>
        <w:tab/>
      </w:r>
      <w:r>
        <w:rPr>
          <w:color w:val="auto"/>
          <w:highlight w:val="none"/>
        </w:rPr>
        <w:fldChar w:fldCharType="begin"/>
      </w:r>
      <w:r>
        <w:rPr>
          <w:color w:val="auto"/>
          <w:highlight w:val="none"/>
        </w:rPr>
        <w:instrText xml:space="preserve"> PAGEREF _Toc8936 </w:instrText>
      </w:r>
      <w:r>
        <w:rPr>
          <w:color w:val="auto"/>
          <w:highlight w:val="none"/>
        </w:rPr>
        <w:fldChar w:fldCharType="separate"/>
      </w:r>
      <w:r>
        <w:rPr>
          <w:color w:val="auto"/>
          <w:highlight w:val="none"/>
        </w:rPr>
        <w:t>9</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_Toc6126 </w:instrText>
      </w:r>
      <w:r>
        <w:rPr>
          <w:rFonts w:ascii="宋体" w:hAnsi="宋体" w:cs="宋体"/>
          <w:color w:val="auto"/>
          <w:szCs w:val="28"/>
          <w:highlight w:val="none"/>
        </w:rPr>
        <w:fldChar w:fldCharType="separate"/>
      </w:r>
      <w:r>
        <w:rPr>
          <w:rFonts w:hint="eastAsia" w:ascii="宋体" w:hAnsi="宋体" w:cs="宋体"/>
          <w:color w:val="auto"/>
          <w:szCs w:val="28"/>
          <w:highlight w:val="none"/>
        </w:rPr>
        <w:t>第二章</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合同条款</w:t>
      </w:r>
      <w:r>
        <w:rPr>
          <w:color w:val="auto"/>
          <w:highlight w:val="none"/>
        </w:rPr>
        <w:tab/>
      </w:r>
      <w:r>
        <w:rPr>
          <w:color w:val="auto"/>
          <w:highlight w:val="none"/>
        </w:rPr>
        <w:fldChar w:fldCharType="begin"/>
      </w:r>
      <w:r>
        <w:rPr>
          <w:color w:val="auto"/>
          <w:highlight w:val="none"/>
        </w:rPr>
        <w:instrText xml:space="preserve"> PAGEREF _Toc6126 </w:instrText>
      </w:r>
      <w:r>
        <w:rPr>
          <w:color w:val="auto"/>
          <w:highlight w:val="none"/>
        </w:rPr>
        <w:fldChar w:fldCharType="separate"/>
      </w:r>
      <w:r>
        <w:rPr>
          <w:color w:val="auto"/>
          <w:highlight w:val="none"/>
        </w:rPr>
        <w:t>10</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_Toc20509 </w:instrText>
      </w:r>
      <w:r>
        <w:rPr>
          <w:rFonts w:ascii="宋体" w:hAnsi="宋体" w:cs="宋体"/>
          <w:color w:val="auto"/>
          <w:szCs w:val="28"/>
          <w:highlight w:val="none"/>
        </w:rPr>
        <w:fldChar w:fldCharType="separate"/>
      </w:r>
      <w:r>
        <w:rPr>
          <w:rFonts w:hint="eastAsia"/>
          <w:color w:val="auto"/>
          <w:highlight w:val="none"/>
        </w:rPr>
        <w:t>第一部分</w:t>
      </w:r>
      <w:r>
        <w:rPr>
          <w:color w:val="auto"/>
          <w:highlight w:val="none"/>
        </w:rPr>
        <w:t xml:space="preserve"> </w:t>
      </w:r>
      <w:r>
        <w:rPr>
          <w:rFonts w:hint="eastAsia"/>
          <w:color w:val="auto"/>
          <w:highlight w:val="none"/>
        </w:rPr>
        <w:t>协议书</w:t>
      </w:r>
      <w:r>
        <w:rPr>
          <w:color w:val="auto"/>
          <w:highlight w:val="none"/>
        </w:rPr>
        <w:tab/>
      </w:r>
      <w:r>
        <w:rPr>
          <w:color w:val="auto"/>
          <w:highlight w:val="none"/>
        </w:rPr>
        <w:fldChar w:fldCharType="begin"/>
      </w:r>
      <w:r>
        <w:rPr>
          <w:color w:val="auto"/>
          <w:highlight w:val="none"/>
        </w:rPr>
        <w:instrText xml:space="preserve"> PAGEREF _Toc20509 </w:instrText>
      </w:r>
      <w:r>
        <w:rPr>
          <w:color w:val="auto"/>
          <w:highlight w:val="none"/>
        </w:rPr>
        <w:fldChar w:fldCharType="separate"/>
      </w:r>
      <w:r>
        <w:rPr>
          <w:color w:val="auto"/>
          <w:highlight w:val="none"/>
        </w:rPr>
        <w:t>10</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_Toc8375 </w:instrText>
      </w:r>
      <w:r>
        <w:rPr>
          <w:rFonts w:ascii="宋体" w:hAnsi="宋体" w:cs="宋体"/>
          <w:color w:val="auto"/>
          <w:szCs w:val="28"/>
          <w:highlight w:val="none"/>
        </w:rPr>
        <w:fldChar w:fldCharType="separate"/>
      </w:r>
      <w:r>
        <w:rPr>
          <w:rFonts w:hint="eastAsia"/>
          <w:color w:val="auto"/>
          <w:highlight w:val="none"/>
        </w:rPr>
        <w:t>第二部分 通用条件</w:t>
      </w:r>
      <w:r>
        <w:rPr>
          <w:color w:val="auto"/>
          <w:highlight w:val="none"/>
        </w:rPr>
        <w:tab/>
      </w:r>
      <w:r>
        <w:rPr>
          <w:color w:val="auto"/>
          <w:highlight w:val="none"/>
        </w:rPr>
        <w:fldChar w:fldCharType="begin"/>
      </w:r>
      <w:r>
        <w:rPr>
          <w:color w:val="auto"/>
          <w:highlight w:val="none"/>
        </w:rPr>
        <w:instrText xml:space="preserve"> PAGEREF _Toc8375 </w:instrText>
      </w:r>
      <w:r>
        <w:rPr>
          <w:color w:val="auto"/>
          <w:highlight w:val="none"/>
        </w:rPr>
        <w:fldChar w:fldCharType="separate"/>
      </w:r>
      <w:r>
        <w:rPr>
          <w:color w:val="auto"/>
          <w:highlight w:val="none"/>
        </w:rPr>
        <w:t>13</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_Toc18085 </w:instrText>
      </w:r>
      <w:r>
        <w:rPr>
          <w:rFonts w:ascii="宋体" w:hAnsi="宋体" w:cs="宋体"/>
          <w:color w:val="auto"/>
          <w:szCs w:val="28"/>
          <w:highlight w:val="none"/>
        </w:rPr>
        <w:fldChar w:fldCharType="separate"/>
      </w:r>
      <w:r>
        <w:rPr>
          <w:color w:val="auto"/>
          <w:highlight w:val="none"/>
        </w:rPr>
        <w:t>第三部分 专用条件</w:t>
      </w:r>
      <w:r>
        <w:rPr>
          <w:color w:val="auto"/>
          <w:highlight w:val="none"/>
        </w:rPr>
        <w:tab/>
      </w:r>
      <w:r>
        <w:rPr>
          <w:color w:val="auto"/>
          <w:highlight w:val="none"/>
        </w:rPr>
        <w:fldChar w:fldCharType="begin"/>
      </w:r>
      <w:r>
        <w:rPr>
          <w:color w:val="auto"/>
          <w:highlight w:val="none"/>
        </w:rPr>
        <w:instrText xml:space="preserve"> PAGEREF _Toc18085 </w:instrText>
      </w:r>
      <w:r>
        <w:rPr>
          <w:color w:val="auto"/>
          <w:highlight w:val="none"/>
        </w:rPr>
        <w:fldChar w:fldCharType="separate"/>
      </w:r>
      <w:r>
        <w:rPr>
          <w:color w:val="auto"/>
          <w:highlight w:val="none"/>
        </w:rPr>
        <w:t>14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_Toc17434 </w:instrText>
      </w:r>
      <w:r>
        <w:rPr>
          <w:rFonts w:ascii="宋体" w:hAnsi="宋体" w:cs="宋体"/>
          <w:color w:val="auto"/>
          <w:szCs w:val="28"/>
          <w:highlight w:val="none"/>
        </w:rPr>
        <w:fldChar w:fldCharType="separate"/>
      </w:r>
      <w:r>
        <w:rPr>
          <w:rFonts w:hint="eastAsia"/>
          <w:color w:val="auto"/>
          <w:highlight w:val="none"/>
        </w:rPr>
        <w:t>附录A  相关服务的范围和内容</w:t>
      </w:r>
      <w:r>
        <w:rPr>
          <w:color w:val="auto"/>
          <w:highlight w:val="none"/>
        </w:rPr>
        <w:tab/>
      </w:r>
      <w:r>
        <w:rPr>
          <w:color w:val="auto"/>
          <w:highlight w:val="none"/>
        </w:rPr>
        <w:fldChar w:fldCharType="begin"/>
      </w:r>
      <w:r>
        <w:rPr>
          <w:color w:val="auto"/>
          <w:highlight w:val="none"/>
        </w:rPr>
        <w:instrText xml:space="preserve"> PAGEREF _Toc17434 </w:instrText>
      </w:r>
      <w:r>
        <w:rPr>
          <w:color w:val="auto"/>
          <w:highlight w:val="none"/>
        </w:rPr>
        <w:fldChar w:fldCharType="separate"/>
      </w:r>
      <w:r>
        <w:rPr>
          <w:color w:val="auto"/>
          <w:highlight w:val="none"/>
        </w:rPr>
        <w:t>20</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_Toc6828 </w:instrText>
      </w:r>
      <w:r>
        <w:rPr>
          <w:rFonts w:ascii="宋体" w:hAnsi="宋体" w:cs="宋体"/>
          <w:color w:val="auto"/>
          <w:szCs w:val="28"/>
          <w:highlight w:val="none"/>
        </w:rPr>
        <w:fldChar w:fldCharType="separate"/>
      </w:r>
      <w:r>
        <w:rPr>
          <w:rFonts w:hint="eastAsia"/>
          <w:color w:val="auto"/>
          <w:highlight w:val="none"/>
        </w:rPr>
        <w:t>附录B  委托人派遣的人员和提供的房屋、资料、设备</w:t>
      </w:r>
      <w:r>
        <w:rPr>
          <w:color w:val="auto"/>
          <w:highlight w:val="none"/>
        </w:rPr>
        <w:tab/>
      </w:r>
      <w:r>
        <w:rPr>
          <w:color w:val="auto"/>
          <w:highlight w:val="none"/>
        </w:rPr>
        <w:fldChar w:fldCharType="begin"/>
      </w:r>
      <w:r>
        <w:rPr>
          <w:color w:val="auto"/>
          <w:highlight w:val="none"/>
        </w:rPr>
        <w:instrText xml:space="preserve"> PAGEREF _Toc6828 </w:instrText>
      </w:r>
      <w:r>
        <w:rPr>
          <w:color w:val="auto"/>
          <w:highlight w:val="none"/>
        </w:rPr>
        <w:fldChar w:fldCharType="separate"/>
      </w:r>
      <w:r>
        <w:rPr>
          <w:color w:val="auto"/>
          <w:highlight w:val="none"/>
        </w:rPr>
        <w:t>20</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_Toc29351 </w:instrText>
      </w:r>
      <w:r>
        <w:rPr>
          <w:rFonts w:ascii="宋体" w:hAnsi="宋体" w:cs="宋体"/>
          <w:color w:val="auto"/>
          <w:szCs w:val="28"/>
          <w:highlight w:val="none"/>
        </w:rPr>
        <w:fldChar w:fldCharType="separate"/>
      </w:r>
      <w:r>
        <w:rPr>
          <w:rFonts w:hint="eastAsia" w:ascii="宋体" w:hAnsi="宋体" w:cs="宋体"/>
          <w:color w:val="auto"/>
          <w:szCs w:val="28"/>
          <w:highlight w:val="none"/>
        </w:rPr>
        <w:t>第三章  监理工作任务</w:t>
      </w:r>
      <w:r>
        <w:rPr>
          <w:color w:val="auto"/>
          <w:highlight w:val="none"/>
        </w:rPr>
        <w:tab/>
      </w:r>
      <w:r>
        <w:rPr>
          <w:color w:val="auto"/>
          <w:highlight w:val="none"/>
        </w:rPr>
        <w:fldChar w:fldCharType="begin"/>
      </w:r>
      <w:r>
        <w:rPr>
          <w:color w:val="auto"/>
          <w:highlight w:val="none"/>
        </w:rPr>
        <w:instrText xml:space="preserve"> PAGEREF _Toc29351 </w:instrText>
      </w:r>
      <w:r>
        <w:rPr>
          <w:color w:val="auto"/>
          <w:highlight w:val="none"/>
        </w:rPr>
        <w:fldChar w:fldCharType="separate"/>
      </w:r>
      <w:r>
        <w:rPr>
          <w:color w:val="auto"/>
          <w:highlight w:val="none"/>
        </w:rPr>
        <w:t>22</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_Toc22473 </w:instrText>
      </w:r>
      <w:r>
        <w:rPr>
          <w:rFonts w:ascii="宋体" w:hAnsi="宋体" w:cs="宋体"/>
          <w:color w:val="auto"/>
          <w:szCs w:val="28"/>
          <w:highlight w:val="none"/>
        </w:rPr>
        <w:fldChar w:fldCharType="separate"/>
      </w:r>
      <w:r>
        <w:rPr>
          <w:rFonts w:hint="eastAsia" w:ascii="宋体" w:hAnsi="宋体" w:cs="宋体"/>
          <w:color w:val="auto"/>
          <w:szCs w:val="28"/>
          <w:highlight w:val="none"/>
        </w:rPr>
        <w:t>第四章  图纸</w:t>
      </w:r>
      <w:r>
        <w:rPr>
          <w:color w:val="auto"/>
          <w:highlight w:val="none"/>
        </w:rPr>
        <w:tab/>
      </w:r>
      <w:r>
        <w:rPr>
          <w:color w:val="auto"/>
          <w:highlight w:val="none"/>
        </w:rPr>
        <w:fldChar w:fldCharType="begin"/>
      </w:r>
      <w:r>
        <w:rPr>
          <w:color w:val="auto"/>
          <w:highlight w:val="none"/>
        </w:rPr>
        <w:instrText xml:space="preserve"> PAGEREF _Toc22473 </w:instrText>
      </w:r>
      <w:r>
        <w:rPr>
          <w:color w:val="auto"/>
          <w:highlight w:val="none"/>
        </w:rPr>
        <w:fldChar w:fldCharType="separate"/>
      </w:r>
      <w:r>
        <w:rPr>
          <w:color w:val="auto"/>
          <w:highlight w:val="none"/>
        </w:rPr>
        <w:t>23</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_Toc13393 </w:instrText>
      </w:r>
      <w:r>
        <w:rPr>
          <w:rFonts w:ascii="宋体" w:hAnsi="宋体" w:cs="宋体"/>
          <w:color w:val="auto"/>
          <w:szCs w:val="28"/>
          <w:highlight w:val="none"/>
        </w:rPr>
        <w:fldChar w:fldCharType="separate"/>
      </w:r>
      <w:r>
        <w:rPr>
          <w:rFonts w:ascii="宋体" w:hAnsi="宋体" w:cs="宋体"/>
          <w:color w:val="auto"/>
          <w:szCs w:val="28"/>
          <w:highlight w:val="none"/>
        </w:rPr>
        <w:t xml:space="preserve">第五章 </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比选申请文件</w:t>
      </w:r>
      <w:r>
        <w:rPr>
          <w:color w:val="auto"/>
          <w:highlight w:val="none"/>
        </w:rPr>
        <w:tab/>
      </w:r>
      <w:r>
        <w:rPr>
          <w:color w:val="auto"/>
          <w:highlight w:val="none"/>
        </w:rPr>
        <w:fldChar w:fldCharType="begin"/>
      </w:r>
      <w:r>
        <w:rPr>
          <w:color w:val="auto"/>
          <w:highlight w:val="none"/>
        </w:rPr>
        <w:instrText xml:space="preserve"> PAGEREF _Toc13393 </w:instrText>
      </w:r>
      <w:r>
        <w:rPr>
          <w:color w:val="auto"/>
          <w:highlight w:val="none"/>
        </w:rPr>
        <w:fldChar w:fldCharType="separate"/>
      </w:r>
      <w:r>
        <w:rPr>
          <w:color w:val="auto"/>
          <w:highlight w:val="none"/>
        </w:rPr>
        <w:t>24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_Toc13726 </w:instrText>
      </w:r>
      <w:r>
        <w:rPr>
          <w:rFonts w:ascii="宋体" w:hAnsi="宋体" w:cs="宋体"/>
          <w:color w:val="auto"/>
          <w:szCs w:val="28"/>
          <w:highlight w:val="none"/>
        </w:rPr>
        <w:fldChar w:fldCharType="separate"/>
      </w:r>
      <w:r>
        <w:rPr>
          <w:rFonts w:hint="eastAsia"/>
          <w:color w:val="auto"/>
          <w:highlight w:val="none"/>
        </w:rPr>
        <w:t>一、资格审查文件目录</w:t>
      </w:r>
      <w:r>
        <w:rPr>
          <w:color w:val="auto"/>
          <w:highlight w:val="none"/>
        </w:rPr>
        <w:tab/>
      </w:r>
      <w:r>
        <w:rPr>
          <w:color w:val="auto"/>
          <w:highlight w:val="none"/>
        </w:rPr>
        <w:fldChar w:fldCharType="begin"/>
      </w:r>
      <w:r>
        <w:rPr>
          <w:color w:val="auto"/>
          <w:highlight w:val="none"/>
        </w:rPr>
        <w:instrText xml:space="preserve"> PAGEREF _Toc13726 </w:instrText>
      </w:r>
      <w:r>
        <w:rPr>
          <w:color w:val="auto"/>
          <w:highlight w:val="none"/>
        </w:rPr>
        <w:fldChar w:fldCharType="separate"/>
      </w:r>
      <w:r>
        <w:rPr>
          <w:color w:val="auto"/>
          <w:highlight w:val="none"/>
        </w:rPr>
        <w:t>25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_Toc31998 </w:instrText>
      </w:r>
      <w:r>
        <w:rPr>
          <w:rFonts w:ascii="宋体" w:hAnsi="宋体" w:cs="宋体"/>
          <w:color w:val="auto"/>
          <w:szCs w:val="28"/>
          <w:highlight w:val="none"/>
        </w:rPr>
        <w:fldChar w:fldCharType="separate"/>
      </w:r>
      <w:r>
        <w:rPr>
          <w:rFonts w:hint="eastAsia"/>
          <w:color w:val="auto"/>
          <w:highlight w:val="none"/>
        </w:rPr>
        <w:t>二、技术部分材料目录</w:t>
      </w:r>
      <w:r>
        <w:rPr>
          <w:color w:val="auto"/>
          <w:highlight w:val="none"/>
        </w:rPr>
        <w:tab/>
      </w:r>
      <w:r>
        <w:rPr>
          <w:color w:val="auto"/>
          <w:highlight w:val="none"/>
        </w:rPr>
        <w:fldChar w:fldCharType="begin"/>
      </w:r>
      <w:r>
        <w:rPr>
          <w:color w:val="auto"/>
          <w:highlight w:val="none"/>
        </w:rPr>
        <w:instrText xml:space="preserve"> PAGEREF _Toc31998 </w:instrText>
      </w:r>
      <w:r>
        <w:rPr>
          <w:color w:val="auto"/>
          <w:highlight w:val="none"/>
        </w:rPr>
        <w:fldChar w:fldCharType="separate"/>
      </w:r>
      <w:r>
        <w:rPr>
          <w:color w:val="auto"/>
          <w:highlight w:val="none"/>
        </w:rPr>
        <w:t>37</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_Toc21818 </w:instrText>
      </w:r>
      <w:r>
        <w:rPr>
          <w:rFonts w:ascii="宋体" w:hAnsi="宋体" w:cs="宋体"/>
          <w:color w:val="auto"/>
          <w:szCs w:val="28"/>
          <w:highlight w:val="none"/>
        </w:rPr>
        <w:fldChar w:fldCharType="separate"/>
      </w:r>
      <w:r>
        <w:rPr>
          <w:rFonts w:hint="eastAsia"/>
          <w:color w:val="auto"/>
          <w:highlight w:val="none"/>
        </w:rPr>
        <w:t>三、商务部分材料目录</w:t>
      </w:r>
      <w:r>
        <w:rPr>
          <w:color w:val="auto"/>
          <w:highlight w:val="none"/>
        </w:rPr>
        <w:tab/>
      </w:r>
      <w:r>
        <w:rPr>
          <w:color w:val="auto"/>
          <w:highlight w:val="none"/>
        </w:rPr>
        <w:fldChar w:fldCharType="begin"/>
      </w:r>
      <w:r>
        <w:rPr>
          <w:color w:val="auto"/>
          <w:highlight w:val="none"/>
        </w:rPr>
        <w:instrText xml:space="preserve"> PAGEREF _Toc21818 </w:instrText>
      </w:r>
      <w:r>
        <w:rPr>
          <w:color w:val="auto"/>
          <w:highlight w:val="none"/>
        </w:rPr>
        <w:fldChar w:fldCharType="separate"/>
      </w:r>
      <w:r>
        <w:rPr>
          <w:color w:val="auto"/>
          <w:highlight w:val="none"/>
        </w:rPr>
        <w:t>43</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_Toc20703 </w:instrText>
      </w:r>
      <w:r>
        <w:rPr>
          <w:rFonts w:ascii="宋体" w:hAnsi="宋体" w:cs="宋体"/>
          <w:color w:val="auto"/>
          <w:szCs w:val="28"/>
          <w:highlight w:val="none"/>
        </w:rPr>
        <w:fldChar w:fldCharType="separate"/>
      </w:r>
      <w:r>
        <w:rPr>
          <w:rFonts w:hint="eastAsia"/>
          <w:color w:val="auto"/>
          <w:highlight w:val="none"/>
        </w:rPr>
        <w:t>第</w:t>
      </w:r>
      <w:r>
        <w:rPr>
          <w:rFonts w:hint="eastAsia"/>
          <w:color w:val="auto"/>
          <w:highlight w:val="none"/>
          <w:lang w:eastAsia="zh-CN"/>
        </w:rPr>
        <w:t>六</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评比办法</w:t>
      </w:r>
      <w:r>
        <w:rPr>
          <w:color w:val="auto"/>
          <w:highlight w:val="none"/>
        </w:rPr>
        <w:tab/>
      </w:r>
      <w:r>
        <w:rPr>
          <w:color w:val="auto"/>
          <w:highlight w:val="none"/>
        </w:rPr>
        <w:fldChar w:fldCharType="begin"/>
      </w:r>
      <w:r>
        <w:rPr>
          <w:color w:val="auto"/>
          <w:highlight w:val="none"/>
        </w:rPr>
        <w:instrText xml:space="preserve"> PAGEREF _Toc20703 </w:instrText>
      </w:r>
      <w:r>
        <w:rPr>
          <w:color w:val="auto"/>
          <w:highlight w:val="none"/>
        </w:rPr>
        <w:fldChar w:fldCharType="separate"/>
      </w:r>
      <w:r>
        <w:rPr>
          <w:color w:val="auto"/>
          <w:highlight w:val="none"/>
        </w:rPr>
        <w:t>46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_Toc25239 </w:instrText>
      </w:r>
      <w:r>
        <w:rPr>
          <w:rFonts w:ascii="宋体" w:hAnsi="宋体" w:cs="宋体"/>
          <w:color w:val="auto"/>
          <w:szCs w:val="28"/>
          <w:highlight w:val="none"/>
        </w:rPr>
        <w:fldChar w:fldCharType="separate"/>
      </w:r>
      <w:r>
        <w:rPr>
          <w:rFonts w:hint="eastAsia"/>
          <w:color w:val="auto"/>
          <w:highlight w:val="none"/>
        </w:rPr>
        <w:t>一、综合评分办法</w:t>
      </w:r>
      <w:r>
        <w:rPr>
          <w:color w:val="auto"/>
          <w:highlight w:val="none"/>
        </w:rPr>
        <w:tab/>
      </w:r>
      <w:r>
        <w:rPr>
          <w:color w:val="auto"/>
          <w:highlight w:val="none"/>
        </w:rPr>
        <w:fldChar w:fldCharType="begin"/>
      </w:r>
      <w:r>
        <w:rPr>
          <w:color w:val="auto"/>
          <w:highlight w:val="none"/>
        </w:rPr>
        <w:instrText xml:space="preserve"> PAGEREF _Toc25239 </w:instrText>
      </w:r>
      <w:r>
        <w:rPr>
          <w:color w:val="auto"/>
          <w:highlight w:val="none"/>
        </w:rPr>
        <w:fldChar w:fldCharType="separate"/>
      </w:r>
      <w:r>
        <w:rPr>
          <w:color w:val="auto"/>
          <w:highlight w:val="none"/>
        </w:rPr>
        <w:t>46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_Toc10860 </w:instrText>
      </w:r>
      <w:r>
        <w:rPr>
          <w:rFonts w:ascii="宋体" w:hAnsi="宋体" w:cs="宋体"/>
          <w:color w:val="auto"/>
          <w:szCs w:val="28"/>
          <w:highlight w:val="none"/>
        </w:rPr>
        <w:fldChar w:fldCharType="separate"/>
      </w:r>
      <w:r>
        <w:rPr>
          <w:rFonts w:hint="eastAsia"/>
          <w:color w:val="auto"/>
          <w:highlight w:val="none"/>
        </w:rPr>
        <w:t>二、总分计算公式</w:t>
      </w:r>
      <w:r>
        <w:rPr>
          <w:color w:val="auto"/>
          <w:highlight w:val="none"/>
        </w:rPr>
        <w:tab/>
      </w:r>
      <w:r>
        <w:rPr>
          <w:color w:val="auto"/>
          <w:highlight w:val="none"/>
        </w:rPr>
        <w:fldChar w:fldCharType="begin"/>
      </w:r>
      <w:r>
        <w:rPr>
          <w:color w:val="auto"/>
          <w:highlight w:val="none"/>
        </w:rPr>
        <w:instrText xml:space="preserve"> PAGEREF _Toc10860 </w:instrText>
      </w:r>
      <w:r>
        <w:rPr>
          <w:color w:val="auto"/>
          <w:highlight w:val="none"/>
        </w:rPr>
        <w:fldChar w:fldCharType="separate"/>
      </w:r>
      <w:r>
        <w:rPr>
          <w:color w:val="auto"/>
          <w:highlight w:val="none"/>
        </w:rPr>
        <w:t>47</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_Toc31522 </w:instrText>
      </w:r>
      <w:r>
        <w:rPr>
          <w:rFonts w:ascii="宋体" w:hAnsi="宋体" w:cs="宋体"/>
          <w:color w:val="auto"/>
          <w:szCs w:val="28"/>
          <w:highlight w:val="none"/>
        </w:rPr>
        <w:fldChar w:fldCharType="separate"/>
      </w:r>
      <w:r>
        <w:rPr>
          <w:rFonts w:hint="eastAsia"/>
          <w:color w:val="auto"/>
          <w:highlight w:val="none"/>
        </w:rPr>
        <w:t>三、评分细则</w:t>
      </w:r>
      <w:r>
        <w:rPr>
          <w:color w:val="auto"/>
          <w:highlight w:val="none"/>
        </w:rPr>
        <w:tab/>
      </w:r>
      <w:r>
        <w:rPr>
          <w:color w:val="auto"/>
          <w:highlight w:val="none"/>
        </w:rPr>
        <w:fldChar w:fldCharType="begin"/>
      </w:r>
      <w:r>
        <w:rPr>
          <w:color w:val="auto"/>
          <w:highlight w:val="none"/>
        </w:rPr>
        <w:instrText xml:space="preserve"> PAGEREF _Toc31522 </w:instrText>
      </w:r>
      <w:r>
        <w:rPr>
          <w:color w:val="auto"/>
          <w:highlight w:val="none"/>
        </w:rPr>
        <w:fldChar w:fldCharType="separate"/>
      </w:r>
      <w:r>
        <w:rPr>
          <w:color w:val="auto"/>
          <w:highlight w:val="none"/>
        </w:rPr>
        <w:t>48</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_Toc29392 </w:instrText>
      </w:r>
      <w:r>
        <w:rPr>
          <w:rFonts w:ascii="宋体" w:hAnsi="宋体" w:cs="宋体"/>
          <w:color w:val="auto"/>
          <w:szCs w:val="28"/>
          <w:highlight w:val="none"/>
        </w:rPr>
        <w:fldChar w:fldCharType="separate"/>
      </w:r>
      <w:r>
        <w:rPr>
          <w:rFonts w:hint="eastAsia"/>
          <w:color w:val="auto"/>
          <w:szCs w:val="28"/>
          <w:highlight w:val="none"/>
        </w:rPr>
        <w:t>四、中选标准</w:t>
      </w:r>
      <w:r>
        <w:rPr>
          <w:color w:val="auto"/>
          <w:highlight w:val="none"/>
        </w:rPr>
        <w:tab/>
      </w:r>
      <w:r>
        <w:rPr>
          <w:color w:val="auto"/>
          <w:highlight w:val="none"/>
        </w:rPr>
        <w:fldChar w:fldCharType="begin"/>
      </w:r>
      <w:r>
        <w:rPr>
          <w:color w:val="auto"/>
          <w:highlight w:val="none"/>
        </w:rPr>
        <w:instrText xml:space="preserve"> PAGEREF _Toc29392 </w:instrText>
      </w:r>
      <w:r>
        <w:rPr>
          <w:color w:val="auto"/>
          <w:highlight w:val="none"/>
        </w:rPr>
        <w:fldChar w:fldCharType="separate"/>
      </w:r>
      <w:r>
        <w:rPr>
          <w:color w:val="auto"/>
          <w:highlight w:val="none"/>
        </w:rPr>
        <w:t>52</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_Toc27074 </w:instrText>
      </w:r>
      <w:r>
        <w:rPr>
          <w:rFonts w:ascii="宋体" w:hAnsi="宋体" w:cs="宋体"/>
          <w:color w:val="auto"/>
          <w:szCs w:val="28"/>
          <w:highlight w:val="none"/>
        </w:rPr>
        <w:fldChar w:fldCharType="separate"/>
      </w:r>
      <w:r>
        <w:rPr>
          <w:rFonts w:hint="eastAsia"/>
          <w:color w:val="auto"/>
          <w:highlight w:val="none"/>
        </w:rPr>
        <w:t>目录</w:t>
      </w:r>
      <w:r>
        <w:rPr>
          <w:color w:val="auto"/>
          <w:highlight w:val="none"/>
        </w:rPr>
        <w:tab/>
      </w:r>
      <w:r>
        <w:rPr>
          <w:color w:val="auto"/>
          <w:highlight w:val="none"/>
        </w:rPr>
        <w:fldChar w:fldCharType="begin"/>
      </w:r>
      <w:r>
        <w:rPr>
          <w:color w:val="auto"/>
          <w:highlight w:val="none"/>
        </w:rPr>
        <w:instrText xml:space="preserve"> PAGEREF _Toc27074 </w:instrText>
      </w:r>
      <w:r>
        <w:rPr>
          <w:color w:val="auto"/>
          <w:highlight w:val="none"/>
        </w:rPr>
        <w:fldChar w:fldCharType="separate"/>
      </w:r>
      <w:r>
        <w:rPr>
          <w:color w:val="auto"/>
          <w:highlight w:val="none"/>
        </w:rPr>
        <w:t>1</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_Toc7862 </w:instrText>
      </w:r>
      <w:r>
        <w:rPr>
          <w:rFonts w:ascii="宋体" w:hAnsi="宋体" w:cs="宋体"/>
          <w:color w:val="auto"/>
          <w:szCs w:val="28"/>
          <w:highlight w:val="none"/>
        </w:rPr>
        <w:fldChar w:fldCharType="separate"/>
      </w:r>
      <w:r>
        <w:rPr>
          <w:rFonts w:hint="eastAsia" w:ascii="宋体" w:hAnsi="宋体" w:cs="宋体"/>
          <w:color w:val="auto"/>
          <w:szCs w:val="28"/>
          <w:highlight w:val="none"/>
        </w:rPr>
        <w:t xml:space="preserve">第一章 </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比选须知</w:t>
      </w:r>
      <w:r>
        <w:rPr>
          <w:color w:val="auto"/>
          <w:highlight w:val="none"/>
        </w:rPr>
        <w:tab/>
      </w:r>
      <w:r>
        <w:rPr>
          <w:color w:val="auto"/>
          <w:highlight w:val="none"/>
        </w:rPr>
        <w:fldChar w:fldCharType="begin"/>
      </w:r>
      <w:r>
        <w:rPr>
          <w:color w:val="auto"/>
          <w:highlight w:val="none"/>
        </w:rPr>
        <w:instrText xml:space="preserve"> PAGEREF _Toc7862 </w:instrText>
      </w:r>
      <w:r>
        <w:rPr>
          <w:color w:val="auto"/>
          <w:highlight w:val="none"/>
        </w:rPr>
        <w:fldChar w:fldCharType="separate"/>
      </w:r>
      <w:r>
        <w:rPr>
          <w:color w:val="auto"/>
          <w:highlight w:val="none"/>
        </w:rPr>
        <w:t>2</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_Toc17317 </w:instrText>
      </w:r>
      <w:r>
        <w:rPr>
          <w:rFonts w:ascii="宋体" w:hAnsi="宋体" w:cs="宋体"/>
          <w:color w:val="auto"/>
          <w:szCs w:val="28"/>
          <w:highlight w:val="none"/>
        </w:rPr>
        <w:fldChar w:fldCharType="separate"/>
      </w:r>
      <w:r>
        <w:rPr>
          <w:color w:val="auto"/>
          <w:szCs w:val="24"/>
          <w:highlight w:val="none"/>
        </w:rPr>
        <w:t>前附表</w:t>
      </w:r>
      <w:r>
        <w:rPr>
          <w:color w:val="auto"/>
          <w:highlight w:val="none"/>
        </w:rPr>
        <w:tab/>
      </w:r>
      <w:r>
        <w:rPr>
          <w:color w:val="auto"/>
          <w:highlight w:val="none"/>
        </w:rPr>
        <w:fldChar w:fldCharType="begin"/>
      </w:r>
      <w:r>
        <w:rPr>
          <w:color w:val="auto"/>
          <w:highlight w:val="none"/>
        </w:rPr>
        <w:instrText xml:space="preserve"> PAGEREF _Toc17317 </w:instrText>
      </w:r>
      <w:r>
        <w:rPr>
          <w:color w:val="auto"/>
          <w:highlight w:val="none"/>
        </w:rPr>
        <w:fldChar w:fldCharType="separate"/>
      </w:r>
      <w:r>
        <w:rPr>
          <w:color w:val="auto"/>
          <w:highlight w:val="none"/>
        </w:rPr>
        <w:t>2</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_Toc8560 </w:instrText>
      </w:r>
      <w:r>
        <w:rPr>
          <w:rFonts w:ascii="宋体" w:hAnsi="宋体" w:cs="宋体"/>
          <w:color w:val="auto"/>
          <w:szCs w:val="28"/>
          <w:highlight w:val="none"/>
        </w:rPr>
        <w:fldChar w:fldCharType="separate"/>
      </w:r>
      <w:r>
        <w:rPr>
          <w:rFonts w:hint="eastAsia"/>
          <w:color w:val="auto"/>
          <w:szCs w:val="21"/>
          <w:highlight w:val="none"/>
        </w:rPr>
        <w:t>一、</w:t>
      </w:r>
      <w:r>
        <w:rPr>
          <w:color w:val="auto"/>
          <w:szCs w:val="21"/>
          <w:highlight w:val="none"/>
        </w:rPr>
        <w:t>总则</w:t>
      </w:r>
      <w:r>
        <w:rPr>
          <w:color w:val="auto"/>
          <w:highlight w:val="none"/>
        </w:rPr>
        <w:tab/>
      </w:r>
      <w:r>
        <w:rPr>
          <w:color w:val="auto"/>
          <w:highlight w:val="none"/>
        </w:rPr>
        <w:fldChar w:fldCharType="begin"/>
      </w:r>
      <w:r>
        <w:rPr>
          <w:color w:val="auto"/>
          <w:highlight w:val="none"/>
        </w:rPr>
        <w:instrText xml:space="preserve"> PAGEREF _Toc8560 </w:instrText>
      </w:r>
      <w:r>
        <w:rPr>
          <w:color w:val="auto"/>
          <w:highlight w:val="none"/>
        </w:rPr>
        <w:fldChar w:fldCharType="separate"/>
      </w:r>
      <w:r>
        <w:rPr>
          <w:color w:val="auto"/>
          <w:highlight w:val="none"/>
        </w:rPr>
        <w:t>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_Toc6585 </w:instrText>
      </w:r>
      <w:r>
        <w:rPr>
          <w:rFonts w:ascii="宋体" w:hAnsi="宋体" w:cs="宋体"/>
          <w:color w:val="auto"/>
          <w:szCs w:val="28"/>
          <w:highlight w:val="none"/>
        </w:rPr>
        <w:fldChar w:fldCharType="separate"/>
      </w:r>
      <w:r>
        <w:rPr>
          <w:rFonts w:hint="eastAsia"/>
          <w:color w:val="auto"/>
          <w:szCs w:val="21"/>
          <w:highlight w:val="none"/>
        </w:rPr>
        <w:t>二、</w:t>
      </w:r>
      <w:r>
        <w:rPr>
          <w:color w:val="auto"/>
          <w:szCs w:val="21"/>
          <w:highlight w:val="none"/>
        </w:rPr>
        <w:t>比选文件</w:t>
      </w:r>
      <w:r>
        <w:rPr>
          <w:color w:val="auto"/>
          <w:highlight w:val="none"/>
        </w:rPr>
        <w:tab/>
      </w:r>
      <w:r>
        <w:rPr>
          <w:color w:val="auto"/>
          <w:highlight w:val="none"/>
        </w:rPr>
        <w:fldChar w:fldCharType="begin"/>
      </w:r>
      <w:r>
        <w:rPr>
          <w:color w:val="auto"/>
          <w:highlight w:val="none"/>
        </w:rPr>
        <w:instrText xml:space="preserve"> PAGEREF _Toc6585 </w:instrText>
      </w:r>
      <w:r>
        <w:rPr>
          <w:color w:val="auto"/>
          <w:highlight w:val="none"/>
        </w:rPr>
        <w:fldChar w:fldCharType="separate"/>
      </w:r>
      <w:r>
        <w:rPr>
          <w:color w:val="auto"/>
          <w:highlight w:val="none"/>
        </w:rPr>
        <w:t>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_Toc21902 </w:instrText>
      </w:r>
      <w:r>
        <w:rPr>
          <w:rFonts w:ascii="宋体" w:hAnsi="宋体" w:cs="宋体"/>
          <w:color w:val="auto"/>
          <w:szCs w:val="28"/>
          <w:highlight w:val="none"/>
        </w:rPr>
        <w:fldChar w:fldCharType="separate"/>
      </w:r>
      <w:r>
        <w:rPr>
          <w:rFonts w:hint="eastAsia"/>
          <w:color w:val="auto"/>
          <w:szCs w:val="21"/>
          <w:highlight w:val="none"/>
        </w:rPr>
        <w:t>三、申请比选报价说明</w:t>
      </w:r>
      <w:r>
        <w:rPr>
          <w:color w:val="auto"/>
          <w:highlight w:val="none"/>
        </w:rPr>
        <w:tab/>
      </w:r>
      <w:r>
        <w:rPr>
          <w:color w:val="auto"/>
          <w:highlight w:val="none"/>
        </w:rPr>
        <w:fldChar w:fldCharType="begin"/>
      </w:r>
      <w:r>
        <w:rPr>
          <w:color w:val="auto"/>
          <w:highlight w:val="none"/>
        </w:rPr>
        <w:instrText xml:space="preserve"> PAGEREF _Toc21902 </w:instrText>
      </w:r>
      <w:r>
        <w:rPr>
          <w:color w:val="auto"/>
          <w:highlight w:val="none"/>
        </w:rPr>
        <w:fldChar w:fldCharType="separate"/>
      </w:r>
      <w:r>
        <w:rPr>
          <w:color w:val="auto"/>
          <w:highlight w:val="none"/>
        </w:rPr>
        <w:t>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_Toc26352 </w:instrText>
      </w:r>
      <w:r>
        <w:rPr>
          <w:rFonts w:ascii="宋体" w:hAnsi="宋体" w:cs="宋体"/>
          <w:color w:val="auto"/>
          <w:szCs w:val="28"/>
          <w:highlight w:val="none"/>
        </w:rPr>
        <w:fldChar w:fldCharType="separate"/>
      </w:r>
      <w:r>
        <w:rPr>
          <w:rFonts w:hint="eastAsia"/>
          <w:color w:val="auto"/>
          <w:szCs w:val="21"/>
          <w:highlight w:val="none"/>
        </w:rPr>
        <w:t>四、比选申请文件的编制</w:t>
      </w:r>
      <w:r>
        <w:rPr>
          <w:color w:val="auto"/>
          <w:highlight w:val="none"/>
        </w:rPr>
        <w:tab/>
      </w:r>
      <w:r>
        <w:rPr>
          <w:color w:val="auto"/>
          <w:highlight w:val="none"/>
        </w:rPr>
        <w:fldChar w:fldCharType="begin"/>
      </w:r>
      <w:r>
        <w:rPr>
          <w:color w:val="auto"/>
          <w:highlight w:val="none"/>
        </w:rPr>
        <w:instrText xml:space="preserve"> PAGEREF _Toc26352 </w:instrText>
      </w:r>
      <w:r>
        <w:rPr>
          <w:color w:val="auto"/>
          <w:highlight w:val="none"/>
        </w:rPr>
        <w:fldChar w:fldCharType="separate"/>
      </w:r>
      <w:r>
        <w:rPr>
          <w:color w:val="auto"/>
          <w:highlight w:val="none"/>
        </w:rPr>
        <w:t>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_Toc2906 </w:instrText>
      </w:r>
      <w:r>
        <w:rPr>
          <w:rFonts w:ascii="宋体" w:hAnsi="宋体" w:cs="宋体"/>
          <w:color w:val="auto"/>
          <w:szCs w:val="28"/>
          <w:highlight w:val="none"/>
        </w:rPr>
        <w:fldChar w:fldCharType="separate"/>
      </w:r>
      <w:r>
        <w:rPr>
          <w:rFonts w:hint="eastAsia"/>
          <w:color w:val="auto"/>
          <w:szCs w:val="21"/>
          <w:highlight w:val="none"/>
        </w:rPr>
        <w:t>五、</w:t>
      </w:r>
      <w:r>
        <w:rPr>
          <w:color w:val="auto"/>
          <w:szCs w:val="21"/>
          <w:highlight w:val="none"/>
        </w:rPr>
        <w:t>比选申请文件的递交</w:t>
      </w:r>
      <w:r>
        <w:rPr>
          <w:color w:val="auto"/>
          <w:highlight w:val="none"/>
        </w:rPr>
        <w:tab/>
      </w:r>
      <w:r>
        <w:rPr>
          <w:color w:val="auto"/>
          <w:highlight w:val="none"/>
        </w:rPr>
        <w:fldChar w:fldCharType="begin"/>
      </w:r>
      <w:r>
        <w:rPr>
          <w:color w:val="auto"/>
          <w:highlight w:val="none"/>
        </w:rPr>
        <w:instrText xml:space="preserve"> PAGEREF _Toc2906 </w:instrText>
      </w:r>
      <w:r>
        <w:rPr>
          <w:color w:val="auto"/>
          <w:highlight w:val="none"/>
        </w:rPr>
        <w:fldChar w:fldCharType="separate"/>
      </w:r>
      <w:r>
        <w:rPr>
          <w:color w:val="auto"/>
          <w:highlight w:val="none"/>
        </w:rPr>
        <w:t>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_Toc24283 </w:instrText>
      </w:r>
      <w:r>
        <w:rPr>
          <w:rFonts w:ascii="宋体" w:hAnsi="宋体" w:cs="宋体"/>
          <w:color w:val="auto"/>
          <w:szCs w:val="28"/>
          <w:highlight w:val="none"/>
        </w:rPr>
        <w:fldChar w:fldCharType="separate"/>
      </w:r>
      <w:r>
        <w:rPr>
          <w:rFonts w:hint="eastAsia"/>
          <w:color w:val="auto"/>
          <w:szCs w:val="21"/>
          <w:highlight w:val="none"/>
        </w:rPr>
        <w:t>六、评比</w:t>
      </w:r>
      <w:r>
        <w:rPr>
          <w:color w:val="auto"/>
          <w:highlight w:val="none"/>
        </w:rPr>
        <w:tab/>
      </w:r>
      <w:r>
        <w:rPr>
          <w:color w:val="auto"/>
          <w:highlight w:val="none"/>
        </w:rPr>
        <w:fldChar w:fldCharType="begin"/>
      </w:r>
      <w:r>
        <w:rPr>
          <w:color w:val="auto"/>
          <w:highlight w:val="none"/>
        </w:rPr>
        <w:instrText xml:space="preserve"> PAGEREF _Toc24283 </w:instrText>
      </w:r>
      <w:r>
        <w:rPr>
          <w:color w:val="auto"/>
          <w:highlight w:val="none"/>
        </w:rPr>
        <w:fldChar w:fldCharType="separate"/>
      </w:r>
      <w:r>
        <w:rPr>
          <w:color w:val="auto"/>
          <w:highlight w:val="none"/>
        </w:rPr>
        <w:t>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_Toc711 </w:instrText>
      </w:r>
      <w:r>
        <w:rPr>
          <w:rFonts w:ascii="宋体" w:hAnsi="宋体" w:cs="宋体"/>
          <w:color w:val="auto"/>
          <w:szCs w:val="28"/>
          <w:highlight w:val="none"/>
        </w:rPr>
        <w:fldChar w:fldCharType="separate"/>
      </w:r>
      <w:r>
        <w:rPr>
          <w:rFonts w:hint="eastAsia"/>
          <w:color w:val="auto"/>
          <w:szCs w:val="21"/>
          <w:highlight w:val="none"/>
        </w:rPr>
        <w:t>七、</w:t>
      </w:r>
      <w:r>
        <w:rPr>
          <w:color w:val="auto"/>
          <w:szCs w:val="21"/>
          <w:highlight w:val="none"/>
        </w:rPr>
        <w:t>授予合同</w:t>
      </w:r>
      <w:r>
        <w:rPr>
          <w:color w:val="auto"/>
          <w:highlight w:val="none"/>
        </w:rPr>
        <w:tab/>
      </w:r>
      <w:r>
        <w:rPr>
          <w:color w:val="auto"/>
          <w:highlight w:val="none"/>
        </w:rPr>
        <w:fldChar w:fldCharType="begin"/>
      </w:r>
      <w:r>
        <w:rPr>
          <w:color w:val="auto"/>
          <w:highlight w:val="none"/>
        </w:rPr>
        <w:instrText xml:space="preserve"> PAGEREF _Toc711 </w:instrText>
      </w:r>
      <w:r>
        <w:rPr>
          <w:color w:val="auto"/>
          <w:highlight w:val="none"/>
        </w:rPr>
        <w:fldChar w:fldCharType="separate"/>
      </w:r>
      <w:r>
        <w:rPr>
          <w:color w:val="auto"/>
          <w:highlight w:val="none"/>
        </w:rPr>
        <w:t>8</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_Toc22951 </w:instrText>
      </w:r>
      <w:r>
        <w:rPr>
          <w:rFonts w:ascii="宋体" w:hAnsi="宋体" w:cs="宋体"/>
          <w:color w:val="auto"/>
          <w:szCs w:val="28"/>
          <w:highlight w:val="none"/>
        </w:rPr>
        <w:fldChar w:fldCharType="separate"/>
      </w:r>
      <w:r>
        <w:rPr>
          <w:rFonts w:hint="eastAsia" w:ascii="宋体" w:hAnsi="宋体" w:cs="宋体"/>
          <w:color w:val="auto"/>
          <w:szCs w:val="28"/>
          <w:highlight w:val="none"/>
        </w:rPr>
        <w:t>第二章</w:t>
      </w:r>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合同条款</w:t>
      </w:r>
      <w:r>
        <w:rPr>
          <w:color w:val="auto"/>
          <w:highlight w:val="none"/>
        </w:rPr>
        <w:tab/>
      </w:r>
      <w:r>
        <w:rPr>
          <w:color w:val="auto"/>
          <w:highlight w:val="none"/>
        </w:rPr>
        <w:fldChar w:fldCharType="begin"/>
      </w:r>
      <w:r>
        <w:rPr>
          <w:color w:val="auto"/>
          <w:highlight w:val="none"/>
        </w:rPr>
        <w:instrText xml:space="preserve"> PAGEREF _Toc22951 </w:instrText>
      </w:r>
      <w:r>
        <w:rPr>
          <w:color w:val="auto"/>
          <w:highlight w:val="none"/>
        </w:rPr>
        <w:fldChar w:fldCharType="separate"/>
      </w:r>
      <w:r>
        <w:rPr>
          <w:color w:val="auto"/>
          <w:highlight w:val="none"/>
        </w:rPr>
        <w:t>9</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_Toc29515 </w:instrText>
      </w:r>
      <w:r>
        <w:rPr>
          <w:rFonts w:ascii="宋体" w:hAnsi="宋体" w:cs="宋体"/>
          <w:color w:val="auto"/>
          <w:szCs w:val="28"/>
          <w:highlight w:val="none"/>
        </w:rPr>
        <w:fldChar w:fldCharType="separate"/>
      </w:r>
      <w:r>
        <w:rPr>
          <w:rFonts w:hint="eastAsia"/>
          <w:color w:val="auto"/>
          <w:highlight w:val="none"/>
        </w:rPr>
        <w:t>第一部分</w:t>
      </w:r>
      <w:r>
        <w:rPr>
          <w:color w:val="auto"/>
          <w:highlight w:val="none"/>
        </w:rPr>
        <w:t xml:space="preserve"> </w:t>
      </w:r>
      <w:r>
        <w:rPr>
          <w:rFonts w:hint="eastAsia"/>
          <w:color w:val="auto"/>
          <w:highlight w:val="none"/>
        </w:rPr>
        <w:t>协议书</w:t>
      </w:r>
      <w:r>
        <w:rPr>
          <w:color w:val="auto"/>
          <w:highlight w:val="none"/>
        </w:rPr>
        <w:tab/>
      </w:r>
      <w:r>
        <w:rPr>
          <w:color w:val="auto"/>
          <w:highlight w:val="none"/>
        </w:rPr>
        <w:fldChar w:fldCharType="begin"/>
      </w:r>
      <w:r>
        <w:rPr>
          <w:color w:val="auto"/>
          <w:highlight w:val="none"/>
        </w:rPr>
        <w:instrText xml:space="preserve"> PAGEREF _Toc29515 </w:instrText>
      </w:r>
      <w:r>
        <w:rPr>
          <w:color w:val="auto"/>
          <w:highlight w:val="none"/>
        </w:rPr>
        <w:fldChar w:fldCharType="separate"/>
      </w:r>
      <w:r>
        <w:rPr>
          <w:color w:val="auto"/>
          <w:highlight w:val="none"/>
        </w:rPr>
        <w:t>9</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_Toc22785 </w:instrText>
      </w:r>
      <w:r>
        <w:rPr>
          <w:rFonts w:ascii="宋体" w:hAnsi="宋体" w:cs="宋体"/>
          <w:color w:val="auto"/>
          <w:szCs w:val="28"/>
          <w:highlight w:val="none"/>
        </w:rPr>
        <w:fldChar w:fldCharType="separate"/>
      </w:r>
      <w:r>
        <w:rPr>
          <w:rFonts w:hint="eastAsia"/>
          <w:color w:val="auto"/>
          <w:highlight w:val="none"/>
        </w:rPr>
        <w:t>第二部分 通用条件</w:t>
      </w:r>
      <w:r>
        <w:rPr>
          <w:color w:val="auto"/>
          <w:highlight w:val="none"/>
        </w:rPr>
        <w:tab/>
      </w:r>
      <w:r>
        <w:rPr>
          <w:color w:val="auto"/>
          <w:highlight w:val="none"/>
        </w:rPr>
        <w:fldChar w:fldCharType="begin"/>
      </w:r>
      <w:r>
        <w:rPr>
          <w:color w:val="auto"/>
          <w:highlight w:val="none"/>
        </w:rPr>
        <w:instrText xml:space="preserve"> PAGEREF _Toc22785 </w:instrText>
      </w:r>
      <w:r>
        <w:rPr>
          <w:color w:val="auto"/>
          <w:highlight w:val="none"/>
        </w:rPr>
        <w:fldChar w:fldCharType="separate"/>
      </w:r>
      <w:r>
        <w:rPr>
          <w:color w:val="auto"/>
          <w:highlight w:val="none"/>
        </w:rPr>
        <w:t>12</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_Toc10153 </w:instrText>
      </w:r>
      <w:r>
        <w:rPr>
          <w:rFonts w:ascii="宋体" w:hAnsi="宋体" w:cs="宋体"/>
          <w:color w:val="auto"/>
          <w:szCs w:val="28"/>
          <w:highlight w:val="none"/>
        </w:rPr>
        <w:fldChar w:fldCharType="separate"/>
      </w:r>
      <w:r>
        <w:rPr>
          <w:color w:val="auto"/>
          <w:highlight w:val="none"/>
        </w:rPr>
        <w:t>第三部分 专用条件</w:t>
      </w:r>
      <w:r>
        <w:rPr>
          <w:color w:val="auto"/>
          <w:highlight w:val="none"/>
        </w:rPr>
        <w:tab/>
      </w:r>
      <w:r>
        <w:rPr>
          <w:color w:val="auto"/>
          <w:highlight w:val="none"/>
        </w:rPr>
        <w:fldChar w:fldCharType="begin"/>
      </w:r>
      <w:r>
        <w:rPr>
          <w:color w:val="auto"/>
          <w:highlight w:val="none"/>
        </w:rPr>
        <w:instrText xml:space="preserve"> PAGEREF _Toc10153 </w:instrText>
      </w:r>
      <w:r>
        <w:rPr>
          <w:color w:val="auto"/>
          <w:highlight w:val="none"/>
        </w:rPr>
        <w:fldChar w:fldCharType="separate"/>
      </w:r>
      <w:r>
        <w:rPr>
          <w:color w:val="auto"/>
          <w:highlight w:val="none"/>
        </w:rPr>
        <w:t>13</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_Toc13638 </w:instrText>
      </w:r>
      <w:r>
        <w:rPr>
          <w:rFonts w:ascii="宋体" w:hAnsi="宋体" w:cs="宋体"/>
          <w:color w:val="auto"/>
          <w:szCs w:val="28"/>
          <w:highlight w:val="none"/>
        </w:rPr>
        <w:fldChar w:fldCharType="separate"/>
      </w:r>
      <w:r>
        <w:rPr>
          <w:rFonts w:hint="eastAsia"/>
          <w:color w:val="auto"/>
          <w:highlight w:val="none"/>
        </w:rPr>
        <w:t>附录A  相关服务的范围和内容</w:t>
      </w:r>
      <w:r>
        <w:rPr>
          <w:color w:val="auto"/>
          <w:highlight w:val="none"/>
        </w:rPr>
        <w:tab/>
      </w:r>
      <w:r>
        <w:rPr>
          <w:color w:val="auto"/>
          <w:highlight w:val="none"/>
        </w:rPr>
        <w:fldChar w:fldCharType="begin"/>
      </w:r>
      <w:r>
        <w:rPr>
          <w:color w:val="auto"/>
          <w:highlight w:val="none"/>
        </w:rPr>
        <w:instrText xml:space="preserve"> PAGEREF _Toc13638 </w:instrText>
      </w:r>
      <w:r>
        <w:rPr>
          <w:color w:val="auto"/>
          <w:highlight w:val="none"/>
        </w:rPr>
        <w:fldChar w:fldCharType="separate"/>
      </w:r>
      <w:r>
        <w:rPr>
          <w:color w:val="auto"/>
          <w:highlight w:val="none"/>
        </w:rPr>
        <w:t>19</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_Toc29923 </w:instrText>
      </w:r>
      <w:r>
        <w:rPr>
          <w:rFonts w:ascii="宋体" w:hAnsi="宋体" w:cs="宋体"/>
          <w:color w:val="auto"/>
          <w:szCs w:val="28"/>
          <w:highlight w:val="none"/>
        </w:rPr>
        <w:fldChar w:fldCharType="separate"/>
      </w:r>
      <w:r>
        <w:rPr>
          <w:rFonts w:hint="eastAsia"/>
          <w:color w:val="auto"/>
          <w:highlight w:val="none"/>
        </w:rPr>
        <w:t>附录B  委托人派遣的人员和提供的房屋、资料、设备</w:t>
      </w:r>
      <w:r>
        <w:rPr>
          <w:color w:val="auto"/>
          <w:highlight w:val="none"/>
        </w:rPr>
        <w:tab/>
      </w:r>
      <w:r>
        <w:rPr>
          <w:color w:val="auto"/>
          <w:highlight w:val="none"/>
        </w:rPr>
        <w:fldChar w:fldCharType="begin"/>
      </w:r>
      <w:r>
        <w:rPr>
          <w:color w:val="auto"/>
          <w:highlight w:val="none"/>
        </w:rPr>
        <w:instrText xml:space="preserve"> PAGEREF _Toc29923 </w:instrText>
      </w:r>
      <w:r>
        <w:rPr>
          <w:color w:val="auto"/>
          <w:highlight w:val="none"/>
        </w:rPr>
        <w:fldChar w:fldCharType="separate"/>
      </w:r>
      <w:r>
        <w:rPr>
          <w:color w:val="auto"/>
          <w:highlight w:val="none"/>
        </w:rPr>
        <w:t>19</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_Toc11941 </w:instrText>
      </w:r>
      <w:r>
        <w:rPr>
          <w:rFonts w:ascii="宋体" w:hAnsi="宋体" w:cs="宋体"/>
          <w:color w:val="auto"/>
          <w:szCs w:val="28"/>
          <w:highlight w:val="none"/>
        </w:rPr>
        <w:fldChar w:fldCharType="separate"/>
      </w:r>
      <w:r>
        <w:rPr>
          <w:rFonts w:hint="eastAsia" w:ascii="宋体" w:hAnsi="宋体" w:cs="宋体"/>
          <w:color w:val="auto"/>
          <w:szCs w:val="28"/>
          <w:highlight w:val="none"/>
        </w:rPr>
        <w:t>第三章 监理工作任务</w:t>
      </w:r>
      <w:r>
        <w:rPr>
          <w:color w:val="auto"/>
          <w:highlight w:val="none"/>
        </w:rPr>
        <w:tab/>
      </w:r>
      <w:r>
        <w:rPr>
          <w:color w:val="auto"/>
          <w:highlight w:val="none"/>
        </w:rPr>
        <w:fldChar w:fldCharType="begin"/>
      </w:r>
      <w:r>
        <w:rPr>
          <w:color w:val="auto"/>
          <w:highlight w:val="none"/>
        </w:rPr>
        <w:instrText xml:space="preserve"> PAGEREF _Toc11941 </w:instrText>
      </w:r>
      <w:r>
        <w:rPr>
          <w:color w:val="auto"/>
          <w:highlight w:val="none"/>
        </w:rPr>
        <w:fldChar w:fldCharType="separate"/>
      </w:r>
      <w:r>
        <w:rPr>
          <w:color w:val="auto"/>
          <w:highlight w:val="none"/>
        </w:rPr>
        <w:t>21</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_Toc24773 </w:instrText>
      </w:r>
      <w:r>
        <w:rPr>
          <w:rFonts w:ascii="宋体" w:hAnsi="宋体" w:cs="宋体"/>
          <w:color w:val="auto"/>
          <w:szCs w:val="28"/>
          <w:highlight w:val="none"/>
        </w:rPr>
        <w:fldChar w:fldCharType="separate"/>
      </w:r>
      <w:r>
        <w:rPr>
          <w:rFonts w:hint="eastAsia" w:ascii="宋体" w:hAnsi="宋体" w:cs="宋体"/>
          <w:color w:val="auto"/>
          <w:szCs w:val="28"/>
          <w:highlight w:val="none"/>
        </w:rPr>
        <w:t>第四章 图纸</w:t>
      </w:r>
      <w:r>
        <w:rPr>
          <w:color w:val="auto"/>
          <w:highlight w:val="none"/>
        </w:rPr>
        <w:tab/>
      </w:r>
      <w:r>
        <w:rPr>
          <w:color w:val="auto"/>
          <w:highlight w:val="none"/>
        </w:rPr>
        <w:fldChar w:fldCharType="begin"/>
      </w:r>
      <w:r>
        <w:rPr>
          <w:color w:val="auto"/>
          <w:highlight w:val="none"/>
        </w:rPr>
        <w:instrText xml:space="preserve"> PAGEREF _Toc24773 </w:instrText>
      </w:r>
      <w:r>
        <w:rPr>
          <w:color w:val="auto"/>
          <w:highlight w:val="none"/>
        </w:rPr>
        <w:fldChar w:fldCharType="separate"/>
      </w:r>
      <w:r>
        <w:rPr>
          <w:color w:val="auto"/>
          <w:highlight w:val="none"/>
        </w:rPr>
        <w:t>22</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_Toc8284 </w:instrText>
      </w:r>
      <w:r>
        <w:rPr>
          <w:rFonts w:ascii="宋体" w:hAnsi="宋体" w:cs="宋体"/>
          <w:color w:val="auto"/>
          <w:szCs w:val="28"/>
          <w:highlight w:val="none"/>
        </w:rPr>
        <w:fldChar w:fldCharType="separate"/>
      </w:r>
      <w:r>
        <w:rPr>
          <w:rFonts w:ascii="宋体" w:hAnsi="宋体" w:cs="宋体"/>
          <w:color w:val="auto"/>
          <w:szCs w:val="28"/>
          <w:highlight w:val="none"/>
        </w:rPr>
        <w:t xml:space="preserve">第五章 </w:t>
      </w:r>
      <w:r>
        <w:rPr>
          <w:rFonts w:hint="eastAsia" w:ascii="宋体" w:hAnsi="宋体" w:cs="宋体"/>
          <w:color w:val="auto"/>
          <w:szCs w:val="28"/>
          <w:highlight w:val="none"/>
        </w:rPr>
        <w:t>比选申请文件</w:t>
      </w:r>
      <w:r>
        <w:rPr>
          <w:color w:val="auto"/>
          <w:highlight w:val="none"/>
        </w:rPr>
        <w:tab/>
      </w:r>
      <w:r>
        <w:rPr>
          <w:color w:val="auto"/>
          <w:highlight w:val="none"/>
        </w:rPr>
        <w:fldChar w:fldCharType="begin"/>
      </w:r>
      <w:r>
        <w:rPr>
          <w:color w:val="auto"/>
          <w:highlight w:val="none"/>
        </w:rPr>
        <w:instrText xml:space="preserve"> PAGEREF _Toc8284 </w:instrText>
      </w:r>
      <w:r>
        <w:rPr>
          <w:color w:val="auto"/>
          <w:highlight w:val="none"/>
        </w:rPr>
        <w:fldChar w:fldCharType="separate"/>
      </w:r>
      <w:r>
        <w:rPr>
          <w:color w:val="auto"/>
          <w:highlight w:val="none"/>
        </w:rPr>
        <w:t>23</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_Toc8930 </w:instrText>
      </w:r>
      <w:r>
        <w:rPr>
          <w:rFonts w:ascii="宋体" w:hAnsi="宋体" w:cs="宋体"/>
          <w:color w:val="auto"/>
          <w:szCs w:val="28"/>
          <w:highlight w:val="none"/>
        </w:rPr>
        <w:fldChar w:fldCharType="separate"/>
      </w:r>
      <w:r>
        <w:rPr>
          <w:rFonts w:hint="eastAsia"/>
          <w:color w:val="auto"/>
          <w:highlight w:val="none"/>
        </w:rPr>
        <w:t>一、资格审查文件目录</w:t>
      </w:r>
      <w:r>
        <w:rPr>
          <w:color w:val="auto"/>
          <w:highlight w:val="none"/>
        </w:rPr>
        <w:tab/>
      </w:r>
      <w:r>
        <w:rPr>
          <w:color w:val="auto"/>
          <w:highlight w:val="none"/>
        </w:rPr>
        <w:fldChar w:fldCharType="begin"/>
      </w:r>
      <w:r>
        <w:rPr>
          <w:color w:val="auto"/>
          <w:highlight w:val="none"/>
        </w:rPr>
        <w:instrText xml:space="preserve"> PAGEREF _Toc8930 </w:instrText>
      </w:r>
      <w:r>
        <w:rPr>
          <w:color w:val="auto"/>
          <w:highlight w:val="none"/>
        </w:rPr>
        <w:fldChar w:fldCharType="separate"/>
      </w:r>
      <w:r>
        <w:rPr>
          <w:color w:val="auto"/>
          <w:highlight w:val="none"/>
        </w:rPr>
        <w:t>24</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_Toc19934 </w:instrText>
      </w:r>
      <w:r>
        <w:rPr>
          <w:rFonts w:ascii="宋体" w:hAnsi="宋体" w:cs="宋体"/>
          <w:color w:val="auto"/>
          <w:szCs w:val="28"/>
          <w:highlight w:val="none"/>
        </w:rPr>
        <w:fldChar w:fldCharType="separate"/>
      </w:r>
      <w:r>
        <w:rPr>
          <w:rFonts w:hint="eastAsia"/>
          <w:color w:val="auto"/>
          <w:highlight w:val="none"/>
        </w:rPr>
        <w:t>二、技术部分材料目录</w:t>
      </w:r>
      <w:r>
        <w:rPr>
          <w:color w:val="auto"/>
          <w:highlight w:val="none"/>
        </w:rPr>
        <w:tab/>
      </w:r>
      <w:r>
        <w:rPr>
          <w:color w:val="auto"/>
          <w:highlight w:val="none"/>
        </w:rPr>
        <w:fldChar w:fldCharType="begin"/>
      </w:r>
      <w:r>
        <w:rPr>
          <w:color w:val="auto"/>
          <w:highlight w:val="none"/>
        </w:rPr>
        <w:instrText xml:space="preserve"> PAGEREF _Toc19934 </w:instrText>
      </w:r>
      <w:r>
        <w:rPr>
          <w:color w:val="auto"/>
          <w:highlight w:val="none"/>
        </w:rPr>
        <w:fldChar w:fldCharType="separate"/>
      </w:r>
      <w:r>
        <w:rPr>
          <w:color w:val="auto"/>
          <w:highlight w:val="none"/>
        </w:rPr>
        <w:t>36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_Toc4589 </w:instrText>
      </w:r>
      <w:r>
        <w:rPr>
          <w:rFonts w:ascii="宋体" w:hAnsi="宋体" w:cs="宋体"/>
          <w:color w:val="auto"/>
          <w:szCs w:val="28"/>
          <w:highlight w:val="none"/>
        </w:rPr>
        <w:fldChar w:fldCharType="separate"/>
      </w:r>
      <w:r>
        <w:rPr>
          <w:rFonts w:hint="eastAsia"/>
          <w:color w:val="auto"/>
          <w:highlight w:val="none"/>
        </w:rPr>
        <w:t>三、商务部分材料目录</w:t>
      </w:r>
      <w:r>
        <w:rPr>
          <w:color w:val="auto"/>
          <w:highlight w:val="none"/>
        </w:rPr>
        <w:tab/>
      </w:r>
      <w:r>
        <w:rPr>
          <w:color w:val="auto"/>
          <w:highlight w:val="none"/>
        </w:rPr>
        <w:fldChar w:fldCharType="begin"/>
      </w:r>
      <w:r>
        <w:rPr>
          <w:color w:val="auto"/>
          <w:highlight w:val="none"/>
        </w:rPr>
        <w:instrText xml:space="preserve"> PAGEREF _Toc4589 </w:instrText>
      </w:r>
      <w:r>
        <w:rPr>
          <w:color w:val="auto"/>
          <w:highlight w:val="none"/>
        </w:rPr>
        <w:fldChar w:fldCharType="separate"/>
      </w:r>
      <w:r>
        <w:rPr>
          <w:color w:val="auto"/>
          <w:highlight w:val="none"/>
        </w:rPr>
        <w:t>42</w:t>
      </w:r>
      <w:r>
        <w:rPr>
          <w:color w:val="auto"/>
          <w:highlight w:val="none"/>
        </w:rPr>
        <w:fldChar w:fldCharType="end"/>
      </w:r>
      <w:r>
        <w:rPr>
          <w:rFonts w:ascii="宋体" w:hAnsi="宋体" w:cs="宋体"/>
          <w:color w:val="auto"/>
          <w:szCs w:val="28"/>
          <w:highlight w:val="none"/>
        </w:rPr>
        <w:fldChar w:fldCharType="end"/>
      </w:r>
    </w:p>
    <w:p>
      <w:pPr>
        <w:pStyle w:val="10"/>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_Toc8362 </w:instrText>
      </w:r>
      <w:r>
        <w:rPr>
          <w:rFonts w:ascii="宋体" w:hAnsi="宋体" w:cs="宋体"/>
          <w:color w:val="auto"/>
          <w:szCs w:val="28"/>
          <w:highlight w:val="none"/>
        </w:rPr>
        <w:fldChar w:fldCharType="separate"/>
      </w:r>
      <w:r>
        <w:rPr>
          <w:rFonts w:hint="eastAsia"/>
          <w:color w:val="auto"/>
          <w:highlight w:val="none"/>
        </w:rPr>
        <w:t>第</w:t>
      </w:r>
      <w:r>
        <w:rPr>
          <w:rFonts w:hint="eastAsia"/>
          <w:color w:val="auto"/>
          <w:highlight w:val="none"/>
          <w:lang w:eastAsia="zh-CN"/>
        </w:rPr>
        <w:t>六</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评比办法</w:t>
      </w:r>
      <w:r>
        <w:rPr>
          <w:color w:val="auto"/>
          <w:highlight w:val="none"/>
        </w:rPr>
        <w:tab/>
      </w:r>
      <w:r>
        <w:rPr>
          <w:color w:val="auto"/>
          <w:highlight w:val="none"/>
        </w:rPr>
        <w:fldChar w:fldCharType="begin"/>
      </w:r>
      <w:r>
        <w:rPr>
          <w:color w:val="auto"/>
          <w:highlight w:val="none"/>
        </w:rPr>
        <w:instrText xml:space="preserve"> PAGEREF _Toc8362 </w:instrText>
      </w:r>
      <w:r>
        <w:rPr>
          <w:color w:val="auto"/>
          <w:highlight w:val="none"/>
        </w:rPr>
        <w:fldChar w:fldCharType="separate"/>
      </w:r>
      <w:r>
        <w:rPr>
          <w:color w:val="auto"/>
          <w:highlight w:val="none"/>
        </w:rPr>
        <w:t>45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_Toc9699 </w:instrText>
      </w:r>
      <w:r>
        <w:rPr>
          <w:rFonts w:ascii="宋体" w:hAnsi="宋体" w:cs="宋体"/>
          <w:color w:val="auto"/>
          <w:szCs w:val="28"/>
          <w:highlight w:val="none"/>
        </w:rPr>
        <w:fldChar w:fldCharType="separate"/>
      </w:r>
      <w:r>
        <w:rPr>
          <w:rFonts w:hint="eastAsia"/>
          <w:color w:val="auto"/>
          <w:highlight w:val="none"/>
        </w:rPr>
        <w:t>一、综合评分办法</w:t>
      </w:r>
      <w:r>
        <w:rPr>
          <w:color w:val="auto"/>
          <w:highlight w:val="none"/>
        </w:rPr>
        <w:tab/>
      </w:r>
      <w:r>
        <w:rPr>
          <w:color w:val="auto"/>
          <w:highlight w:val="none"/>
        </w:rPr>
        <w:fldChar w:fldCharType="begin"/>
      </w:r>
      <w:r>
        <w:rPr>
          <w:color w:val="auto"/>
          <w:highlight w:val="none"/>
        </w:rPr>
        <w:instrText xml:space="preserve"> PAGEREF _Toc9699 </w:instrText>
      </w:r>
      <w:r>
        <w:rPr>
          <w:color w:val="auto"/>
          <w:highlight w:val="none"/>
        </w:rPr>
        <w:fldChar w:fldCharType="separate"/>
      </w:r>
      <w:r>
        <w:rPr>
          <w:color w:val="auto"/>
          <w:highlight w:val="none"/>
        </w:rPr>
        <w:t>45</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_Toc31578 </w:instrText>
      </w:r>
      <w:r>
        <w:rPr>
          <w:rFonts w:ascii="宋体" w:hAnsi="宋体" w:cs="宋体"/>
          <w:color w:val="auto"/>
          <w:szCs w:val="28"/>
          <w:highlight w:val="none"/>
        </w:rPr>
        <w:fldChar w:fldCharType="separate"/>
      </w:r>
      <w:r>
        <w:rPr>
          <w:rFonts w:hint="eastAsia"/>
          <w:color w:val="auto"/>
          <w:highlight w:val="none"/>
        </w:rPr>
        <w:t>二、总分计算公式</w:t>
      </w:r>
      <w:r>
        <w:rPr>
          <w:color w:val="auto"/>
          <w:highlight w:val="none"/>
        </w:rPr>
        <w:tab/>
      </w:r>
      <w:r>
        <w:rPr>
          <w:color w:val="auto"/>
          <w:highlight w:val="none"/>
        </w:rPr>
        <w:fldChar w:fldCharType="begin"/>
      </w:r>
      <w:r>
        <w:rPr>
          <w:color w:val="auto"/>
          <w:highlight w:val="none"/>
        </w:rPr>
        <w:instrText xml:space="preserve"> PAGEREF _Toc31578 </w:instrText>
      </w:r>
      <w:r>
        <w:rPr>
          <w:color w:val="auto"/>
          <w:highlight w:val="none"/>
        </w:rPr>
        <w:fldChar w:fldCharType="separate"/>
      </w:r>
      <w:r>
        <w:rPr>
          <w:color w:val="auto"/>
          <w:highlight w:val="none"/>
        </w:rPr>
        <w:t>46</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_Toc8001 </w:instrText>
      </w:r>
      <w:r>
        <w:rPr>
          <w:rFonts w:ascii="宋体" w:hAnsi="宋体" w:cs="宋体"/>
          <w:color w:val="auto"/>
          <w:szCs w:val="28"/>
          <w:highlight w:val="none"/>
        </w:rPr>
        <w:fldChar w:fldCharType="separate"/>
      </w:r>
      <w:r>
        <w:rPr>
          <w:rFonts w:hint="eastAsia"/>
          <w:color w:val="auto"/>
          <w:highlight w:val="none"/>
        </w:rPr>
        <w:t>三、评分细则</w:t>
      </w:r>
      <w:r>
        <w:rPr>
          <w:color w:val="auto"/>
          <w:highlight w:val="none"/>
        </w:rPr>
        <w:tab/>
      </w:r>
      <w:r>
        <w:rPr>
          <w:color w:val="auto"/>
          <w:highlight w:val="none"/>
        </w:rPr>
        <w:fldChar w:fldCharType="begin"/>
      </w:r>
      <w:r>
        <w:rPr>
          <w:color w:val="auto"/>
          <w:highlight w:val="none"/>
        </w:rPr>
        <w:instrText xml:space="preserve"> PAGEREF _Toc8001 </w:instrText>
      </w:r>
      <w:r>
        <w:rPr>
          <w:color w:val="auto"/>
          <w:highlight w:val="none"/>
        </w:rPr>
        <w:fldChar w:fldCharType="separate"/>
      </w:r>
      <w:r>
        <w:rPr>
          <w:color w:val="auto"/>
          <w:highlight w:val="none"/>
        </w:rPr>
        <w:t>47</w:t>
      </w:r>
      <w:r>
        <w:rPr>
          <w:color w:val="auto"/>
          <w:highlight w:val="none"/>
        </w:rPr>
        <w:fldChar w:fldCharType="end"/>
      </w:r>
      <w:r>
        <w:rPr>
          <w:rFonts w:ascii="宋体" w:hAnsi="宋体" w:cs="宋体"/>
          <w:color w:val="auto"/>
          <w:szCs w:val="28"/>
          <w:highlight w:val="none"/>
        </w:rPr>
        <w:fldChar w:fldCharType="end"/>
      </w:r>
    </w:p>
    <w:p>
      <w:pPr>
        <w:pStyle w:val="11"/>
        <w:tabs>
          <w:tab w:val="right" w:leader="dot" w:pos="9219"/>
        </w:tabs>
        <w:rPr>
          <w:color w:val="auto"/>
          <w:highlight w:val="none"/>
        </w:rPr>
      </w:pPr>
      <w:r>
        <w:rPr>
          <w:rFonts w:ascii="宋体" w:hAnsi="宋体" w:cs="宋体"/>
          <w:color w:val="auto"/>
          <w:szCs w:val="28"/>
          <w:highlight w:val="none"/>
        </w:rPr>
        <w:fldChar w:fldCharType="begin"/>
      </w:r>
      <w:r>
        <w:rPr>
          <w:rFonts w:ascii="宋体" w:hAnsi="宋体" w:cs="宋体"/>
          <w:color w:val="auto"/>
          <w:szCs w:val="28"/>
          <w:highlight w:val="none"/>
        </w:rPr>
        <w:instrText xml:space="preserve"> HYPERLINK \l _Toc2968 </w:instrText>
      </w:r>
      <w:r>
        <w:rPr>
          <w:rFonts w:ascii="宋体" w:hAnsi="宋体" w:cs="宋体"/>
          <w:color w:val="auto"/>
          <w:szCs w:val="28"/>
          <w:highlight w:val="none"/>
        </w:rPr>
        <w:fldChar w:fldCharType="separate"/>
      </w:r>
      <w:r>
        <w:rPr>
          <w:rFonts w:hint="eastAsia"/>
          <w:color w:val="auto"/>
          <w:szCs w:val="28"/>
          <w:highlight w:val="none"/>
        </w:rPr>
        <w:t>四、中选标准</w:t>
      </w:r>
      <w:r>
        <w:rPr>
          <w:color w:val="auto"/>
          <w:highlight w:val="none"/>
        </w:rPr>
        <w:tab/>
      </w:r>
      <w:r>
        <w:rPr>
          <w:color w:val="auto"/>
          <w:highlight w:val="none"/>
        </w:rPr>
        <w:fldChar w:fldCharType="begin"/>
      </w:r>
      <w:r>
        <w:rPr>
          <w:color w:val="auto"/>
          <w:highlight w:val="none"/>
        </w:rPr>
        <w:instrText xml:space="preserve"> PAGEREF _Toc2968 </w:instrText>
      </w:r>
      <w:r>
        <w:rPr>
          <w:color w:val="auto"/>
          <w:highlight w:val="none"/>
        </w:rPr>
        <w:fldChar w:fldCharType="separate"/>
      </w:r>
      <w:r>
        <w:rPr>
          <w:color w:val="auto"/>
          <w:highlight w:val="none"/>
        </w:rPr>
        <w:t>51</w:t>
      </w:r>
      <w:r>
        <w:rPr>
          <w:color w:val="auto"/>
          <w:highlight w:val="none"/>
        </w:rPr>
        <w:fldChar w:fldCharType="end"/>
      </w:r>
      <w:r>
        <w:rPr>
          <w:rFonts w:ascii="宋体" w:hAnsi="宋体" w:cs="宋体"/>
          <w:color w:val="auto"/>
          <w:szCs w:val="28"/>
          <w:highlight w:val="none"/>
        </w:rPr>
        <w:fldChar w:fldCharType="end"/>
      </w:r>
    </w:p>
    <w:p>
      <w:pPr>
        <w:spacing w:line="360" w:lineRule="auto"/>
        <w:ind w:firstLine="420" w:firstLineChars="200"/>
        <w:rPr>
          <w:rFonts w:hint="eastAsia" w:cs="宋体"/>
          <w:bCs/>
          <w:color w:val="auto"/>
          <w:sz w:val="28"/>
          <w:szCs w:val="28"/>
          <w:highlight w:val="none"/>
          <w:lang w:eastAsia="zh-CN"/>
        </w:rPr>
      </w:pPr>
      <w:r>
        <w:rPr>
          <w:rFonts w:ascii="宋体" w:hAnsi="宋体" w:cs="宋体"/>
          <w:color w:val="auto"/>
          <w:szCs w:val="28"/>
          <w:highlight w:val="none"/>
        </w:rPr>
        <w:fldChar w:fldCharType="end"/>
      </w: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pStyle w:val="3"/>
        <w:numPr>
          <w:ilvl w:val="0"/>
          <w:numId w:val="1"/>
        </w:numPr>
        <w:rPr>
          <w:color w:val="auto"/>
          <w:highlight w:val="none"/>
        </w:rPr>
      </w:pPr>
      <w:bookmarkStart w:id="19" w:name="_Toc24481"/>
      <w:bookmarkStart w:id="20" w:name="_Toc10124"/>
      <w:bookmarkStart w:id="21" w:name="_Toc20342"/>
      <w:bookmarkStart w:id="22" w:name="_Toc14897"/>
      <w:bookmarkStart w:id="23" w:name="_Toc7862"/>
      <w:bookmarkStart w:id="24" w:name="_Toc19040"/>
      <w:bookmarkStart w:id="25" w:name="_Toc11052"/>
      <w:bookmarkStart w:id="26" w:name="_Toc32556"/>
      <w:bookmarkStart w:id="27" w:name="_Toc32719"/>
      <w:bookmarkStart w:id="28" w:name="_Toc24163"/>
      <w:bookmarkStart w:id="29" w:name="_Toc24235"/>
      <w:bookmarkStart w:id="30" w:name="_Toc27762"/>
      <w:bookmarkStart w:id="31" w:name="_Toc24752"/>
      <w:bookmarkStart w:id="32" w:name="_Toc30578"/>
      <w:bookmarkStart w:id="33" w:name="_Toc9092"/>
      <w:bookmarkStart w:id="34" w:name="_Toc27398"/>
      <w:bookmarkStart w:id="35" w:name="_Toc471482359"/>
      <w:bookmarkStart w:id="36" w:name="_Toc461525294"/>
      <w:bookmarkStart w:id="37" w:name="_Toc8322"/>
      <w:bookmarkStart w:id="38" w:name="_Toc12557"/>
      <w:bookmarkStart w:id="39" w:name="_Toc14177"/>
      <w:r>
        <w:rPr>
          <w:rFonts w:hint="eastAsia" w:ascii="宋体" w:hAnsi="宋体" w:cs="宋体"/>
          <w:color w:val="auto"/>
          <w:szCs w:val="28"/>
          <w:highlight w:val="none"/>
          <w:lang w:val="en-US" w:eastAsia="zh-CN"/>
        </w:rPr>
        <w:t xml:space="preserve"> </w:t>
      </w:r>
      <w:r>
        <w:rPr>
          <w:rFonts w:hint="eastAsia" w:ascii="宋体" w:hAnsi="宋体" w:cs="宋体"/>
          <w:color w:val="auto"/>
          <w:szCs w:val="28"/>
          <w:highlight w:val="none"/>
        </w:rPr>
        <w:t>比选须知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rPr>
          <w:rFonts w:hint="eastAsia" w:ascii="宋体" w:hAnsi="宋体" w:cs="宋体"/>
          <w:color w:val="auto"/>
          <w:szCs w:val="28"/>
          <w:highlight w:val="none"/>
          <w:lang w:val="en-US" w:eastAsia="zh-CN"/>
        </w:rPr>
      </w:pPr>
      <w:r>
        <w:rPr>
          <w:rFonts w:hint="eastAsia" w:ascii="宋体" w:hAnsi="宋体" w:cs="宋体"/>
          <w:color w:val="auto"/>
          <w:szCs w:val="28"/>
          <w:highlight w:val="none"/>
          <w:lang w:val="en-US" w:eastAsia="zh-CN"/>
        </w:rPr>
        <w:t>前附表</w:t>
      </w:r>
    </w:p>
    <w:tbl>
      <w:tblPr>
        <w:tblStyle w:val="14"/>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736"/>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736" w:type="dxa"/>
            <w:vAlign w:val="center"/>
          </w:tcPr>
          <w:p>
            <w:pPr>
              <w:jc w:val="center"/>
              <w:rPr>
                <w:rFonts w:ascii="宋体" w:hAnsi="宋体" w:cs="宋体"/>
                <w:color w:val="auto"/>
                <w:szCs w:val="21"/>
                <w:highlight w:val="none"/>
              </w:rPr>
            </w:pPr>
          </w:p>
        </w:tc>
        <w:tc>
          <w:tcPr>
            <w:tcW w:w="6019" w:type="dxa"/>
          </w:tcPr>
          <w:p>
            <w:pPr>
              <w:jc w:val="center"/>
              <w:rPr>
                <w:rFonts w:ascii="宋体" w:hAnsi="宋体" w:cs="宋体"/>
                <w:color w:val="auto"/>
                <w:szCs w:val="21"/>
                <w:highlight w:val="none"/>
              </w:rPr>
            </w:pPr>
            <w:r>
              <w:rPr>
                <w:rFonts w:hint="eastAsia" w:ascii="宋体" w:hAnsi="宋体" w:cs="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项目名称</w:t>
            </w:r>
          </w:p>
        </w:tc>
        <w:tc>
          <w:tcPr>
            <w:tcW w:w="6019" w:type="dxa"/>
            <w:vAlign w:val="center"/>
          </w:tcPr>
          <w:p>
            <w:pPr>
              <w:ind w:right="-3"/>
              <w:jc w:val="left"/>
              <w:rPr>
                <w:rFonts w:hint="default" w:ascii="宋体" w:hAnsi="宋体" w:cs="宋体"/>
                <w:color w:val="auto"/>
                <w:szCs w:val="21"/>
                <w:highlight w:val="none"/>
                <w:lang w:val="en-US"/>
              </w:rPr>
            </w:pPr>
            <w:r>
              <w:rPr>
                <w:rFonts w:hint="eastAsia" w:ascii="宋体" w:hAnsi="宋体" w:cs="宋体"/>
                <w:color w:val="auto"/>
                <w:szCs w:val="21"/>
                <w:highlight w:val="none"/>
              </w:rPr>
              <w:t xml:space="preserve"> </w:t>
            </w:r>
            <w:r>
              <w:rPr>
                <w:rFonts w:hint="eastAsia" w:ascii="宋体" w:hAnsi="宋体" w:cs="宋体" w:eastAsiaTheme="minorEastAsia"/>
                <w:color w:val="auto"/>
                <w:sz w:val="21"/>
                <w:szCs w:val="21"/>
                <w:highlight w:val="none"/>
                <w:lang w:val="en-US" w:eastAsia="zh-CN"/>
              </w:rPr>
              <w:t>南宁火车北站东广场整理工程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项目范围</w:t>
            </w:r>
          </w:p>
        </w:tc>
        <w:tc>
          <w:tcPr>
            <w:tcW w:w="6019" w:type="dxa"/>
          </w:tcPr>
          <w:p>
            <w:pPr>
              <w:ind w:right="-3"/>
              <w:jc w:val="lef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zh-CN" w:eastAsia="zh-CN"/>
              </w:rPr>
              <w:t>南宁火车北站东广场整理工程</w:t>
            </w:r>
            <w:r>
              <w:rPr>
                <w:rFonts w:hint="eastAsia" w:ascii="宋体" w:hAnsi="宋体" w:cs="宋体"/>
                <w:color w:val="auto"/>
                <w:szCs w:val="21"/>
                <w:highlight w:val="none"/>
                <w:lang w:val="en-US" w:eastAsia="zh-CN"/>
              </w:rPr>
              <w:t>建设</w:t>
            </w:r>
            <w:r>
              <w:rPr>
                <w:rFonts w:hint="eastAsia" w:ascii="宋体" w:hAnsi="宋体" w:cs="宋体"/>
                <w:color w:val="auto"/>
                <w:szCs w:val="21"/>
                <w:highlight w:val="none"/>
              </w:rPr>
              <w:t>项目施工图纸和工程量清单包含所有内容</w:t>
            </w:r>
            <w:r>
              <w:rPr>
                <w:rFonts w:hint="eastAsia" w:ascii="宋体" w:hAnsi="宋体" w:cs="宋体"/>
                <w:color w:val="auto"/>
                <w:szCs w:val="21"/>
                <w:highlight w:val="none"/>
                <w:lang w:val="en-US" w:eastAsia="zh-CN"/>
              </w:rPr>
              <w:t>对应</w:t>
            </w:r>
            <w:r>
              <w:rPr>
                <w:rFonts w:hint="eastAsia" w:ascii="宋体" w:hAnsi="宋体" w:cs="宋体"/>
                <w:color w:val="auto"/>
                <w:szCs w:val="21"/>
                <w:highlight w:val="none"/>
              </w:rPr>
              <w:t>施工阶段和缺陷责任期阶段</w:t>
            </w:r>
            <w:r>
              <w:rPr>
                <w:rFonts w:hint="eastAsia" w:ascii="宋体" w:hAnsi="宋体" w:cs="宋体"/>
                <w:color w:val="auto"/>
                <w:szCs w:val="21"/>
                <w:highlight w:val="none"/>
                <w:lang w:val="en-US" w:eastAsia="zh-CN"/>
              </w:rPr>
              <w:t>的</w:t>
            </w:r>
            <w:r>
              <w:rPr>
                <w:rFonts w:hint="eastAsia" w:ascii="宋体" w:hAnsi="宋体" w:cs="宋体"/>
                <w:color w:val="auto"/>
                <w:szCs w:val="21"/>
                <w:highlight w:val="none"/>
              </w:rPr>
              <w:t>监</w:t>
            </w:r>
            <w:r>
              <w:rPr>
                <w:rFonts w:hint="eastAsia" w:ascii="宋体" w:hAnsi="宋体" w:cs="宋体"/>
                <w:color w:val="auto"/>
                <w:szCs w:val="21"/>
                <w:highlight w:val="none"/>
                <w:lang w:eastAsia="zh-CN"/>
              </w:rPr>
              <w:t>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项目内容</w:t>
            </w:r>
          </w:p>
        </w:tc>
        <w:tc>
          <w:tcPr>
            <w:tcW w:w="6019" w:type="dxa"/>
          </w:tcPr>
          <w:p>
            <w:pPr>
              <w:pStyle w:val="18"/>
              <w:adjustRightInd w:val="0"/>
              <w:snapToGrid w:val="0"/>
              <w:spacing w:line="400" w:lineRule="exact"/>
              <w:ind w:firstLine="420" w:firstLineChars="200"/>
              <w:rPr>
                <w:rFonts w:hint="default" w:ascii="宋体" w:hAnsi="宋体" w:cs="宋体" w:eastAsiaTheme="minorEastAsia"/>
                <w:color w:val="auto"/>
                <w:szCs w:val="21"/>
                <w:highlight w:val="none"/>
                <w:lang w:val="en-US" w:eastAsia="zh-CN"/>
              </w:rPr>
            </w:pPr>
            <w:r>
              <w:rPr>
                <w:rFonts w:hint="eastAsia" w:ascii="宋体" w:hAnsi="宋体" w:cs="宋体" w:eastAsiaTheme="minorEastAsia"/>
                <w:color w:val="auto"/>
                <w:szCs w:val="21"/>
                <w:highlight w:val="none"/>
                <w:lang w:val="zh-CN" w:eastAsia="zh-CN"/>
              </w:rPr>
              <w:t>本项目包括北站东广场地块A、地块B场地平整约54893㎡，其中地块A约19480㎡，地块B约35413 ㎡，</w:t>
            </w:r>
            <w:r>
              <w:rPr>
                <w:rFonts w:hint="eastAsia" w:ascii="宋体" w:hAnsi="宋体" w:cs="宋体" w:eastAsiaTheme="minorEastAsia"/>
                <w:color w:val="auto"/>
                <w:szCs w:val="21"/>
                <w:highlight w:val="none"/>
                <w:lang w:val="zh-CN"/>
              </w:rPr>
              <w:t>包括场地平整工程、给排水工程（含地块A、B内给排水及片区临时排水工程）、临时道路及交通工程</w:t>
            </w:r>
            <w:r>
              <w:rPr>
                <w:rFonts w:hint="eastAsia" w:ascii="宋体" w:hAnsi="宋体" w:cs="宋体" w:eastAsiaTheme="minorEastAsia"/>
                <w:color w:val="auto"/>
                <w:szCs w:val="21"/>
                <w:highlight w:val="none"/>
                <w:lang w:val="zh-CN" w:eastAsia="zh-CN"/>
              </w:rPr>
              <w:t>等内</w:t>
            </w:r>
            <w:r>
              <w:rPr>
                <w:rFonts w:hint="eastAsia" w:ascii="宋体" w:hAnsi="宋体" w:cs="宋体" w:eastAsiaTheme="minorEastAsia"/>
                <w:color w:val="auto"/>
                <w:kern w:val="2"/>
                <w:sz w:val="21"/>
                <w:szCs w:val="21"/>
                <w:highlight w:val="none"/>
                <w:rtl w:val="0"/>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资金来源</w:t>
            </w:r>
          </w:p>
        </w:tc>
        <w:tc>
          <w:tcPr>
            <w:tcW w:w="6019" w:type="dxa"/>
            <w:shd w:val="clear" w:color="auto" w:fill="FFFFFF" w:themeFill="background1"/>
          </w:tcPr>
          <w:p>
            <w:pPr>
              <w:ind w:right="-3"/>
              <w:jc w:val="left"/>
              <w:rPr>
                <w:rFonts w:hint="eastAsia" w:ascii="宋体" w:hAnsi="宋体" w:eastAsia="宋体" w:cs="宋体"/>
                <w:color w:val="auto"/>
                <w:szCs w:val="21"/>
                <w:highlight w:val="none"/>
                <w:lang w:eastAsia="zh-CN"/>
              </w:rPr>
            </w:pPr>
            <w:r>
              <w:rPr>
                <w:color w:val="auto"/>
                <w:szCs w:val="21"/>
                <w:highlight w:val="none"/>
                <w:u w:val="none"/>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计费方式</w:t>
            </w:r>
          </w:p>
        </w:tc>
        <w:tc>
          <w:tcPr>
            <w:tcW w:w="6019" w:type="dxa"/>
          </w:tcPr>
          <w:p>
            <w:pPr>
              <w:numPr>
                <w:ilvl w:val="-1"/>
                <w:numId w:val="0"/>
              </w:numPr>
              <w:ind w:right="-3"/>
              <w:jc w:val="left"/>
              <w:rPr>
                <w:rFonts w:hint="eastAsia" w:ascii="宋体" w:hAnsi="宋体" w:eastAsia="宋体" w:cs="宋体"/>
                <w:color w:val="auto"/>
                <w:szCs w:val="21"/>
                <w:highlight w:val="none"/>
                <w:lang w:eastAsia="zh-CN"/>
              </w:rPr>
            </w:pPr>
            <w:r>
              <w:rPr>
                <w:rFonts w:hint="eastAsia" w:ascii="宋体" w:hAnsi="宋体" w:eastAsia="宋体"/>
                <w:color w:val="auto"/>
                <w:sz w:val="21"/>
                <w:szCs w:val="21"/>
                <w:highlight w:val="none"/>
                <w:lang w:val="en-US" w:eastAsia="zh-CN"/>
              </w:rPr>
              <w:t>监理服务费为上限控制价乘以（1-</w:t>
            </w:r>
            <w:r>
              <w:rPr>
                <w:rFonts w:hint="eastAsia" w:ascii="宋体" w:hAnsi="宋体" w:eastAsia="宋体"/>
                <w:color w:val="auto"/>
                <w:sz w:val="21"/>
                <w:szCs w:val="21"/>
                <w:highlight w:val="none"/>
              </w:rPr>
              <w:t>监理人中标的</w:t>
            </w:r>
            <w:r>
              <w:rPr>
                <w:rFonts w:hint="eastAsia" w:ascii="宋体" w:hAnsi="宋体" w:eastAsia="宋体"/>
                <w:color w:val="auto"/>
                <w:sz w:val="21"/>
                <w:szCs w:val="21"/>
                <w:highlight w:val="none"/>
                <w:lang w:val="en-US" w:eastAsia="zh-CN"/>
              </w:rPr>
              <w:t>下浮系数）</w:t>
            </w:r>
            <w:r>
              <w:rPr>
                <w:rFonts w:hint="eastAsia" w:ascii="宋体" w:hAnsi="宋体"/>
                <w:color w:val="auto"/>
                <w:sz w:val="21"/>
                <w:szCs w:val="21"/>
                <w:highlight w:val="none"/>
                <w:lang w:eastAsia="zh-CN"/>
              </w:rPr>
              <w:t>，</w:t>
            </w:r>
            <w:r>
              <w:rPr>
                <w:rFonts w:hint="eastAsia" w:ascii="宋体" w:hAnsi="宋体" w:cs="宋体"/>
                <w:color w:val="auto"/>
                <w:szCs w:val="21"/>
                <w:highlight w:val="none"/>
              </w:rPr>
              <w:t>采用总价包干，费用不予调整</w:t>
            </w:r>
            <w:r>
              <w:rPr>
                <w:rFonts w:hint="eastAsia" w:ascii="宋体" w:hAnsi="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上限控制价</w:t>
            </w:r>
          </w:p>
        </w:tc>
        <w:tc>
          <w:tcPr>
            <w:tcW w:w="6019" w:type="dxa"/>
            <w:vAlign w:val="center"/>
          </w:tcPr>
          <w:p>
            <w:pPr>
              <w:numPr>
                <w:ilvl w:val="0"/>
                <w:numId w:val="0"/>
              </w:numPr>
              <w:ind w:right="-3"/>
              <w:jc w:val="left"/>
              <w:rPr>
                <w:rFonts w:hint="eastAsia" w:ascii="宋体" w:hAnsi="宋体" w:eastAsia="宋体"/>
                <w:color w:val="auto"/>
                <w:szCs w:val="21"/>
                <w:highlight w:val="none"/>
                <w:lang w:val="en-US" w:eastAsia="zh-CN"/>
              </w:rPr>
            </w:pPr>
            <w:r>
              <w:rPr>
                <w:rFonts w:hint="eastAsia" w:ascii="宋体" w:hAnsi="宋体" w:eastAsia="宋体"/>
                <w:color w:val="auto"/>
                <w:kern w:val="2"/>
                <w:szCs w:val="21"/>
                <w:highlight w:val="none"/>
                <w:u w:val="none"/>
                <w:lang w:val="en-US" w:eastAsia="zh-CN"/>
              </w:rPr>
              <w:t>（1）监理服务费</w:t>
            </w:r>
            <w:r>
              <w:rPr>
                <w:rFonts w:hint="eastAsia" w:ascii="宋体" w:hAnsi="宋体" w:eastAsia="宋体" w:cstheme="minorBidi"/>
                <w:color w:val="auto"/>
                <w:szCs w:val="21"/>
                <w:highlight w:val="none"/>
              </w:rPr>
              <w:t>上限控制价</w:t>
            </w:r>
            <w:r>
              <w:rPr>
                <w:rFonts w:hint="eastAsia" w:ascii="宋体" w:hAnsi="宋体" w:eastAsia="宋体" w:cstheme="minorBidi"/>
                <w:color w:val="auto"/>
                <w:szCs w:val="21"/>
                <w:highlight w:val="none"/>
                <w:lang w:val="en-US" w:eastAsia="zh-CN"/>
              </w:rPr>
              <w:t>为</w:t>
            </w:r>
            <w:r>
              <w:rPr>
                <w:rFonts w:hint="eastAsia" w:ascii="宋体" w:hAnsi="宋体" w:eastAsia="宋体"/>
                <w:color w:val="auto"/>
                <w:szCs w:val="21"/>
                <w:highlight w:val="none"/>
                <w:lang w:val="en-US" w:eastAsia="zh-CN"/>
              </w:rPr>
              <w:t>48.978</w:t>
            </w:r>
            <w:r>
              <w:rPr>
                <w:rFonts w:hint="eastAsia" w:ascii="宋体" w:hAnsi="宋体" w:eastAsia="宋体" w:cstheme="minorBidi"/>
                <w:color w:val="auto"/>
                <w:szCs w:val="21"/>
                <w:highlight w:val="none"/>
                <w:lang w:val="en-US" w:eastAsia="zh-CN"/>
              </w:rPr>
              <w:t>万元</w:t>
            </w:r>
          </w:p>
          <w:p>
            <w:pPr>
              <w:numPr>
                <w:ilvl w:val="0"/>
                <w:numId w:val="0"/>
              </w:numPr>
              <w:ind w:right="-3"/>
              <w:jc w:val="left"/>
              <w:rPr>
                <w:rFonts w:hint="eastAsia" w:ascii="宋体" w:hAnsi="宋体" w:eastAsia="宋体"/>
                <w:bCs w:val="0"/>
                <w:color w:val="auto"/>
                <w:szCs w:val="21"/>
                <w:highlight w:val="none"/>
              </w:rPr>
            </w:pPr>
            <w:r>
              <w:rPr>
                <w:rFonts w:hint="eastAsia" w:ascii="宋体" w:hAnsi="宋体" w:eastAsia="宋体"/>
                <w:color w:val="auto"/>
                <w:szCs w:val="21"/>
                <w:highlight w:val="none"/>
                <w:lang w:eastAsia="zh-CN"/>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lang w:eastAsia="zh-CN"/>
              </w:rPr>
              <w:t>）比选申请</w:t>
            </w:r>
            <w:r>
              <w:rPr>
                <w:rFonts w:hint="eastAsia" w:ascii="宋体" w:hAnsi="宋体" w:eastAsia="宋体"/>
                <w:color w:val="auto"/>
                <w:szCs w:val="21"/>
                <w:highlight w:val="none"/>
              </w:rPr>
              <w:t>人应结合自身因素进行竞争性报价，但不得超出</w:t>
            </w:r>
            <w:r>
              <w:rPr>
                <w:rFonts w:hint="eastAsia" w:ascii="宋体" w:hAnsi="宋体" w:eastAsia="宋体"/>
                <w:color w:val="auto"/>
                <w:szCs w:val="21"/>
                <w:highlight w:val="none"/>
                <w:lang w:val="en-US" w:eastAsia="zh-CN"/>
              </w:rPr>
              <w:t>上限</w:t>
            </w:r>
            <w:r>
              <w:rPr>
                <w:rFonts w:hint="eastAsia" w:ascii="宋体" w:hAnsi="宋体" w:eastAsia="宋体"/>
                <w:color w:val="auto"/>
                <w:szCs w:val="21"/>
                <w:highlight w:val="none"/>
              </w:rPr>
              <w:t>控制价范围，否则报价无效，做否决投标处理。</w:t>
            </w:r>
          </w:p>
          <w:p>
            <w:pPr>
              <w:ind w:right="-3" w:firstLine="0" w:firstLineChars="0"/>
              <w:jc w:val="left"/>
              <w:rPr>
                <w:rFonts w:ascii="宋体" w:hAnsi="宋体" w:cs="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w:t>
            </w:r>
            <w:r>
              <w:rPr>
                <w:rFonts w:hint="eastAsia" w:ascii="宋体" w:hAnsi="宋体" w:eastAsia="宋体"/>
                <w:bCs w:val="0"/>
                <w:color w:val="auto"/>
                <w:szCs w:val="21"/>
                <w:highlight w:val="none"/>
              </w:rPr>
              <w:t>施工监理服务收费在施工监理服务收费</w:t>
            </w:r>
            <w:r>
              <w:rPr>
                <w:rFonts w:hint="eastAsia" w:ascii="宋体" w:hAnsi="宋体" w:eastAsia="宋体"/>
                <w:bCs w:val="0"/>
                <w:color w:val="auto"/>
                <w:szCs w:val="21"/>
                <w:highlight w:val="none"/>
                <w:lang w:val="en-US" w:eastAsia="zh-CN"/>
              </w:rPr>
              <w:t>上限控制</w:t>
            </w:r>
            <w:r>
              <w:rPr>
                <w:rFonts w:hint="eastAsia" w:ascii="宋体" w:hAnsi="宋体" w:eastAsia="宋体"/>
                <w:bCs w:val="0"/>
                <w:color w:val="auto"/>
                <w:szCs w:val="21"/>
                <w:highlight w:val="none"/>
              </w:rPr>
              <w:t>价的基础上可以下浮，但下浮幅度不得超过</w:t>
            </w:r>
            <w:r>
              <w:rPr>
                <w:rFonts w:hint="eastAsia" w:ascii="宋体" w:hAnsi="宋体" w:eastAsia="宋体"/>
                <w:bCs w:val="0"/>
                <w:color w:val="auto"/>
                <w:szCs w:val="21"/>
                <w:highlight w:val="none"/>
                <w:lang w:val="en-US" w:eastAsia="zh-CN"/>
              </w:rPr>
              <w:t>1</w:t>
            </w:r>
            <w:r>
              <w:rPr>
                <w:rFonts w:hint="eastAsia" w:ascii="宋体" w:hAnsi="宋体" w:eastAsia="宋体"/>
                <w:bCs w:val="0"/>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报价方式</w:t>
            </w:r>
          </w:p>
        </w:tc>
        <w:tc>
          <w:tcPr>
            <w:tcW w:w="6019" w:type="dxa"/>
            <w:vAlign w:val="center"/>
          </w:tcPr>
          <w:p>
            <w:pPr>
              <w:numPr>
                <w:ilvl w:val="0"/>
                <w:numId w:val="2"/>
              </w:numPr>
              <w:ind w:right="-3"/>
              <w:jc w:val="left"/>
              <w:rPr>
                <w:bCs/>
                <w:color w:val="auto"/>
                <w:szCs w:val="21"/>
                <w:highlight w:val="none"/>
              </w:rPr>
            </w:pPr>
            <w:r>
              <w:rPr>
                <w:rFonts w:hint="eastAsia"/>
                <w:bCs/>
                <w:color w:val="auto"/>
                <w:szCs w:val="21"/>
                <w:highlight w:val="none"/>
                <w:lang w:eastAsia="zh-CN"/>
              </w:rPr>
              <w:t>比选申请</w:t>
            </w:r>
            <w:r>
              <w:rPr>
                <w:bCs/>
                <w:color w:val="auto"/>
                <w:szCs w:val="21"/>
                <w:highlight w:val="none"/>
              </w:rPr>
              <w:t>人应当按照《建设工程监理与相关服务收费管理规定》发改价格[2007]670号文件要求，</w:t>
            </w:r>
            <w:r>
              <w:rPr>
                <w:color w:val="auto"/>
                <w:szCs w:val="21"/>
                <w:highlight w:val="none"/>
              </w:rPr>
              <w:t>根据所投监理项目的工程规模</w:t>
            </w:r>
            <w:r>
              <w:rPr>
                <w:bCs/>
                <w:color w:val="auto"/>
                <w:szCs w:val="21"/>
                <w:highlight w:val="none"/>
              </w:rPr>
              <w:t>、监理范围、工作内容、监理难度、工作条件、自身实力和风险因素，充分考虑市场竞争情况，进行监理服务收费的投标报价。</w:t>
            </w:r>
          </w:p>
          <w:p>
            <w:pPr>
              <w:spacing w:line="240" w:lineRule="auto"/>
              <w:ind w:right="-3"/>
              <w:jc w:val="left"/>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2</w:t>
            </w:r>
            <w:r>
              <w:rPr>
                <w:rFonts w:hint="eastAsia" w:hAnsi="宋体"/>
                <w:color w:val="auto"/>
                <w:highlight w:val="none"/>
              </w:rPr>
              <w:t>）报价方式：</w:t>
            </w:r>
          </w:p>
          <w:p>
            <w:pPr>
              <w:ind w:right="0"/>
              <w:jc w:val="left"/>
              <w:rPr>
                <w:bCs/>
                <w:color w:val="auto"/>
                <w:szCs w:val="21"/>
                <w:highlight w:val="none"/>
              </w:rPr>
            </w:pPr>
            <w:r>
              <w:rPr>
                <w:rFonts w:hint="eastAsia" w:hAnsi="宋体"/>
                <w:color w:val="auto"/>
                <w:highlight w:val="none"/>
              </w:rPr>
              <w:t>浮动幅度值报价方式，监理费=</w:t>
            </w:r>
            <w:r>
              <w:rPr>
                <w:rFonts w:hint="eastAsia"/>
                <w:bCs/>
                <w:color w:val="auto"/>
                <w:szCs w:val="21"/>
                <w:highlight w:val="none"/>
                <w:lang w:val="en-US" w:eastAsia="zh-CN"/>
              </w:rPr>
              <w:t>上限控制</w:t>
            </w:r>
            <w:r>
              <w:rPr>
                <w:bCs/>
                <w:color w:val="auto"/>
                <w:szCs w:val="21"/>
                <w:highlight w:val="none"/>
              </w:rPr>
              <w:t>价</w:t>
            </w:r>
            <w:r>
              <w:rPr>
                <w:rFonts w:hint="eastAsia" w:hAnsi="宋体"/>
                <w:color w:val="auto"/>
                <w:highlight w:val="none"/>
              </w:rPr>
              <w:t>×（1—</w:t>
            </w:r>
            <w:r>
              <w:rPr>
                <w:rFonts w:hint="eastAsia" w:hAnsi="宋体"/>
                <w:color w:val="auto"/>
                <w:highlight w:val="none"/>
                <w:lang w:eastAsia="zh-CN"/>
              </w:rPr>
              <w:t>下浮</w:t>
            </w:r>
            <w:r>
              <w:rPr>
                <w:rFonts w:hint="eastAsia" w:hAnsi="宋体"/>
                <w:color w:val="auto"/>
                <w:highlight w:val="none"/>
              </w:rPr>
              <w:t>系数）</w:t>
            </w:r>
          </w:p>
          <w:p>
            <w:pPr>
              <w:ind w:right="-3"/>
              <w:jc w:val="left"/>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合同期限</w:t>
            </w:r>
          </w:p>
        </w:tc>
        <w:tc>
          <w:tcPr>
            <w:tcW w:w="6019" w:type="dxa"/>
            <w:vAlign w:val="center"/>
          </w:tcPr>
          <w:p>
            <w:pPr>
              <w:ind w:right="-3"/>
              <w:jc w:val="left"/>
              <w:rPr>
                <w:rFonts w:ascii="宋体" w:hAnsi="宋体" w:cs="宋体"/>
                <w:color w:val="auto"/>
                <w:szCs w:val="21"/>
                <w:highlight w:val="none"/>
              </w:rPr>
            </w:pPr>
            <w:r>
              <w:rPr>
                <w:rFonts w:hint="eastAsia" w:ascii="宋体" w:hAnsi="宋体"/>
                <w:color w:val="auto"/>
                <w:highlight w:val="none"/>
                <w:lang w:val="zh-CN"/>
              </w:rPr>
              <w:t>自合同签订之日起</w:t>
            </w:r>
            <w:r>
              <w:rPr>
                <w:rFonts w:hint="eastAsia" w:ascii="宋体" w:hAnsi="宋体"/>
                <w:color w:val="auto"/>
                <w:highlight w:val="none"/>
                <w:lang w:val="zh-CN" w:eastAsia="zh-CN"/>
              </w:rPr>
              <w:t>至</w:t>
            </w:r>
            <w:r>
              <w:rPr>
                <w:rFonts w:hint="eastAsia" w:ascii="宋体" w:hAnsi="宋体" w:cs="宋体"/>
                <w:color w:val="auto"/>
                <w:szCs w:val="21"/>
                <w:highlight w:val="none"/>
                <w:lang w:val="en-US" w:eastAsia="zh-CN"/>
              </w:rPr>
              <w:t>南宁北站东片区市政配套工程</w:t>
            </w:r>
            <w:r>
              <w:rPr>
                <w:rFonts w:hint="eastAsia" w:ascii="宋体" w:hAnsi="宋体"/>
                <w:color w:val="auto"/>
                <w:highlight w:val="none"/>
                <w:lang w:val="zh-CN"/>
              </w:rPr>
              <w:t>缺陷责任期结束止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9</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比选申请人资格要求</w:t>
            </w:r>
          </w:p>
        </w:tc>
        <w:tc>
          <w:tcPr>
            <w:tcW w:w="6019" w:type="dxa"/>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lang w:val="zh-CN" w:eastAsia="zh-CN"/>
              </w:rPr>
              <w:t>工程监理综合资质或</w:t>
            </w:r>
            <w:r>
              <w:rPr>
                <w:rFonts w:hint="eastAsia" w:ascii="宋体" w:hAnsi="宋体" w:cs="宋体"/>
                <w:color w:val="auto"/>
                <w:szCs w:val="21"/>
                <w:highlight w:val="none"/>
                <w:lang w:val="en-US" w:eastAsia="zh-CN"/>
              </w:rPr>
              <w:t>市政</w:t>
            </w:r>
            <w:r>
              <w:rPr>
                <w:rFonts w:hint="eastAsia" w:ascii="宋体" w:hAnsi="宋体" w:cs="宋体"/>
                <w:color w:val="auto"/>
                <w:szCs w:val="21"/>
                <w:highlight w:val="none"/>
                <w:lang w:val="zh-CN" w:eastAsia="zh-CN"/>
              </w:rPr>
              <w:t>工程监理</w:t>
            </w:r>
            <w:r>
              <w:rPr>
                <w:rFonts w:hint="eastAsia" w:ascii="宋体" w:hAnsi="宋体" w:cs="宋体"/>
                <w:color w:val="auto"/>
                <w:szCs w:val="21"/>
                <w:highlight w:val="none"/>
                <w:lang w:val="en-US" w:eastAsia="zh-CN"/>
              </w:rPr>
              <w:t>乙</w:t>
            </w:r>
            <w:r>
              <w:rPr>
                <w:rFonts w:hint="eastAsia" w:ascii="宋体" w:hAnsi="宋体" w:cs="宋体"/>
                <w:color w:val="auto"/>
                <w:szCs w:val="21"/>
                <w:highlight w:val="none"/>
                <w:lang w:val="zh-CN" w:eastAsia="zh-CN"/>
              </w:rPr>
              <w:t>级及以上资质，</w:t>
            </w:r>
            <w:r>
              <w:rPr>
                <w:rFonts w:hint="eastAsia" w:ascii="宋体" w:hAnsi="宋体" w:cs="宋体"/>
                <w:color w:val="auto"/>
                <w:szCs w:val="21"/>
                <w:highlight w:val="none"/>
                <w:lang w:val="en-US" w:eastAsia="zh-CN"/>
              </w:rPr>
              <w:t>且为2022年度南宁市本级政府投资工程监理项目定点监理单位公开征集入围供应商</w:t>
            </w:r>
            <w:r>
              <w:rPr>
                <w:rFonts w:hint="eastAsia" w:ascii="宋体" w:hAnsi="宋体" w:cs="宋体"/>
                <w:color w:val="auto"/>
                <w:sz w:val="21"/>
                <w:szCs w:val="21"/>
                <w:highlight w:val="none"/>
                <w:u w:val="none"/>
                <w:lang w:val="en-US" w:eastAsia="zh-CN"/>
              </w:rPr>
              <w:t>（市政公用工程）</w:t>
            </w:r>
            <w:r>
              <w:rPr>
                <w:rFonts w:hint="eastAsia" w:ascii="宋体" w:hAnsi="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获取比选文件的时间、地点、方式及比选文件售价</w:t>
            </w:r>
          </w:p>
        </w:tc>
        <w:tc>
          <w:tcPr>
            <w:tcW w:w="6019" w:type="dxa"/>
            <w:vAlign w:val="center"/>
          </w:tcPr>
          <w:p>
            <w:pPr>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时间：</w:t>
            </w:r>
            <w:r>
              <w:rPr>
                <w:rFonts w:hint="eastAsia" w:ascii="宋体" w:hAnsi="宋体" w:cs="宋体"/>
                <w:color w:val="auto"/>
                <w:szCs w:val="21"/>
                <w:highlight w:val="none"/>
                <w:lang w:val="en-US" w:eastAsia="zh-CN"/>
              </w:rPr>
              <w:t>2022年 11 月 10  日</w:t>
            </w:r>
          </w:p>
          <w:p>
            <w:pPr>
              <w:jc w:val="left"/>
              <w:rPr>
                <w:rFonts w:ascii="宋体" w:hAnsi="宋体" w:cs="宋体"/>
                <w:color w:val="auto"/>
                <w:szCs w:val="21"/>
                <w:highlight w:val="none"/>
              </w:rPr>
            </w:pPr>
            <w:r>
              <w:rPr>
                <w:rFonts w:hint="eastAsia" w:ascii="宋体" w:hAnsi="宋体" w:cs="宋体"/>
                <w:color w:val="auto"/>
                <w:szCs w:val="21"/>
                <w:highlight w:val="none"/>
              </w:rPr>
              <w:t>地点：</w:t>
            </w:r>
            <w:r>
              <w:rPr>
                <w:rFonts w:hint="eastAsia" w:ascii="宋体" w:hAnsi="宋体" w:cs="宋体"/>
                <w:color w:val="auto"/>
                <w:sz w:val="21"/>
                <w:szCs w:val="21"/>
                <w:highlight w:val="none"/>
                <w:shd w:val="clear" w:color="auto" w:fill="auto"/>
              </w:rPr>
              <w:t>南宁轨道交通集团有限责任公司官网www.nngdjt.com招标招商中的招标公告处</w:t>
            </w:r>
          </w:p>
          <w:p>
            <w:pPr>
              <w:ind w:left="210" w:hanging="210" w:hangingChars="100"/>
              <w:jc w:val="left"/>
              <w:rPr>
                <w:rFonts w:ascii="宋体" w:hAnsi="宋体" w:cs="宋体"/>
                <w:color w:val="auto"/>
                <w:szCs w:val="21"/>
                <w:highlight w:val="none"/>
              </w:rPr>
            </w:pPr>
            <w:r>
              <w:rPr>
                <w:rFonts w:hint="eastAsia" w:ascii="宋体" w:hAnsi="宋体" w:cs="宋体"/>
                <w:color w:val="auto"/>
                <w:szCs w:val="21"/>
                <w:highlight w:val="none"/>
              </w:rPr>
              <w:t>方式：</w:t>
            </w:r>
            <w:r>
              <w:rPr>
                <w:rFonts w:hint="eastAsia" w:ascii="宋体" w:hAnsi="宋体" w:cs="宋体"/>
                <w:color w:val="auto"/>
                <w:sz w:val="21"/>
                <w:szCs w:val="21"/>
                <w:highlight w:val="none"/>
                <w:shd w:val="clear" w:color="auto" w:fill="auto"/>
              </w:rPr>
              <w:t>本项目实行网上发售电子版比选文件，不再出售纸质比选文件。比选文件售卖时间为年月日时分至年月日时分（北京时间，下同），凡有意参与的潜在比选申请人，</w:t>
            </w:r>
            <w:r>
              <w:rPr>
                <w:rFonts w:hint="eastAsia" w:ascii="宋体" w:hAnsi="宋体" w:cs="宋体"/>
                <w:color w:val="auto"/>
                <w:szCs w:val="21"/>
                <w:highlight w:val="none"/>
              </w:rPr>
              <w:t>请登录南宁轨道交通集团有限责任公司官网(</w:t>
            </w:r>
            <w:r>
              <w:rPr>
                <w:rFonts w:ascii="宋体" w:hAnsi="宋体" w:cs="宋体"/>
                <w:color w:val="auto"/>
                <w:szCs w:val="21"/>
                <w:highlight w:val="none"/>
              </w:rPr>
              <w:t>http://www.nngdjt.com/</w:t>
            </w:r>
            <w:r>
              <w:rPr>
                <w:rFonts w:hint="eastAsia" w:ascii="宋体" w:hAnsi="宋体" w:cs="宋体"/>
                <w:color w:val="auto"/>
                <w:szCs w:val="21"/>
                <w:highlight w:val="none"/>
              </w:rPr>
              <w:t>)的招标招商中的招标公告处下载比选文件。</w:t>
            </w:r>
          </w:p>
          <w:p>
            <w:pPr>
              <w:jc w:val="left"/>
              <w:rPr>
                <w:rFonts w:ascii="宋体" w:hAnsi="宋体" w:cs="宋体"/>
                <w:color w:val="auto"/>
                <w:szCs w:val="21"/>
                <w:highlight w:val="none"/>
              </w:rPr>
            </w:pPr>
            <w:r>
              <w:rPr>
                <w:rFonts w:hint="eastAsia" w:ascii="宋体" w:hAnsi="宋体" w:cs="宋体"/>
                <w:color w:val="auto"/>
                <w:szCs w:val="21"/>
                <w:highlight w:val="none"/>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比选有效期 </w:t>
            </w:r>
          </w:p>
        </w:tc>
        <w:tc>
          <w:tcPr>
            <w:tcW w:w="6019" w:type="dxa"/>
            <w:vAlign w:val="center"/>
          </w:tcPr>
          <w:p>
            <w:pPr>
              <w:ind w:right="753"/>
              <w:jc w:val="left"/>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lang w:val="en-US" w:eastAsia="zh-CN"/>
              </w:rPr>
              <w:t>60</w:t>
            </w:r>
            <w:r>
              <w:rPr>
                <w:rFonts w:hint="eastAsia" w:ascii="宋体" w:hAnsi="宋体" w:cs="宋体"/>
                <w:color w:val="auto"/>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比选申请文件份数</w:t>
            </w:r>
          </w:p>
        </w:tc>
        <w:tc>
          <w:tcPr>
            <w:tcW w:w="6019" w:type="dxa"/>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纸质版一式</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份，其中正本一份、副本</w:t>
            </w:r>
            <w:r>
              <w:rPr>
                <w:rFonts w:hint="eastAsia" w:ascii="宋体" w:hAnsi="宋体" w:cs="宋体"/>
                <w:color w:val="auto"/>
                <w:szCs w:val="21"/>
                <w:highlight w:val="none"/>
                <w:lang w:val="en-US" w:eastAsia="zh-CN"/>
              </w:rPr>
              <w:t>两</w:t>
            </w:r>
            <w:r>
              <w:rPr>
                <w:rFonts w:hint="eastAsia" w:ascii="宋体" w:hAnsi="宋体" w:cs="宋体"/>
                <w:color w:val="auto"/>
                <w:szCs w:val="21"/>
                <w:highlight w:val="none"/>
              </w:rPr>
              <w:t>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13</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比选申请文件递交地址</w:t>
            </w:r>
          </w:p>
        </w:tc>
        <w:tc>
          <w:tcPr>
            <w:tcW w:w="6019" w:type="dxa"/>
            <w:vAlign w:val="center"/>
          </w:tcPr>
          <w:p>
            <w:pPr>
              <w:pStyle w:val="12"/>
              <w:widowControl/>
              <w:pBdr>
                <w:top w:val="none" w:color="auto" w:sz="0" w:space="0"/>
                <w:left w:val="none" w:color="auto" w:sz="0" w:space="0"/>
                <w:bottom w:val="none" w:color="auto" w:sz="0" w:space="0"/>
                <w:right w:val="none" w:color="auto" w:sz="0" w:space="0"/>
              </w:pBdr>
              <w:shd w:val="clear" w:color="auto" w:fill="FFFFFF"/>
              <w:spacing w:line="300" w:lineRule="auto"/>
              <w:ind w:right="0"/>
              <w:rPr>
                <w:rFonts w:hint="default" w:ascii="宋体" w:hAnsi="宋体" w:cs="宋体" w:eastAsiaTheme="minorEastAsia"/>
                <w:color w:val="auto"/>
                <w:szCs w:val="21"/>
                <w:highlight w:val="none"/>
                <w:lang w:val="en-US" w:eastAsia="zh-CN"/>
              </w:rPr>
            </w:pPr>
            <w:r>
              <w:rPr>
                <w:rFonts w:hint="eastAsia" w:ascii="宋体" w:hAnsi="宋体" w:cs="宋体"/>
                <w:color w:val="auto"/>
                <w:kern w:val="2"/>
                <w:sz w:val="21"/>
                <w:szCs w:val="21"/>
                <w:highlight w:val="none"/>
                <w:lang w:bidi="ar-SA"/>
              </w:rPr>
              <w:t>地点：</w:t>
            </w:r>
            <w:r>
              <w:rPr>
                <w:rFonts w:hint="eastAsia" w:ascii="宋体" w:hAnsi="宋体" w:cs="宋体" w:eastAsiaTheme="minorEastAsia"/>
                <w:color w:val="auto"/>
                <w:kern w:val="2"/>
                <w:sz w:val="21"/>
                <w:szCs w:val="21"/>
                <w:highlight w:val="none"/>
                <w:lang w:val="en-US" w:eastAsia="zh-CN" w:bidi="ar-SA"/>
              </w:rPr>
              <w:t>南宁市青秀区云景路69号轨道大厦A2办公楼前大门门岗（即临靠云景路正大门门岗）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14</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比选申请文件递交日期 </w:t>
            </w:r>
          </w:p>
        </w:tc>
        <w:tc>
          <w:tcPr>
            <w:tcW w:w="6019" w:type="dxa"/>
            <w:shd w:val="clear" w:color="auto" w:fill="FFFFFF" w:themeFill="background1"/>
            <w:vAlign w:val="center"/>
          </w:tcPr>
          <w:p>
            <w:pPr>
              <w:ind w:right="753"/>
              <w:jc w:val="left"/>
              <w:rPr>
                <w:rFonts w:hint="default" w:ascii="宋体" w:hAnsi="宋体" w:cs="宋体"/>
                <w:color w:val="auto"/>
                <w:szCs w:val="21"/>
                <w:highlight w:val="none"/>
                <w:lang w:val="en-US"/>
              </w:rPr>
            </w:pP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lang w:val="en-US" w:eastAsia="zh-CN"/>
              </w:rPr>
              <w:t>2022</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 xml:space="preserve"> 11 </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18 </w:t>
            </w:r>
            <w:r>
              <w:rPr>
                <w:rFonts w:hint="eastAsia" w:ascii="宋体" w:hAnsi="宋体" w:cs="宋体"/>
                <w:color w:val="auto"/>
                <w:szCs w:val="21"/>
                <w:highlight w:val="none"/>
                <w:lang w:eastAsia="zh-CN"/>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972" w:type="dxa"/>
            <w:shd w:val="clear" w:color="auto" w:fill="FFFFFF" w:themeFill="background1"/>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1736" w:type="dxa"/>
            <w:shd w:val="clear" w:color="auto" w:fill="FFFFFF" w:themeFill="background1"/>
            <w:vAlign w:val="center"/>
          </w:tcPr>
          <w:p>
            <w:pPr>
              <w:jc w:val="left"/>
              <w:rPr>
                <w:rFonts w:ascii="宋体" w:hAnsi="宋体" w:cs="宋体"/>
                <w:color w:val="auto"/>
                <w:szCs w:val="21"/>
                <w:highlight w:val="none"/>
              </w:rPr>
            </w:pPr>
            <w:r>
              <w:rPr>
                <w:rFonts w:hint="eastAsia" w:ascii="宋体" w:hAnsi="宋体" w:cs="宋体"/>
                <w:color w:val="auto"/>
                <w:szCs w:val="21"/>
                <w:highlight w:val="none"/>
              </w:rPr>
              <w:t xml:space="preserve">比选时间、地点          </w:t>
            </w:r>
          </w:p>
        </w:tc>
        <w:tc>
          <w:tcPr>
            <w:tcW w:w="6019" w:type="dxa"/>
            <w:shd w:val="clear" w:color="auto" w:fill="FFFFFF" w:themeFill="background1"/>
            <w:vAlign w:val="center"/>
          </w:tcPr>
          <w:p>
            <w:pPr>
              <w:ind w:right="-3"/>
              <w:jc w:val="left"/>
              <w:rPr>
                <w:rFonts w:hint="eastAsia" w:ascii="宋体" w:hAnsi="宋体" w:cs="宋体"/>
                <w:color w:val="auto"/>
                <w:szCs w:val="21"/>
                <w:highlight w:val="none"/>
                <w:lang w:val="en-US"/>
              </w:rPr>
            </w:pPr>
            <w:r>
              <w:rPr>
                <w:rFonts w:hint="eastAsia" w:ascii="宋体" w:hAnsi="宋体" w:cs="宋体"/>
                <w:color w:val="auto"/>
                <w:szCs w:val="21"/>
                <w:highlight w:val="none"/>
              </w:rPr>
              <w:t>时间：</w:t>
            </w:r>
            <w:r>
              <w:rPr>
                <w:rFonts w:hint="eastAsia" w:ascii="宋体" w:hAnsi="宋体" w:cs="宋体"/>
                <w:color w:val="auto"/>
                <w:szCs w:val="21"/>
                <w:highlight w:val="none"/>
                <w:lang w:eastAsia="zh-CN"/>
              </w:rPr>
              <w:t xml:space="preserve"> </w:t>
            </w:r>
            <w:r>
              <w:rPr>
                <w:rFonts w:hint="eastAsia" w:ascii="宋体" w:hAnsi="宋体" w:cs="宋体"/>
                <w:color w:val="auto"/>
                <w:szCs w:val="21"/>
                <w:highlight w:val="none"/>
                <w:lang w:val="en-US" w:eastAsia="zh-CN"/>
              </w:rPr>
              <w:t>2022</w:t>
            </w:r>
            <w:r>
              <w:rPr>
                <w:rFonts w:hint="eastAsia" w:ascii="宋体" w:hAnsi="宋体" w:cs="宋体"/>
                <w:color w:val="auto"/>
                <w:szCs w:val="21"/>
                <w:highlight w:val="none"/>
                <w:lang w:eastAsia="zh-CN"/>
              </w:rPr>
              <w:t>年</w:t>
            </w:r>
            <w:r>
              <w:rPr>
                <w:rFonts w:hint="eastAsia" w:ascii="宋体" w:hAnsi="宋体" w:cs="宋体"/>
                <w:color w:val="auto"/>
                <w:szCs w:val="21"/>
                <w:highlight w:val="none"/>
                <w:lang w:val="en-US" w:eastAsia="zh-CN"/>
              </w:rPr>
              <w:t xml:space="preserve"> 11 </w:t>
            </w:r>
            <w:r>
              <w:rPr>
                <w:rFonts w:hint="eastAsia" w:ascii="宋体" w:hAnsi="宋体" w:cs="宋体"/>
                <w:color w:val="auto"/>
                <w:szCs w:val="21"/>
                <w:highlight w:val="none"/>
                <w:lang w:eastAsia="zh-CN"/>
              </w:rPr>
              <w:t>月</w:t>
            </w:r>
            <w:r>
              <w:rPr>
                <w:rFonts w:hint="eastAsia" w:ascii="宋体" w:hAnsi="宋体" w:cs="宋体"/>
                <w:color w:val="auto"/>
                <w:szCs w:val="21"/>
                <w:highlight w:val="none"/>
                <w:lang w:val="en-US" w:eastAsia="zh-CN"/>
              </w:rPr>
              <w:t xml:space="preserve"> 18 </w:t>
            </w:r>
            <w:r>
              <w:rPr>
                <w:rFonts w:hint="eastAsia" w:ascii="宋体" w:hAnsi="宋体" w:cs="宋体"/>
                <w:color w:val="auto"/>
                <w:szCs w:val="21"/>
                <w:highlight w:val="none"/>
                <w:lang w:eastAsia="zh-CN"/>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30</w:t>
            </w:r>
          </w:p>
          <w:p>
            <w:pPr>
              <w:ind w:right="-3"/>
              <w:jc w:val="left"/>
              <w:rPr>
                <w:rFonts w:hint="default" w:ascii="宋体" w:hAnsi="宋体" w:cs="宋体"/>
                <w:color w:val="auto"/>
                <w:szCs w:val="21"/>
                <w:highlight w:val="none"/>
                <w:lang w:val="en-US"/>
              </w:rPr>
            </w:pPr>
            <w:r>
              <w:rPr>
                <w:rFonts w:hint="eastAsia" w:ascii="宋体" w:hAnsi="宋体" w:cs="宋体"/>
                <w:color w:val="auto"/>
                <w:szCs w:val="21"/>
                <w:highlight w:val="none"/>
              </w:rPr>
              <w:t>地点：南宁市青秀区云景路69号轨道大厦</w:t>
            </w:r>
            <w:r>
              <w:rPr>
                <w:rFonts w:hint="eastAsia" w:ascii="宋体" w:hAnsi="宋体" w:cs="宋体"/>
                <w:color w:val="auto"/>
                <w:szCs w:val="21"/>
                <w:highlight w:val="none"/>
                <w:lang w:eastAsia="zh-CN"/>
              </w:rPr>
              <w:t>A2办公楼</w:t>
            </w:r>
            <w:r>
              <w:rPr>
                <w:rFonts w:hint="eastAsia" w:ascii="宋体" w:hAnsi="宋体" w:cs="宋体"/>
                <w:color w:val="auto"/>
                <w:szCs w:val="21"/>
                <w:highlight w:val="none"/>
                <w:lang w:val="en-US" w:eastAsia="zh-CN"/>
              </w:rPr>
              <w:t>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16</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评比办法</w:t>
            </w:r>
          </w:p>
        </w:tc>
        <w:tc>
          <w:tcPr>
            <w:tcW w:w="6019" w:type="dxa"/>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17</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中选通知</w:t>
            </w:r>
          </w:p>
        </w:tc>
        <w:tc>
          <w:tcPr>
            <w:tcW w:w="6019" w:type="dxa"/>
          </w:tcPr>
          <w:p>
            <w:pPr>
              <w:ind w:right="-3"/>
              <w:jc w:val="left"/>
              <w:rPr>
                <w:rFonts w:ascii="宋体" w:hAnsi="宋体" w:cs="宋体"/>
                <w:color w:val="auto"/>
                <w:szCs w:val="21"/>
                <w:highlight w:val="none"/>
              </w:rPr>
            </w:pPr>
            <w:r>
              <w:rPr>
                <w:rFonts w:hint="eastAsia" w:ascii="宋体" w:hAnsi="宋体" w:cs="宋体"/>
                <w:color w:val="auto"/>
                <w:szCs w:val="21"/>
                <w:highlight w:val="none"/>
              </w:rPr>
              <w:t>比选人根据评比委员会的评比结果在比选有效期内向中选的比选申请人发出中选通知书。</w:t>
            </w:r>
          </w:p>
          <w:p>
            <w:pPr>
              <w:ind w:right="-3"/>
              <w:jc w:val="left"/>
              <w:rPr>
                <w:rFonts w:ascii="宋体" w:hAnsi="宋体" w:cs="宋体"/>
                <w:color w:val="auto"/>
                <w:szCs w:val="21"/>
                <w:highlight w:val="none"/>
              </w:rPr>
            </w:pPr>
            <w:r>
              <w:rPr>
                <w:rFonts w:hint="eastAsia" w:ascii="宋体" w:hAnsi="宋体" w:cs="宋体"/>
                <w:color w:val="auto"/>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1736" w:type="dxa"/>
            <w:vAlign w:val="center"/>
          </w:tcPr>
          <w:p>
            <w:pPr>
              <w:spacing w:line="240" w:lineRule="exact"/>
              <w:jc w:val="both"/>
              <w:rPr>
                <w:rFonts w:ascii="宋体" w:hAnsi="宋体"/>
                <w:color w:val="auto"/>
                <w:szCs w:val="21"/>
                <w:highlight w:val="none"/>
              </w:rPr>
            </w:pPr>
            <w:r>
              <w:rPr>
                <w:rFonts w:hint="eastAsia" w:ascii="宋体" w:hAnsi="宋体"/>
                <w:color w:val="auto"/>
                <w:szCs w:val="21"/>
                <w:highlight w:val="none"/>
              </w:rPr>
              <w:t>比选保证金</w:t>
            </w:r>
          </w:p>
        </w:tc>
        <w:tc>
          <w:tcPr>
            <w:tcW w:w="6019" w:type="dxa"/>
            <w:vAlign w:val="center"/>
          </w:tcPr>
          <w:p>
            <w:pPr>
              <w:spacing w:line="240" w:lineRule="exact"/>
              <w:rPr>
                <w:rFonts w:hint="eastAsia" w:ascii="宋体" w:hAnsi="宋体" w:eastAsia="宋体"/>
                <w:color w:val="auto"/>
                <w:szCs w:val="21"/>
                <w:highlight w:val="none"/>
                <w:lang w:eastAsia="zh-CN"/>
              </w:rPr>
            </w:pPr>
            <w:r>
              <w:rPr>
                <w:rFonts w:hint="eastAsia" w:ascii="宋体" w:hAnsi="宋体"/>
                <w:color w:val="auto"/>
                <w:szCs w:val="21"/>
                <w:highlight w:val="none"/>
              </w:rPr>
              <w:t>本项目无比选保证金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2"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19</w:t>
            </w:r>
          </w:p>
        </w:tc>
        <w:tc>
          <w:tcPr>
            <w:tcW w:w="1736" w:type="dxa"/>
            <w:vAlign w:val="center"/>
          </w:tcPr>
          <w:p>
            <w:pPr>
              <w:spacing w:line="240" w:lineRule="exact"/>
              <w:jc w:val="both"/>
              <w:rPr>
                <w:rFonts w:ascii="宋体" w:hAnsi="宋体"/>
                <w:color w:val="auto"/>
                <w:szCs w:val="21"/>
                <w:highlight w:val="none"/>
              </w:rPr>
            </w:pPr>
            <w:r>
              <w:rPr>
                <w:rFonts w:hint="eastAsia" w:ascii="宋体" w:hAnsi="宋体"/>
                <w:color w:val="auto"/>
                <w:szCs w:val="21"/>
                <w:highlight w:val="none"/>
              </w:rPr>
              <w:t>履约保证金</w:t>
            </w:r>
          </w:p>
        </w:tc>
        <w:tc>
          <w:tcPr>
            <w:tcW w:w="6019" w:type="dxa"/>
            <w:vAlign w:val="center"/>
          </w:tcPr>
          <w:p>
            <w:pPr>
              <w:spacing w:line="240" w:lineRule="exact"/>
              <w:jc w:val="left"/>
              <w:rPr>
                <w:rFonts w:hint="eastAsia" w:ascii="宋体" w:hAnsi="宋体"/>
                <w:color w:val="auto"/>
                <w:szCs w:val="21"/>
                <w:highlight w:val="none"/>
                <w:lang w:eastAsia="zh-CN"/>
              </w:rPr>
            </w:pPr>
            <w:r>
              <w:rPr>
                <w:rFonts w:hint="eastAsia" w:ascii="宋体" w:hAnsi="宋体"/>
                <w:color w:val="auto"/>
                <w:szCs w:val="21"/>
                <w:highlight w:val="none"/>
                <w:lang w:eastAsia="zh-CN"/>
              </w:rPr>
              <w:t>以</w:t>
            </w:r>
            <w:r>
              <w:rPr>
                <w:rFonts w:hint="eastAsia" w:ascii="宋体" w:hAnsi="宋体"/>
                <w:color w:val="auto"/>
                <w:szCs w:val="21"/>
                <w:highlight w:val="none"/>
                <w:lang w:val="en-US" w:eastAsia="zh-CN"/>
              </w:rPr>
              <w:t>签约</w:t>
            </w:r>
            <w:r>
              <w:rPr>
                <w:rFonts w:hint="eastAsia" w:ascii="宋体" w:hAnsi="宋体"/>
                <w:color w:val="auto"/>
                <w:szCs w:val="21"/>
                <w:highlight w:val="none"/>
                <w:lang w:eastAsia="zh-CN"/>
              </w:rPr>
              <w:t>合同总</w:t>
            </w:r>
            <w:r>
              <w:rPr>
                <w:rFonts w:hint="eastAsia" w:ascii="宋体" w:hAnsi="宋体"/>
                <w:color w:val="auto"/>
                <w:szCs w:val="21"/>
                <w:highlight w:val="none"/>
                <w:lang w:val="en-US" w:eastAsia="zh-CN"/>
              </w:rPr>
              <w:t>价</w:t>
            </w:r>
            <w:r>
              <w:rPr>
                <w:rFonts w:hint="eastAsia" w:ascii="宋体" w:hAnsi="宋体"/>
                <w:color w:val="auto"/>
                <w:szCs w:val="21"/>
                <w:highlight w:val="none"/>
                <w:lang w:eastAsia="zh-CN"/>
              </w:rPr>
              <w:t>的</w:t>
            </w:r>
            <w:r>
              <w:rPr>
                <w:rFonts w:hint="eastAsia" w:ascii="宋体" w:hAnsi="宋体"/>
                <w:color w:val="auto"/>
                <w:szCs w:val="21"/>
                <w:highlight w:val="none"/>
                <w:lang w:val="en-US" w:eastAsia="zh-CN"/>
              </w:rPr>
              <w:t>5%作为履约保证金</w:t>
            </w:r>
            <w:r>
              <w:rPr>
                <w:rFonts w:hint="eastAsia" w:ascii="宋体" w:hAnsi="宋体"/>
                <w:color w:val="auto"/>
                <w:szCs w:val="21"/>
                <w:highlight w:val="none"/>
                <w:lang w:eastAsia="zh-CN"/>
              </w:rPr>
              <w:t>。</w:t>
            </w:r>
          </w:p>
          <w:p>
            <w:pPr>
              <w:spacing w:line="288" w:lineRule="auto"/>
              <w:rPr>
                <w:color w:val="auto"/>
                <w:highlight w:val="none"/>
              </w:rPr>
            </w:pPr>
            <w:r>
              <w:rPr>
                <w:rFonts w:hAnsi="宋体"/>
                <w:color w:val="auto"/>
                <w:highlight w:val="none"/>
              </w:rPr>
              <w:t>履约</w:t>
            </w:r>
            <w:r>
              <w:rPr>
                <w:rFonts w:hint="eastAsia" w:hAnsi="宋体"/>
                <w:color w:val="auto"/>
                <w:highlight w:val="none"/>
              </w:rPr>
              <w:t>保证金</w:t>
            </w:r>
            <w:r>
              <w:rPr>
                <w:rFonts w:hAnsi="宋体"/>
                <w:color w:val="auto"/>
                <w:highlight w:val="none"/>
              </w:rPr>
              <w:t>的</w:t>
            </w:r>
            <w:r>
              <w:rPr>
                <w:rFonts w:hint="eastAsia" w:hAnsi="宋体"/>
                <w:color w:val="auto"/>
                <w:highlight w:val="none"/>
              </w:rPr>
              <w:t>方</w:t>
            </w:r>
            <w:r>
              <w:rPr>
                <w:rFonts w:hAnsi="宋体"/>
                <w:color w:val="auto"/>
                <w:highlight w:val="none"/>
              </w:rPr>
              <w:t>式：</w:t>
            </w:r>
            <w:r>
              <w:rPr>
                <w:rFonts w:hint="eastAsia" w:hAnsi="宋体"/>
                <w:color w:val="auto"/>
                <w:highlight w:val="none"/>
              </w:rPr>
              <w:t>可以银行保函、现金、工程担保或保证保险等形式</w:t>
            </w:r>
            <w:r>
              <w:rPr>
                <w:rFonts w:hint="eastAsia" w:eastAsia="楷体_GB2312"/>
                <w:color w:val="auto"/>
                <w:szCs w:val="21"/>
                <w:highlight w:val="none"/>
              </w:rPr>
              <w:t>【</w:t>
            </w:r>
            <w:r>
              <w:rPr>
                <w:rFonts w:hint="eastAsia" w:eastAsia="楷体_GB2312"/>
                <w:color w:val="auto"/>
                <w:highlight w:val="none"/>
              </w:rPr>
              <w:t>备注：严禁要求</w:t>
            </w:r>
            <w:r>
              <w:rPr>
                <w:rFonts w:hint="eastAsia" w:eastAsia="楷体_GB2312"/>
                <w:color w:val="auto"/>
                <w:highlight w:val="none"/>
                <w:lang w:eastAsia="zh-CN"/>
              </w:rPr>
              <w:t>中选</w:t>
            </w:r>
            <w:r>
              <w:rPr>
                <w:rFonts w:hint="eastAsia" w:eastAsia="楷体_GB2312"/>
                <w:color w:val="auto"/>
                <w:highlight w:val="none"/>
              </w:rPr>
              <w:t>人只能以现金方式提交保证金的行为</w:t>
            </w:r>
            <w:r>
              <w:rPr>
                <w:rFonts w:hint="eastAsia" w:eastAsia="楷体_GB2312"/>
                <w:color w:val="auto"/>
                <w:szCs w:val="21"/>
                <w:highlight w:val="none"/>
              </w:rPr>
              <w:t>】</w:t>
            </w:r>
          </w:p>
          <w:p>
            <w:pPr>
              <w:spacing w:line="288" w:lineRule="auto"/>
              <w:rPr>
                <w:rFonts w:eastAsia="楷体_GB2312"/>
                <w:color w:val="auto"/>
                <w:szCs w:val="21"/>
                <w:highlight w:val="none"/>
              </w:rPr>
            </w:pPr>
            <w:r>
              <w:rPr>
                <w:rFonts w:hAnsi="宋体"/>
                <w:color w:val="auto"/>
                <w:highlight w:val="none"/>
              </w:rPr>
              <w:t>履约</w:t>
            </w:r>
            <w:r>
              <w:rPr>
                <w:rFonts w:hint="eastAsia" w:hAnsi="宋体"/>
                <w:color w:val="auto"/>
                <w:highlight w:val="none"/>
              </w:rPr>
              <w:t>保证金</w:t>
            </w:r>
            <w:r>
              <w:rPr>
                <w:rFonts w:hAnsi="宋体"/>
                <w:color w:val="auto"/>
                <w:highlight w:val="none"/>
              </w:rPr>
              <w:t>的金额：</w:t>
            </w:r>
            <w:r>
              <w:rPr>
                <w:rFonts w:hint="eastAsia" w:hAnsi="宋体"/>
                <w:color w:val="auto"/>
                <w:highlight w:val="none"/>
                <w:lang w:val="en-US" w:eastAsia="zh-CN"/>
              </w:rPr>
              <w:t>签约</w:t>
            </w:r>
            <w:r>
              <w:rPr>
                <w:rFonts w:hint="eastAsia" w:hAnsi="宋体"/>
                <w:color w:val="auto"/>
                <w:highlight w:val="none"/>
              </w:rPr>
              <w:t>合同</w:t>
            </w:r>
            <w:r>
              <w:rPr>
                <w:rFonts w:hint="eastAsia" w:hAnsi="宋体"/>
                <w:color w:val="auto"/>
                <w:highlight w:val="none"/>
                <w:lang w:val="en-US" w:eastAsia="zh-CN"/>
              </w:rPr>
              <w:t>总价</w:t>
            </w:r>
            <w:r>
              <w:rPr>
                <w:rFonts w:hint="eastAsia" w:hAnsi="宋体"/>
                <w:color w:val="auto"/>
                <w:highlight w:val="none"/>
              </w:rPr>
              <w:t>的5%</w:t>
            </w:r>
            <w:r>
              <w:rPr>
                <w:rFonts w:hint="eastAsia" w:eastAsia="楷体_GB2312"/>
                <w:color w:val="auto"/>
                <w:szCs w:val="21"/>
                <w:highlight w:val="none"/>
              </w:rPr>
              <w:t>【</w:t>
            </w:r>
            <w:r>
              <w:rPr>
                <w:rFonts w:hint="eastAsia" w:eastAsia="楷体_GB2312"/>
                <w:color w:val="auto"/>
                <w:highlight w:val="none"/>
              </w:rPr>
              <w:t>备注：资金来源为财政资金或国有资金的项目履约保证金不得超过</w:t>
            </w:r>
            <w:r>
              <w:rPr>
                <w:rFonts w:hint="eastAsia" w:eastAsia="楷体_GB2312"/>
                <w:color w:val="auto"/>
                <w:highlight w:val="none"/>
                <w:lang w:eastAsia="zh-CN"/>
              </w:rPr>
              <w:t>中选</w:t>
            </w:r>
            <w:r>
              <w:rPr>
                <w:rFonts w:hint="eastAsia" w:eastAsia="楷体_GB2312"/>
                <w:color w:val="auto"/>
                <w:highlight w:val="none"/>
              </w:rPr>
              <w:t>合同金额的 5%，其余项目不得超过</w:t>
            </w:r>
            <w:r>
              <w:rPr>
                <w:rFonts w:hint="eastAsia" w:eastAsia="楷体_GB2312"/>
                <w:color w:val="auto"/>
                <w:highlight w:val="none"/>
                <w:lang w:eastAsia="zh-CN"/>
              </w:rPr>
              <w:t>中选</w:t>
            </w:r>
            <w:r>
              <w:rPr>
                <w:rFonts w:hint="eastAsia" w:eastAsia="楷体_GB2312"/>
                <w:color w:val="auto"/>
                <w:highlight w:val="none"/>
              </w:rPr>
              <w:t>合同金额的 10%</w:t>
            </w:r>
            <w:r>
              <w:rPr>
                <w:rFonts w:hint="eastAsia" w:eastAsia="楷体_GB2312"/>
                <w:color w:val="auto"/>
                <w:szCs w:val="21"/>
                <w:highlight w:val="none"/>
              </w:rPr>
              <w:t>】</w:t>
            </w:r>
          </w:p>
          <w:p>
            <w:pPr>
              <w:spacing w:line="240" w:lineRule="exact"/>
              <w:jc w:val="left"/>
              <w:rPr>
                <w:rFonts w:hint="eastAsia" w:ascii="宋体" w:hAnsi="宋体"/>
                <w:color w:val="auto"/>
                <w:szCs w:val="21"/>
                <w:highlight w:val="none"/>
                <w:lang w:eastAsia="zh-CN"/>
              </w:rPr>
            </w:pPr>
            <w:r>
              <w:rPr>
                <w:rFonts w:hint="eastAsia" w:hAnsi="宋体"/>
                <w:color w:val="auto"/>
                <w:highlight w:val="none"/>
              </w:rPr>
              <w:t>在收到中</w:t>
            </w:r>
            <w:r>
              <w:rPr>
                <w:rFonts w:hint="eastAsia" w:hAnsi="宋体"/>
                <w:color w:val="auto"/>
                <w:highlight w:val="none"/>
                <w:lang w:eastAsia="zh-CN"/>
              </w:rPr>
              <w:t>选</w:t>
            </w:r>
            <w:r>
              <w:rPr>
                <w:rFonts w:hint="eastAsia" w:hAnsi="宋体"/>
                <w:color w:val="auto"/>
                <w:highlight w:val="none"/>
              </w:rPr>
              <w:t>通知书后，中</w:t>
            </w:r>
            <w:r>
              <w:rPr>
                <w:rFonts w:hint="eastAsia" w:hAnsi="宋体"/>
                <w:color w:val="auto"/>
                <w:highlight w:val="none"/>
                <w:lang w:eastAsia="zh-CN"/>
              </w:rPr>
              <w:t>选</w:t>
            </w:r>
            <w:r>
              <w:rPr>
                <w:rFonts w:hint="eastAsia" w:hAnsi="宋体"/>
                <w:color w:val="auto"/>
                <w:highlight w:val="none"/>
              </w:rPr>
              <w:t>单位须在合同签订前 10 个工作日内向</w:t>
            </w:r>
            <w:r>
              <w:rPr>
                <w:rFonts w:hint="eastAsia" w:hAnsi="宋体"/>
                <w:color w:val="auto"/>
                <w:highlight w:val="none"/>
                <w:lang w:eastAsia="zh-CN"/>
              </w:rPr>
              <w:t>比选发起人</w:t>
            </w:r>
            <w:r>
              <w:rPr>
                <w:rFonts w:hint="eastAsia" w:hAnsi="宋体"/>
                <w:color w:val="auto"/>
                <w:highlight w:val="none"/>
              </w:rPr>
              <w:t>提交履约保证（因工程项目征地、拆迁影响项目开工的，</w:t>
            </w:r>
            <w:r>
              <w:rPr>
                <w:rFonts w:hint="eastAsia" w:hAnsi="宋体"/>
                <w:color w:val="auto"/>
                <w:highlight w:val="none"/>
                <w:lang w:eastAsia="zh-CN"/>
              </w:rPr>
              <w:t>比选发起人</w:t>
            </w:r>
            <w:r>
              <w:rPr>
                <w:rFonts w:hint="eastAsia" w:hAnsi="宋体"/>
                <w:color w:val="auto"/>
                <w:highlight w:val="none"/>
              </w:rPr>
              <w:t>应当相应延长提交履约担保金的时间，具体由</w:t>
            </w:r>
            <w:r>
              <w:rPr>
                <w:rFonts w:hint="eastAsia" w:hAnsi="宋体"/>
                <w:color w:val="auto"/>
                <w:highlight w:val="none"/>
                <w:lang w:eastAsia="zh-CN"/>
              </w:rPr>
              <w:t>比选发起人</w:t>
            </w:r>
            <w:r>
              <w:rPr>
                <w:rFonts w:hint="eastAsia" w:hAnsi="宋体"/>
                <w:color w:val="auto"/>
                <w:highlight w:val="none"/>
              </w:rPr>
              <w:t>确定） ，否则</w:t>
            </w:r>
            <w:r>
              <w:rPr>
                <w:rFonts w:hint="eastAsia" w:hAnsi="宋体"/>
                <w:color w:val="auto"/>
                <w:highlight w:val="none"/>
                <w:lang w:eastAsia="zh-CN"/>
              </w:rPr>
              <w:t>比选发起人</w:t>
            </w:r>
            <w:r>
              <w:rPr>
                <w:rFonts w:hint="eastAsia" w:hAnsi="宋体"/>
                <w:color w:val="auto"/>
                <w:highlight w:val="none"/>
              </w:rPr>
              <w:t>将取消其</w:t>
            </w:r>
            <w:r>
              <w:rPr>
                <w:rFonts w:hint="eastAsia" w:hAnsi="宋体"/>
                <w:color w:val="auto"/>
                <w:highlight w:val="none"/>
                <w:lang w:eastAsia="zh-CN"/>
              </w:rPr>
              <w:t>中选</w:t>
            </w:r>
            <w:r>
              <w:rPr>
                <w:rFonts w:hint="eastAsia" w:hAnsi="宋体"/>
                <w:color w:val="auto"/>
                <w:highlight w:val="none"/>
              </w:rPr>
              <w:t>资格。履约保证金在监理服务期满后 30 天内退还给监理人。在收到</w:t>
            </w:r>
            <w:r>
              <w:rPr>
                <w:rFonts w:hint="eastAsia" w:hAnsi="宋体"/>
                <w:color w:val="auto"/>
                <w:highlight w:val="none"/>
                <w:lang w:eastAsia="zh-CN"/>
              </w:rPr>
              <w:t>中选</w:t>
            </w:r>
            <w:r>
              <w:rPr>
                <w:rFonts w:hint="eastAsia" w:hAnsi="宋体"/>
                <w:color w:val="auto"/>
                <w:highlight w:val="none"/>
              </w:rPr>
              <w:t>通知书后，</w:t>
            </w:r>
            <w:r>
              <w:rPr>
                <w:rFonts w:hint="eastAsia" w:hAnsi="宋体"/>
                <w:color w:val="auto"/>
                <w:highlight w:val="none"/>
                <w:lang w:eastAsia="zh-CN"/>
              </w:rPr>
              <w:t>中选</w:t>
            </w:r>
            <w:r>
              <w:rPr>
                <w:rFonts w:hint="eastAsia" w:hAnsi="宋体"/>
                <w:color w:val="auto"/>
                <w:highlight w:val="none"/>
              </w:rPr>
              <w:t>单位须在合同签订前向</w:t>
            </w:r>
            <w:r>
              <w:rPr>
                <w:rFonts w:hint="eastAsia" w:hAnsi="宋体"/>
                <w:color w:val="auto"/>
                <w:highlight w:val="none"/>
                <w:lang w:eastAsia="zh-CN"/>
              </w:rPr>
              <w:t>比选发起人</w:t>
            </w:r>
            <w:r>
              <w:rPr>
                <w:rFonts w:hint="eastAsia" w:hAnsi="宋体"/>
                <w:color w:val="auto"/>
                <w:highlight w:val="none"/>
              </w:rPr>
              <w:t>提交履约保证金，否则</w:t>
            </w:r>
            <w:r>
              <w:rPr>
                <w:rFonts w:hint="eastAsia" w:hAnsi="宋体"/>
                <w:color w:val="auto"/>
                <w:highlight w:val="none"/>
                <w:lang w:eastAsia="zh-CN"/>
              </w:rPr>
              <w:t>比选发起人</w:t>
            </w:r>
            <w:r>
              <w:rPr>
                <w:rFonts w:hint="eastAsia" w:hAnsi="宋体"/>
                <w:color w:val="auto"/>
                <w:highlight w:val="none"/>
              </w:rPr>
              <w:t>可以取消其</w:t>
            </w:r>
            <w:r>
              <w:rPr>
                <w:rFonts w:hint="eastAsia" w:hAnsi="宋体"/>
                <w:color w:val="auto"/>
                <w:highlight w:val="none"/>
                <w:lang w:eastAsia="zh-CN"/>
              </w:rPr>
              <w:t>中选</w:t>
            </w:r>
            <w:r>
              <w:rPr>
                <w:rFonts w:hint="eastAsia" w:hAnsi="宋体"/>
                <w:color w:val="auto"/>
                <w:highlight w:val="none"/>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联系方式</w:t>
            </w:r>
          </w:p>
        </w:tc>
        <w:tc>
          <w:tcPr>
            <w:tcW w:w="6019" w:type="dxa"/>
            <w:vAlign w:val="center"/>
          </w:tcPr>
          <w:p>
            <w:pPr>
              <w:ind w:right="753"/>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陆工  0771-2778432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21</w:t>
            </w:r>
          </w:p>
        </w:tc>
        <w:tc>
          <w:tcPr>
            <w:tcW w:w="1736" w:type="dxa"/>
            <w:vAlign w:val="center"/>
          </w:tcPr>
          <w:p>
            <w:pPr>
              <w:jc w:val="left"/>
              <w:rPr>
                <w:rFonts w:ascii="宋体" w:hAnsi="宋体" w:cs="宋体"/>
                <w:color w:val="auto"/>
                <w:szCs w:val="21"/>
                <w:highlight w:val="none"/>
              </w:rPr>
            </w:pPr>
            <w:r>
              <w:rPr>
                <w:rFonts w:hint="eastAsia" w:ascii="宋体" w:hAnsi="宋体" w:cs="宋体"/>
                <w:color w:val="auto"/>
                <w:szCs w:val="21"/>
                <w:highlight w:val="none"/>
              </w:rPr>
              <w:t>其他事项</w:t>
            </w:r>
          </w:p>
        </w:tc>
        <w:tc>
          <w:tcPr>
            <w:tcW w:w="6019" w:type="dxa"/>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rPr>
              <w:t>中选单位如放弃中选资格，则比选发起人有权将其列入不良行为记录名单、</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年内禁止其参加比选发起人的任何采购活动。</w:t>
            </w:r>
          </w:p>
        </w:tc>
      </w:tr>
    </w:tbl>
    <w:p>
      <w:pPr>
        <w:rPr>
          <w:rFonts w:hint="eastAsia" w:ascii="宋体" w:hAnsi="宋体" w:cs="宋体"/>
          <w:color w:val="auto"/>
          <w:szCs w:val="28"/>
          <w:highlight w:val="none"/>
          <w:lang w:val="en-US" w:eastAsia="zh-CN"/>
        </w:rPr>
      </w:pPr>
    </w:p>
    <w:p>
      <w:pPr>
        <w:rPr>
          <w:rFonts w:hint="eastAsia" w:ascii="宋体" w:hAnsi="宋体" w:cs="宋体"/>
          <w:color w:val="auto"/>
          <w:szCs w:val="28"/>
          <w:highlight w:val="none"/>
          <w:lang w:val="en-US" w:eastAsia="zh-CN"/>
        </w:rPr>
      </w:pPr>
    </w:p>
    <w:p>
      <w:pPr>
        <w:pStyle w:val="4"/>
        <w:jc w:val="center"/>
        <w:rPr>
          <w:color w:val="auto"/>
          <w:sz w:val="21"/>
          <w:szCs w:val="21"/>
          <w:highlight w:val="none"/>
        </w:rPr>
      </w:pPr>
      <w:bookmarkStart w:id="40" w:name="_Toc22025"/>
      <w:bookmarkStart w:id="41" w:name="_Toc14220"/>
      <w:bookmarkStart w:id="42" w:name="_Toc8560"/>
      <w:bookmarkStart w:id="43" w:name="_Toc15190"/>
      <w:bookmarkStart w:id="44" w:name="_Toc31786"/>
      <w:bookmarkStart w:id="45" w:name="_Toc4834"/>
      <w:bookmarkStart w:id="46" w:name="_Toc11673"/>
      <w:r>
        <w:rPr>
          <w:rFonts w:hint="eastAsia"/>
          <w:color w:val="auto"/>
          <w:sz w:val="21"/>
          <w:szCs w:val="21"/>
          <w:highlight w:val="none"/>
        </w:rPr>
        <w:t>一、</w:t>
      </w:r>
      <w:r>
        <w:rPr>
          <w:color w:val="auto"/>
          <w:sz w:val="21"/>
          <w:szCs w:val="21"/>
          <w:highlight w:val="none"/>
        </w:rPr>
        <w:t>总则</w:t>
      </w:r>
      <w:bookmarkEnd w:id="40"/>
      <w:bookmarkEnd w:id="41"/>
      <w:bookmarkEnd w:id="42"/>
      <w:bookmarkEnd w:id="43"/>
      <w:bookmarkEnd w:id="44"/>
      <w:bookmarkEnd w:id="45"/>
      <w:bookmarkEnd w:id="46"/>
    </w:p>
    <w:p>
      <w:pPr>
        <w:ind w:right="753"/>
        <w:jc w:val="left"/>
        <w:rPr>
          <w:rFonts w:ascii="宋体" w:hAnsi="宋体" w:cs="宋体"/>
          <w:color w:val="auto"/>
          <w:szCs w:val="21"/>
          <w:highlight w:val="none"/>
        </w:rPr>
      </w:pPr>
      <w:bookmarkStart w:id="47" w:name="_Toc310318572"/>
      <w:bookmarkStart w:id="48" w:name="_Toc286386834"/>
      <w:bookmarkStart w:id="49" w:name="_Toc114052414"/>
      <w:bookmarkStart w:id="50" w:name="_Toc114052340"/>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1.项目比选说明</w:t>
      </w:r>
      <w:bookmarkEnd w:id="47"/>
      <w:bookmarkEnd w:id="48"/>
      <w:bookmarkEnd w:id="49"/>
      <w:bookmarkEnd w:id="50"/>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1.1 项目比选的说明见比选须知前附表（以下称“前附表”）第1项～第21项所述。</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1.2 上述项目按照国家有关的法律、法规作为依据，并按照南宁市政府现行有关规定执行，</w:t>
      </w:r>
      <w:r>
        <w:rPr>
          <w:rFonts w:hint="eastAsia" w:ascii="宋体" w:hAnsi="宋体" w:cs="宋体"/>
          <w:color w:val="auto"/>
          <w:szCs w:val="21"/>
          <w:highlight w:val="none"/>
          <w:lang w:val="en-US" w:eastAsia="zh-CN"/>
        </w:rPr>
        <w:t>南宁铁路枢纽投资有限公司</w:t>
      </w:r>
      <w:r>
        <w:rPr>
          <w:rFonts w:hint="eastAsia" w:ascii="宋体" w:hAnsi="宋体" w:cs="宋体"/>
          <w:color w:val="auto"/>
          <w:szCs w:val="21"/>
          <w:highlight w:val="none"/>
        </w:rPr>
        <w:t>现通过公开比选来择优选定服务单位。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2.工作内容：</w:t>
      </w:r>
    </w:p>
    <w:p>
      <w:pPr>
        <w:ind w:right="753" w:firstLine="420" w:firstLineChars="200"/>
        <w:jc w:val="left"/>
        <w:rPr>
          <w:rFonts w:hint="eastAsia" w:ascii="宋体" w:hAnsi="宋体" w:cs="宋体"/>
          <w:b/>
          <w:bCs/>
          <w:color w:val="auto"/>
          <w:szCs w:val="21"/>
          <w:highlight w:val="none"/>
        </w:rPr>
      </w:pPr>
      <w:r>
        <w:rPr>
          <w:rFonts w:hint="eastAsia" w:ascii="宋体" w:hAnsi="宋体" w:cs="宋体"/>
          <w:color w:val="auto"/>
          <w:sz w:val="21"/>
          <w:szCs w:val="21"/>
          <w:highlight w:val="none"/>
        </w:rPr>
        <w:t>工作内容见前附表第3项所述。</w:t>
      </w: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w:t>
      </w:r>
    </w:p>
    <w:p>
      <w:pPr>
        <w:ind w:right="753" w:firstLine="422" w:firstLineChars="200"/>
        <w:jc w:val="left"/>
        <w:rPr>
          <w:rFonts w:ascii="宋体" w:hAnsi="宋体" w:cs="宋体"/>
          <w:color w:val="auto"/>
          <w:szCs w:val="21"/>
          <w:highlight w:val="none"/>
        </w:rPr>
      </w:pPr>
      <w:r>
        <w:rPr>
          <w:rFonts w:hint="eastAsia" w:ascii="宋体" w:hAnsi="宋体" w:cs="宋体"/>
          <w:b/>
          <w:bCs/>
          <w:color w:val="auto"/>
          <w:szCs w:val="21"/>
          <w:highlight w:val="none"/>
        </w:rPr>
        <w:t>3.资金来源</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资金来源见前附表第4项所述。</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4.</w:t>
      </w:r>
      <w:bookmarkStart w:id="51" w:name="_Toc310318574"/>
      <w:bookmarkStart w:id="52" w:name="_Toc286386836"/>
      <w:bookmarkStart w:id="53" w:name="_Toc114052342"/>
      <w:bookmarkStart w:id="54" w:name="_Toc114052416"/>
      <w:r>
        <w:rPr>
          <w:rFonts w:hint="eastAsia" w:ascii="宋体" w:hAnsi="宋体" w:cs="宋体"/>
          <w:b/>
          <w:bCs/>
          <w:color w:val="auto"/>
          <w:szCs w:val="21"/>
          <w:highlight w:val="none"/>
        </w:rPr>
        <w:t>比选申请人资格要求</w:t>
      </w:r>
      <w:bookmarkEnd w:id="51"/>
      <w:bookmarkEnd w:id="52"/>
      <w:bookmarkEnd w:id="53"/>
      <w:bookmarkEnd w:id="54"/>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4.1比选申请人必须具有前附表第9项相应的资质及要求。</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5.</w:t>
      </w:r>
      <w:bookmarkStart w:id="55" w:name="_Toc114052417"/>
      <w:bookmarkStart w:id="56" w:name="_Toc114052343"/>
      <w:bookmarkStart w:id="57" w:name="_Toc286386837"/>
      <w:bookmarkStart w:id="58" w:name="_Toc310318575"/>
      <w:r>
        <w:rPr>
          <w:rFonts w:hint="eastAsia" w:ascii="宋体" w:hAnsi="宋体" w:cs="宋体"/>
          <w:b/>
          <w:bCs/>
          <w:color w:val="auto"/>
          <w:szCs w:val="21"/>
          <w:highlight w:val="none"/>
        </w:rPr>
        <w:t>申请比选费用</w:t>
      </w:r>
      <w:bookmarkEnd w:id="55"/>
      <w:bookmarkEnd w:id="56"/>
      <w:bookmarkEnd w:id="57"/>
      <w:bookmarkEnd w:id="58"/>
    </w:p>
    <w:p>
      <w:pPr>
        <w:tabs>
          <w:tab w:val="left" w:pos="8610"/>
        </w:tabs>
        <w:ind w:right="-21"/>
        <w:jc w:val="left"/>
        <w:rPr>
          <w:rFonts w:ascii="宋体" w:hAnsi="宋体" w:cs="宋体"/>
          <w:color w:val="auto"/>
          <w:szCs w:val="21"/>
          <w:highlight w:val="none"/>
        </w:rPr>
      </w:pPr>
      <w:r>
        <w:rPr>
          <w:rFonts w:hint="eastAsia" w:ascii="宋体" w:hAnsi="宋体" w:cs="宋体"/>
          <w:color w:val="auto"/>
          <w:szCs w:val="21"/>
          <w:highlight w:val="none"/>
        </w:rPr>
        <w:t xml:space="preserve">    5.1 比选申请人应承担其编制文件与递交文件所涉及的一切费用。不管评比结果如何，比选人对上述费用不负任何责任。</w:t>
      </w:r>
    </w:p>
    <w:p>
      <w:pPr>
        <w:pStyle w:val="4"/>
        <w:jc w:val="center"/>
        <w:rPr>
          <w:color w:val="auto"/>
          <w:sz w:val="21"/>
          <w:szCs w:val="21"/>
          <w:highlight w:val="none"/>
        </w:rPr>
      </w:pPr>
      <w:bookmarkStart w:id="59" w:name="_Toc15439"/>
      <w:bookmarkStart w:id="60" w:name="_Toc6585"/>
      <w:bookmarkStart w:id="61" w:name="_Toc17725"/>
      <w:bookmarkStart w:id="62" w:name="_Toc25256"/>
      <w:bookmarkStart w:id="63" w:name="_Toc17323"/>
      <w:bookmarkStart w:id="64" w:name="_Toc16023"/>
      <w:bookmarkStart w:id="65" w:name="_Toc14136"/>
      <w:bookmarkStart w:id="66" w:name="_Toc5243"/>
      <w:bookmarkStart w:id="67" w:name="_Toc26141"/>
      <w:bookmarkStart w:id="68" w:name="_Toc18033"/>
      <w:bookmarkStart w:id="69" w:name="_Toc471482362"/>
      <w:bookmarkStart w:id="70" w:name="_Toc22143"/>
      <w:bookmarkStart w:id="71" w:name="_Toc5665"/>
      <w:bookmarkStart w:id="72" w:name="_Toc18809"/>
      <w:bookmarkStart w:id="73" w:name="_Toc5207"/>
      <w:bookmarkStart w:id="74" w:name="_Toc4061"/>
      <w:bookmarkStart w:id="75" w:name="_Toc8029"/>
      <w:bookmarkStart w:id="76" w:name="_Toc6541"/>
      <w:bookmarkStart w:id="77" w:name="_Toc461525298"/>
      <w:bookmarkStart w:id="78" w:name="_Toc3066"/>
      <w:bookmarkStart w:id="79" w:name="_Toc1270"/>
      <w:r>
        <w:rPr>
          <w:rFonts w:hint="eastAsia"/>
          <w:color w:val="auto"/>
          <w:sz w:val="21"/>
          <w:szCs w:val="21"/>
          <w:highlight w:val="none"/>
        </w:rPr>
        <w:t>二、</w:t>
      </w:r>
      <w:r>
        <w:rPr>
          <w:color w:val="auto"/>
          <w:sz w:val="21"/>
          <w:szCs w:val="21"/>
          <w:highlight w:val="none"/>
        </w:rPr>
        <w:t>比选文件</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6.</w:t>
      </w:r>
      <w:bookmarkStart w:id="80" w:name="_Toc310318577"/>
      <w:bookmarkStart w:id="81" w:name="_Toc286386839"/>
      <w:bookmarkStart w:id="82" w:name="_Toc114052419"/>
      <w:bookmarkStart w:id="83" w:name="_Toc114052345"/>
      <w:r>
        <w:rPr>
          <w:rFonts w:hint="eastAsia" w:ascii="宋体" w:hAnsi="宋体" w:cs="宋体"/>
          <w:b/>
          <w:bCs/>
          <w:color w:val="auto"/>
          <w:szCs w:val="21"/>
          <w:highlight w:val="none"/>
        </w:rPr>
        <w:t>比选文件的组成</w:t>
      </w:r>
      <w:bookmarkEnd w:id="80"/>
      <w:bookmarkEnd w:id="81"/>
      <w:bookmarkEnd w:id="82"/>
      <w:bookmarkEnd w:id="83"/>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6.1比选文件包括比选须知前附表、比选须知、合同条款（格式）、比选申请文件格式、评比办法。</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outlineLvl w:val="0"/>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7.</w:t>
      </w:r>
      <w:bookmarkStart w:id="84" w:name="_Toc310318578"/>
      <w:bookmarkStart w:id="85" w:name="_Toc114052346"/>
      <w:bookmarkStart w:id="86" w:name="_Toc286386840"/>
      <w:bookmarkStart w:id="87" w:name="_Toc114052420"/>
      <w:r>
        <w:rPr>
          <w:rFonts w:hint="eastAsia" w:ascii="宋体" w:hAnsi="宋体" w:cs="宋体"/>
          <w:b/>
          <w:bCs/>
          <w:color w:val="auto"/>
          <w:szCs w:val="21"/>
          <w:highlight w:val="none"/>
        </w:rPr>
        <w:t>比选文件的解释</w:t>
      </w:r>
      <w:bookmarkEnd w:id="84"/>
      <w:bookmarkEnd w:id="85"/>
      <w:bookmarkEnd w:id="86"/>
      <w:bookmarkEnd w:id="87"/>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8.</w:t>
      </w:r>
      <w:bookmarkStart w:id="88" w:name="_Toc310318579"/>
      <w:bookmarkStart w:id="89" w:name="_Toc286386841"/>
      <w:bookmarkStart w:id="90" w:name="_Toc114052421"/>
      <w:bookmarkStart w:id="91" w:name="_Toc114052347"/>
      <w:r>
        <w:rPr>
          <w:rFonts w:hint="eastAsia" w:ascii="宋体" w:hAnsi="宋体" w:cs="宋体"/>
          <w:b/>
          <w:bCs/>
          <w:color w:val="auto"/>
          <w:szCs w:val="21"/>
          <w:highlight w:val="none"/>
        </w:rPr>
        <w:t>比选文件的修改</w:t>
      </w:r>
      <w:bookmarkEnd w:id="88"/>
      <w:bookmarkEnd w:id="89"/>
      <w:bookmarkEnd w:id="90"/>
      <w:bookmarkEnd w:id="91"/>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8.1 在递交文件截止日期前2天，比选人可以采用补充通知的方式修改比选文件。</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8.2 补充通知将以书面形式，在比选人官网发布，补充通知作为比选文件的组成部分，对比选申请人起约束作用。</w:t>
      </w:r>
    </w:p>
    <w:p>
      <w:pPr>
        <w:pStyle w:val="4"/>
        <w:jc w:val="center"/>
        <w:rPr>
          <w:color w:val="auto"/>
          <w:sz w:val="21"/>
          <w:szCs w:val="21"/>
          <w:highlight w:val="none"/>
        </w:rPr>
      </w:pPr>
      <w:bookmarkStart w:id="92" w:name="_Toc471482363"/>
      <w:bookmarkStart w:id="93" w:name="_Toc10523"/>
      <w:bookmarkStart w:id="94" w:name="_Toc461525299"/>
      <w:bookmarkStart w:id="95" w:name="_Toc24574"/>
      <w:bookmarkStart w:id="96" w:name="_Toc10471"/>
      <w:bookmarkStart w:id="97" w:name="_Toc19209"/>
      <w:bookmarkStart w:id="98" w:name="_Toc26897"/>
      <w:bookmarkStart w:id="99" w:name="_Toc3750"/>
      <w:bookmarkStart w:id="100" w:name="_Toc18772"/>
      <w:bookmarkStart w:id="101" w:name="_Toc9453"/>
      <w:bookmarkStart w:id="102" w:name="_Toc8400"/>
      <w:bookmarkStart w:id="103" w:name="_Toc30617"/>
      <w:bookmarkStart w:id="104" w:name="_Toc29216"/>
      <w:bookmarkStart w:id="105" w:name="_Toc9684"/>
      <w:bookmarkStart w:id="106" w:name="_Toc6395"/>
      <w:bookmarkStart w:id="107" w:name="_Toc26503"/>
      <w:bookmarkStart w:id="108" w:name="_Toc10645"/>
      <w:bookmarkStart w:id="109" w:name="_Toc9199"/>
      <w:bookmarkStart w:id="110" w:name="_Toc32257"/>
      <w:bookmarkStart w:id="111" w:name="_Toc12831"/>
      <w:bookmarkStart w:id="112" w:name="_Toc21902"/>
      <w:r>
        <w:rPr>
          <w:rFonts w:hint="eastAsia"/>
          <w:color w:val="auto"/>
          <w:sz w:val="21"/>
          <w:szCs w:val="21"/>
          <w:highlight w:val="none"/>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9.</w:t>
      </w:r>
      <w:bookmarkStart w:id="113" w:name="_Toc114052423"/>
      <w:bookmarkStart w:id="114" w:name="_Toc286386843"/>
      <w:bookmarkStart w:id="115" w:name="_Toc114052349"/>
      <w:bookmarkStart w:id="116" w:name="_Toc310318581"/>
      <w:r>
        <w:rPr>
          <w:rFonts w:hint="eastAsia" w:ascii="宋体" w:hAnsi="宋体" w:cs="宋体"/>
          <w:b/>
          <w:bCs/>
          <w:color w:val="auto"/>
          <w:szCs w:val="21"/>
          <w:highlight w:val="none"/>
        </w:rPr>
        <w:t>申请比选</w:t>
      </w:r>
      <w:bookmarkEnd w:id="113"/>
      <w:bookmarkEnd w:id="114"/>
      <w:bookmarkEnd w:id="115"/>
      <w:r>
        <w:rPr>
          <w:rFonts w:hint="eastAsia" w:ascii="宋体" w:hAnsi="宋体" w:cs="宋体"/>
          <w:b/>
          <w:bCs/>
          <w:color w:val="auto"/>
          <w:szCs w:val="21"/>
          <w:highlight w:val="none"/>
        </w:rPr>
        <w:t>报价</w:t>
      </w:r>
      <w:bookmarkEnd w:id="116"/>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9.1申请比选报价见比选须知前附表第7项所述。</w:t>
      </w:r>
    </w:p>
    <w:p>
      <w:pPr>
        <w:pStyle w:val="4"/>
        <w:jc w:val="center"/>
        <w:rPr>
          <w:color w:val="auto"/>
          <w:sz w:val="21"/>
          <w:szCs w:val="21"/>
          <w:highlight w:val="none"/>
        </w:rPr>
      </w:pPr>
      <w:bookmarkStart w:id="117" w:name="_Toc2346"/>
      <w:bookmarkStart w:id="118" w:name="_Toc17188"/>
      <w:bookmarkStart w:id="119" w:name="_Toc17722"/>
      <w:bookmarkStart w:id="120" w:name="_Toc11943"/>
      <w:bookmarkStart w:id="121" w:name="_Toc31461"/>
      <w:bookmarkStart w:id="122" w:name="_Toc29605"/>
      <w:bookmarkStart w:id="123" w:name="_Toc23455"/>
      <w:bookmarkStart w:id="124" w:name="_Toc461525300"/>
      <w:bookmarkStart w:id="125" w:name="_Toc26352"/>
      <w:bookmarkStart w:id="126" w:name="_Toc471482364"/>
      <w:bookmarkStart w:id="127" w:name="_Toc15414"/>
      <w:bookmarkStart w:id="128" w:name="_Toc18607"/>
      <w:bookmarkStart w:id="129" w:name="_Toc5583"/>
      <w:bookmarkStart w:id="130" w:name="_Toc25856"/>
      <w:bookmarkStart w:id="131" w:name="_Toc14062"/>
      <w:bookmarkStart w:id="132" w:name="_Toc2776"/>
      <w:bookmarkStart w:id="133" w:name="_Toc19972"/>
      <w:bookmarkStart w:id="134" w:name="_Toc17259"/>
      <w:bookmarkStart w:id="135" w:name="_Toc24426"/>
      <w:bookmarkStart w:id="136" w:name="_Toc26723"/>
      <w:bookmarkStart w:id="137" w:name="_Toc23191"/>
      <w:r>
        <w:rPr>
          <w:rFonts w:hint="eastAsia"/>
          <w:color w:val="auto"/>
          <w:sz w:val="21"/>
          <w:szCs w:val="21"/>
          <w:highlight w:val="none"/>
        </w:rPr>
        <w:t>四、比选申请文件的编制</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10.</w:t>
      </w:r>
      <w:bookmarkStart w:id="138" w:name="_Toc286386845"/>
      <w:bookmarkStart w:id="139" w:name="_Toc310318583"/>
      <w:r>
        <w:rPr>
          <w:rFonts w:hint="eastAsia" w:ascii="宋体" w:hAnsi="宋体" w:cs="宋体"/>
          <w:b/>
          <w:bCs/>
          <w:color w:val="auto"/>
          <w:szCs w:val="21"/>
          <w:highlight w:val="none"/>
        </w:rPr>
        <w:t>比选申请文件编写注意事项</w:t>
      </w:r>
      <w:bookmarkEnd w:id="138"/>
      <w:bookmarkEnd w:id="139"/>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10.2比选文件提出的实质性要求和条件是指本比选项目所涉及的最低人员配置、价格、服务及其它要求、合同条款等内容。</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10.3比选申请人的比选申请文件所有来往函件统一使用中文(特别规定除外)。</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10.4比选申请文件中使用的计量单位除比选文件中有特殊规定外，一律使用法定计量单位。</w:t>
      </w:r>
    </w:p>
    <w:p>
      <w:pPr>
        <w:ind w:right="753"/>
        <w:jc w:val="left"/>
        <w:rPr>
          <w:rFonts w:ascii="宋体" w:hAnsi="宋体" w:cs="宋体"/>
          <w:color w:val="auto"/>
          <w:szCs w:val="21"/>
          <w:highlight w:val="none"/>
        </w:rPr>
      </w:pPr>
      <w:bookmarkStart w:id="140" w:name="_Toc114052426"/>
      <w:bookmarkStart w:id="141" w:name="_Toc114052352"/>
      <w:bookmarkStart w:id="142" w:name="_Toc286386846"/>
      <w:bookmarkStart w:id="143" w:name="_Toc310318584"/>
      <w:r>
        <w:rPr>
          <w:rFonts w:hint="eastAsia" w:ascii="宋体" w:hAnsi="宋体" w:cs="宋体"/>
          <w:color w:val="auto"/>
          <w:szCs w:val="21"/>
          <w:highlight w:val="none"/>
        </w:rPr>
        <w:t xml:space="preserve">    </w:t>
      </w:r>
      <w:r>
        <w:rPr>
          <w:rFonts w:hint="eastAsia" w:ascii="宋体" w:hAnsi="宋体" w:cs="宋体"/>
          <w:b/>
          <w:bCs/>
          <w:color w:val="auto"/>
          <w:szCs w:val="21"/>
          <w:highlight w:val="none"/>
        </w:rPr>
        <w:t>11.比选申请文件的组成</w:t>
      </w:r>
      <w:bookmarkEnd w:id="140"/>
      <w:bookmarkEnd w:id="141"/>
      <w:bookmarkEnd w:id="142"/>
      <w:bookmarkEnd w:id="143"/>
    </w:p>
    <w:p>
      <w:pPr>
        <w:ind w:right="-21"/>
        <w:jc w:val="left"/>
        <w:rPr>
          <w:rFonts w:ascii="宋体" w:hAnsi="宋体" w:cs="宋体"/>
          <w:color w:val="auto"/>
          <w:szCs w:val="21"/>
          <w:highlight w:val="none"/>
        </w:rPr>
      </w:pPr>
      <w:bookmarkStart w:id="144" w:name="_Toc114052354"/>
      <w:r>
        <w:rPr>
          <w:rFonts w:hint="eastAsia" w:ascii="宋体" w:hAnsi="宋体" w:cs="宋体"/>
          <w:color w:val="auto"/>
          <w:szCs w:val="21"/>
          <w:highlight w:val="none"/>
        </w:rPr>
        <w:t xml:space="preserve">    11.1比选申请文件由资格审查部分、技术部分、商务部分三部分组成，详细要求与部分格式详见第三章。</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11.2资格审查部分主要包括下列内容：</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（1）诚信声明（原件）；</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（2）法定代表人资格证明书（原件）</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（3）法定代表人身份证（复印件加盖单位公章）</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（4）比选申请文件签署授权委托书（原件）；</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（5）授权代表人身份证（复印件加盖单位公章）</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（6）营业执照复印件</w:t>
      </w:r>
      <w:r>
        <w:rPr>
          <w:rFonts w:hint="eastAsia" w:ascii="宋体" w:hAnsi="宋体" w:cs="宋体"/>
          <w:color w:val="auto"/>
          <w:szCs w:val="21"/>
          <w:highlight w:val="none"/>
          <w:lang w:eastAsia="zh-CN"/>
        </w:rPr>
        <w:t>、</w:t>
      </w:r>
      <w:r>
        <w:rPr>
          <w:rFonts w:hint="eastAsia" w:ascii="宋体" w:hAnsi="宋体" w:cs="宋体"/>
          <w:color w:val="auto"/>
          <w:szCs w:val="21"/>
          <w:highlight w:val="none"/>
        </w:rPr>
        <w:t>税务登记证复印件</w:t>
      </w:r>
      <w:r>
        <w:rPr>
          <w:rFonts w:hint="eastAsia" w:ascii="宋体" w:hAnsi="宋体" w:cs="宋体"/>
          <w:color w:val="auto"/>
          <w:szCs w:val="21"/>
          <w:highlight w:val="none"/>
          <w:lang w:eastAsia="zh-CN"/>
        </w:rPr>
        <w:t>（</w:t>
      </w:r>
      <w:r>
        <w:rPr>
          <w:rFonts w:hint="eastAsia" w:ascii="宋体" w:hAnsi="宋体" w:cs="宋体"/>
          <w:color w:val="auto"/>
          <w:szCs w:val="21"/>
          <w:highlight w:val="none"/>
        </w:rPr>
        <w:t>如已办理三证合一则不需提供）</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组织机构代码证复印件（ 如已办理三证合一则不需提供）（加盖单位公章）； </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（7）</w:t>
      </w:r>
      <w:r>
        <w:rPr>
          <w:rFonts w:hint="eastAsia"/>
          <w:color w:val="auto"/>
          <w:highlight w:val="none"/>
        </w:rPr>
        <w:t>企业资质证书</w:t>
      </w:r>
      <w:r>
        <w:rPr>
          <w:rFonts w:hint="eastAsia" w:ascii="宋体" w:hAnsi="宋体" w:cs="宋体"/>
          <w:color w:val="auto"/>
          <w:szCs w:val="21"/>
          <w:highlight w:val="none"/>
        </w:rPr>
        <w:t>复印件（加盖单位公章）；</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（8）</w:t>
      </w:r>
      <w:r>
        <w:rPr>
          <w:rFonts w:hAnsi="宋体"/>
          <w:color w:val="auto"/>
          <w:highlight w:val="none"/>
        </w:rPr>
        <w:t>联合体协议书</w:t>
      </w:r>
      <w:r>
        <w:rPr>
          <w:rFonts w:hint="eastAsia" w:hAnsi="宋体"/>
          <w:color w:val="auto"/>
          <w:highlight w:val="none"/>
        </w:rPr>
        <w:t>原件</w:t>
      </w:r>
      <w:r>
        <w:rPr>
          <w:rFonts w:hAnsi="宋体"/>
          <w:color w:val="auto"/>
          <w:highlight w:val="none"/>
        </w:rPr>
        <w:t>扫描件（如有）；</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lang w:val="en-US" w:eastAsia="zh-CN"/>
        </w:rPr>
        <w:t>2022年度南宁市本级政府投资工程监理项目定点监理单位公开征集入围供应商</w:t>
      </w:r>
      <w:r>
        <w:rPr>
          <w:rFonts w:hint="eastAsia" w:ascii="宋体" w:hAnsi="宋体" w:cs="宋体"/>
          <w:color w:val="auto"/>
          <w:sz w:val="21"/>
          <w:szCs w:val="21"/>
          <w:highlight w:val="none"/>
          <w:u w:val="none"/>
          <w:lang w:val="en-US" w:eastAsia="zh-CN"/>
        </w:rPr>
        <w:t>（市政公用工程）证明材料；</w:t>
      </w:r>
    </w:p>
    <w:p>
      <w:pPr>
        <w:ind w:right="0" w:firstLine="420" w:firstLineChars="200"/>
        <w:jc w:val="left"/>
        <w:rPr>
          <w:rFonts w:ascii="宋体" w:hAnsi="宋体" w:cs="宋体"/>
          <w:color w:val="auto"/>
          <w:szCs w:val="21"/>
          <w:highlight w:val="none"/>
        </w:rPr>
      </w:pPr>
      <w:r>
        <w:rPr>
          <w:rFonts w:hint="eastAsia" w:ascii="宋体" w:hAnsi="宋体" w:cs="宋体"/>
          <w:color w:val="auto"/>
          <w:szCs w:val="21"/>
          <w:highlight w:val="none"/>
        </w:rPr>
        <w:t>（10）其他……</w:t>
      </w:r>
      <w:bookmarkEnd w:id="144"/>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11.3技术部分主要包括下列内容：</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（1）业绩表；</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（2）拟投入人员配置明细表； </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（3）拟投入人员的相关工作业绩、资历及能力（由比选申请人自行编写）</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（4）服务方案（由比选申请人自行编写）</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（5）其他……</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11.4商务部分主要包括下列内容：</w:t>
      </w:r>
    </w:p>
    <w:p>
      <w:pPr>
        <w:ind w:right="753" w:firstLine="315" w:firstLineChars="150"/>
        <w:jc w:val="left"/>
        <w:rPr>
          <w:rFonts w:ascii="宋体" w:hAnsi="宋体" w:cs="宋体"/>
          <w:color w:val="auto"/>
          <w:szCs w:val="21"/>
          <w:highlight w:val="none"/>
        </w:rPr>
      </w:pPr>
      <w:r>
        <w:rPr>
          <w:rFonts w:hint="eastAsia" w:ascii="宋体" w:hAnsi="宋体" w:cs="宋体"/>
          <w:color w:val="auto"/>
          <w:szCs w:val="21"/>
          <w:highlight w:val="none"/>
        </w:rPr>
        <w:t>（1）报价表；</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11.5比选申请人需按照比选人提供的比选申请文件格式和顺序另行编制比选申请文件，但表格可以按同样格式扩展。</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12.</w:t>
      </w:r>
      <w:bookmarkStart w:id="145" w:name="_Toc114052363"/>
      <w:bookmarkStart w:id="146" w:name="_Toc114052427"/>
      <w:bookmarkStart w:id="147" w:name="_Toc286386847"/>
      <w:bookmarkStart w:id="148" w:name="_Toc310318585"/>
      <w:r>
        <w:rPr>
          <w:rFonts w:hint="eastAsia" w:ascii="宋体" w:hAnsi="宋体" w:cs="宋体"/>
          <w:b/>
          <w:bCs/>
          <w:color w:val="auto"/>
          <w:szCs w:val="21"/>
          <w:highlight w:val="none"/>
        </w:rPr>
        <w:t>比选有效期</w:t>
      </w:r>
      <w:bookmarkEnd w:id="145"/>
      <w:bookmarkEnd w:id="146"/>
      <w:bookmarkEnd w:id="147"/>
      <w:bookmarkEnd w:id="148"/>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12.1 比选申请文件在前附表第14条规定的递交比选申请文件</w:t>
      </w:r>
      <w:r>
        <w:rPr>
          <w:rFonts w:hint="eastAsia" w:ascii="宋体" w:hAnsi="宋体" w:cs="宋体"/>
          <w:color w:val="auto"/>
          <w:szCs w:val="21"/>
          <w:highlight w:val="none"/>
          <w:lang w:val="en-US" w:eastAsia="zh-CN"/>
        </w:rPr>
        <w:t>截止</w:t>
      </w:r>
      <w:r>
        <w:rPr>
          <w:rFonts w:hint="eastAsia" w:ascii="宋体" w:hAnsi="宋体" w:cs="宋体"/>
          <w:color w:val="auto"/>
          <w:szCs w:val="21"/>
          <w:highlight w:val="none"/>
        </w:rPr>
        <w:t>日期之后的</w:t>
      </w:r>
      <w:r>
        <w:rPr>
          <w:rFonts w:hint="eastAsia" w:ascii="宋体" w:hAnsi="宋体" w:cs="宋体"/>
          <w:color w:val="auto"/>
          <w:szCs w:val="21"/>
          <w:highlight w:val="none"/>
          <w:lang w:val="en-US" w:eastAsia="zh-CN"/>
        </w:rPr>
        <w:t>60</w:t>
      </w:r>
      <w:r>
        <w:rPr>
          <w:rFonts w:hint="eastAsia" w:ascii="宋体" w:hAnsi="宋体" w:cs="宋体"/>
          <w:color w:val="auto"/>
          <w:szCs w:val="21"/>
          <w:highlight w:val="none"/>
        </w:rPr>
        <w:t>天内有效。</w:t>
      </w:r>
    </w:p>
    <w:p>
      <w:pPr>
        <w:ind w:right="-21"/>
        <w:jc w:val="left"/>
        <w:rPr>
          <w:rFonts w:ascii="宋体" w:hAnsi="宋体" w:cs="宋体"/>
          <w:b/>
          <w:bCs/>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13.比选保证金</w:t>
      </w:r>
    </w:p>
    <w:p>
      <w:pPr>
        <w:ind w:right="753" w:firstLine="420" w:firstLineChars="200"/>
        <w:jc w:val="left"/>
        <w:rPr>
          <w:rFonts w:hint="eastAsia" w:ascii="宋体" w:hAnsi="宋体" w:cs="宋体"/>
          <w:color w:val="auto"/>
          <w:szCs w:val="21"/>
          <w:highlight w:val="none"/>
          <w:lang w:eastAsia="zh-CN"/>
        </w:rPr>
      </w:pPr>
      <w:r>
        <w:rPr>
          <w:rFonts w:hint="eastAsia" w:ascii="宋体" w:hAnsi="宋体" w:cs="宋体"/>
          <w:color w:val="auto"/>
          <w:szCs w:val="21"/>
          <w:highlight w:val="none"/>
        </w:rPr>
        <w:t>13.1 比选保证金：</w:t>
      </w:r>
      <w:r>
        <w:rPr>
          <w:rFonts w:hint="eastAsia" w:ascii="宋体" w:hAnsi="宋体" w:cs="宋体"/>
          <w:color w:val="auto"/>
          <w:szCs w:val="21"/>
          <w:highlight w:val="none"/>
          <w:lang w:eastAsia="zh-CN"/>
        </w:rPr>
        <w:t>无</w:t>
      </w:r>
    </w:p>
    <w:p>
      <w:pPr>
        <w:ind w:right="753"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14.</w:t>
      </w:r>
      <w:bookmarkStart w:id="149" w:name="_Toc114052365"/>
      <w:bookmarkStart w:id="150" w:name="_Toc286386849"/>
      <w:bookmarkStart w:id="151" w:name="_Toc114052429"/>
      <w:bookmarkStart w:id="152" w:name="_Toc310318587"/>
      <w:r>
        <w:rPr>
          <w:rFonts w:hint="eastAsia" w:ascii="宋体" w:hAnsi="宋体" w:cs="宋体"/>
          <w:b/>
          <w:bCs/>
          <w:color w:val="auto"/>
          <w:szCs w:val="21"/>
          <w:highlight w:val="none"/>
        </w:rPr>
        <w:t>比选答疑</w:t>
      </w:r>
      <w:bookmarkEnd w:id="149"/>
      <w:bookmarkEnd w:id="150"/>
      <w:bookmarkEnd w:id="151"/>
      <w:bookmarkEnd w:id="152"/>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14.2比选补遗文件包括所有问题和答复，比选人将于递交文件截止时间2天前以书面形式,在比选人官网发布，予以答复。</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15.</w:t>
      </w:r>
      <w:bookmarkStart w:id="153" w:name="_Toc310318588"/>
      <w:bookmarkStart w:id="154" w:name="_Toc286386850"/>
      <w:bookmarkStart w:id="155" w:name="_Toc114052430"/>
      <w:bookmarkStart w:id="156" w:name="_Toc114052366"/>
      <w:r>
        <w:rPr>
          <w:rFonts w:hint="eastAsia" w:ascii="宋体" w:hAnsi="宋体" w:cs="宋体"/>
          <w:b/>
          <w:bCs/>
          <w:color w:val="auto"/>
          <w:szCs w:val="21"/>
          <w:highlight w:val="none"/>
        </w:rPr>
        <w:t>比选申请文件的份数</w:t>
      </w:r>
      <w:bookmarkEnd w:id="153"/>
      <w:bookmarkEnd w:id="154"/>
      <w:bookmarkEnd w:id="155"/>
      <w:bookmarkEnd w:id="156"/>
      <w:r>
        <w:rPr>
          <w:rFonts w:hint="eastAsia" w:ascii="宋体" w:hAnsi="宋体" w:cs="宋体"/>
          <w:b/>
          <w:bCs/>
          <w:color w:val="auto"/>
          <w:szCs w:val="21"/>
          <w:highlight w:val="none"/>
        </w:rPr>
        <w:t>和签署</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15.1比选申请人按比选文件规定，编制一份比选申请文件“正本”和</w:t>
      </w:r>
      <w:r>
        <w:rPr>
          <w:rFonts w:hint="eastAsia" w:ascii="宋体" w:hAnsi="宋体" w:cs="宋体"/>
          <w:color w:val="auto"/>
          <w:szCs w:val="21"/>
          <w:highlight w:val="none"/>
          <w:lang w:val="en-US" w:eastAsia="zh-CN"/>
        </w:rPr>
        <w:t>两</w:t>
      </w:r>
      <w:r>
        <w:rPr>
          <w:rFonts w:hint="eastAsia" w:ascii="宋体" w:hAnsi="宋体" w:cs="宋体"/>
          <w:color w:val="auto"/>
          <w:szCs w:val="21"/>
          <w:highlight w:val="none"/>
        </w:rPr>
        <w:t>份比选申请文件“副本”，并标明“比选申请文件正本”和“比选申请文件副本”。比选申请文件正本和副本如有不一致之处，以正本为准。</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4"/>
        <w:jc w:val="center"/>
        <w:rPr>
          <w:color w:val="auto"/>
          <w:sz w:val="21"/>
          <w:szCs w:val="21"/>
          <w:highlight w:val="none"/>
        </w:rPr>
      </w:pPr>
      <w:bookmarkStart w:id="157" w:name="_Toc15191"/>
      <w:bookmarkStart w:id="158" w:name="_Toc8834"/>
      <w:bookmarkStart w:id="159" w:name="_Toc9139"/>
      <w:bookmarkStart w:id="160" w:name="_Toc15461"/>
      <w:bookmarkStart w:id="161" w:name="_Toc25460"/>
      <w:bookmarkStart w:id="162" w:name="_Toc23101"/>
      <w:bookmarkStart w:id="163" w:name="_Toc28307"/>
      <w:bookmarkStart w:id="164" w:name="_Toc11391"/>
      <w:bookmarkStart w:id="165" w:name="_Toc15955"/>
      <w:bookmarkStart w:id="166" w:name="_Toc28652"/>
      <w:bookmarkStart w:id="167" w:name="_Toc31804"/>
      <w:bookmarkStart w:id="168" w:name="_Toc471482365"/>
      <w:bookmarkStart w:id="169" w:name="_Toc2153"/>
      <w:bookmarkStart w:id="170" w:name="_Toc12099"/>
      <w:bookmarkStart w:id="171" w:name="_Toc23604"/>
      <w:bookmarkStart w:id="172" w:name="_Toc14726"/>
      <w:bookmarkStart w:id="173" w:name="_Toc461525301"/>
      <w:bookmarkStart w:id="174" w:name="_Toc2906"/>
      <w:bookmarkStart w:id="175" w:name="_Toc16937"/>
      <w:bookmarkStart w:id="176" w:name="_Toc19276"/>
      <w:bookmarkStart w:id="177" w:name="_Toc12948"/>
      <w:r>
        <w:rPr>
          <w:rFonts w:hint="eastAsia"/>
          <w:color w:val="auto"/>
          <w:sz w:val="21"/>
          <w:szCs w:val="21"/>
          <w:highlight w:val="none"/>
        </w:rPr>
        <w:t>五、</w:t>
      </w:r>
      <w:r>
        <w:rPr>
          <w:color w:val="auto"/>
          <w:sz w:val="21"/>
          <w:szCs w:val="21"/>
          <w:highlight w:val="none"/>
        </w:rPr>
        <w:t>比选申请文件的递交</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16.比选申请文件的密封与标志</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16.1比选申请文件装订要求：比选申请文件中资格审查部分、技术部分、商务部分分开装订。</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16.2比选申请文件的资格审查部分、技术部分、商务部分分别密封在三个比选文件密封袋中。</w:t>
      </w:r>
    </w:p>
    <w:p>
      <w:pPr>
        <w:tabs>
          <w:tab w:val="left" w:pos="8610"/>
        </w:tabs>
        <w:ind w:right="-21"/>
        <w:jc w:val="left"/>
        <w:rPr>
          <w:rFonts w:ascii="宋体" w:hAnsi="宋体" w:cs="宋体"/>
          <w:color w:val="auto"/>
          <w:szCs w:val="21"/>
          <w:highlight w:val="none"/>
        </w:rPr>
      </w:pPr>
      <w:r>
        <w:rPr>
          <w:rFonts w:hint="eastAsia" w:ascii="宋体" w:hAnsi="宋体" w:cs="宋体"/>
          <w:color w:val="auto"/>
          <w:szCs w:val="21"/>
          <w:highlight w:val="none"/>
        </w:rPr>
        <w:t xml:space="preserve">    16.3密封袋封口处都应加盖比选申请人公章或粘贴加盖公章的密封条，若密封袋没有加盖公章或破损严重，有可能导致比选人的拒收。</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16.4比选申请文件递交至前附表第13项所述的单位和地址。</w:t>
      </w:r>
    </w:p>
    <w:p>
      <w:pPr>
        <w:ind w:right="753"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17.递交比选文件截止期</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17.1比选申请人应在前附表第14项所述规定的时间，将比选申请文件递交至前附表第13项所述的单位和地址。</w:t>
      </w:r>
    </w:p>
    <w:p>
      <w:pPr>
        <w:pStyle w:val="4"/>
        <w:jc w:val="center"/>
        <w:rPr>
          <w:color w:val="auto"/>
          <w:sz w:val="21"/>
          <w:szCs w:val="21"/>
          <w:highlight w:val="none"/>
        </w:rPr>
      </w:pPr>
      <w:bookmarkStart w:id="178" w:name="_Toc20601"/>
      <w:bookmarkStart w:id="179" w:name="_Toc32687"/>
      <w:bookmarkStart w:id="180" w:name="_Toc29047"/>
      <w:bookmarkStart w:id="181" w:name="_Toc17217"/>
      <w:bookmarkStart w:id="182" w:name="_Toc13505"/>
      <w:bookmarkStart w:id="183" w:name="_Toc6376"/>
      <w:bookmarkStart w:id="184" w:name="_Toc471482366"/>
      <w:bookmarkStart w:id="185" w:name="_Toc22118"/>
      <w:bookmarkStart w:id="186" w:name="_Toc31034"/>
      <w:bookmarkStart w:id="187" w:name="_Toc13518"/>
      <w:bookmarkStart w:id="188" w:name="_Toc1057"/>
      <w:bookmarkStart w:id="189" w:name="_Toc461525302"/>
      <w:bookmarkStart w:id="190" w:name="_Toc510"/>
      <w:bookmarkStart w:id="191" w:name="_Toc30232"/>
      <w:bookmarkStart w:id="192" w:name="_Toc30714"/>
      <w:bookmarkStart w:id="193" w:name="_Toc11602"/>
      <w:bookmarkStart w:id="194" w:name="_Toc24283"/>
      <w:bookmarkStart w:id="195" w:name="_Toc13113"/>
      <w:bookmarkStart w:id="196" w:name="_Toc31139"/>
      <w:bookmarkStart w:id="197" w:name="_Toc27095"/>
      <w:bookmarkStart w:id="198" w:name="_Toc20356"/>
      <w:r>
        <w:rPr>
          <w:rFonts w:hint="eastAsia"/>
          <w:color w:val="auto"/>
          <w:sz w:val="21"/>
          <w:szCs w:val="21"/>
          <w:highlight w:val="none"/>
        </w:rPr>
        <w:t>六、评</w:t>
      </w:r>
      <w:bookmarkEnd w:id="178"/>
      <w:bookmarkEnd w:id="179"/>
      <w:bookmarkEnd w:id="180"/>
      <w:r>
        <w:rPr>
          <w:rFonts w:hint="eastAsia"/>
          <w:color w:val="auto"/>
          <w:sz w:val="21"/>
          <w:szCs w:val="21"/>
          <w:highlight w:val="none"/>
        </w:rPr>
        <w:t>比</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18.评比委员会</w:t>
      </w:r>
    </w:p>
    <w:p>
      <w:pPr>
        <w:ind w:firstLine="420"/>
        <w:rPr>
          <w:rFonts w:hint="eastAsia" w:ascii="宋体" w:hAnsi="宋体" w:cs="宋体"/>
          <w:color w:val="auto"/>
          <w:szCs w:val="21"/>
          <w:highlight w:val="none"/>
        </w:rPr>
      </w:pPr>
      <w:r>
        <w:rPr>
          <w:rFonts w:hint="eastAsia" w:ascii="宋体" w:hAnsi="宋体" w:cs="宋体"/>
          <w:color w:val="auto"/>
          <w:szCs w:val="21"/>
          <w:highlight w:val="none"/>
        </w:rPr>
        <w:t xml:space="preserve">18.1 </w:t>
      </w:r>
      <w:r>
        <w:rPr>
          <w:rFonts w:hint="eastAsia" w:ascii="宋体" w:hAnsi="宋体"/>
          <w:color w:val="auto"/>
          <w:szCs w:val="21"/>
          <w:highlight w:val="none"/>
        </w:rPr>
        <w:t>本项目的评比委员会由经济、技术</w:t>
      </w:r>
      <w:r>
        <w:rPr>
          <w:rFonts w:hint="eastAsia" w:ascii="宋体" w:hAnsi="宋体"/>
          <w:color w:val="auto"/>
          <w:szCs w:val="21"/>
          <w:highlight w:val="none"/>
          <w:lang w:val="en-US" w:eastAsia="zh-CN"/>
        </w:rPr>
        <w:t>共3</w:t>
      </w:r>
      <w:r>
        <w:rPr>
          <w:rFonts w:hint="eastAsia" w:ascii="宋体" w:hAnsi="宋体"/>
          <w:color w:val="auto"/>
          <w:szCs w:val="21"/>
          <w:highlight w:val="none"/>
        </w:rPr>
        <w:t>名专家组成</w:t>
      </w:r>
      <w:r>
        <w:rPr>
          <w:rFonts w:hint="eastAsia" w:ascii="宋体" w:hAnsi="宋体" w:cs="宋体"/>
          <w:color w:val="auto"/>
          <w:szCs w:val="21"/>
          <w:highlight w:val="none"/>
        </w:rPr>
        <w:t>。</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18.2</w:t>
      </w:r>
      <w:r>
        <w:rPr>
          <w:rFonts w:hint="eastAsia" w:ascii="宋体" w:hAnsi="宋体"/>
          <w:color w:val="auto"/>
          <w:szCs w:val="21"/>
          <w:highlight w:val="none"/>
        </w:rPr>
        <w:t>评比委员会成员独立、客观、公正地履行职责，遵守职业道德，对所提出的评比意见承担个人责任；评比委员会成员应对整个评比活动保密。</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18.3</w:t>
      </w:r>
      <w:r>
        <w:rPr>
          <w:rFonts w:hint="eastAsia" w:ascii="宋体" w:hAnsi="宋体"/>
          <w:color w:val="auto"/>
          <w:szCs w:val="21"/>
          <w:highlight w:val="none"/>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18.4</w:t>
      </w:r>
      <w:r>
        <w:rPr>
          <w:rFonts w:hint="eastAsia" w:ascii="宋体" w:hAnsi="宋体"/>
          <w:color w:val="auto"/>
          <w:szCs w:val="21"/>
          <w:highlight w:val="none"/>
        </w:rPr>
        <w:t>严禁任何单位或个人以任何形式操纵、干预评比过程和评比结果</w:t>
      </w:r>
      <w:r>
        <w:rPr>
          <w:rFonts w:hint="eastAsia" w:ascii="宋体" w:hAnsi="宋体" w:cs="宋体"/>
          <w:color w:val="auto"/>
          <w:szCs w:val="21"/>
          <w:highlight w:val="none"/>
        </w:rPr>
        <w:t>。</w:t>
      </w:r>
    </w:p>
    <w:p>
      <w:pPr>
        <w:ind w:right="753"/>
        <w:jc w:val="left"/>
        <w:rPr>
          <w:rFonts w:ascii="宋体" w:hAnsi="宋体" w:cs="宋体"/>
          <w:b/>
          <w:bCs/>
          <w:color w:val="auto"/>
          <w:szCs w:val="21"/>
          <w:highlight w:val="none"/>
        </w:rPr>
      </w:pPr>
      <w:bookmarkStart w:id="199" w:name="_Toc310318596"/>
      <w:r>
        <w:rPr>
          <w:rFonts w:hint="eastAsia" w:ascii="宋体" w:hAnsi="宋体" w:cs="宋体"/>
          <w:b/>
          <w:bCs/>
          <w:color w:val="auto"/>
          <w:szCs w:val="21"/>
          <w:highlight w:val="none"/>
        </w:rPr>
        <w:t xml:space="preserve">    19.评比</w:t>
      </w:r>
      <w:bookmarkEnd w:id="199"/>
    </w:p>
    <w:p>
      <w:pPr>
        <w:ind w:right="-21" w:firstLine="420" w:firstLineChars="200"/>
        <w:jc w:val="left"/>
        <w:rPr>
          <w:rFonts w:ascii="宋体" w:hAnsi="宋体" w:cs="宋体"/>
          <w:color w:val="auto"/>
          <w:szCs w:val="21"/>
          <w:highlight w:val="none"/>
        </w:rPr>
      </w:pPr>
      <w:r>
        <w:rPr>
          <w:rFonts w:hint="eastAsia" w:ascii="宋体" w:hAnsi="宋体" w:cs="宋体"/>
          <w:color w:val="auto"/>
          <w:szCs w:val="21"/>
          <w:highlight w:val="none"/>
        </w:rPr>
        <w:t>19.1</w:t>
      </w:r>
      <w:r>
        <w:rPr>
          <w:rFonts w:hint="eastAsia" w:ascii="宋体" w:hAnsi="宋体"/>
          <w:color w:val="auto"/>
          <w:szCs w:val="21"/>
          <w:highlight w:val="none"/>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19.2评比会议程序：</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19.2.1比选申请人负责人或授权委托代理人应签名报到，比选人验证比选申请人法定代表人资格证明、授权委托书及委托代理人有效身份证明。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19.2.2比选申请人退场</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19.2.3由主持人宣布评比会议开始，评比委员会确认文件是否密封。</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19.2.4评比委员会启封比选申请文件的资格审查部分，并进行评审。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19.2.5由主持人当众宣布审查结果，并宣读有效的比选申请人名称以及比选人认为需要的其他内容。</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19.2.6评比委员会启封通过资格审查的比选申请文件的技术部分，并进行评审。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19.2.7评比委员会启封通过资格审查的比选申请文件的商务部分，并进行评审。</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19.2.8在评比过程中，评比委员、记录人等有关人员在比选记录表上签字确认，主持人宣读比选结果。</w:t>
      </w:r>
    </w:p>
    <w:p>
      <w:pPr>
        <w:ind w:right="-21" w:firstLine="420" w:firstLineChars="200"/>
        <w:jc w:val="left"/>
        <w:rPr>
          <w:rFonts w:ascii="宋体" w:hAnsi="宋体" w:cs="宋体"/>
          <w:color w:val="auto"/>
          <w:szCs w:val="21"/>
          <w:highlight w:val="none"/>
        </w:rPr>
      </w:pPr>
      <w:r>
        <w:rPr>
          <w:rFonts w:hint="eastAsia" w:ascii="宋体" w:hAnsi="宋体"/>
          <w:color w:val="auto"/>
          <w:szCs w:val="21"/>
          <w:highlight w:val="none"/>
        </w:rPr>
        <w:t>19.2.9评比结束</w:t>
      </w:r>
    </w:p>
    <w:p>
      <w:pPr>
        <w:ind w:right="753" w:firstLine="422" w:firstLineChars="200"/>
        <w:jc w:val="left"/>
        <w:rPr>
          <w:rFonts w:ascii="宋体" w:hAnsi="宋体" w:cs="宋体"/>
          <w:b/>
          <w:bCs/>
          <w:color w:val="auto"/>
          <w:szCs w:val="21"/>
          <w:highlight w:val="none"/>
        </w:rPr>
      </w:pPr>
      <w:bookmarkStart w:id="200" w:name="_Toc310318597"/>
      <w:bookmarkStart w:id="201" w:name="_Toc114052375"/>
      <w:bookmarkStart w:id="202" w:name="_Toc114052439"/>
      <w:bookmarkStart w:id="203" w:name="_Toc286386859"/>
      <w:r>
        <w:rPr>
          <w:rFonts w:hint="eastAsia" w:ascii="宋体" w:hAnsi="宋体" w:cs="宋体"/>
          <w:b/>
          <w:bCs/>
          <w:color w:val="auto"/>
          <w:szCs w:val="21"/>
          <w:highlight w:val="none"/>
        </w:rPr>
        <w:t>20.评比</w:t>
      </w:r>
      <w:bookmarkEnd w:id="200"/>
      <w:bookmarkEnd w:id="201"/>
      <w:bookmarkEnd w:id="202"/>
      <w:bookmarkEnd w:id="203"/>
      <w:r>
        <w:rPr>
          <w:rFonts w:hint="eastAsia" w:ascii="宋体" w:hAnsi="宋体" w:cs="宋体"/>
          <w:b/>
          <w:bCs/>
          <w:color w:val="auto"/>
          <w:szCs w:val="21"/>
          <w:highlight w:val="none"/>
        </w:rPr>
        <w:t>工作相关要求</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20.1本次比选的工作由评比委员会负责。</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20.2出现下列特殊情况之一，本次比选无效，本公司将重新组织比选：</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20.2.1在比选申请文件递交截止时间到达时提交比选申请文件的比选申请人少于3家的；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20.2.2比选申请文件有效的比选申请人仅有2家，且评委认为没有竞争力的；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20.2.3有效比选申请文件只有1家或0家的；</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20.3评比过程的保密性。评比委员会成员、有关工作人员及其他知情人不得透露对比选申请文件的评比和比较、中选候选人的推荐情况以及与比选有关的其他情况。</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20.4比选申请人在评比过程中所进行的力图影响评比公正性的活动，可能导致其中选无效。</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20.5比选申请文件的澄清或说明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20.5.1评比时评比委员会将以书面形式要求比选申请人就其比选申请文件中含义不明确、同类问题表述不一致或有明显文字错误等的内容予以澄清或说明。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20.5.2比选申请人对要求澄清或说明的内容应在评比委员会规定的时间内以书面形式予以澄清，该澄清或说明函应有比选申请人负责人或其委托代理人的签名。</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20.5.3比选申请人的澄清或说明函作为比选申请文件的组成部分。</w:t>
      </w:r>
    </w:p>
    <w:p>
      <w:pPr>
        <w:ind w:right="-21" w:firstLine="420" w:firstLineChars="200"/>
        <w:jc w:val="left"/>
        <w:rPr>
          <w:rFonts w:ascii="宋体" w:hAnsi="宋体"/>
          <w:color w:val="auto"/>
          <w:szCs w:val="21"/>
          <w:highlight w:val="none"/>
        </w:rPr>
      </w:pPr>
      <w:r>
        <w:rPr>
          <w:rFonts w:hint="eastAsia" w:ascii="宋体" w:hAnsi="宋体"/>
          <w:color w:val="auto"/>
          <w:szCs w:val="21"/>
          <w:highlight w:val="none"/>
        </w:rPr>
        <w:t>20.5.4比选申请人对比选申请文件的澄清或说明不得超出比选申请文件的范围或改变投标的实质内容。</w:t>
      </w:r>
    </w:p>
    <w:p>
      <w:pPr>
        <w:ind w:right="753"/>
        <w:jc w:val="left"/>
        <w:rPr>
          <w:rFonts w:ascii="宋体" w:hAnsi="宋体" w:cs="宋体"/>
          <w:color w:val="auto"/>
          <w:szCs w:val="21"/>
          <w:highlight w:val="none"/>
        </w:rPr>
      </w:pPr>
      <w:bookmarkStart w:id="204" w:name="_Toc310318598"/>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21.比选申请文件评比</w:t>
      </w:r>
      <w:bookmarkEnd w:id="204"/>
      <w:r>
        <w:rPr>
          <w:rFonts w:hint="eastAsia" w:ascii="宋体" w:hAnsi="宋体" w:cs="宋体"/>
          <w:b/>
          <w:bCs/>
          <w:color w:val="auto"/>
          <w:szCs w:val="21"/>
          <w:highlight w:val="none"/>
        </w:rPr>
        <w:t>相关要求</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21.1比选申请人资格审查</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只有通过资格审查才能进入下一步的评比，资格审查资料有任何一项不合格者其资格审查视为不通过。</w:t>
      </w:r>
    </w:p>
    <w:p>
      <w:pPr>
        <w:ind w:right="-21"/>
        <w:jc w:val="left"/>
        <w:rPr>
          <w:rFonts w:ascii="宋体" w:hAnsi="宋体" w:cs="宋体"/>
          <w:b/>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 xml:space="preserve">  21.2比选申请人或其比选文件有下列情况之一者，其比选申请文件将视为无效或作废处理：</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（1）比选申请人的负责人或委托代理人未按时参加评比会议的；</w:t>
      </w:r>
    </w:p>
    <w:p>
      <w:pPr>
        <w:ind w:right="753"/>
        <w:jc w:val="left"/>
        <w:rPr>
          <w:rFonts w:ascii="宋体" w:hAnsi="宋体" w:cs="宋体"/>
          <w:b/>
          <w:color w:val="auto"/>
          <w:szCs w:val="21"/>
          <w:highlight w:val="none"/>
        </w:rPr>
      </w:pPr>
      <w:r>
        <w:rPr>
          <w:rFonts w:hint="eastAsia" w:ascii="宋体" w:hAnsi="宋体" w:cs="宋体"/>
          <w:b/>
          <w:color w:val="auto"/>
          <w:szCs w:val="21"/>
          <w:highlight w:val="none"/>
        </w:rPr>
        <w:t xml:space="preserve">    （2）比选申请文件未按照规定的要求装订、密封和标记的；</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（3）本须知第11条规定的比选申请文件有关内容未按本须知第15条规定加盖比选申请人公章、未经比选申请人负责人或其委托代理人签字或盖章的；</w:t>
      </w:r>
    </w:p>
    <w:p>
      <w:pPr>
        <w:ind w:right="-21"/>
        <w:jc w:val="left"/>
        <w:rPr>
          <w:rFonts w:ascii="宋体" w:hAnsi="宋体" w:cs="宋体"/>
          <w:b/>
          <w:color w:val="auto"/>
          <w:szCs w:val="21"/>
          <w:highlight w:val="none"/>
        </w:rPr>
      </w:pPr>
      <w:r>
        <w:rPr>
          <w:rFonts w:hint="eastAsia" w:ascii="宋体" w:hAnsi="宋体" w:cs="宋体"/>
          <w:b/>
          <w:color w:val="auto"/>
          <w:szCs w:val="21"/>
          <w:highlight w:val="none"/>
        </w:rPr>
        <w:t xml:space="preserve">    （4）不按本须知第11条内容提供资料的；逾期递交比选申请文件的；</w:t>
      </w:r>
    </w:p>
    <w:p>
      <w:pPr>
        <w:ind w:right="753"/>
        <w:jc w:val="left"/>
        <w:rPr>
          <w:rFonts w:ascii="宋体" w:hAnsi="宋体" w:cs="宋体"/>
          <w:b/>
          <w:color w:val="auto"/>
          <w:szCs w:val="21"/>
          <w:highlight w:val="none"/>
        </w:rPr>
      </w:pPr>
      <w:r>
        <w:rPr>
          <w:rFonts w:hint="eastAsia" w:ascii="宋体" w:hAnsi="宋体" w:cs="宋体"/>
          <w:b/>
          <w:color w:val="auto"/>
          <w:szCs w:val="21"/>
          <w:highlight w:val="none"/>
        </w:rPr>
        <w:t xml:space="preserve">    （5）比选申请文件内容不真实的；</w:t>
      </w:r>
    </w:p>
    <w:p>
      <w:pPr>
        <w:spacing w:line="360" w:lineRule="auto"/>
        <w:ind w:firstLine="422" w:firstLineChars="200"/>
        <w:rPr>
          <w:rFonts w:hint="eastAsia" w:ascii="宋体" w:hAnsi="宋体"/>
          <w:b/>
          <w:color w:val="auto"/>
          <w:szCs w:val="21"/>
          <w:highlight w:val="none"/>
        </w:rPr>
      </w:pPr>
      <w:r>
        <w:rPr>
          <w:rFonts w:hint="eastAsia" w:ascii="宋体" w:hAnsi="宋体" w:cs="宋体"/>
          <w:b/>
          <w:color w:val="auto"/>
          <w:szCs w:val="21"/>
          <w:highlight w:val="none"/>
        </w:rPr>
        <w:t>（6）比选申请文件实质上没有响应比选文件的要求的；</w:t>
      </w:r>
      <w:r>
        <w:rPr>
          <w:rFonts w:hint="eastAsia" w:ascii="宋体" w:hAnsi="宋体"/>
          <w:b/>
          <w:color w:val="auto"/>
          <w:szCs w:val="21"/>
          <w:highlight w:val="none"/>
        </w:rPr>
        <w:t>（包括以下内容：比选项目所涉及的人员配置、业绩、价格、服务内容、合同条款等）</w:t>
      </w:r>
    </w:p>
    <w:p>
      <w:pPr>
        <w:ind w:right="-21" w:firstLine="413" w:firstLineChars="196"/>
        <w:jc w:val="left"/>
        <w:rPr>
          <w:rFonts w:hint="eastAsia" w:ascii="宋体" w:hAnsi="宋体"/>
          <w:b/>
          <w:color w:val="auto"/>
          <w:szCs w:val="21"/>
          <w:highlight w:val="none"/>
          <w:lang w:eastAsia="zh-CN"/>
        </w:rPr>
      </w:pPr>
      <w:r>
        <w:rPr>
          <w:rFonts w:hint="eastAsia" w:ascii="宋体" w:hAnsi="宋体"/>
          <w:b/>
          <w:color w:val="auto"/>
          <w:szCs w:val="21"/>
          <w:highlight w:val="none"/>
        </w:rPr>
        <w:t>（7）比选申请人报价超过上</w:t>
      </w:r>
      <w:r>
        <w:rPr>
          <w:rFonts w:hint="eastAsia" w:ascii="宋体" w:hAnsi="宋体"/>
          <w:b/>
          <w:color w:val="auto"/>
          <w:szCs w:val="21"/>
          <w:highlight w:val="none"/>
          <w:lang w:val="en-US" w:eastAsia="zh-CN"/>
        </w:rPr>
        <w:t>限</w:t>
      </w:r>
      <w:r>
        <w:rPr>
          <w:rFonts w:hint="eastAsia" w:ascii="宋体" w:hAnsi="宋体"/>
          <w:b/>
          <w:color w:val="auto"/>
          <w:szCs w:val="21"/>
          <w:highlight w:val="none"/>
        </w:rPr>
        <w:t>控</w:t>
      </w:r>
      <w:r>
        <w:rPr>
          <w:rFonts w:hint="eastAsia" w:ascii="宋体" w:hAnsi="宋体"/>
          <w:b/>
          <w:color w:val="auto"/>
          <w:szCs w:val="21"/>
          <w:highlight w:val="none"/>
          <w:lang w:val="en-US" w:eastAsia="zh-CN"/>
        </w:rPr>
        <w:t>制</w:t>
      </w:r>
      <w:r>
        <w:rPr>
          <w:rFonts w:hint="eastAsia" w:ascii="宋体" w:hAnsi="宋体"/>
          <w:b/>
          <w:color w:val="auto"/>
          <w:szCs w:val="21"/>
          <w:highlight w:val="none"/>
        </w:rPr>
        <w:t>价的</w:t>
      </w:r>
      <w:r>
        <w:rPr>
          <w:rFonts w:hint="eastAsia" w:ascii="宋体" w:hAnsi="宋体"/>
          <w:b/>
          <w:color w:val="auto"/>
          <w:szCs w:val="21"/>
          <w:highlight w:val="none"/>
          <w:lang w:eastAsia="zh-CN"/>
        </w:rPr>
        <w:t>。</w:t>
      </w:r>
    </w:p>
    <w:p>
      <w:pPr>
        <w:ind w:right="-21" w:firstLine="413" w:firstLineChars="196"/>
        <w:jc w:val="left"/>
        <w:rPr>
          <w:rFonts w:hint="eastAsia" w:ascii="宋体" w:hAnsi="宋体"/>
          <w:b/>
          <w:color w:val="auto"/>
          <w:szCs w:val="21"/>
          <w:highlight w:val="none"/>
          <w:lang w:eastAsia="zh-CN"/>
        </w:rPr>
      </w:pPr>
      <w:r>
        <w:rPr>
          <w:rFonts w:hint="eastAsia" w:ascii="宋体" w:hAnsi="宋体" w:cs="宋体"/>
          <w:b/>
          <w:color w:val="auto"/>
          <w:szCs w:val="21"/>
          <w:highlight w:val="none"/>
        </w:rPr>
        <w:t>（8）比选申请人不符合前附表第9条所述资格要求或比选申请人符合前附表第9条所述资格要求但就本比选项目分别提交两个（每个正本一份、副本</w:t>
      </w:r>
      <w:r>
        <w:rPr>
          <w:rFonts w:hint="eastAsia" w:ascii="宋体" w:hAnsi="宋体" w:cs="宋体"/>
          <w:b/>
          <w:color w:val="auto"/>
          <w:szCs w:val="21"/>
          <w:highlight w:val="none"/>
          <w:lang w:val="en-US" w:eastAsia="zh-CN"/>
        </w:rPr>
        <w:t>两</w:t>
      </w:r>
      <w:r>
        <w:rPr>
          <w:rFonts w:hint="eastAsia" w:ascii="宋体" w:hAnsi="宋体" w:cs="宋体"/>
          <w:b/>
          <w:color w:val="auto"/>
          <w:szCs w:val="21"/>
          <w:highlight w:val="none"/>
        </w:rPr>
        <w:t>份）及以上的比选申请文件的。</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21.3评比细则</w:t>
      </w:r>
    </w:p>
    <w:p>
      <w:pPr>
        <w:ind w:right="753"/>
        <w:jc w:val="left"/>
        <w:rPr>
          <w:rFonts w:ascii="宋体" w:hAnsi="宋体" w:cs="宋体"/>
          <w:color w:val="auto"/>
          <w:szCs w:val="21"/>
          <w:highlight w:val="none"/>
        </w:rPr>
      </w:pPr>
      <w:r>
        <w:rPr>
          <w:rFonts w:ascii="宋体" w:hAnsi="宋体" w:cs="宋体"/>
          <w:color w:val="auto"/>
          <w:szCs w:val="21"/>
          <w:highlight w:val="none"/>
        </w:rPr>
        <w:t xml:space="preserve">    详见第四章。</w:t>
      </w:r>
    </w:p>
    <w:p>
      <w:pPr>
        <w:ind w:right="753"/>
        <w:jc w:val="left"/>
        <w:rPr>
          <w:rFonts w:ascii="宋体" w:hAnsi="宋体" w:cs="宋体"/>
          <w:color w:val="auto"/>
          <w:szCs w:val="21"/>
          <w:highlight w:val="none"/>
        </w:rPr>
      </w:pPr>
      <w:r>
        <w:rPr>
          <w:rFonts w:ascii="宋体" w:hAnsi="宋体" w:cs="宋体"/>
          <w:color w:val="auto"/>
          <w:szCs w:val="21"/>
          <w:highlight w:val="none"/>
        </w:rPr>
        <w:t xml:space="preserve">    21.4确定中选人</w:t>
      </w:r>
    </w:p>
    <w:p>
      <w:pPr>
        <w:ind w:right="753"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评审小组将按照综合得分由</w:t>
      </w:r>
      <w:r>
        <w:rPr>
          <w:rFonts w:hint="eastAsia" w:ascii="宋体" w:hAnsi="宋体" w:cs="宋体"/>
          <w:color w:val="auto"/>
          <w:szCs w:val="21"/>
          <w:highlight w:val="none"/>
          <w:lang w:val="en-US" w:eastAsia="zh-CN"/>
        </w:rPr>
        <w:t>高</w:t>
      </w:r>
      <w:r>
        <w:rPr>
          <w:rFonts w:hint="eastAsia" w:ascii="宋体" w:hAnsi="宋体" w:cs="宋体"/>
          <w:color w:val="auto"/>
          <w:szCs w:val="21"/>
          <w:highlight w:val="none"/>
        </w:rPr>
        <w:t>到</w:t>
      </w:r>
      <w:r>
        <w:rPr>
          <w:rFonts w:hint="eastAsia" w:ascii="宋体" w:hAnsi="宋体" w:cs="宋体"/>
          <w:color w:val="auto"/>
          <w:szCs w:val="21"/>
          <w:highlight w:val="none"/>
          <w:lang w:val="en-US" w:eastAsia="zh-CN"/>
        </w:rPr>
        <w:t>低</w:t>
      </w:r>
      <w:r>
        <w:rPr>
          <w:rFonts w:hint="eastAsia" w:ascii="宋体" w:hAnsi="宋体" w:cs="宋体"/>
          <w:color w:val="auto"/>
          <w:szCs w:val="21"/>
          <w:highlight w:val="none"/>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ind w:right="753"/>
        <w:jc w:val="left"/>
        <w:rPr>
          <w:rFonts w:ascii="宋体" w:hAnsi="宋体" w:cs="宋体"/>
          <w:b/>
          <w:bCs/>
          <w:color w:val="auto"/>
          <w:szCs w:val="21"/>
          <w:highlight w:val="none"/>
        </w:rPr>
      </w:pPr>
      <w:bookmarkStart w:id="205" w:name="_Toc310318599"/>
      <w:bookmarkStart w:id="206" w:name="_Toc114052441"/>
      <w:bookmarkStart w:id="207" w:name="_Toc286386861"/>
      <w:bookmarkStart w:id="208" w:name="_Toc114052377"/>
      <w:r>
        <w:rPr>
          <w:rFonts w:hint="eastAsia" w:ascii="宋体" w:hAnsi="宋体" w:cs="宋体"/>
          <w:b/>
          <w:bCs/>
          <w:color w:val="auto"/>
          <w:szCs w:val="21"/>
          <w:highlight w:val="none"/>
        </w:rPr>
        <w:t xml:space="preserve">    22.评比结果公示</w:t>
      </w:r>
      <w:bookmarkEnd w:id="205"/>
      <w:bookmarkEnd w:id="206"/>
      <w:bookmarkEnd w:id="207"/>
      <w:bookmarkEnd w:id="208"/>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22.1在评比结束后，比选人将在南宁轨道交通集团有限责任公司官网(</w:t>
      </w:r>
      <w:r>
        <w:rPr>
          <w:rFonts w:ascii="宋体" w:hAnsi="宋体" w:cs="宋体"/>
          <w:color w:val="auto"/>
          <w:szCs w:val="21"/>
          <w:highlight w:val="none"/>
        </w:rPr>
        <w:t>http://www.nngdjt.com/</w:t>
      </w:r>
      <w:r>
        <w:rPr>
          <w:rFonts w:hint="eastAsia" w:ascii="宋体" w:hAnsi="宋体" w:cs="宋体"/>
          <w:color w:val="auto"/>
          <w:szCs w:val="21"/>
          <w:highlight w:val="none"/>
        </w:rPr>
        <w:t>)的招标招商中的</w:t>
      </w:r>
      <w:r>
        <w:rPr>
          <w:rFonts w:hint="eastAsia" w:ascii="宋体" w:hAnsi="宋体" w:cs="宋体"/>
          <w:color w:val="auto"/>
          <w:szCs w:val="21"/>
          <w:highlight w:val="none"/>
          <w:lang w:eastAsia="zh-CN"/>
        </w:rPr>
        <w:t>中选</w:t>
      </w:r>
      <w:r>
        <w:rPr>
          <w:rFonts w:hint="eastAsia" w:ascii="宋体" w:hAnsi="宋体" w:cs="宋体"/>
          <w:color w:val="auto"/>
          <w:szCs w:val="21"/>
          <w:highlight w:val="none"/>
        </w:rPr>
        <w:t>信息处公示评比结果。</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4"/>
        <w:jc w:val="center"/>
        <w:rPr>
          <w:color w:val="auto"/>
          <w:sz w:val="21"/>
          <w:szCs w:val="21"/>
          <w:highlight w:val="none"/>
        </w:rPr>
      </w:pPr>
      <w:bookmarkStart w:id="209" w:name="_Toc24212"/>
      <w:bookmarkStart w:id="210" w:name="_Toc30023"/>
      <w:bookmarkStart w:id="211" w:name="_Toc16746"/>
      <w:bookmarkStart w:id="212" w:name="_Toc19549"/>
      <w:bookmarkStart w:id="213" w:name="_Toc24316"/>
      <w:bookmarkStart w:id="214" w:name="_Toc797"/>
      <w:bookmarkStart w:id="215" w:name="_Toc529"/>
      <w:bookmarkStart w:id="216" w:name="_Toc461525303"/>
      <w:bookmarkStart w:id="217" w:name="_Toc1123"/>
      <w:bookmarkStart w:id="218" w:name="_Toc8936"/>
      <w:bookmarkStart w:id="219" w:name="_Toc12010"/>
      <w:bookmarkStart w:id="220" w:name="_Toc6317"/>
      <w:bookmarkStart w:id="221" w:name="_Toc6141"/>
      <w:bookmarkStart w:id="222" w:name="_Toc24479"/>
      <w:bookmarkStart w:id="223" w:name="_Toc16935"/>
      <w:bookmarkStart w:id="224" w:name="_Toc711"/>
      <w:bookmarkStart w:id="225" w:name="_Toc471482367"/>
      <w:bookmarkStart w:id="226" w:name="_Toc20403"/>
      <w:bookmarkStart w:id="227" w:name="_Toc15806"/>
      <w:bookmarkStart w:id="228" w:name="_Toc17996"/>
      <w:bookmarkStart w:id="229" w:name="_Toc8363"/>
      <w:r>
        <w:rPr>
          <w:rFonts w:hint="eastAsia"/>
          <w:color w:val="auto"/>
          <w:sz w:val="21"/>
          <w:szCs w:val="21"/>
          <w:highlight w:val="none"/>
        </w:rPr>
        <w:t>七、</w:t>
      </w:r>
      <w:r>
        <w:rPr>
          <w:color w:val="auto"/>
          <w:sz w:val="21"/>
          <w:szCs w:val="21"/>
          <w:highlight w:val="none"/>
        </w:rPr>
        <w:t>授予合同</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b/>
          <w:bCs/>
          <w:color w:val="auto"/>
          <w:szCs w:val="21"/>
          <w:highlight w:val="none"/>
        </w:rPr>
        <w:t xml:space="preserve"> 23.中选通知书</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23.1比选人将向中选人发出中选通知书。</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23.2比选人无义务向落选的比选申请人解释落选原因和退还比选申请文件。</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23.3中选通知书作为合同的组成部分。</w:t>
      </w:r>
    </w:p>
    <w:p>
      <w:pPr>
        <w:ind w:right="753"/>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 xml:space="preserve">  24.合同的签署</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24.1中选人应按中选通知书中的相关要求，由中选人负责人或授权代表前往比选人处与比选人进行签订合同。</w:t>
      </w:r>
    </w:p>
    <w:p>
      <w:pPr>
        <w:ind w:right="-21"/>
        <w:jc w:val="left"/>
        <w:rPr>
          <w:rFonts w:ascii="宋体" w:hAnsi="宋体" w:cs="宋体"/>
          <w:color w:val="auto"/>
          <w:szCs w:val="21"/>
          <w:highlight w:val="none"/>
        </w:rPr>
      </w:pPr>
      <w:r>
        <w:rPr>
          <w:rFonts w:hint="eastAsia" w:ascii="宋体" w:hAnsi="宋体" w:cs="宋体"/>
          <w:color w:val="auto"/>
          <w:szCs w:val="21"/>
          <w:highlight w:val="none"/>
        </w:rPr>
        <w:t xml:space="preserve">    24.2中选人如放弃中选资格，则比选人有权将其列入不良行为记录名单、三年内禁止其参加比选人发起的任何</w:t>
      </w:r>
      <w:r>
        <w:rPr>
          <w:rFonts w:hint="eastAsia" w:ascii="宋体" w:hAnsi="宋体" w:cs="宋体"/>
          <w:color w:val="auto"/>
          <w:szCs w:val="21"/>
          <w:highlight w:val="none"/>
          <w:lang w:val="en-US" w:eastAsia="zh-CN"/>
        </w:rPr>
        <w:t>比选和招标</w:t>
      </w:r>
      <w:r>
        <w:rPr>
          <w:rFonts w:hint="eastAsia" w:ascii="宋体" w:hAnsi="宋体" w:cs="宋体"/>
          <w:color w:val="auto"/>
          <w:szCs w:val="21"/>
          <w:highlight w:val="none"/>
        </w:rPr>
        <w:t>活动。</w:t>
      </w:r>
    </w:p>
    <w:p>
      <w:pPr>
        <w:ind w:right="753"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24.3中选人被废除中选资格后，比选人有权将标授予预备中选单位。</w:t>
      </w:r>
    </w:p>
    <w:p>
      <w:pPr>
        <w:ind w:right="753" w:firstLine="420" w:firstLineChars="200"/>
        <w:jc w:val="left"/>
        <w:rPr>
          <w:rFonts w:hint="eastAsia" w:ascii="宋体" w:hAnsi="宋体" w:cs="宋体"/>
          <w:color w:val="auto"/>
          <w:szCs w:val="21"/>
          <w:highlight w:val="none"/>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ind w:right="753" w:firstLine="2520" w:firstLineChars="700"/>
        <w:jc w:val="both"/>
        <w:rPr>
          <w:rFonts w:hint="eastAsia" w:ascii="宋体" w:hAnsi="宋体" w:cs="宋体"/>
          <w:color w:val="auto"/>
          <w:sz w:val="36"/>
          <w:szCs w:val="36"/>
          <w:highlight w:val="none"/>
        </w:rPr>
      </w:pPr>
      <w:bookmarkStart w:id="230" w:name="_Toc22951"/>
      <w:bookmarkStart w:id="231" w:name="_Toc31070"/>
      <w:bookmarkStart w:id="232" w:name="_Toc4769"/>
      <w:bookmarkStart w:id="233" w:name="_Toc25789"/>
      <w:bookmarkStart w:id="234" w:name="_Toc21670"/>
      <w:bookmarkStart w:id="235" w:name="_Toc12854"/>
      <w:bookmarkStart w:id="236" w:name="_Toc461525304"/>
      <w:bookmarkStart w:id="237" w:name="_Toc6126"/>
      <w:bookmarkStart w:id="238" w:name="_Toc16269"/>
      <w:bookmarkStart w:id="239" w:name="_Toc2960"/>
      <w:bookmarkStart w:id="240" w:name="_Toc26271"/>
      <w:bookmarkStart w:id="241" w:name="_Toc21358"/>
      <w:bookmarkStart w:id="242" w:name="_Toc13175"/>
      <w:bookmarkStart w:id="243" w:name="_Toc5964"/>
      <w:bookmarkStart w:id="244" w:name="_Toc9074"/>
      <w:bookmarkStart w:id="245" w:name="_Toc1354"/>
      <w:bookmarkStart w:id="246" w:name="_Toc471482368"/>
      <w:bookmarkStart w:id="247" w:name="_Toc16062"/>
      <w:r>
        <w:rPr>
          <w:rFonts w:hint="eastAsia" w:ascii="宋体" w:hAnsi="宋体" w:cs="宋体"/>
          <w:color w:val="auto"/>
          <w:sz w:val="36"/>
          <w:szCs w:val="36"/>
          <w:highlight w:val="none"/>
        </w:rPr>
        <w:t>第二章</w:t>
      </w:r>
      <w:r>
        <w:rPr>
          <w:rFonts w:hint="eastAsia" w:ascii="宋体" w:hAnsi="宋体" w:cs="宋体"/>
          <w:color w:val="auto"/>
          <w:sz w:val="36"/>
          <w:szCs w:val="36"/>
          <w:highlight w:val="none"/>
          <w:lang w:val="en-US" w:eastAsia="zh-CN"/>
        </w:rPr>
        <w:t xml:space="preserve">  </w:t>
      </w:r>
      <w:r>
        <w:rPr>
          <w:rFonts w:hint="eastAsia" w:ascii="宋体" w:hAnsi="宋体" w:cs="宋体"/>
          <w:color w:val="auto"/>
          <w:sz w:val="36"/>
          <w:szCs w:val="36"/>
          <w:highlight w:val="none"/>
        </w:rPr>
        <w:t>合同条款</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ind w:right="560"/>
        <w:jc w:val="center"/>
        <w:rPr>
          <w:rFonts w:ascii="宋体" w:hAnsi="宋体" w:cs="宋体"/>
          <w:b/>
          <w:bCs/>
          <w:color w:val="auto"/>
          <w:sz w:val="24"/>
          <w:highlight w:val="none"/>
        </w:rPr>
      </w:pPr>
      <w:r>
        <w:rPr>
          <w:rFonts w:hint="eastAsia" w:ascii="宋体" w:hAnsi="宋体" w:cs="宋体"/>
          <w:color w:val="auto"/>
          <w:sz w:val="24"/>
          <w:highlight w:val="none"/>
        </w:rPr>
        <w:t>合同编号：</w:t>
      </w:r>
    </w:p>
    <w:p>
      <w:pPr>
        <w:jc w:val="center"/>
        <w:rPr>
          <w:rFonts w:ascii="宋体" w:hAnsi="宋体"/>
          <w:color w:val="auto"/>
          <w:sz w:val="36"/>
          <w:szCs w:val="36"/>
          <w:highlight w:val="none"/>
        </w:rPr>
      </w:pPr>
      <w:r>
        <w:rPr>
          <w:rFonts w:hint="eastAsia" w:ascii="宋体" w:hAnsi="宋体"/>
          <w:color w:val="auto"/>
          <w:sz w:val="36"/>
          <w:szCs w:val="36"/>
          <w:highlight w:val="none"/>
          <w:lang w:val="en-US" w:eastAsia="zh-CN"/>
        </w:rPr>
        <w:t>南宁铁路枢纽投资</w:t>
      </w:r>
      <w:r>
        <w:rPr>
          <w:rFonts w:hint="eastAsia" w:ascii="宋体" w:hAnsi="宋体"/>
          <w:color w:val="auto"/>
          <w:sz w:val="36"/>
          <w:szCs w:val="36"/>
          <w:highlight w:val="none"/>
        </w:rPr>
        <w:t>有限公司</w:t>
      </w:r>
    </w:p>
    <w:p>
      <w:pPr>
        <w:jc w:val="center"/>
        <w:rPr>
          <w:rFonts w:ascii="宋体" w:hAnsi="宋体"/>
          <w:color w:val="auto"/>
          <w:sz w:val="36"/>
          <w:szCs w:val="36"/>
          <w:highlight w:val="none"/>
        </w:rPr>
      </w:pPr>
      <w:bookmarkStart w:id="248" w:name="_Toc20358"/>
      <w:bookmarkStart w:id="249" w:name="_Toc22491"/>
      <w:bookmarkStart w:id="250" w:name="_Toc6471"/>
      <w:bookmarkStart w:id="251" w:name="_Toc16551"/>
      <w:r>
        <w:rPr>
          <w:rFonts w:ascii="宋体" w:hAnsi="宋体"/>
          <w:color w:val="auto"/>
          <w:sz w:val="36"/>
          <w:szCs w:val="36"/>
          <w:highlight w:val="none"/>
          <w:u w:val="single"/>
        </w:rPr>
        <w:t xml:space="preserve">          </w:t>
      </w:r>
      <w:r>
        <w:rPr>
          <w:rFonts w:hint="eastAsia" w:ascii="宋体" w:hAnsi="宋体"/>
          <w:color w:val="auto"/>
          <w:sz w:val="36"/>
          <w:szCs w:val="36"/>
          <w:highlight w:val="none"/>
        </w:rPr>
        <w:t>合同</w:t>
      </w:r>
      <w:bookmarkEnd w:id="248"/>
      <w:bookmarkEnd w:id="249"/>
      <w:bookmarkEnd w:id="250"/>
      <w:bookmarkEnd w:id="251"/>
    </w:p>
    <w:p>
      <w:pPr>
        <w:pStyle w:val="4"/>
        <w:jc w:val="center"/>
        <w:rPr>
          <w:color w:val="auto"/>
          <w:highlight w:val="none"/>
        </w:rPr>
      </w:pPr>
      <w:bookmarkStart w:id="252" w:name="_Toc373478199"/>
      <w:bookmarkStart w:id="253" w:name="_Toc10978"/>
      <w:bookmarkStart w:id="254" w:name="_Toc20509"/>
      <w:bookmarkStart w:id="255" w:name="_Toc373227552"/>
      <w:bookmarkStart w:id="256" w:name="_Toc29515"/>
      <w:bookmarkStart w:id="257" w:name="_Toc23043"/>
      <w:bookmarkStart w:id="258" w:name="_Toc296503025"/>
      <w:bookmarkStart w:id="259" w:name="_Toc296890982"/>
      <w:bookmarkStart w:id="260" w:name="_Toc30171"/>
      <w:bookmarkStart w:id="261" w:name="_Toc407135191"/>
      <w:bookmarkStart w:id="262" w:name="_Toc351203480"/>
      <w:bookmarkStart w:id="263" w:name="_Toc13390"/>
      <w:bookmarkStart w:id="264" w:name="_Toc389065255"/>
      <w:bookmarkStart w:id="265" w:name="_Toc18934"/>
      <w:bookmarkStart w:id="266" w:name="_Toc19548025"/>
      <w:r>
        <w:rPr>
          <w:rFonts w:hint="eastAsia"/>
          <w:color w:val="auto"/>
          <w:highlight w:val="none"/>
        </w:rPr>
        <w:t>第一部分</w:t>
      </w:r>
      <w:r>
        <w:rPr>
          <w:color w:val="auto"/>
          <w:highlight w:val="none"/>
        </w:rPr>
        <w:t xml:space="preserve"> </w:t>
      </w:r>
      <w:r>
        <w:rPr>
          <w:rFonts w:hint="eastAsia"/>
          <w:color w:val="auto"/>
          <w:highlight w:val="none"/>
        </w:rPr>
        <w:t>协议书</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rPr>
          <w:color w:val="auto"/>
          <w:szCs w:val="21"/>
          <w:highlight w:val="none"/>
          <w:u w:val="single"/>
        </w:rPr>
      </w:pPr>
      <w:bookmarkStart w:id="267" w:name="EB959a0cec904a4675a610b8ff15efe337"/>
    </w:p>
    <w:p>
      <w:pPr>
        <w:pStyle w:val="17"/>
        <w:adjustRightInd w:val="0"/>
        <w:snapToGrid w:val="0"/>
        <w:spacing w:line="360" w:lineRule="auto"/>
        <w:ind w:firstLine="422" w:firstLineChars="200"/>
        <w:rPr>
          <w:b/>
          <w:color w:val="auto"/>
          <w:szCs w:val="21"/>
          <w:highlight w:val="none"/>
        </w:rPr>
      </w:pPr>
      <w:r>
        <w:rPr>
          <w:rFonts w:hAnsi="宋体"/>
          <w:b/>
          <w:color w:val="auto"/>
          <w:szCs w:val="21"/>
          <w:highlight w:val="none"/>
        </w:rPr>
        <w:t>委托人（全称）：</w:t>
      </w:r>
      <w:r>
        <w:rPr>
          <w:b/>
          <w:color w:val="auto"/>
          <w:szCs w:val="21"/>
          <w:highlight w:val="none"/>
          <w:u w:val="single"/>
        </w:rPr>
        <w:t xml:space="preserve">                                      </w:t>
      </w:r>
    </w:p>
    <w:p>
      <w:pPr>
        <w:pStyle w:val="17"/>
        <w:adjustRightInd w:val="0"/>
        <w:snapToGrid w:val="0"/>
        <w:spacing w:line="360" w:lineRule="auto"/>
        <w:ind w:firstLine="422" w:firstLineChars="200"/>
        <w:rPr>
          <w:color w:val="auto"/>
          <w:szCs w:val="21"/>
          <w:highlight w:val="none"/>
        </w:rPr>
      </w:pPr>
      <w:r>
        <w:rPr>
          <w:rFonts w:hAnsi="宋体"/>
          <w:b/>
          <w:color w:val="auto"/>
          <w:szCs w:val="21"/>
          <w:highlight w:val="none"/>
        </w:rPr>
        <w:t>监理人（全称）：</w:t>
      </w:r>
      <w:r>
        <w:rPr>
          <w:b/>
          <w:color w:val="auto"/>
          <w:szCs w:val="21"/>
          <w:highlight w:val="none"/>
          <w:u w:val="single"/>
        </w:rPr>
        <w:t xml:space="preserve">                                   </w:t>
      </w:r>
      <w:r>
        <w:rPr>
          <w:color w:val="auto"/>
          <w:szCs w:val="21"/>
          <w:highlight w:val="none"/>
          <w:u w:val="single"/>
        </w:rPr>
        <w:t xml:space="preserve">   </w:t>
      </w:r>
    </w:p>
    <w:p>
      <w:pPr>
        <w:pStyle w:val="18"/>
        <w:adjustRightInd w:val="0"/>
        <w:snapToGrid w:val="0"/>
        <w:spacing w:line="40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根据《中华人民共和国</w:t>
      </w:r>
      <w:r>
        <w:rPr>
          <w:rFonts w:hint="eastAsia" w:ascii="宋体" w:hAnsi="宋体" w:cs="宋体"/>
          <w:color w:val="auto"/>
          <w:szCs w:val="21"/>
          <w:highlight w:val="none"/>
          <w:lang w:val="en-US" w:eastAsia="zh-CN"/>
        </w:rPr>
        <w:t>民法典</w:t>
      </w:r>
      <w:r>
        <w:rPr>
          <w:rFonts w:hint="eastAsia" w:ascii="宋体" w:hAnsi="宋体" w:cs="宋体"/>
          <w:color w:val="auto"/>
          <w:szCs w:val="21"/>
          <w:highlight w:val="none"/>
        </w:rPr>
        <w:t>》、《中华人民共和国建筑法》及其他有关法律、法规，遵循平等、自愿、公平和诚信的原则，双方就下述工程委托监理与相关服务事项协商一致，订立本合同</w:t>
      </w:r>
      <w:r>
        <w:rPr>
          <w:rFonts w:hint="eastAsia" w:ascii="宋体" w:hAnsi="宋体" w:cs="宋体"/>
          <w:b/>
          <w:color w:val="auto"/>
          <w:szCs w:val="21"/>
          <w:highlight w:val="none"/>
        </w:rPr>
        <w:t>。</w:t>
      </w:r>
    </w:p>
    <w:p>
      <w:pPr>
        <w:pStyle w:val="18"/>
        <w:adjustRightInd w:val="0"/>
        <w:snapToGrid w:val="0"/>
        <w:spacing w:line="400" w:lineRule="exact"/>
        <w:ind w:firstLine="422" w:firstLineChars="200"/>
        <w:rPr>
          <w:rFonts w:ascii="宋体" w:hAnsi="宋体" w:cs="宋体"/>
          <w:b/>
          <w:color w:val="auto"/>
          <w:szCs w:val="21"/>
          <w:highlight w:val="none"/>
        </w:rPr>
      </w:pPr>
      <w:bookmarkStart w:id="268" w:name="_Toc349554752"/>
      <w:r>
        <w:rPr>
          <w:rFonts w:hint="eastAsia" w:ascii="宋体" w:hAnsi="宋体" w:cs="宋体"/>
          <w:b/>
          <w:color w:val="auto"/>
          <w:szCs w:val="21"/>
          <w:highlight w:val="none"/>
        </w:rPr>
        <w:t>一、工程概况</w:t>
      </w:r>
      <w:bookmarkEnd w:id="268"/>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工程名称：</w:t>
      </w:r>
      <w:r>
        <w:rPr>
          <w:rFonts w:hint="eastAsia" w:ascii="宋体" w:hAnsi="宋体" w:cs="宋体"/>
          <w:color w:val="auto"/>
          <w:szCs w:val="21"/>
          <w:highlight w:val="none"/>
          <w:u w:val="single"/>
          <w:lang w:val="en-US" w:eastAsia="zh-CN"/>
        </w:rPr>
        <w:t>南宁火车北站东广场整理工程项目监理</w:t>
      </w:r>
    </w:p>
    <w:p>
      <w:pPr>
        <w:pStyle w:val="18"/>
        <w:adjustRightInd w:val="0"/>
        <w:snapToGrid w:val="0"/>
        <w:spacing w:line="400" w:lineRule="exact"/>
        <w:ind w:firstLine="420" w:firstLineChars="200"/>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2. 工程地点：</w:t>
      </w:r>
      <w:r>
        <w:rPr>
          <w:rFonts w:hint="eastAsia" w:ascii="宋体" w:hAnsi="宋体" w:cs="宋体"/>
          <w:color w:val="auto"/>
          <w:szCs w:val="21"/>
          <w:highlight w:val="none"/>
          <w:u w:val="single"/>
        </w:rPr>
        <w:t>南宁市</w:t>
      </w:r>
      <w:r>
        <w:rPr>
          <w:rFonts w:hint="eastAsia" w:ascii="宋体" w:hAnsi="宋体" w:cs="宋体"/>
          <w:color w:val="auto"/>
          <w:szCs w:val="21"/>
          <w:highlight w:val="none"/>
          <w:u w:val="single"/>
          <w:lang w:val="en-US" w:eastAsia="zh-CN"/>
        </w:rPr>
        <w:t>武鸣区、火车北站教育园区东片区。</w:t>
      </w:r>
    </w:p>
    <w:p>
      <w:pPr>
        <w:pStyle w:val="18"/>
        <w:adjustRightInd w:val="0"/>
        <w:snapToGrid w:val="0"/>
        <w:spacing w:line="400" w:lineRule="exact"/>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rPr>
        <w:t>3.</w:t>
      </w:r>
      <w:r>
        <w:rPr>
          <w:rFonts w:hint="eastAsia" w:ascii="宋体" w:hAnsi="宋体" w:cs="宋体" w:eastAsiaTheme="minorEastAsia"/>
          <w:color w:val="auto"/>
          <w:szCs w:val="21"/>
          <w:highlight w:val="none"/>
          <w:lang w:val="zh-CN" w:eastAsia="zh-CN"/>
        </w:rPr>
        <w:t>本项目包括北站东广场地块A、地块B场地平整约54893㎡，其中地块A约19480㎡，地块B约35413 ㎡，</w:t>
      </w:r>
      <w:r>
        <w:rPr>
          <w:rFonts w:hint="eastAsia" w:ascii="宋体" w:hAnsi="宋体" w:cs="宋体" w:eastAsiaTheme="minorEastAsia"/>
          <w:color w:val="auto"/>
          <w:szCs w:val="21"/>
          <w:highlight w:val="none"/>
          <w:lang w:val="zh-CN"/>
        </w:rPr>
        <w:t>包括场地平整工程、给排水工程（含地块A、B内给排水及片区临时排水工程）、临时道路及交通工程</w:t>
      </w:r>
      <w:r>
        <w:rPr>
          <w:rFonts w:hint="eastAsia" w:ascii="宋体" w:hAnsi="宋体" w:cs="宋体" w:eastAsiaTheme="minorEastAsia"/>
          <w:color w:val="auto"/>
          <w:szCs w:val="21"/>
          <w:highlight w:val="none"/>
          <w:lang w:val="zh-CN" w:eastAsia="zh-CN"/>
        </w:rPr>
        <w:t>等内</w:t>
      </w:r>
      <w:r>
        <w:rPr>
          <w:rFonts w:hint="eastAsia" w:ascii="宋体" w:hAnsi="宋体" w:cs="宋体" w:eastAsiaTheme="minorEastAsia"/>
          <w:color w:val="auto"/>
          <w:kern w:val="2"/>
          <w:sz w:val="21"/>
          <w:szCs w:val="21"/>
          <w:highlight w:val="none"/>
          <w:rtl w:val="0"/>
          <w:lang w:val="zh-CN" w:eastAsia="zh-CN" w:bidi="ar-SA"/>
        </w:rPr>
        <w:t>。</w:t>
      </w:r>
    </w:p>
    <w:p>
      <w:pPr>
        <w:pStyle w:val="18"/>
        <w:adjustRightInd w:val="0"/>
        <w:snapToGrid w:val="0"/>
        <w:spacing w:line="400" w:lineRule="exact"/>
        <w:ind w:firstLine="420" w:firstLineChars="200"/>
        <w:rPr>
          <w:rFonts w:hint="eastAsia" w:ascii="宋体" w:hAnsi="宋体" w:cs="宋体"/>
          <w:color w:val="auto"/>
          <w:szCs w:val="21"/>
          <w:highlight w:val="none"/>
          <w:u w:val="none"/>
        </w:rPr>
      </w:pPr>
      <w:r>
        <w:rPr>
          <w:rFonts w:hint="eastAsia" w:ascii="宋体" w:hAnsi="宋体" w:cs="宋体"/>
          <w:color w:val="auto"/>
          <w:szCs w:val="21"/>
          <w:highlight w:val="none"/>
        </w:rPr>
        <w:t xml:space="preserve">4. </w:t>
      </w:r>
      <w:r>
        <w:rPr>
          <w:rFonts w:hint="eastAsia" w:ascii="宋体" w:hAnsi="宋体" w:cs="宋体"/>
          <w:color w:val="auto"/>
          <w:szCs w:val="21"/>
          <w:highlight w:val="none"/>
          <w:u w:val="none"/>
        </w:rPr>
        <w:t>工程投资估算额： 3959.04万元 。</w:t>
      </w:r>
    </w:p>
    <w:p>
      <w:pPr>
        <w:pStyle w:val="18"/>
        <w:adjustRightInd w:val="0"/>
        <w:snapToGrid w:val="0"/>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二、词语限定</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协议书中相关词语的含义与通用条件中的定义与解释相同。</w:t>
      </w:r>
    </w:p>
    <w:p>
      <w:pPr>
        <w:pStyle w:val="18"/>
        <w:adjustRightInd w:val="0"/>
        <w:snapToGrid w:val="0"/>
        <w:spacing w:line="400" w:lineRule="exact"/>
        <w:ind w:firstLine="422" w:firstLineChars="200"/>
        <w:rPr>
          <w:rFonts w:ascii="宋体" w:hAnsi="宋体" w:cs="宋体"/>
          <w:b/>
          <w:color w:val="auto"/>
          <w:szCs w:val="21"/>
          <w:highlight w:val="none"/>
        </w:rPr>
      </w:pPr>
      <w:bookmarkStart w:id="269" w:name="_Toc349554753"/>
      <w:r>
        <w:rPr>
          <w:rFonts w:hint="eastAsia" w:ascii="宋体" w:hAnsi="宋体" w:cs="宋体"/>
          <w:b/>
          <w:color w:val="auto"/>
          <w:szCs w:val="21"/>
          <w:highlight w:val="none"/>
        </w:rPr>
        <w:t>三、组成本合同的文件</w:t>
      </w:r>
      <w:bookmarkEnd w:id="269"/>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协议书；</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 中</w:t>
      </w:r>
      <w:r>
        <w:rPr>
          <w:rFonts w:hint="eastAsia" w:ascii="宋体" w:hAnsi="宋体" w:cs="宋体"/>
          <w:color w:val="auto"/>
          <w:szCs w:val="21"/>
          <w:highlight w:val="none"/>
          <w:lang w:eastAsia="zh-CN"/>
        </w:rPr>
        <w:t>选</w:t>
      </w:r>
      <w:r>
        <w:rPr>
          <w:rFonts w:hint="eastAsia" w:ascii="宋体" w:hAnsi="宋体" w:cs="宋体"/>
          <w:color w:val="auto"/>
          <w:szCs w:val="21"/>
          <w:highlight w:val="none"/>
        </w:rPr>
        <w:t>通知书；</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 </w:t>
      </w:r>
      <w:r>
        <w:rPr>
          <w:rFonts w:hint="eastAsia" w:ascii="宋体" w:hAnsi="宋体" w:cs="宋体"/>
          <w:color w:val="auto"/>
          <w:szCs w:val="21"/>
          <w:highlight w:val="none"/>
          <w:lang w:eastAsia="zh-CN"/>
        </w:rPr>
        <w:t>比选申请文件及比选申请函</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4. </w:t>
      </w:r>
      <w:r>
        <w:rPr>
          <w:rFonts w:hint="eastAsia" w:ascii="宋体" w:hAnsi="宋体" w:cs="宋体"/>
          <w:color w:val="auto"/>
          <w:szCs w:val="21"/>
          <w:highlight w:val="none"/>
          <w:lang w:eastAsia="zh-CN"/>
        </w:rPr>
        <w:t>比选文件；</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 xml:space="preserve">5. </w:t>
      </w:r>
      <w:r>
        <w:rPr>
          <w:rFonts w:hint="eastAsia" w:ascii="宋体" w:hAnsi="宋体" w:cs="宋体"/>
          <w:color w:val="auto"/>
          <w:szCs w:val="21"/>
          <w:highlight w:val="none"/>
        </w:rPr>
        <w:t>专用条件；</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通用条件；</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附录，即：</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附录A  相关服务的范围和内容</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附录B  委托人派遣的人员和提供的</w:t>
      </w:r>
      <w:r>
        <w:rPr>
          <w:rFonts w:hint="eastAsia" w:ascii="宋体" w:hAnsi="宋体" w:cs="宋体"/>
          <w:bCs/>
          <w:color w:val="auto"/>
          <w:szCs w:val="21"/>
          <w:highlight w:val="none"/>
        </w:rPr>
        <w:t>房屋、资料</w:t>
      </w:r>
      <w:r>
        <w:rPr>
          <w:rFonts w:hint="eastAsia" w:ascii="宋体" w:hAnsi="宋体" w:cs="宋体"/>
          <w:color w:val="auto"/>
          <w:szCs w:val="21"/>
          <w:highlight w:val="none"/>
        </w:rPr>
        <w:t>、设备</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本合同签订后，双方依法签订的补充协议也是本合同文件的组成部分。</w:t>
      </w:r>
    </w:p>
    <w:p>
      <w:pPr>
        <w:pStyle w:val="18"/>
        <w:adjustRightInd w:val="0"/>
        <w:snapToGrid w:val="0"/>
        <w:spacing w:line="400" w:lineRule="exact"/>
        <w:ind w:firstLine="422" w:firstLineChars="200"/>
        <w:rPr>
          <w:rFonts w:ascii="宋体" w:hAnsi="宋体" w:cs="宋体"/>
          <w:b/>
          <w:color w:val="auto"/>
          <w:szCs w:val="21"/>
          <w:highlight w:val="none"/>
        </w:rPr>
      </w:pPr>
      <w:bookmarkStart w:id="270" w:name="_Toc349554754"/>
      <w:r>
        <w:rPr>
          <w:rFonts w:hint="eastAsia" w:ascii="宋体" w:hAnsi="宋体" w:cs="宋体"/>
          <w:b/>
          <w:color w:val="auto"/>
          <w:szCs w:val="21"/>
          <w:highlight w:val="none"/>
        </w:rPr>
        <w:t>四、总监理工程师</w:t>
      </w:r>
      <w:bookmarkEnd w:id="270"/>
    </w:p>
    <w:p>
      <w:pPr>
        <w:pStyle w:val="18"/>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总监理工程师姓名：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，身份证号码：</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，注册号：</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pStyle w:val="18"/>
        <w:adjustRightInd w:val="0"/>
        <w:snapToGrid w:val="0"/>
        <w:spacing w:line="400" w:lineRule="exact"/>
        <w:ind w:firstLine="422" w:firstLineChars="200"/>
        <w:rPr>
          <w:rFonts w:hint="default" w:ascii="宋体" w:hAnsi="宋体" w:eastAsia="宋体" w:cs="宋体"/>
          <w:b/>
          <w:color w:val="auto"/>
          <w:szCs w:val="21"/>
          <w:highlight w:val="none"/>
          <w:lang w:val="en-US" w:eastAsia="zh-CN"/>
        </w:rPr>
      </w:pPr>
      <w:bookmarkStart w:id="271" w:name="_Toc349554755"/>
      <w:r>
        <w:rPr>
          <w:rFonts w:hint="eastAsia" w:ascii="宋体" w:hAnsi="宋体" w:cs="宋体"/>
          <w:b/>
          <w:color w:val="auto"/>
          <w:szCs w:val="21"/>
          <w:highlight w:val="none"/>
        </w:rPr>
        <w:t>五、签约</w:t>
      </w:r>
      <w:bookmarkEnd w:id="271"/>
      <w:r>
        <w:rPr>
          <w:rFonts w:hint="eastAsia" w:ascii="宋体" w:hAnsi="宋体" w:cs="宋体"/>
          <w:b/>
          <w:color w:val="auto"/>
          <w:szCs w:val="21"/>
          <w:highlight w:val="none"/>
          <w:lang w:val="en-US" w:eastAsia="zh-CN"/>
        </w:rPr>
        <w:t>合同价格</w:t>
      </w:r>
    </w:p>
    <w:p>
      <w:pPr>
        <w:spacing w:line="360" w:lineRule="auto"/>
        <w:ind w:firstLine="420" w:firstLineChars="200"/>
        <w:rPr>
          <w:rFonts w:hint="eastAsia" w:hAnsi="宋体"/>
          <w:color w:val="auto"/>
          <w:szCs w:val="21"/>
          <w:highlight w:val="none"/>
        </w:rPr>
      </w:pPr>
      <w:r>
        <w:rPr>
          <w:rFonts w:hint="eastAsia" w:ascii="宋体" w:hAnsi="宋体" w:cs="宋体"/>
          <w:color w:val="auto"/>
          <w:szCs w:val="21"/>
          <w:highlight w:val="none"/>
        </w:rPr>
        <w:t>签约</w:t>
      </w:r>
      <w:r>
        <w:rPr>
          <w:rFonts w:hint="eastAsia" w:ascii="宋体" w:hAnsi="宋体" w:cs="宋体"/>
          <w:color w:val="auto"/>
          <w:szCs w:val="21"/>
          <w:highlight w:val="none"/>
          <w:lang w:val="en-US" w:eastAsia="zh-CN"/>
        </w:rPr>
        <w:t>合同总价</w:t>
      </w:r>
      <w:r>
        <w:rPr>
          <w:rFonts w:hint="eastAsia" w:ascii="宋体" w:hAnsi="宋体" w:cs="宋体"/>
          <w:color w:val="auto"/>
          <w:szCs w:val="21"/>
          <w:highlight w:val="none"/>
        </w:rPr>
        <w:t>：本合同不含税价款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，增值税款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，价税合计</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lang w:eastAsia="zh-CN"/>
        </w:rPr>
        <w:t>。</w:t>
      </w:r>
    </w:p>
    <w:p>
      <w:pPr>
        <w:spacing w:line="360" w:lineRule="auto"/>
        <w:ind w:firstLine="420" w:firstLineChars="200"/>
        <w:rPr>
          <w:rFonts w:hint="eastAsia" w:ascii="Times New Roman" w:hAnsi="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rPr>
        <w:t>该合同不含税价格为固定价格，不因市场物价等因素的变动而予以调整。本合同税率在合同履行过程中遵照国家现行税法执行。在结算阶段，按实际产生的税金进行核算。但合同不含税价格不因国家税率调整而调整。</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包括：</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施工阶段</w:t>
      </w:r>
      <w:r>
        <w:rPr>
          <w:rFonts w:hint="eastAsia" w:ascii="宋体" w:hAnsi="宋体" w:cs="宋体"/>
          <w:color w:val="auto"/>
          <w:szCs w:val="21"/>
          <w:highlight w:val="none"/>
          <w:lang w:eastAsia="zh-CN"/>
        </w:rPr>
        <w:t>监理服务费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 </w:t>
      </w:r>
      <w:r>
        <w:rPr>
          <w:rFonts w:hint="eastAsia" w:ascii="宋体" w:hAnsi="宋体" w:cs="宋体"/>
          <w:color w:val="auto"/>
          <w:szCs w:val="21"/>
          <w:highlight w:val="none"/>
          <w:lang w:val="en-US" w:eastAsia="zh-CN"/>
        </w:rPr>
        <w:t>其他</w:t>
      </w:r>
      <w:r>
        <w:rPr>
          <w:rFonts w:hint="eastAsia" w:ascii="宋体" w:hAnsi="宋体" w:cs="宋体"/>
          <w:color w:val="auto"/>
          <w:szCs w:val="21"/>
          <w:highlight w:val="none"/>
        </w:rPr>
        <w:t>相关服务</w:t>
      </w:r>
      <w:r>
        <w:rPr>
          <w:rFonts w:hint="eastAsia" w:ascii="宋体" w:hAnsi="宋体" w:cs="宋体"/>
          <w:color w:val="auto"/>
          <w:szCs w:val="21"/>
          <w:highlight w:val="none"/>
          <w:lang w:val="en-US" w:eastAsia="zh-CN"/>
        </w:rPr>
        <w:t>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其中：</w:t>
      </w:r>
    </w:p>
    <w:p>
      <w:pPr>
        <w:pStyle w:val="18"/>
        <w:adjustRightInd w:val="0"/>
        <w:snapToGrid w:val="0"/>
        <w:spacing w:line="400" w:lineRule="exact"/>
        <w:ind w:firstLine="840" w:firstLineChars="400"/>
        <w:rPr>
          <w:rFonts w:ascii="宋体" w:hAnsi="宋体" w:cs="宋体"/>
          <w:color w:val="auto"/>
          <w:szCs w:val="21"/>
          <w:highlight w:val="none"/>
        </w:rPr>
      </w:pPr>
      <w:r>
        <w:rPr>
          <w:rFonts w:hint="eastAsia" w:ascii="宋体" w:hAnsi="宋体" w:cs="宋体"/>
          <w:color w:val="auto"/>
          <w:kern w:val="0"/>
          <w:szCs w:val="21"/>
          <w:highlight w:val="none"/>
        </w:rPr>
        <w:t>（1）保修阶段服务</w:t>
      </w:r>
      <w:r>
        <w:rPr>
          <w:rFonts w:hint="eastAsia" w:ascii="宋体" w:hAnsi="宋体" w:cs="宋体"/>
          <w:color w:val="auto"/>
          <w:szCs w:val="21"/>
          <w:highlight w:val="none"/>
          <w:lang w:val="en-US" w:eastAsia="zh-CN"/>
        </w:rPr>
        <w:t>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840" w:firstLineChars="400"/>
        <w:rPr>
          <w:rFonts w:hint="eastAsia"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szCs w:val="21"/>
          <w:highlight w:val="none"/>
        </w:rPr>
        <w:t>其他相关服务</w:t>
      </w:r>
      <w:r>
        <w:rPr>
          <w:rFonts w:hint="eastAsia" w:ascii="宋体" w:hAnsi="宋体" w:cs="宋体"/>
          <w:color w:val="auto"/>
          <w:szCs w:val="21"/>
          <w:highlight w:val="none"/>
          <w:lang w:val="en-US" w:eastAsia="zh-CN"/>
        </w:rPr>
        <w:t>费</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b w:val="0"/>
          <w:color w:val="auto"/>
          <w:sz w:val="21"/>
          <w:szCs w:val="21"/>
          <w:highlight w:val="none"/>
        </w:rPr>
        <w:t>在合同履约过程中，本合同税率必须遵照国家现行税法执行。本合同最终税金在结算阶段，按实际产生的税金进行核算</w:t>
      </w:r>
      <w:r>
        <w:rPr>
          <w:rFonts w:hint="eastAsia" w:ascii="宋体" w:hAnsi="宋体" w:cs="宋体"/>
          <w:b w:val="0"/>
          <w:color w:val="auto"/>
          <w:sz w:val="21"/>
          <w:szCs w:val="21"/>
          <w:highlight w:val="none"/>
          <w:lang w:eastAsia="zh-CN"/>
        </w:rPr>
        <w:t>。</w:t>
      </w:r>
    </w:p>
    <w:p>
      <w:pPr>
        <w:pStyle w:val="18"/>
        <w:adjustRightInd w:val="0"/>
        <w:snapToGrid w:val="0"/>
        <w:spacing w:line="400" w:lineRule="exact"/>
        <w:ind w:firstLine="422" w:firstLineChars="200"/>
        <w:rPr>
          <w:rFonts w:ascii="宋体" w:hAnsi="宋体" w:cs="宋体"/>
          <w:b/>
          <w:color w:val="auto"/>
          <w:szCs w:val="21"/>
          <w:highlight w:val="none"/>
        </w:rPr>
      </w:pPr>
      <w:bookmarkStart w:id="272" w:name="_Toc349554756"/>
      <w:r>
        <w:rPr>
          <w:rFonts w:hint="eastAsia" w:ascii="宋体" w:hAnsi="宋体" w:cs="宋体"/>
          <w:b/>
          <w:color w:val="auto"/>
          <w:szCs w:val="21"/>
          <w:highlight w:val="none"/>
        </w:rPr>
        <w:t>六、期限</w:t>
      </w:r>
      <w:bookmarkEnd w:id="272"/>
    </w:p>
    <w:p>
      <w:pPr>
        <w:pStyle w:val="18"/>
        <w:adjustRightInd w:val="0"/>
        <w:snapToGrid w:val="0"/>
        <w:spacing w:line="400" w:lineRule="exact"/>
        <w:ind w:firstLine="525" w:firstLineChars="250"/>
        <w:jc w:val="left"/>
        <w:rPr>
          <w:rFonts w:ascii="宋体" w:hAnsi="宋体" w:cs="宋体"/>
          <w:color w:val="auto"/>
          <w:szCs w:val="21"/>
          <w:highlight w:val="none"/>
        </w:rPr>
      </w:pPr>
      <w:r>
        <w:rPr>
          <w:rFonts w:hint="eastAsia" w:ascii="宋体" w:hAnsi="宋体" w:cs="宋体"/>
          <w:color w:val="auto"/>
          <w:kern w:val="0"/>
          <w:szCs w:val="21"/>
          <w:highlight w:val="none"/>
        </w:rPr>
        <w:t>1. 施工阶段</w:t>
      </w:r>
      <w:r>
        <w:rPr>
          <w:rFonts w:hint="eastAsia" w:ascii="宋体" w:hAnsi="宋体" w:cs="宋体"/>
          <w:color w:val="auto"/>
          <w:szCs w:val="21"/>
          <w:highlight w:val="none"/>
        </w:rPr>
        <w:t>监理期限：</w:t>
      </w:r>
    </w:p>
    <w:p>
      <w:pPr>
        <w:pStyle w:val="18"/>
        <w:adjustRightInd w:val="0"/>
        <w:snapToGrid w:val="0"/>
        <w:spacing w:line="400" w:lineRule="exact"/>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18"/>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相关服务期限：</w:t>
      </w:r>
    </w:p>
    <w:p>
      <w:pPr>
        <w:pStyle w:val="18"/>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（1）保修阶段</w:t>
      </w:r>
      <w:r>
        <w:rPr>
          <w:rFonts w:hint="eastAsia" w:ascii="宋体" w:hAnsi="宋体" w:cs="宋体"/>
          <w:color w:val="auto"/>
          <w:szCs w:val="21"/>
          <w:highlight w:val="none"/>
        </w:rPr>
        <w:t>服务期限自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18"/>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szCs w:val="21"/>
          <w:highlight w:val="none"/>
        </w:rPr>
        <w:t>其他相关服务期限自</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日始，至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pStyle w:val="18"/>
        <w:adjustRightInd w:val="0"/>
        <w:snapToGrid w:val="0"/>
        <w:spacing w:line="400" w:lineRule="exact"/>
        <w:ind w:firstLine="422" w:firstLineChars="200"/>
        <w:rPr>
          <w:rFonts w:ascii="宋体" w:hAnsi="宋体" w:cs="宋体"/>
          <w:b/>
          <w:color w:val="auto"/>
          <w:szCs w:val="21"/>
          <w:highlight w:val="none"/>
        </w:rPr>
      </w:pPr>
      <w:bookmarkStart w:id="273" w:name="_Toc349554757"/>
      <w:r>
        <w:rPr>
          <w:rFonts w:hint="eastAsia" w:ascii="宋体" w:hAnsi="宋体" w:cs="宋体"/>
          <w:b/>
          <w:color w:val="auto"/>
          <w:szCs w:val="21"/>
          <w:highlight w:val="none"/>
        </w:rPr>
        <w:t>七、双方承诺</w:t>
      </w:r>
      <w:bookmarkEnd w:id="273"/>
    </w:p>
    <w:p>
      <w:pPr>
        <w:pStyle w:val="18"/>
        <w:adjustRightInd w:val="0"/>
        <w:snapToGrid w:val="0"/>
        <w:spacing w:line="400" w:lineRule="exact"/>
        <w:ind w:firstLine="420" w:firstLineChars="200"/>
        <w:rPr>
          <w:rFonts w:ascii="宋体" w:hAnsi="宋体" w:cs="宋体"/>
          <w:color w:val="auto"/>
          <w:szCs w:val="21"/>
          <w:highlight w:val="none"/>
        </w:rPr>
      </w:pPr>
      <w:bookmarkStart w:id="274" w:name="_Toc349554758"/>
      <w:r>
        <w:rPr>
          <w:rFonts w:hint="eastAsia" w:ascii="宋体" w:hAnsi="宋体" w:cs="宋体"/>
          <w:color w:val="auto"/>
          <w:szCs w:val="21"/>
          <w:highlight w:val="none"/>
        </w:rPr>
        <w:t>1. 监理人向委托人承诺，按照本合同约定提供监理与相关服务。</w:t>
      </w:r>
      <w:bookmarkEnd w:id="274"/>
    </w:p>
    <w:p>
      <w:pPr>
        <w:pStyle w:val="18"/>
        <w:adjustRightInd w:val="0"/>
        <w:snapToGrid w:val="0"/>
        <w:spacing w:line="400" w:lineRule="exact"/>
        <w:ind w:firstLine="420" w:firstLineChars="200"/>
        <w:rPr>
          <w:rFonts w:ascii="宋体" w:hAnsi="宋体" w:cs="宋体"/>
          <w:color w:val="auto"/>
          <w:szCs w:val="21"/>
          <w:highlight w:val="none"/>
        </w:rPr>
      </w:pPr>
      <w:bookmarkStart w:id="275" w:name="_Toc349554759"/>
      <w:r>
        <w:rPr>
          <w:rFonts w:hint="eastAsia" w:ascii="宋体" w:hAnsi="宋体" w:cs="宋体"/>
          <w:color w:val="auto"/>
          <w:szCs w:val="21"/>
          <w:highlight w:val="none"/>
        </w:rPr>
        <w:t>2. 委托人向监理人承诺，按照本合同约定提供资料，并支付</w:t>
      </w:r>
      <w:r>
        <w:rPr>
          <w:rFonts w:hint="eastAsia" w:ascii="宋体" w:hAnsi="宋体" w:cs="宋体"/>
          <w:color w:val="auto"/>
          <w:szCs w:val="21"/>
          <w:highlight w:val="none"/>
          <w:lang w:val="en-US" w:eastAsia="zh-CN"/>
        </w:rPr>
        <w:t>监理服务费</w:t>
      </w:r>
      <w:r>
        <w:rPr>
          <w:rFonts w:hint="eastAsia" w:ascii="宋体" w:hAnsi="宋体" w:cs="宋体"/>
          <w:color w:val="auto"/>
          <w:szCs w:val="21"/>
          <w:highlight w:val="none"/>
        </w:rPr>
        <w:t>。</w:t>
      </w:r>
      <w:bookmarkEnd w:id="275"/>
    </w:p>
    <w:p>
      <w:pPr>
        <w:pStyle w:val="18"/>
        <w:adjustRightInd w:val="0"/>
        <w:snapToGrid w:val="0"/>
        <w:spacing w:line="400" w:lineRule="exact"/>
        <w:ind w:firstLine="422" w:firstLineChars="200"/>
        <w:rPr>
          <w:rFonts w:ascii="宋体" w:hAnsi="宋体" w:cs="宋体"/>
          <w:b/>
          <w:color w:val="auto"/>
          <w:szCs w:val="21"/>
          <w:highlight w:val="none"/>
        </w:rPr>
      </w:pPr>
      <w:bookmarkStart w:id="276" w:name="_Toc349554760"/>
      <w:r>
        <w:rPr>
          <w:rFonts w:hint="eastAsia" w:ascii="宋体" w:hAnsi="宋体" w:cs="宋体"/>
          <w:b/>
          <w:color w:val="auto"/>
          <w:szCs w:val="21"/>
          <w:highlight w:val="none"/>
        </w:rPr>
        <w:t>八、合同订立</w:t>
      </w:r>
      <w:bookmarkEnd w:id="276"/>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 订立时间：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18"/>
        <w:adjustRightInd w:val="0"/>
        <w:snapToGrid w:val="0"/>
        <w:spacing w:line="40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 订立地点：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南宁</w:t>
      </w:r>
      <w:r>
        <w:rPr>
          <w:rFonts w:hint="eastAsia" w:ascii="宋体" w:hAnsi="宋体" w:cs="宋体"/>
          <w:color w:val="auto"/>
          <w:szCs w:val="21"/>
          <w:highlight w:val="none"/>
          <w:u w:val="single"/>
          <w:lang w:val="en-US" w:eastAsia="zh-CN"/>
        </w:rPr>
        <w:t>市</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8"/>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 本合同一式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份，具有同等法律效力，双方各执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p>
    <w:p>
      <w:pPr>
        <w:pStyle w:val="18"/>
        <w:adjustRightInd w:val="0"/>
        <w:snapToGrid w:val="0"/>
        <w:spacing w:line="360" w:lineRule="auto"/>
        <w:ind w:right="-126" w:rightChars="-60" w:firstLine="415" w:firstLineChars="198"/>
        <w:rPr>
          <w:rFonts w:hAnsi="宋体"/>
          <w:color w:val="auto"/>
          <w:szCs w:val="21"/>
          <w:highlight w:val="none"/>
        </w:rPr>
      </w:pP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委托人：</w:t>
      </w:r>
      <w:r>
        <w:rPr>
          <w:color w:val="auto"/>
          <w:szCs w:val="21"/>
          <w:highlight w:val="none"/>
          <w:u w:val="single"/>
        </w:rPr>
        <w:t xml:space="preserve">       </w:t>
      </w:r>
      <w:r>
        <w:rPr>
          <w:rFonts w:hAnsi="宋体"/>
          <w:color w:val="auto"/>
          <w:szCs w:val="21"/>
          <w:highlight w:val="none"/>
          <w:u w:val="single"/>
        </w:rPr>
        <w:t>（盖章）</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监理人：</w:t>
      </w:r>
      <w:r>
        <w:rPr>
          <w:color w:val="auto"/>
          <w:szCs w:val="21"/>
          <w:highlight w:val="none"/>
          <w:u w:val="single"/>
        </w:rPr>
        <w:t xml:space="preserve">        </w:t>
      </w:r>
      <w:r>
        <w:rPr>
          <w:rFonts w:hAnsi="宋体"/>
          <w:color w:val="auto"/>
          <w:szCs w:val="21"/>
          <w:highlight w:val="none"/>
          <w:u w:val="single"/>
        </w:rPr>
        <w:t>（盖章）</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住所：</w:t>
      </w:r>
      <w:r>
        <w:rPr>
          <w:color w:val="auto"/>
          <w:szCs w:val="21"/>
          <w:highlight w:val="none"/>
        </w:rPr>
        <w:t xml:space="preserve"> </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住所：</w:t>
      </w:r>
      <w:r>
        <w:rPr>
          <w:color w:val="auto"/>
          <w:szCs w:val="21"/>
          <w:highlight w:val="none"/>
        </w:rPr>
        <w:t xml:space="preserve"> </w:t>
      </w:r>
      <w:r>
        <w:rPr>
          <w:color w:val="auto"/>
          <w:szCs w:val="21"/>
          <w:highlight w:val="none"/>
          <w:u w:val="single"/>
        </w:rPr>
        <w:t xml:space="preserve">                            </w:t>
      </w:r>
    </w:p>
    <w:p>
      <w:pPr>
        <w:pStyle w:val="18"/>
        <w:adjustRightInd w:val="0"/>
        <w:snapToGrid w:val="0"/>
        <w:spacing w:line="360" w:lineRule="auto"/>
        <w:ind w:right="-126" w:rightChars="-60" w:firstLine="420" w:firstLineChars="200"/>
        <w:rPr>
          <w:color w:val="auto"/>
          <w:szCs w:val="21"/>
          <w:highlight w:val="none"/>
        </w:rPr>
      </w:pPr>
      <w:r>
        <w:rPr>
          <w:rFonts w:hAnsi="宋体"/>
          <w:color w:val="auto"/>
          <w:szCs w:val="21"/>
          <w:highlight w:val="none"/>
        </w:rPr>
        <w:t>邮政编码：</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邮政编码：</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法定代表人或其授权代理人：</w:t>
      </w:r>
      <w:r>
        <w:rPr>
          <w:rFonts w:hAnsi="宋体"/>
          <w:color w:val="auto"/>
          <w:szCs w:val="21"/>
          <w:highlight w:val="none"/>
          <w:u w:val="single"/>
        </w:rPr>
        <w:t>（签字）</w:t>
      </w:r>
      <w:r>
        <w:rPr>
          <w:color w:val="auto"/>
          <w:szCs w:val="21"/>
          <w:highlight w:val="none"/>
        </w:rPr>
        <w:t xml:space="preserve">        </w:t>
      </w:r>
      <w:r>
        <w:rPr>
          <w:rFonts w:hAnsi="宋体"/>
          <w:color w:val="auto"/>
          <w:szCs w:val="21"/>
          <w:highlight w:val="none"/>
        </w:rPr>
        <w:t>法定代表人或其授权代理人：</w:t>
      </w:r>
      <w:r>
        <w:rPr>
          <w:rFonts w:hAnsi="宋体"/>
          <w:color w:val="auto"/>
          <w:szCs w:val="21"/>
          <w:highlight w:val="none"/>
          <w:u w:val="single"/>
        </w:rPr>
        <w:t>（签字）</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开户银行：</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开户银行：</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账号：</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账号：</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电话：</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电话：</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rPr>
      </w:pPr>
      <w:r>
        <w:rPr>
          <w:rFonts w:hAnsi="宋体"/>
          <w:color w:val="auto"/>
          <w:szCs w:val="21"/>
          <w:highlight w:val="none"/>
        </w:rPr>
        <w:t>传真：</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传真：</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u w:val="single"/>
        </w:rPr>
      </w:pPr>
      <w:r>
        <w:rPr>
          <w:rFonts w:hAnsi="宋体"/>
          <w:color w:val="auto"/>
          <w:szCs w:val="21"/>
          <w:highlight w:val="none"/>
        </w:rPr>
        <w:t>电子邮箱：</w:t>
      </w:r>
      <w:r>
        <w:rPr>
          <w:color w:val="auto"/>
          <w:szCs w:val="21"/>
          <w:highlight w:val="none"/>
          <w:u w:val="single"/>
        </w:rPr>
        <w:t xml:space="preserve">                      </w:t>
      </w:r>
      <w:r>
        <w:rPr>
          <w:color w:val="auto"/>
          <w:szCs w:val="21"/>
          <w:highlight w:val="none"/>
        </w:rPr>
        <w:t xml:space="preserve">         </w:t>
      </w:r>
      <w:r>
        <w:rPr>
          <w:rFonts w:hAnsi="宋体"/>
          <w:color w:val="auto"/>
          <w:szCs w:val="21"/>
          <w:highlight w:val="none"/>
        </w:rPr>
        <w:t>电子邮箱：</w:t>
      </w:r>
      <w:r>
        <w:rPr>
          <w:color w:val="auto"/>
          <w:szCs w:val="21"/>
          <w:highlight w:val="none"/>
          <w:u w:val="single"/>
        </w:rPr>
        <w:t xml:space="preserve">                         </w:t>
      </w: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4"/>
        <w:jc w:val="center"/>
        <w:rPr>
          <w:rFonts w:hint="eastAsia"/>
          <w:color w:val="auto"/>
          <w:highlight w:val="none"/>
        </w:rPr>
      </w:pPr>
      <w:bookmarkStart w:id="277" w:name="_Toc8375"/>
      <w:bookmarkStart w:id="278" w:name="_Toc7510"/>
      <w:bookmarkStart w:id="279" w:name="_Toc508"/>
      <w:bookmarkStart w:id="280" w:name="_Toc27580"/>
      <w:bookmarkStart w:id="281" w:name="_Toc22785"/>
      <w:bookmarkStart w:id="282" w:name="_Toc92"/>
      <w:bookmarkStart w:id="283" w:name="_Toc14812"/>
    </w:p>
    <w:p>
      <w:pPr>
        <w:pStyle w:val="4"/>
        <w:jc w:val="center"/>
        <w:rPr>
          <w:rFonts w:hint="eastAsia"/>
          <w:color w:val="auto"/>
          <w:highlight w:val="none"/>
        </w:rPr>
      </w:pPr>
    </w:p>
    <w:p>
      <w:pPr>
        <w:rPr>
          <w:rFonts w:hint="eastAsia"/>
          <w:color w:val="auto"/>
          <w:highlight w:val="none"/>
        </w:rPr>
      </w:pPr>
    </w:p>
    <w:p>
      <w:pPr>
        <w:pStyle w:val="2"/>
        <w:rPr>
          <w:rFonts w:hint="eastAsia"/>
          <w:color w:val="auto"/>
          <w:highlight w:val="none"/>
        </w:rPr>
      </w:pPr>
    </w:p>
    <w:p>
      <w:pPr>
        <w:pStyle w:val="4"/>
        <w:jc w:val="center"/>
        <w:rPr>
          <w:rFonts w:hint="eastAsia"/>
          <w:color w:val="auto"/>
          <w:highlight w:val="none"/>
        </w:rPr>
      </w:pPr>
    </w:p>
    <w:p>
      <w:pPr>
        <w:pStyle w:val="4"/>
        <w:jc w:val="center"/>
        <w:rPr>
          <w:rFonts w:hint="eastAsia"/>
          <w:color w:val="auto"/>
          <w:highlight w:val="none"/>
        </w:rPr>
      </w:pPr>
    </w:p>
    <w:p>
      <w:pPr>
        <w:pStyle w:val="4"/>
        <w:jc w:val="center"/>
        <w:rPr>
          <w:color w:val="auto"/>
          <w:highlight w:val="none"/>
        </w:rPr>
      </w:pPr>
      <w:r>
        <w:rPr>
          <w:rFonts w:hint="eastAsia"/>
          <w:color w:val="auto"/>
          <w:highlight w:val="none"/>
        </w:rPr>
        <w:t>第二部分 通用条件</w:t>
      </w:r>
      <w:bookmarkEnd w:id="277"/>
      <w:bookmarkEnd w:id="278"/>
      <w:bookmarkEnd w:id="279"/>
      <w:bookmarkEnd w:id="280"/>
      <w:bookmarkEnd w:id="281"/>
      <w:bookmarkEnd w:id="282"/>
      <w:bookmarkEnd w:id="283"/>
    </w:p>
    <w:p>
      <w:pPr>
        <w:spacing w:line="360" w:lineRule="auto"/>
        <w:ind w:firstLine="422" w:firstLineChars="200"/>
        <w:rPr>
          <w:color w:val="auto"/>
          <w:szCs w:val="21"/>
          <w:highlight w:val="none"/>
        </w:rPr>
      </w:pPr>
      <w:r>
        <w:rPr>
          <w:rFonts w:hint="eastAsia" w:hAnsi="宋体"/>
          <w:b/>
          <w:color w:val="auto"/>
          <w:kern w:val="0"/>
          <w:szCs w:val="21"/>
          <w:highlight w:val="none"/>
        </w:rPr>
        <w:t>采用《建设工程监理合同（示范文本）》（ＧＦ－</w:t>
      </w:r>
      <w:r>
        <w:rPr>
          <w:rFonts w:hAnsi="宋体"/>
          <w:b/>
          <w:color w:val="auto"/>
          <w:kern w:val="0"/>
          <w:szCs w:val="21"/>
          <w:highlight w:val="none"/>
        </w:rPr>
        <w:t>2012</w:t>
      </w:r>
      <w:r>
        <w:rPr>
          <w:rFonts w:hint="eastAsia" w:hAnsi="宋体"/>
          <w:b/>
          <w:color w:val="auto"/>
          <w:kern w:val="0"/>
          <w:szCs w:val="21"/>
          <w:highlight w:val="none"/>
        </w:rPr>
        <w:t>－</w:t>
      </w:r>
      <w:r>
        <w:rPr>
          <w:rFonts w:hAnsi="宋体"/>
          <w:b/>
          <w:color w:val="auto"/>
          <w:kern w:val="0"/>
          <w:szCs w:val="21"/>
          <w:highlight w:val="none"/>
        </w:rPr>
        <w:t>0202</w:t>
      </w:r>
      <w:r>
        <w:rPr>
          <w:rFonts w:hint="eastAsia" w:hAnsi="宋体"/>
          <w:b/>
          <w:color w:val="auto"/>
          <w:kern w:val="0"/>
          <w:szCs w:val="21"/>
          <w:highlight w:val="none"/>
        </w:rPr>
        <w:t>）</w:t>
      </w:r>
      <w:r>
        <w:rPr>
          <w:rFonts w:hint="eastAsia"/>
          <w:color w:val="auto"/>
          <w:szCs w:val="21"/>
          <w:highlight w:val="none"/>
        </w:rPr>
        <w:t>。</w:t>
      </w: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18"/>
        <w:adjustRightInd w:val="0"/>
        <w:snapToGrid w:val="0"/>
        <w:spacing w:line="360" w:lineRule="auto"/>
        <w:ind w:right="-126" w:rightChars="-60" w:firstLine="415" w:firstLineChars="198"/>
        <w:rPr>
          <w:color w:val="auto"/>
          <w:szCs w:val="21"/>
          <w:highlight w:val="none"/>
          <w:u w:val="single"/>
        </w:rPr>
      </w:pPr>
    </w:p>
    <w:p>
      <w:pPr>
        <w:pStyle w:val="4"/>
        <w:jc w:val="center"/>
        <w:rPr>
          <w:color w:val="auto"/>
          <w:highlight w:val="none"/>
        </w:rPr>
      </w:pPr>
      <w:bookmarkStart w:id="284" w:name="_Toc19548028"/>
      <w:bookmarkStart w:id="285" w:name="_Toc23482"/>
      <w:bookmarkStart w:id="286" w:name="_Toc459567809"/>
      <w:bookmarkStart w:id="287" w:name="_Toc7116"/>
      <w:bookmarkStart w:id="288" w:name="_Toc392940992"/>
      <w:bookmarkStart w:id="289" w:name="_Toc30244"/>
      <w:bookmarkStart w:id="290" w:name="_Toc10153"/>
      <w:bookmarkStart w:id="291" w:name="_Toc21384"/>
      <w:bookmarkStart w:id="292" w:name="_Toc473030502"/>
      <w:bookmarkStart w:id="293" w:name="_Toc18085"/>
      <w:bookmarkStart w:id="294" w:name="_Toc12203"/>
      <w:bookmarkStart w:id="295" w:name="EBd75ef856cbfc41f4b1b1d0253167c5da"/>
    </w:p>
    <w:p>
      <w:pPr>
        <w:pStyle w:val="4"/>
        <w:jc w:val="center"/>
        <w:rPr>
          <w:color w:val="auto"/>
          <w:highlight w:val="none"/>
        </w:rPr>
      </w:pPr>
      <w:r>
        <w:rPr>
          <w:color w:val="auto"/>
          <w:highlight w:val="none"/>
        </w:rPr>
        <w:t>第三部分 专用条件</w:t>
      </w:r>
      <w:bookmarkEnd w:id="284"/>
      <w:bookmarkEnd w:id="285"/>
      <w:bookmarkEnd w:id="286"/>
      <w:bookmarkEnd w:id="287"/>
      <w:bookmarkEnd w:id="288"/>
      <w:bookmarkEnd w:id="289"/>
      <w:bookmarkEnd w:id="290"/>
      <w:bookmarkEnd w:id="291"/>
      <w:bookmarkEnd w:id="292"/>
      <w:bookmarkEnd w:id="293"/>
      <w:bookmarkEnd w:id="294"/>
    </w:p>
    <w:p>
      <w:pPr>
        <w:pStyle w:val="19"/>
        <w:snapToGrid w:val="0"/>
        <w:spacing w:before="157" w:beforeLines="50" w:line="360" w:lineRule="auto"/>
        <w:rPr>
          <w:rFonts w:hint="eastAsia" w:ascii="Cambria" w:hAnsi="Cambria"/>
          <w:b/>
          <w:bCs/>
          <w:color w:val="auto"/>
          <w:sz w:val="28"/>
          <w:szCs w:val="28"/>
          <w:highlight w:val="none"/>
        </w:rPr>
      </w:pPr>
      <w:bookmarkStart w:id="296" w:name="_Toc9815"/>
      <w:bookmarkStart w:id="297" w:name="_Toc411526684"/>
      <w:bookmarkStart w:id="298" w:name="_Toc20317"/>
      <w:bookmarkStart w:id="299" w:name="_Toc19548029"/>
      <w:bookmarkStart w:id="300" w:name="_Toc9602"/>
      <w:bookmarkStart w:id="301" w:name="_Toc8500"/>
      <w:r>
        <w:rPr>
          <w:rFonts w:hint="eastAsia" w:ascii="Cambria" w:hAnsi="Cambria"/>
          <w:b/>
          <w:bCs/>
          <w:color w:val="auto"/>
          <w:sz w:val="28"/>
          <w:szCs w:val="28"/>
          <w:highlight w:val="none"/>
        </w:rPr>
        <w:t>1. 定义与解释</w:t>
      </w:r>
      <w:bookmarkEnd w:id="296"/>
      <w:bookmarkEnd w:id="297"/>
      <w:bookmarkEnd w:id="298"/>
      <w:bookmarkEnd w:id="299"/>
      <w:bookmarkEnd w:id="300"/>
      <w:bookmarkEnd w:id="301"/>
    </w:p>
    <w:p>
      <w:pPr>
        <w:pStyle w:val="19"/>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1.2  解释</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1.2.1 本合同文件除使用中文外，还可用</w:t>
      </w:r>
      <w:r>
        <w:rPr>
          <w:rFonts w:hint="eastAsia" w:ascii="宋体" w:hAnsi="宋体" w:cs="宋体"/>
          <w:color w:val="auto"/>
          <w:szCs w:val="21"/>
          <w:highlight w:val="none"/>
          <w:u w:val="single"/>
        </w:rPr>
        <w:t xml:space="preserve">  </w:t>
      </w:r>
      <w:r>
        <w:rPr>
          <w:rFonts w:hint="eastAsia" w:hAnsi="宋体"/>
          <w:color w:val="auto"/>
          <w:szCs w:val="21"/>
          <w:highlight w:val="none"/>
          <w:u w:val="singl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9"/>
        <w:adjustRightInd w:val="0"/>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1.2.2 约定本合同文件的解释顺序为：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19"/>
        <w:snapToGrid w:val="0"/>
        <w:spacing w:before="157" w:beforeLines="50" w:line="360" w:lineRule="auto"/>
        <w:rPr>
          <w:rFonts w:hint="eastAsia" w:ascii="Cambria" w:hAnsi="Cambria"/>
          <w:b/>
          <w:bCs/>
          <w:color w:val="auto"/>
          <w:sz w:val="28"/>
          <w:szCs w:val="28"/>
          <w:highlight w:val="none"/>
        </w:rPr>
      </w:pPr>
      <w:bookmarkStart w:id="302" w:name="_Toc12926"/>
      <w:bookmarkStart w:id="303" w:name="_Toc19124"/>
      <w:bookmarkStart w:id="304" w:name="_Toc411526685"/>
      <w:bookmarkStart w:id="305" w:name="_Toc19548030"/>
      <w:bookmarkStart w:id="306" w:name="_Toc12325"/>
      <w:bookmarkStart w:id="307" w:name="_Toc18552"/>
      <w:r>
        <w:rPr>
          <w:rFonts w:hint="eastAsia" w:ascii="Cambria" w:hAnsi="Cambria"/>
          <w:b/>
          <w:bCs/>
          <w:color w:val="auto"/>
          <w:sz w:val="28"/>
          <w:szCs w:val="28"/>
          <w:highlight w:val="none"/>
        </w:rPr>
        <w:t>2. 监理人义务</w:t>
      </w:r>
      <w:bookmarkEnd w:id="302"/>
      <w:bookmarkEnd w:id="303"/>
      <w:bookmarkEnd w:id="304"/>
      <w:bookmarkEnd w:id="305"/>
      <w:bookmarkEnd w:id="306"/>
      <w:bookmarkEnd w:id="307"/>
    </w:p>
    <w:p>
      <w:pPr>
        <w:pStyle w:val="19"/>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2.1 监理的范围和</w:t>
      </w:r>
      <w:r>
        <w:rPr>
          <w:rFonts w:hint="eastAsia" w:ascii="宋体" w:hAnsi="宋体" w:cs="宋体"/>
          <w:bCs/>
          <w:color w:val="auto"/>
          <w:szCs w:val="21"/>
          <w:highlight w:val="none"/>
        </w:rPr>
        <w:t>内容</w:t>
      </w:r>
    </w:p>
    <w:p>
      <w:pPr>
        <w:pStyle w:val="19"/>
        <w:adjustRightInd w:val="0"/>
        <w:snapToGrid w:val="0"/>
        <w:spacing w:line="400" w:lineRule="exact"/>
        <w:ind w:firstLine="420" w:firstLineChars="200"/>
        <w:rPr>
          <w:rFonts w:hAnsi="宋体"/>
          <w:color w:val="auto"/>
          <w:szCs w:val="21"/>
          <w:highlight w:val="none"/>
        </w:rPr>
      </w:pPr>
      <w:r>
        <w:rPr>
          <w:rFonts w:hint="eastAsia" w:ascii="宋体" w:hAnsi="宋体" w:cs="宋体"/>
          <w:color w:val="auto"/>
          <w:szCs w:val="21"/>
          <w:highlight w:val="none"/>
        </w:rPr>
        <w:t>2.1.1 监理范围包括：</w:t>
      </w:r>
      <w:r>
        <w:rPr>
          <w:rFonts w:hint="eastAsia" w:ascii="宋体" w:hAnsi="宋体" w:cs="宋体"/>
          <w:color w:val="auto"/>
          <w:szCs w:val="21"/>
          <w:highlight w:val="none"/>
          <w:u w:val="single"/>
        </w:rPr>
        <w:t xml:space="preserve">  </w:t>
      </w:r>
      <w:r>
        <w:rPr>
          <w:rFonts w:hAnsi="宋体"/>
          <w:color w:val="auto"/>
          <w:szCs w:val="21"/>
          <w:highlight w:val="none"/>
          <w:u w:val="single"/>
        </w:rPr>
        <w:t>本合同约定的监理服务，</w:t>
      </w:r>
      <w:r>
        <w:rPr>
          <w:rFonts w:hint="eastAsia" w:hAnsi="宋体"/>
          <w:b/>
          <w:bCs/>
          <w:color w:val="auto"/>
          <w:szCs w:val="21"/>
          <w:highlight w:val="none"/>
          <w:u w:val="single"/>
        </w:rPr>
        <w:t>包括 施工、保修阶段的监理</w:t>
      </w:r>
      <w:r>
        <w:rPr>
          <w:rFonts w:hAnsi="宋体"/>
          <w:color w:val="auto"/>
          <w:szCs w:val="21"/>
          <w:highlight w:val="none"/>
        </w:rPr>
        <w:t>。</w:t>
      </w:r>
    </w:p>
    <w:p>
      <w:pPr>
        <w:adjustRightInd w:val="0"/>
        <w:snapToGrid w:val="0"/>
        <w:spacing w:line="360" w:lineRule="auto"/>
        <w:ind w:firstLine="420" w:firstLineChars="200"/>
        <w:rPr>
          <w:color w:val="auto"/>
          <w:szCs w:val="21"/>
          <w:highlight w:val="none"/>
          <w:u w:val="single"/>
        </w:rPr>
      </w:pPr>
      <w:r>
        <w:rPr>
          <w:rFonts w:hint="eastAsia" w:ascii="宋体" w:hAnsi="宋体" w:cs="宋体"/>
          <w:color w:val="auto"/>
          <w:szCs w:val="21"/>
          <w:highlight w:val="none"/>
        </w:rPr>
        <w:t>2.1.2 监理工作内容还包括：</w:t>
      </w:r>
      <w:r>
        <w:rPr>
          <w:rFonts w:hint="eastAsia" w:ascii="宋体" w:hAnsi="宋体" w:cs="宋体"/>
          <w:color w:val="auto"/>
          <w:szCs w:val="21"/>
          <w:highlight w:val="none"/>
          <w:u w:val="single"/>
        </w:rPr>
        <w:t xml:space="preserve">  </w:t>
      </w:r>
      <w:r>
        <w:rPr>
          <w:color w:val="auto"/>
          <w:szCs w:val="21"/>
          <w:highlight w:val="none"/>
          <w:u w:val="single"/>
        </w:rPr>
        <w:t>1、签订合同后5日内提交《项目监理规划》，明确本项目监理机构人员和各专业监理人员的进场时间。</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2、在工程开工前完成《项目监理细则》，并依据各专业工程实际情况进行监理交底，须有监理交底纪要。</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3、协助委托人办理施工许可证，协助委托人填写开工报告，签发开工令。</w:t>
      </w:r>
    </w:p>
    <w:p>
      <w:pPr>
        <w:adjustRightInd w:val="0"/>
        <w:snapToGrid w:val="0"/>
        <w:spacing w:line="360" w:lineRule="auto"/>
        <w:ind w:firstLine="420" w:firstLineChars="200"/>
        <w:rPr>
          <w:rFonts w:hint="eastAsia"/>
          <w:b/>
          <w:bCs/>
          <w:color w:val="auto"/>
          <w:szCs w:val="21"/>
          <w:highlight w:val="none"/>
          <w:u w:val="single"/>
          <w:lang w:eastAsia="zh-CN"/>
        </w:rPr>
      </w:pPr>
      <w:r>
        <w:rPr>
          <w:color w:val="auto"/>
          <w:szCs w:val="21"/>
          <w:highlight w:val="none"/>
          <w:u w:val="single"/>
        </w:rPr>
        <w:t>4、</w:t>
      </w:r>
      <w:r>
        <w:rPr>
          <w:b w:val="0"/>
          <w:bCs w:val="0"/>
          <w:color w:val="auto"/>
          <w:szCs w:val="21"/>
          <w:highlight w:val="none"/>
          <w:u w:val="single"/>
        </w:rPr>
        <w:t>组织施工图纸会审</w:t>
      </w:r>
      <w:r>
        <w:rPr>
          <w:rFonts w:hint="eastAsia"/>
          <w:b w:val="0"/>
          <w:bCs w:val="0"/>
          <w:color w:val="auto"/>
          <w:szCs w:val="21"/>
          <w:highlight w:val="none"/>
          <w:u w:val="single"/>
          <w:lang w:eastAsia="zh-CN"/>
        </w:rPr>
        <w:t>。</w:t>
      </w:r>
    </w:p>
    <w:p>
      <w:pPr>
        <w:adjustRightInd w:val="0"/>
        <w:snapToGrid w:val="0"/>
        <w:spacing w:line="360" w:lineRule="auto"/>
        <w:ind w:firstLine="422" w:firstLineChars="200"/>
        <w:rPr>
          <w:b/>
          <w:bCs/>
          <w:color w:val="auto"/>
          <w:szCs w:val="21"/>
          <w:highlight w:val="none"/>
          <w:u w:val="single"/>
        </w:rPr>
      </w:pPr>
      <w:r>
        <w:rPr>
          <w:rFonts w:hint="eastAsia"/>
          <w:b/>
          <w:bCs/>
          <w:color w:val="auto"/>
          <w:szCs w:val="21"/>
          <w:highlight w:val="none"/>
          <w:u w:val="single"/>
          <w:lang w:val="en-US" w:eastAsia="zh-CN"/>
        </w:rPr>
        <w:t>5、自带测量仪器，负责对施工现场测量导线、标高进行测量并复测</w:t>
      </w:r>
      <w:r>
        <w:rPr>
          <w:b/>
          <w:bCs/>
          <w:color w:val="auto"/>
          <w:szCs w:val="21"/>
          <w:highlight w:val="none"/>
          <w:u w:val="single"/>
        </w:rPr>
        <w:t>。</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6</w:t>
      </w:r>
      <w:r>
        <w:rPr>
          <w:color w:val="auto"/>
          <w:szCs w:val="21"/>
          <w:highlight w:val="none"/>
          <w:u w:val="single"/>
        </w:rPr>
        <w:t>、协助委托人确认承包人选择的分包人，并报委托人。</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7</w:t>
      </w:r>
      <w:r>
        <w:rPr>
          <w:color w:val="auto"/>
          <w:szCs w:val="21"/>
          <w:highlight w:val="none"/>
          <w:u w:val="single"/>
        </w:rPr>
        <w:t>、在3日内审查完承包人编制的施工组织设计和施工方案，质量、进度、安全的保证体系，提出审核意见并监督检查其按审批后的施工方案和计划实施，并向委托人每月递交进度报告。</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8</w:t>
      </w:r>
      <w:r>
        <w:rPr>
          <w:color w:val="auto"/>
          <w:szCs w:val="21"/>
          <w:highlight w:val="none"/>
          <w:u w:val="single"/>
        </w:rPr>
        <w:t>、根据审核后的承包人编制的施工组织设计的施工方案，</w:t>
      </w:r>
      <w:r>
        <w:rPr>
          <w:rFonts w:hint="eastAsia"/>
          <w:color w:val="auto"/>
          <w:szCs w:val="21"/>
          <w:highlight w:val="none"/>
          <w:u w:val="single"/>
          <w:lang w:eastAsia="zh-CN"/>
        </w:rPr>
        <w:t>检</w:t>
      </w:r>
      <w:r>
        <w:rPr>
          <w:color w:val="auto"/>
          <w:szCs w:val="21"/>
          <w:highlight w:val="none"/>
          <w:u w:val="single"/>
        </w:rPr>
        <w:t>查承包人是否按施工组织设计和施工方案安排施工设备和施工人员，并做记录向委托人每月提交书面汇报。审核施工组织设计和施工方案时，应提交评审意见和优化建设及存在的风险，并在《项目监理细则》中采取</w:t>
      </w:r>
      <w:r>
        <w:rPr>
          <w:rFonts w:hint="eastAsia"/>
          <w:color w:val="auto"/>
          <w:szCs w:val="21"/>
          <w:highlight w:val="none"/>
          <w:u w:val="single"/>
          <w:lang w:eastAsia="zh-CN"/>
        </w:rPr>
        <w:t>应</w:t>
      </w:r>
      <w:r>
        <w:rPr>
          <w:color w:val="auto"/>
          <w:szCs w:val="21"/>
          <w:highlight w:val="none"/>
          <w:u w:val="single"/>
        </w:rPr>
        <w:t>对措施。</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9</w:t>
      </w:r>
      <w:r>
        <w:rPr>
          <w:color w:val="auto"/>
          <w:szCs w:val="21"/>
          <w:highlight w:val="none"/>
          <w:u w:val="single"/>
        </w:rPr>
        <w:t>、建立安全管理措施及应急预案。</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10</w:t>
      </w:r>
      <w:r>
        <w:rPr>
          <w:color w:val="auto"/>
          <w:szCs w:val="21"/>
          <w:highlight w:val="none"/>
          <w:u w:val="single"/>
        </w:rPr>
        <w:t>、建立质量、进度及安全、资金、材料管理的目标和管理体系，并制定各控制目标的实施细则。</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1</w:t>
      </w:r>
      <w:r>
        <w:rPr>
          <w:color w:val="auto"/>
          <w:szCs w:val="21"/>
          <w:highlight w:val="none"/>
          <w:u w:val="single"/>
        </w:rPr>
        <w:t>、全过程监控质量、进度、安全、资金、材料的实施情况，及时查处和纠正偏离控制目标的现象，杜绝出现影响质量、进度、成本及安全目标控制的重大问题和责任事故。</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2</w:t>
      </w:r>
      <w:r>
        <w:rPr>
          <w:color w:val="auto"/>
          <w:szCs w:val="21"/>
          <w:highlight w:val="none"/>
          <w:u w:val="single"/>
        </w:rPr>
        <w:t>、审查承包人或委托人提供的材料和设备清单及所列的规格、质量和数量，并存档相应的资料。</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3</w:t>
      </w:r>
      <w:r>
        <w:rPr>
          <w:color w:val="auto"/>
          <w:szCs w:val="21"/>
          <w:highlight w:val="none"/>
          <w:u w:val="single"/>
        </w:rPr>
        <w:t>、检查工程使用的主要设备及关键材料是否符合设计文件或标书所规定的厂家、型号、规格及质量标准。在订货前，根据需要以对生产厂家进行了解考察，所发生的差旅费用由订货单位负担。设备及材料、构件的出厂合格证、材质实验单等进行核定，如发现不实之处，有权责成承包人（并指定检验单位）对材质进行再化验，防止不合格的材料、构件等用于工程上。对于业主采购材料（甲供材料），监理工作为：</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（1）组织施工单位、材料供应商按有关验收标准或对各种甲供材料进行现场签收。</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（2）督促施工单位及时作出材料计划，并进行审核，每周负责向委托人汇报材料的供需情况（计划采购量、实际已采购量、预增（减）购量、材料质量等）。</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（3）根据材料计划与承建商、材料供应商协商确定合理的材料进场时间、车次等，并书面汇报委托人。</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（4）负责监督承建人进行标段内的甲供材料的保管、调拨。</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（5）在需进行材料核查时组织承建商或材料供应商进行甲供材料的现场清点（施工结束后）。</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（6）对施工方供应的材料，须进行封样，材料进出场必须进行验收（质量、数量等内容），形成记录，定期向委托人书面报告。</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4</w:t>
      </w:r>
      <w:r>
        <w:rPr>
          <w:color w:val="auto"/>
          <w:szCs w:val="21"/>
          <w:highlight w:val="none"/>
          <w:u w:val="single"/>
        </w:rPr>
        <w:t>、督促施工单位及时作出人员进场计划，并进行审核，每周负责向委托人汇报人员的安排情况。</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5</w:t>
      </w:r>
      <w:r>
        <w:rPr>
          <w:color w:val="auto"/>
          <w:szCs w:val="21"/>
          <w:highlight w:val="none"/>
          <w:u w:val="single"/>
        </w:rPr>
        <w:t>、组织对施工现场的危险源、环境影响因素按照甲方标准进行检查。</w:t>
      </w:r>
    </w:p>
    <w:p>
      <w:pPr>
        <w:adjustRightInd w:val="0"/>
        <w:snapToGrid w:val="0"/>
        <w:spacing w:line="360" w:lineRule="auto"/>
        <w:ind w:firstLine="420" w:firstLineChars="200"/>
        <w:rPr>
          <w:rFonts w:hint="default" w:eastAsiaTheme="minorEastAsia"/>
          <w:color w:val="auto"/>
          <w:szCs w:val="21"/>
          <w:highlight w:val="none"/>
          <w:u w:val="single"/>
          <w:lang w:val="en-US" w:eastAsia="zh-CN"/>
        </w:rPr>
      </w:pPr>
      <w:r>
        <w:rPr>
          <w:color w:val="auto"/>
          <w:szCs w:val="21"/>
          <w:highlight w:val="none"/>
          <w:u w:val="single"/>
        </w:rPr>
        <w:t>1</w:t>
      </w:r>
      <w:r>
        <w:rPr>
          <w:rFonts w:hint="eastAsia"/>
          <w:color w:val="auto"/>
          <w:szCs w:val="21"/>
          <w:highlight w:val="none"/>
          <w:u w:val="single"/>
          <w:lang w:val="en-US" w:eastAsia="zh-CN"/>
        </w:rPr>
        <w:t>6</w:t>
      </w:r>
      <w:r>
        <w:rPr>
          <w:color w:val="auto"/>
          <w:szCs w:val="21"/>
          <w:highlight w:val="none"/>
          <w:u w:val="single"/>
        </w:rPr>
        <w:t>、督促和检查承包人严格执行合同和严格按国家技术规范、标准、地方建筑安装规程以及设计图纸文件的要求进行施工和施工验收签证，控制工程质量。要求监理工程师必须现场旁站监理，并做好旁站监理记录。</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7</w:t>
      </w:r>
      <w:r>
        <w:rPr>
          <w:color w:val="auto"/>
          <w:szCs w:val="21"/>
          <w:highlight w:val="none"/>
          <w:u w:val="single"/>
        </w:rPr>
        <w:t>、制定工程变更程序，对所有工程变更，均要提出监理方意见，报委托人审批，经委托人同意后，方可实施。</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8</w:t>
      </w:r>
      <w:r>
        <w:rPr>
          <w:color w:val="auto"/>
          <w:szCs w:val="21"/>
          <w:highlight w:val="none"/>
          <w:u w:val="single"/>
        </w:rPr>
        <w:t>、根据施工合同的付款规定，以及专业监理工程师对工程质量、数量的核实，签发付款凭证。</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w:t>
      </w:r>
      <w:r>
        <w:rPr>
          <w:rFonts w:hint="eastAsia"/>
          <w:color w:val="auto"/>
          <w:szCs w:val="21"/>
          <w:highlight w:val="none"/>
          <w:u w:val="single"/>
          <w:lang w:val="en-US" w:eastAsia="zh-CN"/>
        </w:rPr>
        <w:t>9</w:t>
      </w:r>
      <w:r>
        <w:rPr>
          <w:color w:val="auto"/>
          <w:szCs w:val="21"/>
          <w:highlight w:val="none"/>
          <w:u w:val="single"/>
        </w:rPr>
        <w:t>、监督检查工程的文明施工及安全防护措施。</w:t>
      </w:r>
    </w:p>
    <w:p>
      <w:pPr>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lang w:val="en-US" w:eastAsia="zh-CN"/>
        </w:rPr>
        <w:t>20</w:t>
      </w:r>
      <w:r>
        <w:rPr>
          <w:color w:val="auto"/>
          <w:szCs w:val="21"/>
          <w:highlight w:val="none"/>
          <w:u w:val="single"/>
        </w:rPr>
        <w:t>、组织好各阶段、部位、环节及系统的分段工程检验、验收，负责组织初验，签署由承包人提出的竣工验收报告，参加委托人组织的最终验收。</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1</w:t>
      </w:r>
      <w:r>
        <w:rPr>
          <w:color w:val="auto"/>
          <w:szCs w:val="21"/>
          <w:highlight w:val="none"/>
          <w:u w:val="single"/>
        </w:rPr>
        <w:t>、组织处理工程出现的质量、安全事故，提出处理意见。所发生的费用由责任方负责。</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2</w:t>
      </w:r>
      <w:r>
        <w:rPr>
          <w:color w:val="auto"/>
          <w:szCs w:val="21"/>
          <w:highlight w:val="none"/>
          <w:u w:val="single"/>
        </w:rPr>
        <w:t>、负责检查工程状况，鉴定质量问题责任，督促保修。</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3</w:t>
      </w:r>
      <w:r>
        <w:rPr>
          <w:color w:val="auto"/>
          <w:szCs w:val="21"/>
          <w:highlight w:val="none"/>
          <w:u w:val="single"/>
        </w:rPr>
        <w:t>、负责组织项目实施中有关各方面之间的综合协调工作，确保工程现场的和谐。</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4</w:t>
      </w:r>
      <w:r>
        <w:rPr>
          <w:color w:val="auto"/>
          <w:szCs w:val="21"/>
          <w:highlight w:val="none"/>
          <w:u w:val="single"/>
        </w:rPr>
        <w:t>、按时组织工地例会，并将例会情况及时整理成文，以纪要形式报送委托人。</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5</w:t>
      </w:r>
      <w:r>
        <w:rPr>
          <w:color w:val="auto"/>
          <w:szCs w:val="21"/>
          <w:highlight w:val="none"/>
          <w:u w:val="single"/>
        </w:rPr>
        <w:t>、为工程建设“三控三管一协调”的实现向委托人提出合理化建议。</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6</w:t>
      </w:r>
      <w:r>
        <w:rPr>
          <w:color w:val="auto"/>
          <w:szCs w:val="21"/>
          <w:highlight w:val="none"/>
          <w:u w:val="single"/>
        </w:rPr>
        <w:t>、从质量、进度、安全文明施工、材料情况、需甲方协调的内容等五个主要方面提出监理方意见，并对下周工作计划提出的监理方的分析、要求及预测，以周报形式每周一上午提供给甲方。</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w:t>
      </w:r>
      <w:r>
        <w:rPr>
          <w:rFonts w:hint="eastAsia"/>
          <w:color w:val="auto"/>
          <w:szCs w:val="21"/>
          <w:highlight w:val="none"/>
          <w:u w:val="single"/>
          <w:lang w:val="en-US" w:eastAsia="zh-CN"/>
        </w:rPr>
        <w:t>7</w:t>
      </w:r>
      <w:r>
        <w:rPr>
          <w:color w:val="auto"/>
          <w:szCs w:val="21"/>
          <w:highlight w:val="none"/>
          <w:u w:val="single"/>
        </w:rPr>
        <w:t>、信息管理：</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（1）建立信息管理体系，及时、准确的获取所需的信息；</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（2）负责对工程实施过程中的各种图纸、资料以及工程进展信息进行管理；</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（3）负责各承包单位存档文件管理的监督管理，满足委托人及有关部门随时对项目相关文件的阅读和检查需要；</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（4）按照监理合同附件的要求编制监理月报；</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（5）做好施工现场记录与信息反馈；</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（6）督促检查承包人完成各阶段及全套竣工图的绘制，并负责对竣工图和竣工资料的审核、验收工作；</w:t>
      </w:r>
    </w:p>
    <w:p>
      <w:pPr>
        <w:adjustRightInd w:val="0"/>
        <w:snapToGrid w:val="0"/>
        <w:spacing w:line="360" w:lineRule="auto"/>
        <w:ind w:firstLine="420" w:firstLineChars="200"/>
        <w:rPr>
          <w:color w:val="auto"/>
          <w:szCs w:val="21"/>
          <w:highlight w:val="none"/>
          <w:u w:val="single"/>
        </w:rPr>
      </w:pPr>
      <w:r>
        <w:rPr>
          <w:color w:val="auto"/>
          <w:szCs w:val="21"/>
          <w:highlight w:val="none"/>
          <w:u w:val="single"/>
        </w:rPr>
        <w:t>（7）负责开工直至竣工全过程的有关审批文件、工程资料、工程档案盒技术资料进行整理、汇编、归档，做好文、录、表、单的日常管理，归档资料应能够满足档案管理要求和审计要求，并在期限届满时移交委托人，移交后方可进行</w:t>
      </w:r>
      <w:r>
        <w:rPr>
          <w:rFonts w:hint="eastAsia"/>
          <w:color w:val="auto"/>
          <w:szCs w:val="21"/>
          <w:highlight w:val="none"/>
          <w:u w:val="single"/>
          <w:lang w:eastAsia="zh-CN"/>
        </w:rPr>
        <w:t>监理服务费</w:t>
      </w:r>
      <w:r>
        <w:rPr>
          <w:color w:val="auto"/>
          <w:szCs w:val="21"/>
          <w:highlight w:val="none"/>
          <w:u w:val="single"/>
        </w:rPr>
        <w:t>用结算。</w:t>
      </w:r>
    </w:p>
    <w:p>
      <w:pPr>
        <w:pStyle w:val="20"/>
        <w:numPr>
          <w:ilvl w:val="0"/>
          <w:numId w:val="0"/>
        </w:numPr>
        <w:snapToGrid w:val="0"/>
        <w:spacing w:line="360" w:lineRule="auto"/>
        <w:ind w:leftChars="200"/>
        <w:rPr>
          <w:rFonts w:hint="eastAsia" w:hAnsi="宋体"/>
          <w:b/>
          <w:bCs/>
          <w:color w:val="auto"/>
          <w:kern w:val="0"/>
          <w:szCs w:val="21"/>
          <w:highlight w:val="none"/>
          <w:lang w:val="en-US" w:eastAsia="zh-CN"/>
        </w:rPr>
      </w:pPr>
      <w:r>
        <w:rPr>
          <w:rFonts w:hint="eastAsia" w:hAnsi="宋体"/>
          <w:b/>
          <w:bCs/>
          <w:color w:val="auto"/>
          <w:kern w:val="0"/>
          <w:szCs w:val="21"/>
          <w:highlight w:val="none"/>
          <w:lang w:val="en-US" w:eastAsia="zh-CN"/>
        </w:rPr>
        <w:t>2.2</w:t>
      </w:r>
      <w:r>
        <w:rPr>
          <w:rFonts w:hint="eastAsia" w:hAnsi="宋体"/>
          <w:b/>
          <w:bCs/>
          <w:color w:val="auto"/>
          <w:kern w:val="0"/>
          <w:szCs w:val="21"/>
          <w:highlight w:val="none"/>
        </w:rPr>
        <w:t>监理人</w:t>
      </w:r>
      <w:r>
        <w:rPr>
          <w:rFonts w:hint="eastAsia" w:hAnsi="宋体"/>
          <w:b/>
          <w:bCs/>
          <w:color w:val="auto"/>
          <w:kern w:val="0"/>
          <w:szCs w:val="21"/>
          <w:highlight w:val="none"/>
          <w:lang w:val="en-US" w:eastAsia="zh-CN"/>
        </w:rPr>
        <w:t>违约处罚</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因监理人违反国家、广西区和南宁市的法律、法规、规章、规定，违反本合同相关条款和发包人相关规定，造成工程安全质量事故、安全事件和质量缺陷的，监理人除全面承担法律责任外，发包人将视情节给予以下违约处理:</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lang w:val="en-US" w:eastAsia="zh-CN"/>
        </w:rPr>
        <w:t>1、</w:t>
      </w:r>
      <w:r>
        <w:rPr>
          <w:rFonts w:hint="eastAsia"/>
          <w:color w:val="auto"/>
          <w:highlight w:val="none"/>
        </w:rPr>
        <w:t>安全违约处理</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lang w:val="en-US" w:eastAsia="zh-CN"/>
        </w:rPr>
        <w:t>1.1</w:t>
      </w:r>
      <w:r>
        <w:rPr>
          <w:rFonts w:hint="eastAsia"/>
          <w:color w:val="auto"/>
          <w:highlight w:val="none"/>
        </w:rPr>
        <w:t>监理人存在下列情形之一者，责令改正，通报批评，并视情节处1仟元以上3仟元以下的违约金。</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（1）监理人未对承包人的违规行为进行有效制止的；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（2）施工单位不按照批准的施工方案作业时，监理人未及时下达工程暂停令并报告建设单位的；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（3）未对施工现场进行定期和专项安全检查，或未做好安全检查记录的；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（4）未按规定对关键施工环节和事故易发、多发工序实施旁站监理和巡查的；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（5）对检查发现存在的安全隐患没有及时发出整改通知，对其发出的整改通知书，未跟踪整改落实情况，或者承包人拒不整改，未及时向发包人报告的；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（6）未按有关规定对单列的安全防护、文明施工费用的使用进行监理的；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（7）施工单位因施工安全原因被上级主管部门或安监站责令停工整改后，未督促其落实整改并反馈整改情况的；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（8）无安全施工监理日志或日志内容弄虚作假、记录不规范、不真实、不完整的；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（9）监理标段内同类安全隐患出现3次（含）以上监理人未采取措施的或一年内被上级主管部门书面通报批评2次（含）以上的；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（10）施工单位违法挂靠、转包、分包的行为没有及时发现和制止的。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1.2监理人存在下列情形之一者，责令改正，通报批评，并视情节处2仟元以上5仟元以下的违约金。</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（1）项目发生虽未有人员伤亡但造成较大社会影响安全事件的；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（2）所监理的项目每发生一起安全生产事故的；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（3）发生一般及以上安全生产事故时，主要负责人对事故隐瞒不报、谎报或者拖延不报，不立即组织抢效或者在事故调查处理期间擅离职守或者逃匿的。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lang w:val="en-US" w:eastAsia="zh-CN"/>
        </w:rPr>
        <w:t>2、</w:t>
      </w:r>
      <w:r>
        <w:rPr>
          <w:rFonts w:hint="eastAsia"/>
          <w:color w:val="auto"/>
          <w:highlight w:val="none"/>
        </w:rPr>
        <w:t>质量违约处理</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2.1监理人所监理项目存在下列情形之一者，责令改正，通报批评，视情节处以1仟至3仟元的违约扣款：</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（1）未对承包人的施工组织设计、专项施工方案进行审批或经监理审批同意后存在违反法律法规、规范标准、合同条款和设计要求的；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（2）承包人未按规范标准、设计要求和施工方案施工，监理人未进行有效制止和按规定上报发包人的；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（3）未按规定对施工工序进行旁站、质量验收或经监理人验收同意后存在不符合规范</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标准、设计和施工方案要求的；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（4）未对关键工序和隐蔽工程进行验收和监理取证就允许承包人进入下道工序施工的；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（5）经监理人验收审批后的材料存在明显质量问题或资料不全、不合格的；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（6）存在不合格建筑材料，未督促承包人进行整改或对整改过程未进行全程监理见证的；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（7）存在质量隐患和质量问题，未及时下发监理工作联系单或通知单要求承包人整改的；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（8）因质量问题被主管部门通报的，或</w:t>
      </w:r>
      <w:r>
        <w:rPr>
          <w:color w:val="auto"/>
          <w:highlight w:val="none"/>
        </w:rPr>
        <w:t>因创城工作不到位，被集团或</w:t>
      </w:r>
      <w:r>
        <w:rPr>
          <w:rFonts w:hint="eastAsia"/>
          <w:color w:val="auto"/>
          <w:highlight w:val="none"/>
        </w:rPr>
        <w:t>上级主管部门</w:t>
      </w:r>
      <w:r>
        <w:rPr>
          <w:color w:val="auto"/>
          <w:highlight w:val="none"/>
        </w:rPr>
        <w:t>通报的</w:t>
      </w:r>
      <w:r>
        <w:rPr>
          <w:rFonts w:hint="eastAsia"/>
          <w:color w:val="auto"/>
          <w:highlight w:val="none"/>
        </w:rPr>
        <w:t>；</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（9）</w:t>
      </w:r>
      <w:r>
        <w:rPr>
          <w:color w:val="auto"/>
          <w:highlight w:val="none"/>
        </w:rPr>
        <w:t>项目责任范围内 12345 热线工单处置不力，当月出现 3起以上不合格办结、返工、逾期处置的</w:t>
      </w:r>
      <w:r>
        <w:rPr>
          <w:rFonts w:hint="eastAsia"/>
          <w:color w:val="auto"/>
          <w:highlight w:val="none"/>
        </w:rPr>
        <w:t>；</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（10）监理人出现其他违反本合同条款和发包人规定导致发生工程质量问题的。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lang w:val="en-US" w:eastAsia="zh-CN"/>
        </w:rPr>
        <w:t>3、</w:t>
      </w:r>
      <w:r>
        <w:rPr>
          <w:rFonts w:hint="eastAsia"/>
          <w:color w:val="auto"/>
          <w:highlight w:val="none"/>
        </w:rPr>
        <w:t>所监理项目存在下列情形之一者，给予通报批评，并视情节处2仟元以上5仟元以下的违约金，并没收监理工作质量保证金:</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（1）监理人和承包人串通，在建筑材料质量、施工质量控制、各类验收及工程资料等方面弄虚作假、掩盖质量问题的:</w:t>
      </w:r>
    </w:p>
    <w:p>
      <w:pPr>
        <w:pStyle w:val="19"/>
        <w:adjustRightInd w:val="0"/>
        <w:snapToGrid w:val="0"/>
        <w:spacing w:line="400" w:lineRule="exact"/>
        <w:ind w:firstLine="420" w:firstLineChars="200"/>
        <w:rPr>
          <w:rFonts w:hint="eastAsia"/>
          <w:color w:val="auto"/>
          <w:highlight w:val="none"/>
        </w:rPr>
      </w:pPr>
      <w:r>
        <w:rPr>
          <w:rFonts w:hint="eastAsia"/>
          <w:color w:val="auto"/>
          <w:highlight w:val="none"/>
        </w:rPr>
        <w:t>（2）发生质量事故的;</w:t>
      </w:r>
    </w:p>
    <w:p>
      <w:pPr>
        <w:pStyle w:val="20"/>
        <w:numPr>
          <w:ilvl w:val="0"/>
          <w:numId w:val="0"/>
        </w:numPr>
        <w:snapToGrid w:val="0"/>
        <w:spacing w:line="360" w:lineRule="auto"/>
        <w:ind w:leftChars="200"/>
        <w:rPr>
          <w:rFonts w:hint="default" w:hAnsi="宋体"/>
          <w:b/>
          <w:bCs/>
          <w:color w:val="auto"/>
          <w:kern w:val="0"/>
          <w:szCs w:val="21"/>
          <w:highlight w:val="none"/>
          <w:lang w:val="en-US" w:eastAsia="zh-CN"/>
        </w:rPr>
      </w:pPr>
      <w:r>
        <w:rPr>
          <w:rFonts w:hint="eastAsia"/>
          <w:color w:val="auto"/>
          <w:highlight w:val="none"/>
        </w:rPr>
        <w:t>（3）因质量问题造成较大社会影响的。</w:t>
      </w:r>
    </w:p>
    <w:p>
      <w:pPr>
        <w:adjustRightInd w:val="0"/>
        <w:snapToGrid w:val="0"/>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监理与相关服务依据</w:t>
      </w:r>
    </w:p>
    <w:p>
      <w:pPr>
        <w:pStyle w:val="20"/>
        <w:spacing w:line="360" w:lineRule="auto"/>
        <w:ind w:firstLine="420" w:firstLineChars="200"/>
        <w:rPr>
          <w:color w:val="auto"/>
          <w:szCs w:val="21"/>
          <w:highlight w:val="none"/>
          <w:u w:val="singl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 监理依据包括：</w:t>
      </w:r>
      <w:r>
        <w:rPr>
          <w:rFonts w:hint="eastAsia"/>
          <w:color w:val="auto"/>
          <w:szCs w:val="21"/>
          <w:highlight w:val="none"/>
          <w:u w:val="single"/>
        </w:rPr>
        <w:t>本项目施工合同、本合同、设计相关文件、国家及地方相关规范和要求</w:t>
      </w:r>
      <w:r>
        <w:rPr>
          <w:color w:val="auto"/>
          <w:szCs w:val="21"/>
          <w:highlight w:val="none"/>
          <w:u w:val="single"/>
        </w:rPr>
        <w:t xml:space="preserve">。 </w:t>
      </w:r>
    </w:p>
    <w:p>
      <w:pPr>
        <w:pStyle w:val="19"/>
        <w:adjustRightInd w:val="0"/>
        <w:snapToGrid w:val="0"/>
        <w:spacing w:line="400" w:lineRule="exact"/>
        <w:ind w:firstLine="420" w:firstLineChars="200"/>
        <w:rPr>
          <w:rFonts w:ascii="宋体" w:hAnsi="宋体" w:cs="宋体"/>
          <w:dstrike/>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.2 相关服务依据包括：</w:t>
      </w:r>
      <w:r>
        <w:rPr>
          <w:rFonts w:hint="eastAsia"/>
          <w:color w:val="auto"/>
          <w:szCs w:val="21"/>
          <w:highlight w:val="none"/>
          <w:u w:val="single"/>
        </w:rPr>
        <w:t>施工图纸、用户需求书、技术标准及要求</w:t>
      </w:r>
      <w:r>
        <w:rPr>
          <w:color w:val="auto"/>
          <w:szCs w:val="21"/>
          <w:highlight w:val="none"/>
          <w:u w:val="single"/>
        </w:rPr>
        <w:t xml:space="preserve">  </w:t>
      </w:r>
      <w:r>
        <w:rPr>
          <w:rFonts w:hAnsi="宋体"/>
          <w:color w:val="auto"/>
          <w:szCs w:val="21"/>
          <w:highlight w:val="none"/>
        </w:rPr>
        <w:t>。</w:t>
      </w:r>
    </w:p>
    <w:p>
      <w:pPr>
        <w:pStyle w:val="19"/>
        <w:spacing w:line="400" w:lineRule="exac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4</w:t>
      </w:r>
      <w:r>
        <w:rPr>
          <w:rFonts w:hint="eastAsia" w:ascii="宋体" w:hAnsi="宋体" w:cs="宋体"/>
          <w:color w:val="auto"/>
          <w:kern w:val="0"/>
          <w:szCs w:val="21"/>
          <w:highlight w:val="none"/>
        </w:rPr>
        <w:t>项目监理机构和人员</w:t>
      </w:r>
    </w:p>
    <w:p>
      <w:pPr>
        <w:pStyle w:val="19"/>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更换监理人员的其他情形：</w:t>
      </w:r>
      <w:r>
        <w:rPr>
          <w:rFonts w:hint="eastAsia" w:ascii="宋体" w:hAnsi="宋体" w:cs="宋体"/>
          <w:color w:val="auto"/>
          <w:kern w:val="0"/>
          <w:szCs w:val="21"/>
          <w:highlight w:val="none"/>
          <w:u w:val="single"/>
        </w:rPr>
        <w:t xml:space="preserve">  如监理人需要调换施工现场监理人员时，须经委托人与监理人双方协商，报委托人同意后生效  </w:t>
      </w:r>
      <w:r>
        <w:rPr>
          <w:rFonts w:hint="eastAsia" w:ascii="宋体" w:hAnsi="宋体" w:cs="宋体"/>
          <w:color w:val="auto"/>
          <w:kern w:val="0"/>
          <w:szCs w:val="21"/>
          <w:highlight w:val="none"/>
        </w:rPr>
        <w:t>。</w:t>
      </w:r>
    </w:p>
    <w:p>
      <w:pPr>
        <w:pStyle w:val="19"/>
        <w:spacing w:line="400" w:lineRule="exac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5</w:t>
      </w:r>
      <w:r>
        <w:rPr>
          <w:rFonts w:hint="eastAsia" w:ascii="宋体" w:hAnsi="宋体" w:cs="宋体"/>
          <w:color w:val="auto"/>
          <w:kern w:val="0"/>
          <w:szCs w:val="21"/>
          <w:highlight w:val="none"/>
        </w:rPr>
        <w:t>履行职责</w:t>
      </w:r>
    </w:p>
    <w:p>
      <w:pPr>
        <w:pStyle w:val="20"/>
        <w:adjustRightInd w:val="0"/>
        <w:snapToGrid w:val="0"/>
        <w:spacing w:line="360" w:lineRule="auto"/>
        <w:ind w:firstLine="420" w:firstLineChars="200"/>
        <w:rPr>
          <w:color w:val="auto"/>
          <w:szCs w:val="21"/>
          <w:highlight w:val="none"/>
          <w:u w:val="singl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.1 对监理人的授权范围：</w:t>
      </w:r>
      <w:r>
        <w:rPr>
          <w:rFonts w:hint="eastAsia" w:ascii="宋体" w:hAnsi="宋体" w:cs="宋体"/>
          <w:color w:val="auto"/>
          <w:szCs w:val="21"/>
          <w:highlight w:val="none"/>
          <w:u w:val="single"/>
        </w:rPr>
        <w:t xml:space="preserve">  </w:t>
      </w:r>
      <w:r>
        <w:rPr>
          <w:rFonts w:hint="eastAsia" w:hAnsi="宋体"/>
          <w:color w:val="auto"/>
          <w:szCs w:val="21"/>
          <w:highlight w:val="none"/>
          <w:u w:val="single"/>
        </w:rPr>
        <w:t>1、</w:t>
      </w:r>
      <w:r>
        <w:rPr>
          <w:rFonts w:hint="eastAsia"/>
          <w:color w:val="auto"/>
          <w:szCs w:val="21"/>
          <w:highlight w:val="none"/>
          <w:u w:val="single"/>
        </w:rPr>
        <w:t xml:space="preserve">审查工程施工组织设计、施工技术方案，按照包质量、包工期和降低成本的原则，向承建单位提出修改意见，并书面提交业主。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2、有对工程建设有关单位的组织协调权（重要协调事项应事先向业主报告）。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3、征得委托人同意，有权发布开工令、停工令、复工令。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4、有对在工程中使用的材料、构配件和设备的检验及对不合格产品的否决权。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 xml:space="preserve">5、有对施工质量的检验权，对不符合设计、验收规范和质量标准的工序、分部分项工程，有权责令承建单位停工整改返工。承建单位必须得到项目监理部复工令后才能复工。 </w:t>
      </w:r>
    </w:p>
    <w:p>
      <w:pPr>
        <w:pStyle w:val="20"/>
        <w:adjustRightInd w:val="0"/>
        <w:snapToGrid w:val="0"/>
        <w:spacing w:line="360" w:lineRule="auto"/>
        <w:ind w:firstLine="420" w:firstLineChars="200"/>
        <w:rPr>
          <w:color w:val="auto"/>
          <w:szCs w:val="21"/>
          <w:highlight w:val="none"/>
          <w:u w:val="single"/>
        </w:rPr>
      </w:pPr>
      <w:r>
        <w:rPr>
          <w:rFonts w:hint="eastAsia"/>
          <w:color w:val="auto"/>
          <w:szCs w:val="21"/>
          <w:highlight w:val="none"/>
          <w:u w:val="single"/>
        </w:rPr>
        <w:t>6、有对工程施工进度的检查、监督权，以及工程实际竣工日期提前或超过工程施工合同规定的竣工期限的签认权。在合同约定的工程价格范围内，有对工程施工用款计划的审核签认权。 在涉及工程延期  / 天内或）金额   / 万元内的变更，监理人不需请示委托人即可向承包人发布变更通知。</w:t>
      </w:r>
      <w:r>
        <w:rPr>
          <w:color w:val="auto"/>
          <w:szCs w:val="21"/>
          <w:highlight w:val="none"/>
          <w:u w:val="single"/>
        </w:rPr>
        <w:t xml:space="preserve"> </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监理人有权要求承包人调换其人员</w:t>
      </w:r>
      <w:r>
        <w:rPr>
          <w:rFonts w:hint="eastAsia" w:ascii="宋体" w:hAnsi="宋体" w:cs="宋体"/>
          <w:color w:val="auto"/>
          <w:szCs w:val="21"/>
          <w:highlight w:val="none"/>
        </w:rPr>
        <w:t>的限制条件：</w:t>
      </w:r>
      <w:r>
        <w:rPr>
          <w:rFonts w:hint="eastAsia" w:ascii="宋体" w:hAnsi="宋体" w:cs="宋体"/>
          <w:color w:val="auto"/>
          <w:szCs w:val="21"/>
          <w:highlight w:val="none"/>
          <w:u w:val="single"/>
        </w:rPr>
        <w:t xml:space="preserve"> </w:t>
      </w:r>
      <w:r>
        <w:rPr>
          <w:rFonts w:hint="eastAsia"/>
          <w:color w:val="auto"/>
          <w:szCs w:val="21"/>
          <w:highlight w:val="none"/>
          <w:u w:val="single"/>
        </w:rPr>
        <w:t>除非承包人派驻人员不称职，或业务能力不足以满足现场管理需要，有权提出更换建议，并报业主备案</w:t>
      </w:r>
      <w:r>
        <w:rPr>
          <w:color w:val="auto"/>
          <w:szCs w:val="21"/>
          <w:highlight w:val="none"/>
          <w:u w:val="single"/>
        </w:rPr>
        <w:t xml:space="preserve">  </w:t>
      </w:r>
      <w:r>
        <w:rPr>
          <w:rFonts w:hint="eastAsia" w:ascii="宋体" w:hAnsi="宋体" w:cs="宋体"/>
          <w:color w:val="auto"/>
          <w:szCs w:val="21"/>
          <w:highlight w:val="none"/>
        </w:rPr>
        <w:t>。</w:t>
      </w:r>
    </w:p>
    <w:p>
      <w:pPr>
        <w:pStyle w:val="19"/>
        <w:adjustRightInd w:val="0"/>
        <w:snapToGrid w:val="0"/>
        <w:spacing w:line="400" w:lineRule="exac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6</w:t>
      </w:r>
      <w:r>
        <w:rPr>
          <w:rFonts w:hint="eastAsia" w:ascii="宋体" w:hAnsi="宋体" w:cs="宋体"/>
          <w:color w:val="auto"/>
          <w:szCs w:val="21"/>
          <w:highlight w:val="none"/>
        </w:rPr>
        <w:t>提交</w:t>
      </w:r>
      <w:r>
        <w:rPr>
          <w:rFonts w:hint="eastAsia" w:ascii="宋体" w:hAnsi="宋体" w:cs="宋体"/>
          <w:color w:val="auto"/>
          <w:kern w:val="0"/>
          <w:szCs w:val="21"/>
          <w:highlight w:val="none"/>
        </w:rPr>
        <w:t>报告</w:t>
      </w:r>
    </w:p>
    <w:p>
      <w:pPr>
        <w:pStyle w:val="20"/>
        <w:adjustRightInd w:val="0"/>
        <w:snapToGrid w:val="0"/>
        <w:spacing w:line="360" w:lineRule="auto"/>
        <w:ind w:firstLine="420" w:firstLineChars="200"/>
        <w:rPr>
          <w:color w:val="auto"/>
          <w:szCs w:val="21"/>
          <w:highlight w:val="none"/>
          <w:u w:val="single"/>
        </w:rPr>
      </w:pPr>
      <w:r>
        <w:rPr>
          <w:rFonts w:hint="eastAsia" w:ascii="宋体" w:hAnsi="宋体" w:cs="宋体"/>
          <w:color w:val="auto"/>
          <w:szCs w:val="21"/>
          <w:highlight w:val="none"/>
        </w:rPr>
        <w:t>监理人应提交报告的种类（</w:t>
      </w:r>
      <w:r>
        <w:rPr>
          <w:rFonts w:hint="eastAsia" w:ascii="宋体" w:hAnsi="宋体" w:cs="宋体"/>
          <w:color w:val="auto"/>
          <w:kern w:val="0"/>
          <w:szCs w:val="21"/>
          <w:highlight w:val="none"/>
        </w:rPr>
        <w:t>包括监理规划、监理月报及约定的专项报告）</w:t>
      </w:r>
      <w:r>
        <w:rPr>
          <w:rFonts w:hint="eastAsia" w:ascii="宋体" w:hAnsi="宋体" w:cs="宋体"/>
          <w:color w:val="auto"/>
          <w:szCs w:val="21"/>
          <w:highlight w:val="none"/>
        </w:rPr>
        <w:t>、时间和份数</w:t>
      </w:r>
      <w:r>
        <w:rPr>
          <w:rFonts w:hint="eastAsia" w:ascii="宋体" w:hAnsi="宋体" w:cs="宋体"/>
          <w:color w:val="auto"/>
          <w:kern w:val="0"/>
          <w:szCs w:val="21"/>
          <w:highlight w:val="none"/>
        </w:rPr>
        <w:t>：</w:t>
      </w:r>
      <w:r>
        <w:rPr>
          <w:rFonts w:ascii="宋体" w:hAnsi="宋体"/>
          <w:color w:val="auto"/>
          <w:szCs w:val="21"/>
          <w:highlight w:val="none"/>
          <w:u w:val="single"/>
        </w:rPr>
        <w:t>签订合同后5日内提交《项目监理规划》</w:t>
      </w:r>
      <w:r>
        <w:rPr>
          <w:rFonts w:hint="eastAsia" w:ascii="宋体" w:hAnsi="宋体"/>
          <w:color w:val="auto"/>
          <w:szCs w:val="21"/>
          <w:highlight w:val="none"/>
          <w:u w:val="single"/>
        </w:rPr>
        <w:t>一式三份；每月25日前，监理人应向委托人提交监理月报一式三份。</w:t>
      </w:r>
    </w:p>
    <w:p>
      <w:pPr>
        <w:pStyle w:val="19"/>
        <w:snapToGrid w:val="0"/>
        <w:spacing w:before="157" w:beforeLines="50" w:line="360" w:lineRule="auto"/>
        <w:rPr>
          <w:rFonts w:hint="eastAsia" w:ascii="Cambria" w:hAnsi="Cambria"/>
          <w:b/>
          <w:bCs/>
          <w:color w:val="auto"/>
          <w:sz w:val="28"/>
          <w:szCs w:val="28"/>
          <w:highlight w:val="none"/>
        </w:rPr>
      </w:pPr>
      <w:bookmarkStart w:id="308" w:name="_Toc19548031"/>
      <w:bookmarkStart w:id="309" w:name="_Toc411526686"/>
      <w:bookmarkStart w:id="310" w:name="_Toc15353"/>
      <w:bookmarkStart w:id="311" w:name="_Toc12714"/>
      <w:bookmarkStart w:id="312" w:name="_Toc17922"/>
      <w:bookmarkStart w:id="313" w:name="_Toc6577"/>
      <w:r>
        <w:rPr>
          <w:rFonts w:hint="eastAsia" w:ascii="Cambria" w:hAnsi="Cambria"/>
          <w:b/>
          <w:bCs/>
          <w:color w:val="auto"/>
          <w:sz w:val="28"/>
          <w:szCs w:val="28"/>
          <w:highlight w:val="none"/>
        </w:rPr>
        <w:t>3. 委托人义务</w:t>
      </w:r>
      <w:bookmarkEnd w:id="308"/>
      <w:bookmarkEnd w:id="309"/>
      <w:bookmarkEnd w:id="310"/>
      <w:bookmarkEnd w:id="311"/>
      <w:bookmarkEnd w:id="312"/>
      <w:bookmarkEnd w:id="313"/>
    </w:p>
    <w:p>
      <w:pPr>
        <w:pStyle w:val="19"/>
        <w:snapToGrid w:val="0"/>
        <w:spacing w:line="360" w:lineRule="auto"/>
        <w:rPr>
          <w:color w:val="auto"/>
          <w:szCs w:val="21"/>
          <w:highlight w:val="none"/>
        </w:rPr>
      </w:pPr>
      <w:r>
        <w:rPr>
          <w:color w:val="auto"/>
          <w:kern w:val="0"/>
          <w:szCs w:val="21"/>
          <w:highlight w:val="none"/>
        </w:rPr>
        <w:t>3.</w:t>
      </w:r>
      <w:r>
        <w:rPr>
          <w:rFonts w:hint="eastAsia"/>
          <w:color w:val="auto"/>
          <w:kern w:val="0"/>
          <w:szCs w:val="21"/>
          <w:highlight w:val="none"/>
        </w:rPr>
        <w:t>1</w:t>
      </w:r>
      <w:r>
        <w:rPr>
          <w:color w:val="auto"/>
          <w:kern w:val="0"/>
          <w:szCs w:val="21"/>
          <w:highlight w:val="none"/>
        </w:rPr>
        <w:t xml:space="preserve"> </w:t>
      </w:r>
      <w:r>
        <w:rPr>
          <w:rFonts w:hAnsi="宋体"/>
          <w:color w:val="auto"/>
          <w:kern w:val="0"/>
          <w:szCs w:val="21"/>
          <w:highlight w:val="none"/>
        </w:rPr>
        <w:t>委托人代表</w:t>
      </w:r>
    </w:p>
    <w:p>
      <w:pPr>
        <w:pStyle w:val="19"/>
        <w:adjustRightInd w:val="0"/>
        <w:snapToGrid w:val="0"/>
        <w:spacing w:line="360" w:lineRule="auto"/>
        <w:ind w:firstLine="420" w:firstLineChars="200"/>
        <w:rPr>
          <w:color w:val="auto"/>
          <w:szCs w:val="21"/>
          <w:highlight w:val="none"/>
          <w:u w:val="single"/>
        </w:rPr>
      </w:pPr>
      <w:r>
        <w:rPr>
          <w:rFonts w:hAnsi="宋体"/>
          <w:color w:val="auto"/>
          <w:szCs w:val="21"/>
          <w:highlight w:val="none"/>
        </w:rPr>
        <w:t>委托人代表为：</w:t>
      </w:r>
      <w:r>
        <w:rPr>
          <w:color w:val="auto"/>
          <w:szCs w:val="21"/>
          <w:highlight w:val="none"/>
          <w:u w:val="single"/>
        </w:rPr>
        <w:t xml:space="preserve">                                        </w:t>
      </w:r>
      <w:r>
        <w:rPr>
          <w:rFonts w:hAnsi="宋体"/>
          <w:color w:val="auto"/>
          <w:szCs w:val="21"/>
          <w:highlight w:val="none"/>
        </w:rPr>
        <w:t>。</w:t>
      </w:r>
    </w:p>
    <w:p>
      <w:pPr>
        <w:pStyle w:val="19"/>
        <w:adjustRightInd w:val="0"/>
        <w:snapToGrid w:val="0"/>
        <w:spacing w:line="360" w:lineRule="auto"/>
        <w:rPr>
          <w:color w:val="auto"/>
          <w:kern w:val="0"/>
          <w:szCs w:val="21"/>
          <w:highlight w:val="none"/>
        </w:rPr>
      </w:pPr>
      <w:r>
        <w:rPr>
          <w:color w:val="auto"/>
          <w:kern w:val="0"/>
          <w:szCs w:val="21"/>
          <w:highlight w:val="none"/>
        </w:rPr>
        <w:t>3.</w:t>
      </w:r>
      <w:r>
        <w:rPr>
          <w:rFonts w:hint="eastAsia"/>
          <w:color w:val="auto"/>
          <w:kern w:val="0"/>
          <w:szCs w:val="21"/>
          <w:highlight w:val="none"/>
        </w:rPr>
        <w:t>2</w:t>
      </w:r>
      <w:r>
        <w:rPr>
          <w:color w:val="auto"/>
          <w:kern w:val="0"/>
          <w:szCs w:val="21"/>
          <w:highlight w:val="none"/>
        </w:rPr>
        <w:t xml:space="preserve"> </w:t>
      </w:r>
      <w:r>
        <w:rPr>
          <w:rFonts w:hAnsi="宋体"/>
          <w:color w:val="auto"/>
          <w:kern w:val="0"/>
          <w:szCs w:val="21"/>
          <w:highlight w:val="none"/>
        </w:rPr>
        <w:t>答复</w:t>
      </w:r>
    </w:p>
    <w:p>
      <w:pPr>
        <w:pStyle w:val="19"/>
        <w:adjustRightInd w:val="0"/>
        <w:snapToGrid w:val="0"/>
        <w:spacing w:line="360" w:lineRule="auto"/>
        <w:ind w:firstLine="420" w:firstLineChars="200"/>
        <w:rPr>
          <w:color w:val="auto"/>
          <w:szCs w:val="21"/>
          <w:highlight w:val="none"/>
        </w:rPr>
      </w:pPr>
      <w:r>
        <w:rPr>
          <w:rFonts w:hAnsi="宋体"/>
          <w:color w:val="auto"/>
          <w:szCs w:val="21"/>
          <w:highlight w:val="none"/>
        </w:rPr>
        <w:t>委托人同意在</w:t>
      </w:r>
      <w:r>
        <w:rPr>
          <w:color w:val="auto"/>
          <w:szCs w:val="21"/>
          <w:highlight w:val="none"/>
          <w:u w:val="single"/>
        </w:rPr>
        <w:t xml:space="preserve">   </w:t>
      </w:r>
      <w:r>
        <w:rPr>
          <w:rFonts w:hint="eastAsia"/>
          <w:color w:val="auto"/>
          <w:szCs w:val="21"/>
          <w:highlight w:val="none"/>
          <w:u w:val="single"/>
        </w:rPr>
        <w:t>7</w:t>
      </w:r>
      <w:r>
        <w:rPr>
          <w:color w:val="auto"/>
          <w:szCs w:val="21"/>
          <w:highlight w:val="none"/>
          <w:u w:val="single"/>
        </w:rPr>
        <w:t xml:space="preserve">    </w:t>
      </w:r>
      <w:r>
        <w:rPr>
          <w:rFonts w:hAnsi="宋体"/>
          <w:color w:val="auto"/>
          <w:szCs w:val="21"/>
          <w:highlight w:val="none"/>
        </w:rPr>
        <w:t>天内，对监理人书面提交并要求做出决定的事宜给予书面答复。</w:t>
      </w:r>
    </w:p>
    <w:p>
      <w:pPr>
        <w:pStyle w:val="19"/>
        <w:snapToGrid w:val="0"/>
        <w:spacing w:before="157" w:beforeLines="50" w:line="360" w:lineRule="auto"/>
        <w:rPr>
          <w:rFonts w:hint="eastAsia" w:ascii="Cambria" w:hAnsi="Cambria"/>
          <w:b/>
          <w:bCs/>
          <w:color w:val="auto"/>
          <w:sz w:val="28"/>
          <w:szCs w:val="28"/>
          <w:highlight w:val="none"/>
        </w:rPr>
      </w:pPr>
      <w:bookmarkStart w:id="314" w:name="_Toc411526687"/>
      <w:bookmarkStart w:id="315" w:name="_Toc21230"/>
      <w:bookmarkStart w:id="316" w:name="_Toc28984"/>
      <w:bookmarkStart w:id="317" w:name="_Toc29994"/>
      <w:bookmarkStart w:id="318" w:name="_Toc19548032"/>
      <w:bookmarkStart w:id="319" w:name="_Toc7112"/>
      <w:r>
        <w:rPr>
          <w:rFonts w:hint="eastAsia" w:ascii="Cambria" w:hAnsi="Cambria"/>
          <w:b/>
          <w:bCs/>
          <w:color w:val="auto"/>
          <w:sz w:val="28"/>
          <w:szCs w:val="28"/>
          <w:highlight w:val="none"/>
        </w:rPr>
        <w:t xml:space="preserve">4. </w:t>
      </w:r>
      <w:bookmarkEnd w:id="314"/>
      <w:bookmarkEnd w:id="315"/>
      <w:r>
        <w:rPr>
          <w:rFonts w:hint="default" w:ascii="Cambria" w:hAnsi="Cambria"/>
          <w:b/>
          <w:bCs/>
          <w:color w:val="auto"/>
          <w:sz w:val="28"/>
          <w:szCs w:val="28"/>
          <w:highlight w:val="none"/>
        </w:rPr>
        <w:t>对监理人的要求及监理人的违约责任</w:t>
      </w:r>
      <w:bookmarkEnd w:id="316"/>
      <w:bookmarkEnd w:id="317"/>
      <w:bookmarkEnd w:id="318"/>
      <w:bookmarkEnd w:id="319"/>
    </w:p>
    <w:p>
      <w:pPr>
        <w:pStyle w:val="19"/>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4.1 监理人的违约责任</w:t>
      </w:r>
    </w:p>
    <w:p>
      <w:pPr>
        <w:pStyle w:val="19"/>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监理人赔偿金额按下列方法确定：</w:t>
      </w:r>
    </w:p>
    <w:p>
      <w:pPr>
        <w:pStyle w:val="19"/>
        <w:adjustRightInd w:val="0"/>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赔偿金＝直接经济损失×正常工作</w:t>
      </w:r>
      <w:r>
        <w:rPr>
          <w:rFonts w:hint="eastAsia" w:ascii="宋体" w:hAnsi="宋体" w:cs="宋体"/>
          <w:color w:val="auto"/>
          <w:szCs w:val="21"/>
          <w:highlight w:val="none"/>
          <w:lang w:val="en-US" w:eastAsia="zh-CN"/>
        </w:rPr>
        <w:t>服务费</w:t>
      </w:r>
      <w:r>
        <w:rPr>
          <w:rFonts w:hint="eastAsia" w:ascii="宋体" w:hAnsi="宋体" w:cs="宋体"/>
          <w:color w:val="auto"/>
          <w:szCs w:val="21"/>
          <w:highlight w:val="none"/>
        </w:rPr>
        <w:t>÷工程概算</w:t>
      </w:r>
      <w:r>
        <w:rPr>
          <w:rFonts w:hint="eastAsia" w:ascii="宋体" w:hAnsi="宋体" w:cs="宋体"/>
          <w:color w:val="auto"/>
          <w:kern w:val="0"/>
          <w:szCs w:val="21"/>
          <w:highlight w:val="none"/>
        </w:rPr>
        <w:t>投资额（或建筑安装工程费）</w:t>
      </w:r>
    </w:p>
    <w:p>
      <w:pPr>
        <w:pStyle w:val="19"/>
        <w:adjustRightInd w:val="0"/>
        <w:snapToGrid w:val="0"/>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4.2 委托人的违约责任</w:t>
      </w:r>
    </w:p>
    <w:p>
      <w:pPr>
        <w:pStyle w:val="19"/>
        <w:spacing w:line="400" w:lineRule="exact"/>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委托人</w:t>
      </w:r>
      <w:r>
        <w:rPr>
          <w:rFonts w:hint="eastAsia" w:ascii="宋体" w:hAnsi="宋体" w:cs="宋体"/>
          <w:color w:val="auto"/>
          <w:kern w:val="0"/>
          <w:szCs w:val="21"/>
          <w:highlight w:val="none"/>
        </w:rPr>
        <w:t>逾期付款利息按下列方法确定：</w:t>
      </w:r>
    </w:p>
    <w:p>
      <w:pPr>
        <w:pStyle w:val="19"/>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逾期付款利息＝当期应付款总额×银行同期贷款日利率×拖延支付天数</w:t>
      </w:r>
    </w:p>
    <w:p>
      <w:pPr>
        <w:pStyle w:val="19"/>
        <w:snapToGrid w:val="0"/>
        <w:spacing w:before="157" w:beforeLines="50" w:after="0" w:line="360" w:lineRule="auto"/>
        <w:rPr>
          <w:rFonts w:ascii="Cambria" w:hAnsi="Cambria" w:cs="Times New Roman"/>
          <w:b/>
          <w:bCs/>
          <w:color w:val="auto"/>
          <w:sz w:val="28"/>
          <w:szCs w:val="28"/>
          <w:highlight w:val="none"/>
        </w:rPr>
      </w:pPr>
      <w:bookmarkStart w:id="320" w:name="_Toc411526688"/>
      <w:bookmarkStart w:id="321" w:name="_Toc30225"/>
      <w:bookmarkStart w:id="322" w:name="_Toc29539"/>
      <w:bookmarkStart w:id="323" w:name="_Toc19548033"/>
      <w:bookmarkStart w:id="324" w:name="_Toc30607"/>
      <w:bookmarkStart w:id="325" w:name="_Toc25931"/>
      <w:r>
        <w:rPr>
          <w:rFonts w:hint="default" w:ascii="Cambria" w:hAnsi="Cambria" w:cs="Times New Roman"/>
          <w:b/>
          <w:bCs/>
          <w:color w:val="auto"/>
          <w:sz w:val="28"/>
          <w:szCs w:val="28"/>
          <w:highlight w:val="none"/>
        </w:rPr>
        <w:t>5. 支付</w:t>
      </w:r>
      <w:bookmarkEnd w:id="320"/>
      <w:bookmarkEnd w:id="321"/>
      <w:bookmarkEnd w:id="322"/>
      <w:bookmarkEnd w:id="323"/>
      <w:bookmarkEnd w:id="324"/>
      <w:bookmarkEnd w:id="325"/>
    </w:p>
    <w:p>
      <w:pPr>
        <w:pStyle w:val="19"/>
        <w:snapToGrid w:val="0"/>
        <w:spacing w:line="400" w:lineRule="exact"/>
        <w:rPr>
          <w:rFonts w:ascii="宋体" w:hAnsi="宋体" w:cs="宋体"/>
          <w:bCs/>
          <w:color w:val="auto"/>
          <w:szCs w:val="21"/>
          <w:highlight w:val="none"/>
        </w:rPr>
      </w:pPr>
      <w:r>
        <w:rPr>
          <w:rFonts w:hint="eastAsia" w:ascii="宋体" w:hAnsi="宋体" w:cs="宋体"/>
          <w:color w:val="auto"/>
          <w:szCs w:val="21"/>
          <w:highlight w:val="none"/>
        </w:rPr>
        <w:t xml:space="preserve">5.1 </w:t>
      </w:r>
      <w:r>
        <w:rPr>
          <w:rFonts w:hint="eastAsia" w:ascii="宋体" w:hAnsi="宋体" w:cs="宋体"/>
          <w:bCs/>
          <w:color w:val="auto"/>
          <w:szCs w:val="21"/>
          <w:highlight w:val="none"/>
        </w:rPr>
        <w:t>支付货币</w:t>
      </w:r>
    </w:p>
    <w:p>
      <w:pPr>
        <w:pStyle w:val="19"/>
        <w:snapToGrid w:val="0"/>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 xml:space="preserve">   人民币     </w:t>
      </w:r>
    </w:p>
    <w:p>
      <w:pPr>
        <w:pStyle w:val="19"/>
        <w:snapToGrid w:val="0"/>
        <w:spacing w:line="400" w:lineRule="exac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5.2 支付</w:t>
      </w:r>
      <w:r>
        <w:rPr>
          <w:rFonts w:hint="eastAsia" w:ascii="宋体" w:hAnsi="宋体" w:cs="宋体"/>
          <w:color w:val="auto"/>
          <w:kern w:val="0"/>
          <w:szCs w:val="21"/>
          <w:highlight w:val="none"/>
          <w:lang w:val="en-US" w:eastAsia="zh-CN"/>
        </w:rPr>
        <w:t>监理服务费</w:t>
      </w:r>
    </w:p>
    <w:p>
      <w:pPr>
        <w:pStyle w:val="19"/>
        <w:snapToGrid w:val="0"/>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委托人同意按以下的计算方法、支付时间与金额，支付监理人的</w:t>
      </w:r>
      <w:r>
        <w:rPr>
          <w:rFonts w:hint="eastAsia" w:ascii="宋体" w:hAnsi="宋体" w:cs="宋体"/>
          <w:color w:val="auto"/>
          <w:kern w:val="0"/>
          <w:szCs w:val="21"/>
          <w:highlight w:val="none"/>
          <w:lang w:val="en-US" w:eastAsia="zh-CN"/>
        </w:rPr>
        <w:t>监理服务费</w:t>
      </w:r>
      <w:r>
        <w:rPr>
          <w:rFonts w:hint="eastAsia" w:ascii="宋体" w:hAnsi="宋体" w:cs="宋体"/>
          <w:color w:val="auto"/>
          <w:kern w:val="0"/>
          <w:szCs w:val="21"/>
          <w:highlight w:val="none"/>
        </w:rPr>
        <w:t>：</w:t>
      </w:r>
    </w:p>
    <w:p>
      <w:pPr>
        <w:pStyle w:val="19"/>
        <w:adjustRightInd w:val="0"/>
        <w:snapToGrid w:val="0"/>
        <w:spacing w:line="400" w:lineRule="exact"/>
        <w:ind w:firstLine="420" w:firstLineChars="200"/>
        <w:rPr>
          <w:rFonts w:hint="eastAsia" w:ascii="宋体" w:hAnsi="宋体" w:cs="宋体"/>
          <w:color w:val="auto"/>
          <w:kern w:val="0"/>
          <w:szCs w:val="21"/>
          <w:highlight w:val="none"/>
        </w:rPr>
      </w:pPr>
      <w:bookmarkStart w:id="326" w:name="_Toc411526689"/>
      <w:bookmarkStart w:id="327" w:name="_Toc21402"/>
      <w:bookmarkStart w:id="328" w:name="_Toc8683"/>
      <w:r>
        <w:rPr>
          <w:rFonts w:hint="eastAsia" w:ascii="Calibri" w:hAnsi="宋体" w:cs="Times New Roman"/>
          <w:color w:val="auto"/>
          <w:kern w:val="0"/>
          <w:szCs w:val="21"/>
          <w:highlight w:val="none"/>
        </w:rPr>
        <w:t>5.2.1</w:t>
      </w:r>
      <w:r>
        <w:rPr>
          <w:rFonts w:hint="eastAsia" w:ascii="宋体" w:hAnsi="宋体" w:cs="宋体"/>
          <w:color w:val="auto"/>
          <w:kern w:val="0"/>
          <w:szCs w:val="21"/>
          <w:highlight w:val="none"/>
        </w:rPr>
        <w:t>监理</w:t>
      </w:r>
      <w:r>
        <w:rPr>
          <w:rFonts w:hint="eastAsia" w:ascii="宋体" w:hAnsi="宋体" w:cs="宋体"/>
          <w:color w:val="auto"/>
          <w:kern w:val="0"/>
          <w:szCs w:val="21"/>
          <w:highlight w:val="none"/>
          <w:lang w:val="en-US" w:eastAsia="zh-CN"/>
        </w:rPr>
        <w:t>服务费</w:t>
      </w:r>
      <w:r>
        <w:rPr>
          <w:rFonts w:hint="eastAsia" w:ascii="宋体" w:hAnsi="宋体" w:cs="宋体"/>
          <w:color w:val="auto"/>
          <w:kern w:val="0"/>
          <w:szCs w:val="21"/>
          <w:highlight w:val="none"/>
        </w:rPr>
        <w:t>计算方法：</w:t>
      </w:r>
    </w:p>
    <w:p>
      <w:pPr>
        <w:pStyle w:val="20"/>
        <w:snapToGrid w:val="0"/>
        <w:spacing w:line="360" w:lineRule="auto"/>
        <w:ind w:firstLine="420" w:firstLineChars="200"/>
        <w:rPr>
          <w:rFonts w:hint="eastAsia" w:ascii="宋体" w:hAnsi="宋体"/>
          <w:color w:val="auto"/>
          <w:szCs w:val="21"/>
          <w:highlight w:val="none"/>
          <w:u w:val="none"/>
          <w:lang w:val="en-US" w:eastAsia="zh-CN"/>
        </w:rPr>
      </w:pPr>
      <w:r>
        <w:rPr>
          <w:rFonts w:hint="eastAsia" w:ascii="宋体" w:hAnsi="宋体"/>
          <w:color w:val="auto"/>
          <w:szCs w:val="21"/>
          <w:highlight w:val="none"/>
          <w:u w:val="none"/>
          <w:lang w:val="en-US" w:eastAsia="zh-CN"/>
        </w:rPr>
        <w:t>监理服务费上限控制价为52.97万元。</w:t>
      </w:r>
    </w:p>
    <w:p>
      <w:pPr>
        <w:snapToGrid w:val="0"/>
        <w:spacing w:line="360" w:lineRule="auto"/>
        <w:ind w:firstLine="420" w:firstLineChars="200"/>
        <w:rPr>
          <w:rStyle w:val="16"/>
          <w:rFonts w:hint="eastAsia" w:asciiTheme="minorHAnsi" w:hAnsiTheme="minorHAnsi" w:eastAsiaTheme="minorEastAsia" w:cstheme="minorBidi"/>
          <w:color w:val="auto"/>
          <w:highlight w:val="none"/>
          <w:lang w:eastAsia="zh-CN"/>
        </w:rPr>
      </w:pPr>
      <w:r>
        <w:rPr>
          <w:rFonts w:hint="eastAsia" w:hAnsi="宋体"/>
          <w:color w:val="auto"/>
          <w:kern w:val="0"/>
          <w:szCs w:val="21"/>
          <w:highlight w:val="none"/>
          <w:lang w:val="en-US" w:eastAsia="zh-CN"/>
        </w:rPr>
        <w:t>签约合总价</w:t>
      </w:r>
      <w:r>
        <w:rPr>
          <w:rFonts w:hint="eastAsia" w:ascii="宋体" w:hAnsi="宋体" w:cs="宋体"/>
          <w:color w:val="auto"/>
          <w:szCs w:val="21"/>
          <w:highlight w:val="none"/>
          <w:lang w:val="en-US" w:eastAsia="zh-CN"/>
        </w:rPr>
        <w:t>为：        ，即</w:t>
      </w:r>
      <w:r>
        <w:rPr>
          <w:rFonts w:hint="eastAsia" w:ascii="宋体" w:hAnsi="宋体" w:cs="宋体"/>
          <w:color w:val="auto"/>
          <w:szCs w:val="21"/>
          <w:highlight w:val="none"/>
        </w:rPr>
        <w:t>本合同不含税价款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，增值税款</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，价税合计</w:t>
      </w:r>
      <w:r>
        <w:rPr>
          <w:rFonts w:hint="eastAsia" w:hAnsi="宋体"/>
          <w:color w:val="auto"/>
          <w:szCs w:val="21"/>
          <w:highlight w:val="none"/>
          <w:u w:val="single"/>
        </w:rPr>
        <w:t xml:space="preserve">                </w:t>
      </w:r>
      <w:r>
        <w:rPr>
          <w:rFonts w:hAnsi="宋体"/>
          <w:color w:val="auto"/>
          <w:szCs w:val="21"/>
          <w:highlight w:val="none"/>
          <w:u w:val="single"/>
        </w:rPr>
        <w:t>元</w:t>
      </w:r>
      <w:r>
        <w:rPr>
          <w:rFonts w:hint="eastAsia" w:hAnsi="宋体"/>
          <w:color w:val="auto"/>
          <w:szCs w:val="21"/>
          <w:highlight w:val="none"/>
        </w:rPr>
        <w:t>（</w:t>
      </w:r>
      <w:r>
        <w:rPr>
          <w:rFonts w:hint="eastAsia" w:hAnsi="宋体"/>
          <w:color w:val="auto"/>
          <w:szCs w:val="21"/>
          <w:highlight w:val="none"/>
          <w:u w:val="single"/>
        </w:rPr>
        <w:t>￥      元</w:t>
      </w:r>
      <w:r>
        <w:rPr>
          <w:rFonts w:hint="eastAsia" w:hAnsi="宋体"/>
          <w:color w:val="auto"/>
          <w:szCs w:val="21"/>
          <w:highlight w:val="none"/>
        </w:rPr>
        <w:t>）</w:t>
      </w:r>
      <w:r>
        <w:rPr>
          <w:rFonts w:hint="eastAsia" w:ascii="宋体" w:hAnsi="宋体" w:cs="宋体"/>
          <w:color w:val="auto"/>
          <w:szCs w:val="21"/>
          <w:highlight w:val="none"/>
        </w:rPr>
        <w:t>。</w:t>
      </w:r>
      <w:r>
        <w:rPr>
          <w:rStyle w:val="16"/>
          <w:rFonts w:hint="eastAsia" w:asciiTheme="minorHAnsi" w:hAnsiTheme="minorHAnsi" w:eastAsiaTheme="minorEastAsia" w:cstheme="minorBidi"/>
          <w:color w:val="auto"/>
          <w:highlight w:val="none"/>
          <w:lang w:eastAsia="zh-CN"/>
        </w:rPr>
        <w:t>监理</w:t>
      </w:r>
      <w:r>
        <w:rPr>
          <w:rStyle w:val="16"/>
          <w:rFonts w:hint="eastAsia" w:cstheme="minorBidi"/>
          <w:color w:val="auto"/>
          <w:highlight w:val="none"/>
          <w:lang w:val="en-US" w:eastAsia="zh-CN"/>
        </w:rPr>
        <w:t>服务费</w:t>
      </w:r>
      <w:r>
        <w:rPr>
          <w:rStyle w:val="16"/>
          <w:rFonts w:hint="eastAsia" w:asciiTheme="minorHAnsi" w:hAnsiTheme="minorHAnsi" w:eastAsiaTheme="minorEastAsia" w:cstheme="minorBidi"/>
          <w:color w:val="auto"/>
          <w:highlight w:val="none"/>
          <w:lang w:eastAsia="zh-CN"/>
        </w:rPr>
        <w:t>总价包干，</w:t>
      </w:r>
      <w:r>
        <w:rPr>
          <w:rStyle w:val="16"/>
          <w:rFonts w:hint="eastAsia" w:cstheme="minorBidi"/>
          <w:color w:val="auto"/>
          <w:highlight w:val="none"/>
          <w:lang w:val="en-US" w:eastAsia="zh-CN"/>
        </w:rPr>
        <w:t>不含税价</w:t>
      </w:r>
      <w:r>
        <w:rPr>
          <w:rStyle w:val="16"/>
          <w:rFonts w:hint="eastAsia" w:asciiTheme="minorHAnsi" w:hAnsiTheme="minorHAnsi" w:eastAsiaTheme="minorEastAsia" w:cstheme="minorBidi"/>
          <w:color w:val="auto"/>
          <w:highlight w:val="none"/>
          <w:lang w:eastAsia="zh-CN"/>
        </w:rPr>
        <w:t>不予调整。</w:t>
      </w:r>
    </w:p>
    <w:p>
      <w:pPr>
        <w:pStyle w:val="20"/>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5.</w:t>
      </w:r>
      <w:r>
        <w:rPr>
          <w:rFonts w:hint="eastAsia" w:hAnsi="宋体"/>
          <w:color w:val="auto"/>
          <w:kern w:val="0"/>
          <w:szCs w:val="21"/>
          <w:highlight w:val="none"/>
        </w:rPr>
        <w:t>2</w:t>
      </w:r>
      <w:r>
        <w:rPr>
          <w:rFonts w:hAnsi="宋体"/>
          <w:color w:val="auto"/>
          <w:kern w:val="0"/>
          <w:szCs w:val="21"/>
          <w:highlight w:val="none"/>
        </w:rPr>
        <w:t>.2</w:t>
      </w:r>
      <w:r>
        <w:rPr>
          <w:rFonts w:hint="eastAsia" w:hAnsi="宋体"/>
          <w:color w:val="auto"/>
          <w:kern w:val="0"/>
          <w:szCs w:val="21"/>
          <w:highlight w:val="none"/>
        </w:rPr>
        <w:t>施工阶段</w:t>
      </w:r>
      <w:r>
        <w:rPr>
          <w:rFonts w:hAnsi="宋体"/>
          <w:color w:val="auto"/>
          <w:kern w:val="0"/>
          <w:szCs w:val="21"/>
          <w:highlight w:val="none"/>
        </w:rPr>
        <w:t>监理</w:t>
      </w:r>
      <w:r>
        <w:rPr>
          <w:rFonts w:hint="eastAsia" w:hAnsi="宋体"/>
          <w:color w:val="auto"/>
          <w:kern w:val="0"/>
          <w:szCs w:val="21"/>
          <w:highlight w:val="none"/>
          <w:lang w:val="en-US" w:eastAsia="zh-CN"/>
        </w:rPr>
        <w:t>服务费</w:t>
      </w:r>
      <w:r>
        <w:rPr>
          <w:rFonts w:hAnsi="宋体"/>
          <w:color w:val="auto"/>
          <w:kern w:val="0"/>
          <w:szCs w:val="21"/>
          <w:highlight w:val="none"/>
        </w:rPr>
        <w:t>支付时间与金额：</w:t>
      </w:r>
    </w:p>
    <w:p>
      <w:pPr>
        <w:pStyle w:val="20"/>
        <w:numPr>
          <w:ilvl w:val="0"/>
          <w:numId w:val="3"/>
        </w:numPr>
        <w:snapToGrid w:val="0"/>
        <w:spacing w:line="360" w:lineRule="auto"/>
        <w:ind w:firstLine="420" w:firstLineChars="200"/>
        <w:rPr>
          <w:rFonts w:hAnsi="宋体"/>
          <w:color w:val="auto"/>
          <w:kern w:val="0"/>
          <w:szCs w:val="21"/>
          <w:highlight w:val="none"/>
        </w:rPr>
      </w:pPr>
      <w:r>
        <w:rPr>
          <w:rFonts w:hAnsi="宋体"/>
          <w:color w:val="auto"/>
          <w:kern w:val="0"/>
          <w:szCs w:val="21"/>
          <w:highlight w:val="none"/>
        </w:rPr>
        <w:t>本工程</w:t>
      </w:r>
      <w:r>
        <w:rPr>
          <w:rFonts w:hint="eastAsia" w:hAnsi="宋体"/>
          <w:color w:val="auto"/>
          <w:kern w:val="0"/>
          <w:szCs w:val="21"/>
          <w:highlight w:val="none"/>
          <w:lang w:eastAsia="zh-CN"/>
        </w:rPr>
        <w:t>监理服务费</w:t>
      </w:r>
      <w:r>
        <w:rPr>
          <w:rFonts w:hAnsi="宋体"/>
          <w:color w:val="auto"/>
          <w:kern w:val="0"/>
          <w:szCs w:val="21"/>
          <w:highlight w:val="none"/>
        </w:rPr>
        <w:t>预付款为：</w:t>
      </w:r>
      <w:r>
        <w:rPr>
          <w:rFonts w:hint="eastAsia" w:hAnsi="宋体"/>
          <w:color w:val="auto"/>
          <w:kern w:val="0"/>
          <w:szCs w:val="21"/>
          <w:highlight w:val="none"/>
        </w:rPr>
        <w:t>无</w:t>
      </w:r>
      <w:r>
        <w:rPr>
          <w:rFonts w:hAnsi="宋体"/>
          <w:color w:val="auto"/>
          <w:kern w:val="0"/>
          <w:szCs w:val="21"/>
          <w:highlight w:val="none"/>
        </w:rPr>
        <w:t>。</w:t>
      </w:r>
    </w:p>
    <w:p>
      <w:pPr>
        <w:pStyle w:val="20"/>
        <w:numPr>
          <w:ilvl w:val="0"/>
          <w:numId w:val="3"/>
        </w:numPr>
        <w:snapToGrid w:val="0"/>
        <w:spacing w:line="360" w:lineRule="auto"/>
        <w:ind w:firstLine="420" w:firstLineChars="200"/>
        <w:rPr>
          <w:rFonts w:hAnsi="宋体"/>
          <w:color w:val="auto"/>
          <w:kern w:val="2"/>
          <w:szCs w:val="21"/>
          <w:highlight w:val="none"/>
        </w:rPr>
      </w:pPr>
      <w:r>
        <w:rPr>
          <w:rFonts w:hint="eastAsia" w:hAnsi="宋体"/>
          <w:color w:val="auto"/>
          <w:kern w:val="2"/>
          <w:szCs w:val="21"/>
          <w:highlight w:val="none"/>
          <w:lang w:val="en-US" w:eastAsia="zh-CN"/>
        </w:rPr>
        <w:t>监理服务费支付节点：在工程土方开挖完成后支付至签约合同总价的50%；在工程竣工且验收合格后支付至签约合同总价的80%；在工程完成结算审定</w:t>
      </w:r>
      <w:r>
        <w:rPr>
          <w:rFonts w:hint="eastAsia" w:ascii="宋体" w:hAnsi="宋体" w:eastAsia="宋体" w:cs="Times New Roman"/>
          <w:color w:val="auto"/>
          <w:sz w:val="21"/>
          <w:szCs w:val="21"/>
          <w:highlight w:val="none"/>
          <w:lang w:val="en-US" w:eastAsia="zh-CN"/>
        </w:rPr>
        <w:t>(</w:t>
      </w:r>
      <w:r>
        <w:rPr>
          <w:rFonts w:hint="eastAsia" w:ascii="宋体" w:hAnsi="宋体" w:eastAsia="宋体" w:cs="Times New Roman"/>
          <w:color w:val="auto"/>
          <w:sz w:val="21"/>
          <w:szCs w:val="21"/>
          <w:highlight w:val="none"/>
        </w:rPr>
        <w:t>如需政府相关部门审核的，</w:t>
      </w:r>
      <w:r>
        <w:rPr>
          <w:rFonts w:hint="eastAsia" w:ascii="宋体" w:hAnsi="宋体" w:eastAsia="宋体" w:cs="Times New Roman"/>
          <w:color w:val="auto"/>
          <w:sz w:val="21"/>
          <w:szCs w:val="21"/>
          <w:highlight w:val="none"/>
          <w:lang w:val="en-US" w:eastAsia="zh-CN"/>
        </w:rPr>
        <w:t>经</w:t>
      </w:r>
      <w:r>
        <w:rPr>
          <w:rFonts w:hint="eastAsia" w:ascii="宋体" w:hAnsi="宋体" w:eastAsia="宋体" w:cs="Times New Roman"/>
          <w:color w:val="auto"/>
          <w:sz w:val="21"/>
          <w:szCs w:val="21"/>
          <w:highlight w:val="none"/>
        </w:rPr>
        <w:t>政府相关部门审定</w:t>
      </w:r>
      <w:r>
        <w:rPr>
          <w:rFonts w:hint="eastAsia" w:ascii="宋体" w:hAnsi="宋体" w:eastAsia="宋体" w:cs="Times New Roman"/>
          <w:color w:val="auto"/>
          <w:sz w:val="21"/>
          <w:szCs w:val="21"/>
          <w:highlight w:val="none"/>
          <w:lang w:val="en-US" w:eastAsia="zh-CN"/>
        </w:rPr>
        <w:t>)</w:t>
      </w:r>
      <w:r>
        <w:rPr>
          <w:rFonts w:hint="eastAsia" w:hAnsi="宋体"/>
          <w:color w:val="auto"/>
          <w:kern w:val="2"/>
          <w:szCs w:val="21"/>
          <w:highlight w:val="none"/>
          <w:lang w:val="en-US" w:eastAsia="zh-CN"/>
        </w:rPr>
        <w:t>后支付至合同结算审定金额的95%，</w:t>
      </w:r>
      <w:r>
        <w:rPr>
          <w:rFonts w:hAnsi="宋体"/>
          <w:color w:val="auto"/>
          <w:szCs w:val="21"/>
          <w:highlight w:val="none"/>
        </w:rPr>
        <w:t>在监理服务期届满</w:t>
      </w:r>
      <w:r>
        <w:rPr>
          <w:rFonts w:hint="eastAsia"/>
          <w:color w:val="auto"/>
          <w:szCs w:val="21"/>
          <w:highlight w:val="none"/>
          <w:lang w:eastAsia="zh-CN"/>
        </w:rPr>
        <w:t>后</w:t>
      </w:r>
      <w:r>
        <w:rPr>
          <w:rFonts w:hAnsi="宋体"/>
          <w:color w:val="auto"/>
          <w:szCs w:val="21"/>
          <w:highlight w:val="none"/>
        </w:rPr>
        <w:t>，委托人将</w:t>
      </w:r>
      <w:r>
        <w:rPr>
          <w:rFonts w:hint="eastAsia" w:hAnsi="宋体"/>
          <w:color w:val="auto"/>
          <w:szCs w:val="21"/>
          <w:highlight w:val="none"/>
          <w:lang w:val="en-US" w:eastAsia="zh-CN"/>
        </w:rPr>
        <w:t>合同</w:t>
      </w:r>
      <w:r>
        <w:rPr>
          <w:rFonts w:hAnsi="宋体"/>
          <w:color w:val="auto"/>
          <w:szCs w:val="21"/>
          <w:highlight w:val="none"/>
        </w:rPr>
        <w:t>余款全部付清，并向监理人退回履约保证金（无息）。</w:t>
      </w:r>
    </w:p>
    <w:p>
      <w:pPr>
        <w:pStyle w:val="20"/>
        <w:numPr>
          <w:ilvl w:val="0"/>
          <w:numId w:val="3"/>
        </w:numPr>
        <w:snapToGrid w:val="0"/>
        <w:spacing w:line="360" w:lineRule="auto"/>
        <w:ind w:firstLine="420" w:firstLineChars="200"/>
        <w:rPr>
          <w:rFonts w:hAnsi="宋体"/>
          <w:color w:val="auto"/>
          <w:kern w:val="2"/>
          <w:szCs w:val="21"/>
          <w:highlight w:val="none"/>
        </w:rPr>
      </w:pPr>
      <w:r>
        <w:rPr>
          <w:rFonts w:hAnsi="宋体"/>
          <w:color w:val="auto"/>
          <w:kern w:val="2"/>
          <w:szCs w:val="21"/>
          <w:highlight w:val="none"/>
        </w:rPr>
        <w:t>在监理合同已签订，监理人员进场并正常开展监理业务</w:t>
      </w:r>
      <w:r>
        <w:rPr>
          <w:rFonts w:hint="eastAsia" w:hAnsi="宋体"/>
          <w:color w:val="auto"/>
          <w:kern w:val="2"/>
          <w:szCs w:val="21"/>
          <w:highlight w:val="none"/>
          <w:lang w:val="en-US" w:eastAsia="zh-CN"/>
        </w:rPr>
        <w:t>且</w:t>
      </w:r>
      <w:r>
        <w:rPr>
          <w:rFonts w:hint="eastAsia" w:ascii="宋体" w:hAnsi="宋体" w:eastAsia="宋体" w:cs="Times New Roman"/>
          <w:color w:val="auto"/>
          <w:sz w:val="21"/>
          <w:szCs w:val="21"/>
          <w:highlight w:val="none"/>
        </w:rPr>
        <w:t>达到合同约定的付款条件</w:t>
      </w:r>
      <w:r>
        <w:rPr>
          <w:rFonts w:hAnsi="宋体"/>
          <w:color w:val="auto"/>
          <w:kern w:val="2"/>
          <w:szCs w:val="21"/>
          <w:highlight w:val="none"/>
        </w:rPr>
        <w:t>后，</w:t>
      </w:r>
      <w:r>
        <w:rPr>
          <w:rFonts w:hint="eastAsia" w:hAnsi="宋体"/>
          <w:color w:val="auto"/>
          <w:kern w:val="2"/>
          <w:szCs w:val="21"/>
          <w:highlight w:val="none"/>
          <w:lang w:eastAsia="zh-CN"/>
        </w:rPr>
        <w:t>监理人</w:t>
      </w:r>
      <w:r>
        <w:rPr>
          <w:rFonts w:hint="default" w:ascii="Calibri" w:hAnsi="宋体"/>
          <w:bCs w:val="0"/>
          <w:color w:val="auto"/>
          <w:sz w:val="21"/>
          <w:szCs w:val="21"/>
          <w:highlight w:val="none"/>
        </w:rPr>
        <w:t>按照</w:t>
      </w:r>
      <w:r>
        <w:rPr>
          <w:rFonts w:hint="default" w:ascii="Calibri" w:hAnsi="宋体"/>
          <w:bCs w:val="0"/>
          <w:color w:val="auto"/>
          <w:sz w:val="21"/>
          <w:szCs w:val="21"/>
          <w:highlight w:val="none"/>
          <w:lang w:eastAsia="zh-CN"/>
        </w:rPr>
        <w:t>委托人</w:t>
      </w:r>
      <w:r>
        <w:rPr>
          <w:rFonts w:hint="default" w:ascii="Calibri" w:hAnsi="宋体"/>
          <w:bCs w:val="0"/>
          <w:color w:val="auto"/>
          <w:sz w:val="21"/>
          <w:szCs w:val="21"/>
          <w:highlight w:val="none"/>
        </w:rPr>
        <w:t>确定监理服务费支付申请的格式，</w:t>
      </w:r>
      <w:r>
        <w:rPr>
          <w:rFonts w:hAnsi="宋体"/>
          <w:color w:val="auto"/>
          <w:kern w:val="2"/>
          <w:szCs w:val="21"/>
          <w:highlight w:val="none"/>
        </w:rPr>
        <w:t>向</w:t>
      </w:r>
      <w:r>
        <w:rPr>
          <w:rFonts w:hint="eastAsia" w:hAnsi="宋体"/>
          <w:color w:val="auto"/>
          <w:kern w:val="2"/>
          <w:szCs w:val="21"/>
          <w:highlight w:val="none"/>
          <w:lang w:eastAsia="zh-CN"/>
        </w:rPr>
        <w:t>委托人提交</w:t>
      </w:r>
      <w:r>
        <w:rPr>
          <w:rFonts w:hint="eastAsia" w:hAnsi="宋体"/>
          <w:color w:val="auto"/>
          <w:kern w:val="2"/>
          <w:szCs w:val="21"/>
          <w:highlight w:val="none"/>
          <w:lang w:val="en-US" w:eastAsia="zh-CN"/>
        </w:rPr>
        <w:t>书面请款报告</w:t>
      </w:r>
      <w:r>
        <w:rPr>
          <w:rFonts w:hint="eastAsia" w:ascii="宋体" w:hAnsi="宋体" w:eastAsia="宋体" w:cs="Times New Roman"/>
          <w:color w:val="auto"/>
          <w:sz w:val="21"/>
          <w:szCs w:val="21"/>
          <w:highlight w:val="none"/>
        </w:rPr>
        <w:t>并提供足额增值税专用发票，否则甲方有权顺延付款时间直至乙方足额开具</w:t>
      </w:r>
      <w:r>
        <w:rPr>
          <w:rFonts w:hint="eastAsia" w:ascii="宋体" w:hAnsi="宋体" w:eastAsia="宋体" w:cs="Times New Roman"/>
          <w:color w:val="auto"/>
          <w:sz w:val="21"/>
          <w:szCs w:val="21"/>
          <w:highlight w:val="none"/>
          <w:lang w:val="en-US" w:eastAsia="zh-CN"/>
        </w:rPr>
        <w:t>合格</w:t>
      </w:r>
      <w:r>
        <w:rPr>
          <w:rFonts w:hint="eastAsia" w:ascii="宋体" w:hAnsi="宋体" w:eastAsia="宋体" w:cs="Times New Roman"/>
          <w:color w:val="auto"/>
          <w:sz w:val="21"/>
          <w:szCs w:val="21"/>
          <w:highlight w:val="none"/>
        </w:rPr>
        <w:t>发票之日止，且甲方无需承担迟延付款的违约责任</w:t>
      </w:r>
      <w:r>
        <w:rPr>
          <w:rFonts w:hint="eastAsia" w:ascii="宋体" w:hAnsi="宋体" w:cs="Times New Roman"/>
          <w:color w:val="auto"/>
          <w:sz w:val="21"/>
          <w:szCs w:val="21"/>
          <w:highlight w:val="none"/>
          <w:lang w:eastAsia="zh-CN"/>
        </w:rPr>
        <w:t>。</w:t>
      </w:r>
    </w:p>
    <w:p>
      <w:pPr>
        <w:pStyle w:val="20"/>
        <w:numPr>
          <w:ilvl w:val="-1"/>
          <w:numId w:val="0"/>
        </w:numPr>
        <w:snapToGrid w:val="0"/>
        <w:spacing w:line="360" w:lineRule="auto"/>
        <w:ind w:firstLine="0" w:firstLineChars="0"/>
        <w:rPr>
          <w:rFonts w:hAnsi="宋体"/>
          <w:color w:val="auto"/>
          <w:kern w:val="2"/>
          <w:szCs w:val="21"/>
          <w:highlight w:val="none"/>
        </w:rPr>
      </w:pPr>
    </w:p>
    <w:p>
      <w:pPr>
        <w:pStyle w:val="20"/>
        <w:snapToGrid w:val="0"/>
        <w:spacing w:line="360" w:lineRule="auto"/>
        <w:ind w:firstLine="420" w:firstLineChars="200"/>
        <w:rPr>
          <w:rFonts w:hAnsi="宋体"/>
          <w:color w:val="auto"/>
          <w:szCs w:val="21"/>
          <w:highlight w:val="none"/>
        </w:rPr>
      </w:pPr>
      <w:r>
        <w:rPr>
          <w:color w:val="auto"/>
          <w:szCs w:val="21"/>
          <w:highlight w:val="none"/>
        </w:rPr>
        <w:t>5.</w:t>
      </w:r>
      <w:r>
        <w:rPr>
          <w:rFonts w:hint="eastAsia"/>
          <w:color w:val="auto"/>
          <w:szCs w:val="21"/>
          <w:highlight w:val="none"/>
        </w:rPr>
        <w:t>2</w:t>
      </w:r>
      <w:r>
        <w:rPr>
          <w:color w:val="auto"/>
          <w:szCs w:val="21"/>
          <w:highlight w:val="none"/>
        </w:rPr>
        <w:t>.3</w:t>
      </w:r>
      <w:r>
        <w:rPr>
          <w:rFonts w:hint="eastAsia"/>
          <w:color w:val="auto"/>
          <w:szCs w:val="21"/>
          <w:highlight w:val="none"/>
        </w:rPr>
        <w:t xml:space="preserve"> </w:t>
      </w:r>
      <w:r>
        <w:rPr>
          <w:rFonts w:hAnsi="宋体"/>
          <w:color w:val="auto"/>
          <w:szCs w:val="21"/>
          <w:highlight w:val="none"/>
        </w:rPr>
        <w:t>延期费用的支付：</w:t>
      </w:r>
      <w:r>
        <w:rPr>
          <w:rFonts w:hint="eastAsia"/>
          <w:color w:val="auto"/>
          <w:szCs w:val="21"/>
          <w:highlight w:val="none"/>
          <w:u w:val="single"/>
        </w:rPr>
        <w:t xml:space="preserve">      /      </w:t>
      </w:r>
    </w:p>
    <w:p>
      <w:pPr>
        <w:pStyle w:val="20"/>
        <w:snapToGrid w:val="0"/>
        <w:spacing w:line="360" w:lineRule="auto"/>
        <w:ind w:firstLine="420" w:firstLineChars="200"/>
        <w:rPr>
          <w:rFonts w:hint="default" w:hAnsi="宋体" w:eastAsia="宋体"/>
          <w:color w:val="auto"/>
          <w:szCs w:val="21"/>
          <w:highlight w:val="none"/>
          <w:lang w:val="en-US" w:eastAsia="zh-CN"/>
        </w:rPr>
      </w:pPr>
      <w:r>
        <w:rPr>
          <w:rFonts w:hint="eastAsia" w:hAnsi="宋体"/>
          <w:color w:val="auto"/>
          <w:szCs w:val="21"/>
          <w:highlight w:val="none"/>
        </w:rPr>
        <w:t>5.2.4 其它阶段监理</w:t>
      </w:r>
      <w:r>
        <w:rPr>
          <w:rFonts w:hint="eastAsia" w:hAnsi="宋体"/>
          <w:color w:val="auto"/>
          <w:szCs w:val="21"/>
          <w:highlight w:val="none"/>
          <w:lang w:val="en-US" w:eastAsia="zh-CN"/>
        </w:rPr>
        <w:t>服务费</w:t>
      </w:r>
      <w:r>
        <w:rPr>
          <w:rFonts w:hint="eastAsia" w:hAnsi="宋体"/>
          <w:color w:val="auto"/>
          <w:szCs w:val="21"/>
          <w:highlight w:val="none"/>
        </w:rPr>
        <w:t>支付</w:t>
      </w:r>
      <w:r>
        <w:rPr>
          <w:rFonts w:hint="eastAsia" w:hAnsi="宋体"/>
          <w:color w:val="auto"/>
          <w:szCs w:val="21"/>
          <w:highlight w:val="none"/>
          <w:lang w:eastAsia="zh-CN"/>
        </w:rPr>
        <w:t>：</w:t>
      </w:r>
      <w:r>
        <w:rPr>
          <w:rFonts w:hint="eastAsia" w:hAnsi="宋体"/>
          <w:color w:val="auto"/>
          <w:szCs w:val="21"/>
          <w:highlight w:val="none"/>
          <w:lang w:val="en-US" w:eastAsia="zh-CN"/>
        </w:rPr>
        <w:t>无</w:t>
      </w:r>
    </w:p>
    <w:p>
      <w:pPr>
        <w:pStyle w:val="19"/>
        <w:snapToGrid w:val="0"/>
        <w:spacing w:before="157" w:beforeLines="50" w:line="360" w:lineRule="auto"/>
        <w:rPr>
          <w:rFonts w:ascii="Cambria" w:hAnsi="Cambria"/>
          <w:b/>
          <w:bCs/>
          <w:color w:val="auto"/>
          <w:sz w:val="28"/>
          <w:szCs w:val="28"/>
          <w:highlight w:val="none"/>
        </w:rPr>
      </w:pPr>
      <w:r>
        <w:rPr>
          <w:rFonts w:ascii="Cambria" w:hAnsi="Cambria"/>
          <w:b/>
          <w:bCs/>
          <w:color w:val="auto"/>
          <w:sz w:val="28"/>
          <w:szCs w:val="28"/>
          <w:highlight w:val="none"/>
        </w:rPr>
        <w:t>6.</w:t>
      </w:r>
      <w:r>
        <w:rPr>
          <w:rFonts w:hint="eastAsia" w:ascii="Cambria" w:hAnsi="Cambria"/>
          <w:b/>
          <w:bCs/>
          <w:color w:val="auto"/>
          <w:sz w:val="28"/>
          <w:szCs w:val="28"/>
          <w:highlight w:val="none"/>
        </w:rPr>
        <w:t xml:space="preserve"> </w:t>
      </w:r>
      <w:r>
        <w:rPr>
          <w:rFonts w:ascii="Cambria" w:hAnsi="Cambria"/>
          <w:b/>
          <w:bCs/>
          <w:color w:val="auto"/>
          <w:sz w:val="28"/>
          <w:szCs w:val="28"/>
          <w:highlight w:val="none"/>
        </w:rPr>
        <w:t>合同生效、变更、暂停、解除与终止</w:t>
      </w:r>
      <w:bookmarkEnd w:id="326"/>
      <w:bookmarkEnd w:id="327"/>
      <w:bookmarkEnd w:id="328"/>
    </w:p>
    <w:p>
      <w:pPr>
        <w:pStyle w:val="20"/>
        <w:adjustRightInd w:val="0"/>
        <w:snapToGrid w:val="0"/>
        <w:spacing w:line="360" w:lineRule="auto"/>
        <w:rPr>
          <w:color w:val="auto"/>
          <w:szCs w:val="21"/>
          <w:highlight w:val="none"/>
        </w:rPr>
      </w:pPr>
      <w:r>
        <w:rPr>
          <w:color w:val="auto"/>
          <w:szCs w:val="21"/>
          <w:highlight w:val="none"/>
        </w:rPr>
        <w:t xml:space="preserve">6.1 </w:t>
      </w:r>
      <w:r>
        <w:rPr>
          <w:rFonts w:hAnsi="宋体"/>
          <w:color w:val="auto"/>
          <w:szCs w:val="21"/>
          <w:highlight w:val="none"/>
        </w:rPr>
        <w:t>生效</w:t>
      </w:r>
    </w:p>
    <w:p>
      <w:pPr>
        <w:pStyle w:val="20"/>
        <w:adjustRightInd w:val="0"/>
        <w:snapToGrid w:val="0"/>
        <w:spacing w:line="360" w:lineRule="auto"/>
        <w:ind w:firstLine="480"/>
        <w:rPr>
          <w:color w:val="auto"/>
          <w:szCs w:val="21"/>
          <w:highlight w:val="none"/>
        </w:rPr>
      </w:pPr>
      <w:r>
        <w:rPr>
          <w:rFonts w:hAnsi="宋体"/>
          <w:color w:val="auto"/>
          <w:szCs w:val="21"/>
          <w:highlight w:val="none"/>
        </w:rPr>
        <w:t>本合同生效条件：</w:t>
      </w:r>
      <w:r>
        <w:rPr>
          <w:rFonts w:hint="eastAsia" w:hAnsi="宋体"/>
          <w:color w:val="auto"/>
          <w:szCs w:val="21"/>
          <w:highlight w:val="none"/>
          <w:u w:val="single"/>
        </w:rPr>
        <w:t xml:space="preserve"> </w:t>
      </w:r>
      <w:r>
        <w:rPr>
          <w:rFonts w:hint="eastAsia" w:ascii="宋体" w:hAnsi="宋体"/>
          <w:color w:val="auto"/>
          <w:szCs w:val="21"/>
          <w:highlight w:val="none"/>
          <w:u w:val="single"/>
        </w:rPr>
        <w:t>双方签订本合同</w:t>
      </w:r>
      <w:r>
        <w:rPr>
          <w:color w:val="auto"/>
          <w:szCs w:val="21"/>
          <w:highlight w:val="none"/>
          <w:u w:val="single"/>
        </w:rPr>
        <w:t xml:space="preserve"> </w:t>
      </w:r>
      <w:r>
        <w:rPr>
          <w:rFonts w:hAnsi="宋体"/>
          <w:color w:val="auto"/>
          <w:szCs w:val="21"/>
          <w:highlight w:val="none"/>
        </w:rPr>
        <w:t>。</w:t>
      </w:r>
    </w:p>
    <w:p>
      <w:pPr>
        <w:pStyle w:val="20"/>
        <w:adjustRightInd w:val="0"/>
        <w:snapToGrid w:val="0"/>
        <w:spacing w:line="360" w:lineRule="auto"/>
        <w:rPr>
          <w:color w:val="auto"/>
          <w:szCs w:val="21"/>
          <w:highlight w:val="none"/>
        </w:rPr>
      </w:pPr>
      <w:r>
        <w:rPr>
          <w:color w:val="auto"/>
          <w:szCs w:val="21"/>
          <w:highlight w:val="none"/>
        </w:rPr>
        <w:t xml:space="preserve">6.2 </w:t>
      </w:r>
      <w:r>
        <w:rPr>
          <w:rFonts w:hAnsi="宋体"/>
          <w:color w:val="auto"/>
          <w:szCs w:val="21"/>
          <w:highlight w:val="none"/>
        </w:rPr>
        <w:t>变更</w:t>
      </w:r>
    </w:p>
    <w:p>
      <w:pPr>
        <w:pStyle w:val="20"/>
        <w:snapToGrid w:val="0"/>
        <w:spacing w:line="360" w:lineRule="auto"/>
        <w:ind w:firstLine="420" w:firstLineChars="200"/>
        <w:rPr>
          <w:color w:val="auto"/>
          <w:szCs w:val="21"/>
          <w:highlight w:val="none"/>
          <w:u w:val="single"/>
        </w:rPr>
      </w:pPr>
      <w:r>
        <w:rPr>
          <w:rFonts w:ascii="Times New Roman" w:hAnsi="Times New Roman"/>
          <w:color w:val="auto"/>
          <w:szCs w:val="21"/>
          <w:highlight w:val="none"/>
        </w:rPr>
        <w:t>6.2.</w:t>
      </w:r>
      <w:r>
        <w:rPr>
          <w:rFonts w:hint="default" w:ascii="Times New Roman" w:hAnsi="Times New Roman"/>
          <w:color w:val="auto"/>
          <w:szCs w:val="21"/>
          <w:highlight w:val="none"/>
        </w:rPr>
        <w:t xml:space="preserve">2 </w:t>
      </w:r>
      <w:r>
        <w:rPr>
          <w:rFonts w:hAnsi="宋体"/>
          <w:color w:val="auto"/>
          <w:szCs w:val="21"/>
          <w:highlight w:val="none"/>
        </w:rPr>
        <w:t>附加工作</w:t>
      </w:r>
      <w:r>
        <w:rPr>
          <w:rFonts w:hint="eastAsia" w:hAnsi="宋体"/>
          <w:color w:val="auto"/>
          <w:szCs w:val="21"/>
          <w:highlight w:val="none"/>
          <w:lang w:val="en-US" w:eastAsia="zh-CN"/>
        </w:rPr>
        <w:t>服务费</w:t>
      </w:r>
      <w:r>
        <w:rPr>
          <w:rFonts w:hAnsi="宋体"/>
          <w:color w:val="auto"/>
          <w:szCs w:val="21"/>
          <w:highlight w:val="none"/>
        </w:rPr>
        <w:t>按下列方法确定：</w:t>
      </w:r>
      <w:r>
        <w:rPr>
          <w:rFonts w:hint="eastAsia" w:hAnsi="宋体"/>
          <w:color w:val="auto"/>
          <w:szCs w:val="21"/>
          <w:highlight w:val="none"/>
          <w:u w:val="single"/>
        </w:rPr>
        <w:t xml:space="preserve"> /  </w:t>
      </w:r>
    </w:p>
    <w:p>
      <w:pPr>
        <w:pStyle w:val="20"/>
        <w:adjustRightInd w:val="0"/>
        <w:snapToGrid w:val="0"/>
        <w:spacing w:line="360" w:lineRule="auto"/>
        <w:ind w:firstLine="420" w:firstLineChars="200"/>
        <w:rPr>
          <w:rFonts w:ascii="Times New Roman" w:hAnsi="Times New Roman"/>
          <w:color w:val="auto"/>
          <w:szCs w:val="21"/>
          <w:highlight w:val="none"/>
          <w:u w:val="single"/>
        </w:rPr>
      </w:pPr>
      <w:r>
        <w:rPr>
          <w:rFonts w:ascii="Times New Roman" w:hAnsi="Times New Roman"/>
          <w:color w:val="auto"/>
          <w:szCs w:val="21"/>
          <w:highlight w:val="none"/>
        </w:rPr>
        <w:t>6.2.</w:t>
      </w:r>
      <w:r>
        <w:rPr>
          <w:rFonts w:hint="default" w:ascii="Times New Roman" w:hAnsi="Times New Roman"/>
          <w:color w:val="auto"/>
          <w:szCs w:val="21"/>
          <w:highlight w:val="none"/>
        </w:rPr>
        <w:t>3</w:t>
      </w:r>
      <w:r>
        <w:rPr>
          <w:rFonts w:ascii="Times New Roman" w:hAnsi="Times New Roman"/>
          <w:color w:val="auto"/>
          <w:szCs w:val="21"/>
          <w:highlight w:val="none"/>
        </w:rPr>
        <w:t xml:space="preserve"> 正常工作</w:t>
      </w:r>
      <w:r>
        <w:rPr>
          <w:rFonts w:hint="eastAsia" w:ascii="Times New Roman" w:hAnsi="Times New Roman"/>
          <w:color w:val="auto"/>
          <w:szCs w:val="21"/>
          <w:highlight w:val="none"/>
          <w:lang w:val="en-US" w:eastAsia="zh-CN"/>
        </w:rPr>
        <w:t>服务费</w:t>
      </w:r>
      <w:r>
        <w:rPr>
          <w:rFonts w:ascii="Times New Roman" w:hAnsi="Times New Roman"/>
          <w:color w:val="auto"/>
          <w:szCs w:val="21"/>
          <w:highlight w:val="none"/>
        </w:rPr>
        <w:t>增加额按下列方法确定：</w:t>
      </w:r>
      <w:r>
        <w:rPr>
          <w:rFonts w:hint="default" w:ascii="Times New Roman" w:hAnsi="Times New Roman"/>
          <w:color w:val="auto"/>
          <w:szCs w:val="21"/>
          <w:highlight w:val="none"/>
          <w:u w:val="single"/>
        </w:rPr>
        <w:t xml:space="preserve"> / </w:t>
      </w:r>
    </w:p>
    <w:p>
      <w:pPr>
        <w:pStyle w:val="19"/>
        <w:snapToGrid w:val="0"/>
        <w:spacing w:line="400" w:lineRule="exact"/>
        <w:ind w:firstLine="420" w:firstLineChars="200"/>
        <w:rPr>
          <w:rFonts w:ascii="宋体" w:hAnsi="宋体" w:cs="宋体"/>
          <w:color w:val="auto"/>
          <w:szCs w:val="21"/>
          <w:highlight w:val="none"/>
        </w:rPr>
      </w:pPr>
      <w:r>
        <w:rPr>
          <w:rFonts w:hint="default" w:ascii="Times New Roman" w:hAnsi="Times New Roman" w:cs="Times New Roman"/>
          <w:color w:val="auto"/>
          <w:szCs w:val="21"/>
          <w:highlight w:val="none"/>
        </w:rPr>
        <w:t>6.2.4 因工程规模、监理范围的变化导致监理人的正常工作量减少时，按减少工作量的比例从协议书约定的正常工作</w:t>
      </w:r>
      <w:r>
        <w:rPr>
          <w:rFonts w:hint="eastAsia" w:ascii="Times New Roman" w:hAnsi="Times New Roman" w:cs="Times New Roman"/>
          <w:color w:val="auto"/>
          <w:szCs w:val="21"/>
          <w:highlight w:val="none"/>
          <w:lang w:val="en-US" w:eastAsia="zh-CN"/>
        </w:rPr>
        <w:t>服务费</w:t>
      </w:r>
      <w:r>
        <w:rPr>
          <w:rFonts w:hint="default" w:ascii="Times New Roman" w:hAnsi="Times New Roman" w:cs="Times New Roman"/>
          <w:color w:val="auto"/>
          <w:szCs w:val="21"/>
          <w:highlight w:val="none"/>
        </w:rPr>
        <w:t>中扣减相同比例的</w:t>
      </w:r>
      <w:r>
        <w:rPr>
          <w:rFonts w:hint="eastAsia" w:ascii="Times New Roman" w:hAnsi="Times New Roman" w:cs="Times New Roman"/>
          <w:color w:val="auto"/>
          <w:szCs w:val="21"/>
          <w:highlight w:val="none"/>
          <w:lang w:val="en-US" w:eastAsia="zh-CN"/>
        </w:rPr>
        <w:t>服务费</w:t>
      </w:r>
      <w:r>
        <w:rPr>
          <w:rFonts w:hint="default" w:ascii="Times New Roman" w:hAnsi="Times New Roman" w:cs="Times New Roman"/>
          <w:color w:val="auto"/>
          <w:szCs w:val="21"/>
          <w:highlight w:val="none"/>
        </w:rPr>
        <w:t>。</w:t>
      </w:r>
    </w:p>
    <w:p>
      <w:pPr>
        <w:pStyle w:val="19"/>
        <w:snapToGrid w:val="0"/>
        <w:spacing w:before="157" w:beforeLines="50" w:line="360" w:lineRule="auto"/>
        <w:rPr>
          <w:rFonts w:hint="eastAsia" w:ascii="Cambria" w:hAnsi="Cambria"/>
          <w:b/>
          <w:bCs/>
          <w:color w:val="auto"/>
          <w:sz w:val="28"/>
          <w:szCs w:val="28"/>
          <w:highlight w:val="none"/>
        </w:rPr>
      </w:pPr>
      <w:bookmarkStart w:id="329" w:name="_Toc12121"/>
      <w:bookmarkStart w:id="330" w:name="_Toc6622"/>
      <w:bookmarkStart w:id="331" w:name="_Toc411526690"/>
      <w:bookmarkStart w:id="332" w:name="_Toc22912"/>
      <w:bookmarkStart w:id="333" w:name="_Toc19548034"/>
      <w:bookmarkStart w:id="334" w:name="_Toc18194"/>
      <w:r>
        <w:rPr>
          <w:rFonts w:hint="eastAsia" w:ascii="Cambria" w:hAnsi="Cambria"/>
          <w:b/>
          <w:bCs/>
          <w:color w:val="auto"/>
          <w:sz w:val="28"/>
          <w:szCs w:val="28"/>
          <w:highlight w:val="none"/>
        </w:rPr>
        <w:t>7. 争议解决</w:t>
      </w:r>
      <w:bookmarkEnd w:id="329"/>
      <w:bookmarkEnd w:id="330"/>
      <w:bookmarkEnd w:id="331"/>
      <w:bookmarkEnd w:id="332"/>
      <w:bookmarkEnd w:id="333"/>
      <w:bookmarkEnd w:id="334"/>
    </w:p>
    <w:p>
      <w:pPr>
        <w:pStyle w:val="19"/>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7.1 </w:t>
      </w:r>
      <w:r>
        <w:rPr>
          <w:rFonts w:hint="eastAsia" w:ascii="宋体" w:hAnsi="宋体" w:cs="宋体"/>
          <w:bCs/>
          <w:color w:val="auto"/>
          <w:szCs w:val="21"/>
          <w:highlight w:val="none"/>
        </w:rPr>
        <w:t>调解</w:t>
      </w:r>
    </w:p>
    <w:p>
      <w:pPr>
        <w:pStyle w:val="19"/>
        <w:snapToGrid w:val="0"/>
        <w:spacing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本合同争议进行调解时，可提交</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进行调解。</w:t>
      </w:r>
    </w:p>
    <w:p>
      <w:pPr>
        <w:pStyle w:val="19"/>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7.2 </w:t>
      </w:r>
      <w:r>
        <w:rPr>
          <w:rFonts w:hint="eastAsia" w:ascii="宋体" w:hAnsi="宋体" w:cs="宋体"/>
          <w:bCs/>
          <w:color w:val="auto"/>
          <w:szCs w:val="21"/>
          <w:highlight w:val="none"/>
        </w:rPr>
        <w:t>仲裁或诉讼</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合同争议的最终解决方式为下列第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w:t>
      </w:r>
    </w:p>
    <w:p>
      <w:pPr>
        <w:pStyle w:val="19"/>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（1）提请</w:t>
      </w:r>
      <w:r>
        <w:rPr>
          <w:rFonts w:hint="eastAsia" w:ascii="宋体" w:hAnsi="宋体" w:cs="宋体"/>
          <w:color w:val="auto"/>
          <w:szCs w:val="21"/>
          <w:highlight w:val="none"/>
          <w:u w:val="single"/>
        </w:rPr>
        <w:t xml:space="preserve"> 南宁市 </w:t>
      </w:r>
      <w:r>
        <w:rPr>
          <w:rFonts w:hint="eastAsia" w:ascii="宋体" w:hAnsi="宋体" w:cs="宋体"/>
          <w:color w:val="auto"/>
          <w:szCs w:val="21"/>
          <w:highlight w:val="none"/>
        </w:rPr>
        <w:t>仲裁委员会进行仲裁。</w:t>
      </w:r>
    </w:p>
    <w:p>
      <w:pPr>
        <w:pStyle w:val="19"/>
        <w:adjustRightInd w:val="0"/>
        <w:snapToGrid w:val="0"/>
        <w:spacing w:line="400" w:lineRule="exact"/>
        <w:ind w:firstLine="420" w:firstLineChars="200"/>
        <w:rPr>
          <w:color w:val="auto"/>
          <w:szCs w:val="21"/>
          <w:highlight w:val="none"/>
        </w:rPr>
      </w:pPr>
      <w:r>
        <w:rPr>
          <w:rFonts w:hAnsi="宋体"/>
          <w:color w:val="auto"/>
          <w:szCs w:val="21"/>
          <w:highlight w:val="none"/>
        </w:rPr>
        <w:t>（</w:t>
      </w:r>
      <w:r>
        <w:rPr>
          <w:color w:val="auto"/>
          <w:szCs w:val="21"/>
          <w:highlight w:val="none"/>
        </w:rPr>
        <w:t>2</w:t>
      </w:r>
      <w:r>
        <w:rPr>
          <w:rFonts w:hAnsi="宋体"/>
          <w:color w:val="auto"/>
          <w:szCs w:val="21"/>
          <w:highlight w:val="none"/>
        </w:rPr>
        <w:t>）向</w:t>
      </w:r>
      <w:r>
        <w:rPr>
          <w:rFonts w:hint="eastAsia"/>
          <w:color w:val="auto"/>
          <w:szCs w:val="21"/>
          <w:highlight w:val="none"/>
          <w:u w:val="single"/>
        </w:rPr>
        <w:t>委托人营业执照登记的住所地有管辖权的</w:t>
      </w:r>
      <w:r>
        <w:rPr>
          <w:color w:val="auto"/>
          <w:szCs w:val="21"/>
          <w:highlight w:val="none"/>
          <w:u w:val="single"/>
        </w:rPr>
        <w:t xml:space="preserve">  </w:t>
      </w:r>
      <w:r>
        <w:rPr>
          <w:rFonts w:hAnsi="宋体"/>
          <w:color w:val="auto"/>
          <w:szCs w:val="21"/>
          <w:highlight w:val="none"/>
        </w:rPr>
        <w:t>人民法院提起诉讼。</w:t>
      </w:r>
    </w:p>
    <w:p>
      <w:pPr>
        <w:pStyle w:val="19"/>
        <w:snapToGrid w:val="0"/>
        <w:spacing w:before="157" w:beforeLines="50" w:line="360" w:lineRule="auto"/>
        <w:ind w:firstLine="0" w:firstLineChars="0"/>
        <w:rPr>
          <w:color w:val="auto"/>
          <w:szCs w:val="21"/>
          <w:highlight w:val="none"/>
        </w:rPr>
      </w:pPr>
      <w:bookmarkStart w:id="335" w:name="_Toc19548035"/>
      <w:bookmarkStart w:id="336" w:name="_Toc23115"/>
      <w:bookmarkStart w:id="337" w:name="_Toc25588"/>
      <w:bookmarkStart w:id="338" w:name="_Toc1054"/>
      <w:bookmarkStart w:id="339" w:name="_Toc411526691"/>
      <w:bookmarkStart w:id="340" w:name="_Toc17897"/>
      <w:r>
        <w:rPr>
          <w:rFonts w:hint="eastAsia" w:ascii="Cambria" w:hAnsi="Cambria"/>
          <w:b/>
          <w:bCs/>
          <w:color w:val="auto"/>
          <w:sz w:val="28"/>
          <w:szCs w:val="28"/>
          <w:highlight w:val="none"/>
        </w:rPr>
        <w:t>8. 其他</w:t>
      </w:r>
      <w:bookmarkEnd w:id="335"/>
      <w:bookmarkEnd w:id="336"/>
      <w:bookmarkEnd w:id="337"/>
      <w:bookmarkEnd w:id="338"/>
      <w:bookmarkEnd w:id="339"/>
      <w:bookmarkEnd w:id="340"/>
    </w:p>
    <w:p>
      <w:pPr>
        <w:pStyle w:val="19"/>
        <w:adjustRightInd w:val="0"/>
        <w:snapToGrid w:val="0"/>
        <w:spacing w:line="360" w:lineRule="auto"/>
        <w:rPr>
          <w:color w:val="auto"/>
          <w:szCs w:val="21"/>
          <w:highlight w:val="none"/>
        </w:rPr>
      </w:pPr>
      <w:r>
        <w:rPr>
          <w:color w:val="auto"/>
          <w:szCs w:val="21"/>
          <w:highlight w:val="none"/>
        </w:rPr>
        <w:t>8.</w:t>
      </w:r>
      <w:r>
        <w:rPr>
          <w:rFonts w:hint="eastAsia"/>
          <w:color w:val="auto"/>
          <w:szCs w:val="21"/>
          <w:highlight w:val="none"/>
          <w:lang w:val="en-US" w:eastAsia="zh-CN"/>
        </w:rPr>
        <w:t>1</w:t>
      </w:r>
      <w:r>
        <w:rPr>
          <w:color w:val="auto"/>
          <w:szCs w:val="21"/>
          <w:highlight w:val="none"/>
        </w:rPr>
        <w:t xml:space="preserve"> </w:t>
      </w:r>
      <w:r>
        <w:rPr>
          <w:rFonts w:hint="eastAsia" w:hAnsi="宋体"/>
          <w:color w:val="auto"/>
          <w:szCs w:val="21"/>
          <w:highlight w:val="none"/>
        </w:rPr>
        <w:t>保密</w:t>
      </w:r>
    </w:p>
    <w:p>
      <w:pPr>
        <w:pStyle w:val="19"/>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委托人申明的保密事项和期限：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19"/>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监理人申明的保密事项和期限：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19"/>
        <w:adjustRightInd w:val="0"/>
        <w:snapToGrid w:val="0"/>
        <w:spacing w:line="360" w:lineRule="auto"/>
        <w:ind w:firstLine="420" w:firstLineChars="200"/>
        <w:rPr>
          <w:color w:val="auto"/>
          <w:szCs w:val="21"/>
          <w:highlight w:val="none"/>
          <w:u w:val="single"/>
        </w:rPr>
      </w:pPr>
      <w:r>
        <w:rPr>
          <w:rFonts w:hint="eastAsia" w:hAnsi="宋体"/>
          <w:color w:val="auto"/>
          <w:szCs w:val="21"/>
          <w:highlight w:val="none"/>
        </w:rPr>
        <w:t>第三方申明的保密事项和期限：</w:t>
      </w:r>
      <w:r>
        <w:rPr>
          <w:rFonts w:hint="eastAsia"/>
          <w:color w:val="auto"/>
          <w:szCs w:val="21"/>
          <w:highlight w:val="none"/>
          <w:u w:val="single"/>
        </w:rPr>
        <w:t>与工程项目有关的所有资料，保密期限：永久</w:t>
      </w:r>
      <w:r>
        <w:rPr>
          <w:color w:val="auto"/>
          <w:szCs w:val="21"/>
          <w:highlight w:val="none"/>
          <w:u w:val="single"/>
        </w:rPr>
        <w:t xml:space="preserve">  </w:t>
      </w:r>
      <w:r>
        <w:rPr>
          <w:rFonts w:hint="eastAsia" w:hAnsi="宋体"/>
          <w:color w:val="auto"/>
          <w:szCs w:val="21"/>
          <w:highlight w:val="none"/>
        </w:rPr>
        <w:t>。</w:t>
      </w:r>
    </w:p>
    <w:p>
      <w:pPr>
        <w:pStyle w:val="19"/>
        <w:snapToGrid w:val="0"/>
        <w:spacing w:line="360" w:lineRule="auto"/>
        <w:rPr>
          <w:bCs/>
          <w:color w:val="auto"/>
          <w:szCs w:val="21"/>
          <w:highlight w:val="none"/>
        </w:rPr>
      </w:pPr>
      <w:r>
        <w:rPr>
          <w:color w:val="auto"/>
          <w:szCs w:val="21"/>
          <w:highlight w:val="none"/>
        </w:rPr>
        <w:t>8.</w:t>
      </w:r>
      <w:r>
        <w:rPr>
          <w:rFonts w:hint="eastAsia"/>
          <w:color w:val="auto"/>
          <w:szCs w:val="21"/>
          <w:highlight w:val="none"/>
          <w:lang w:val="en-US" w:eastAsia="zh-CN"/>
        </w:rPr>
        <w:t>2</w:t>
      </w:r>
      <w:r>
        <w:rPr>
          <w:rFonts w:hint="eastAsia" w:hAnsi="宋体"/>
          <w:bCs/>
          <w:color w:val="auto"/>
          <w:szCs w:val="21"/>
          <w:highlight w:val="none"/>
        </w:rPr>
        <w:t>著作权</w:t>
      </w:r>
    </w:p>
    <w:p>
      <w:pPr>
        <w:pStyle w:val="19"/>
        <w:snapToGrid w:val="0"/>
        <w:spacing w:line="360" w:lineRule="auto"/>
        <w:ind w:firstLine="420" w:firstLineChars="200"/>
        <w:rPr>
          <w:rFonts w:hint="eastAsia" w:hAnsi="宋体" w:eastAsia="宋体"/>
          <w:color w:val="auto"/>
          <w:szCs w:val="21"/>
          <w:highlight w:val="none"/>
          <w:lang w:eastAsia="zh-CN"/>
        </w:rPr>
      </w:pPr>
      <w:r>
        <w:rPr>
          <w:rFonts w:hint="eastAsia" w:hAnsi="宋体"/>
          <w:color w:val="auto"/>
          <w:szCs w:val="21"/>
          <w:highlight w:val="none"/>
        </w:rPr>
        <w:t>监理人在本合同履行期间及本合同终止后两年内出版涉及本工程的有关监理与相关服务的资料的限制条件：</w:t>
      </w:r>
      <w:r>
        <w:rPr>
          <w:rFonts w:hint="eastAsia" w:hAnsi="宋体"/>
          <w:color w:val="auto"/>
          <w:szCs w:val="21"/>
          <w:highlight w:val="none"/>
          <w:u w:val="single"/>
        </w:rPr>
        <w:t>应该征得委托人的同意</w:t>
      </w:r>
      <w:r>
        <w:rPr>
          <w:rFonts w:hint="eastAsia" w:hAnsi="宋体"/>
          <w:color w:val="auto"/>
          <w:szCs w:val="21"/>
          <w:highlight w:val="none"/>
          <w:u w:val="single"/>
          <w:lang w:eastAsia="zh-CN"/>
        </w:rPr>
        <w:t>。</w:t>
      </w:r>
    </w:p>
    <w:p>
      <w:pPr>
        <w:pStyle w:val="19"/>
        <w:snapToGrid w:val="0"/>
        <w:spacing w:before="157" w:beforeLines="50" w:line="360" w:lineRule="auto"/>
        <w:rPr>
          <w:rFonts w:hint="eastAsia" w:ascii="Cambria" w:hAnsi="Cambria"/>
          <w:b/>
          <w:bCs/>
          <w:color w:val="auto"/>
          <w:sz w:val="28"/>
          <w:szCs w:val="28"/>
          <w:highlight w:val="none"/>
          <w:u w:val="none"/>
        </w:rPr>
      </w:pPr>
      <w:bookmarkStart w:id="341" w:name="_Toc19548036"/>
      <w:bookmarkStart w:id="342" w:name="_Toc485978062"/>
      <w:bookmarkStart w:id="343" w:name="_Toc500757096"/>
      <w:bookmarkStart w:id="344" w:name="_Toc411526692"/>
      <w:bookmarkStart w:id="345" w:name="_Toc513020287"/>
      <w:bookmarkStart w:id="346" w:name="_Toc515271102"/>
      <w:bookmarkStart w:id="347" w:name="_Toc1928"/>
      <w:bookmarkStart w:id="348" w:name="_Toc466545517"/>
      <w:bookmarkStart w:id="349" w:name="_Toc6798"/>
      <w:bookmarkStart w:id="350" w:name="_Toc469383745"/>
      <w:bookmarkStart w:id="351" w:name="_Toc460321184"/>
      <w:r>
        <w:rPr>
          <w:rFonts w:hint="eastAsia" w:ascii="Cambria" w:hAnsi="Cambria"/>
          <w:b/>
          <w:bCs/>
          <w:color w:val="auto"/>
          <w:sz w:val="28"/>
          <w:szCs w:val="28"/>
          <w:highlight w:val="none"/>
        </w:rPr>
        <w:t>9. 补充条款</w:t>
      </w:r>
      <w:bookmarkEnd w:id="341"/>
      <w:bookmarkEnd w:id="342"/>
      <w:bookmarkEnd w:id="343"/>
      <w:bookmarkEnd w:id="344"/>
      <w:bookmarkEnd w:id="345"/>
      <w:bookmarkEnd w:id="346"/>
      <w:bookmarkEnd w:id="347"/>
      <w:bookmarkEnd w:id="348"/>
      <w:bookmarkEnd w:id="349"/>
      <w:bookmarkEnd w:id="350"/>
      <w:bookmarkEnd w:id="351"/>
    </w:p>
    <w:p>
      <w:pPr>
        <w:pStyle w:val="21"/>
        <w:adjustRightInd/>
        <w:snapToGrid/>
        <w:spacing w:line="360" w:lineRule="auto"/>
        <w:ind w:firstLine="420" w:firstLineChars="200"/>
        <w:rPr>
          <w:rFonts w:ascii="Times New Roman" w:hAnsi="Times New Roman"/>
          <w:color w:val="auto"/>
          <w:szCs w:val="21"/>
          <w:highlight w:val="none"/>
          <w:u w:val="single"/>
        </w:rPr>
      </w:pPr>
      <w:bookmarkStart w:id="352" w:name="_Toc459567824"/>
      <w:bookmarkStart w:id="353" w:name="_Toc473030517"/>
      <w:bookmarkStart w:id="354" w:name="_Toc515271103"/>
      <w:r>
        <w:rPr>
          <w:rFonts w:hint="eastAsia" w:ascii="Times New Roman" w:hAnsi="Times New Roman"/>
          <w:color w:val="auto"/>
          <w:szCs w:val="21"/>
          <w:highlight w:val="none"/>
          <w:u w:val="single"/>
        </w:rPr>
        <w:t>9.1</w:t>
      </w:r>
      <w:r>
        <w:rPr>
          <w:rFonts w:ascii="Times New Roman" w:hAnsi="Times New Roman"/>
          <w:color w:val="auto"/>
          <w:szCs w:val="21"/>
          <w:highlight w:val="none"/>
          <w:u w:val="single"/>
        </w:rPr>
        <w:t>委托人不向项目监理机构提供办公用房、通讯设施、交通工具、监理人员工地住房及测量仪器、检测试验设备、照相、电脑、打字、复印等设备。</w:t>
      </w:r>
    </w:p>
    <w:p>
      <w:pPr>
        <w:pStyle w:val="21"/>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9.2</w:t>
      </w:r>
      <w:r>
        <w:rPr>
          <w:rFonts w:ascii="Times New Roman" w:hAnsi="Times New Roman"/>
          <w:color w:val="auto"/>
          <w:szCs w:val="21"/>
          <w:highlight w:val="none"/>
        </w:rPr>
        <w:t>施工监理服务期由二个阶段组成：</w:t>
      </w:r>
    </w:p>
    <w:p>
      <w:pPr>
        <w:pStyle w:val="21"/>
        <w:spacing w:line="360" w:lineRule="auto"/>
        <w:ind w:firstLine="420" w:firstLineChars="200"/>
        <w:rPr>
          <w:rFonts w:ascii="Times New Roman" w:hAnsi="Times New Roman"/>
          <w:color w:val="auto"/>
          <w:szCs w:val="21"/>
          <w:highlight w:val="none"/>
        </w:rPr>
      </w:pPr>
      <w:r>
        <w:rPr>
          <w:rFonts w:hint="default" w:ascii="Times New Roman" w:hAnsi="Times New Roman"/>
          <w:color w:val="auto"/>
          <w:szCs w:val="21"/>
          <w:highlight w:val="none"/>
        </w:rPr>
        <w:t>9.</w:t>
      </w:r>
      <w:r>
        <w:rPr>
          <w:rFonts w:hint="eastAsia" w:ascii="Times New Roman" w:hAnsi="Times New Roman"/>
          <w:color w:val="auto"/>
          <w:szCs w:val="21"/>
          <w:highlight w:val="none"/>
          <w:lang w:val="en-US" w:eastAsia="zh-CN"/>
        </w:rPr>
        <w:t>2</w:t>
      </w:r>
      <w:r>
        <w:rPr>
          <w:rFonts w:hint="default" w:ascii="Times New Roman" w:hAnsi="Times New Roman"/>
          <w:color w:val="auto"/>
          <w:szCs w:val="21"/>
          <w:highlight w:val="none"/>
        </w:rPr>
        <w:t>.1</w:t>
      </w:r>
      <w:r>
        <w:rPr>
          <w:rFonts w:hint="eastAsia" w:ascii="Times New Roman" w:hAnsi="Times New Roman"/>
          <w:color w:val="auto"/>
          <w:szCs w:val="21"/>
          <w:highlight w:val="none"/>
          <w:lang w:val="en-US" w:eastAsia="zh-CN"/>
        </w:rPr>
        <w:t xml:space="preserve"> </w:t>
      </w:r>
      <w:r>
        <w:rPr>
          <w:rFonts w:ascii="Times New Roman" w:hAnsi="Times New Roman"/>
          <w:color w:val="auto"/>
          <w:szCs w:val="21"/>
          <w:highlight w:val="none"/>
        </w:rPr>
        <w:t>施工阶段服务期：以从签订委托监理合同之日起，至工程完工验收合格之日为施工阶段服务期（包括承包人进场前施工项目期及完工资料整理、工程扫尾工作期）。</w:t>
      </w:r>
    </w:p>
    <w:p>
      <w:pPr>
        <w:pStyle w:val="21"/>
        <w:spacing w:line="360" w:lineRule="auto"/>
        <w:ind w:firstLine="420" w:firstLineChars="200"/>
        <w:rPr>
          <w:rFonts w:ascii="Times New Roman" w:hAnsi="Times New Roman"/>
          <w:color w:val="auto"/>
          <w:szCs w:val="21"/>
          <w:highlight w:val="none"/>
        </w:rPr>
      </w:pPr>
      <w:r>
        <w:rPr>
          <w:rFonts w:hint="default" w:ascii="Times New Roman" w:hAnsi="Times New Roman"/>
          <w:color w:val="auto"/>
          <w:szCs w:val="21"/>
          <w:highlight w:val="none"/>
        </w:rPr>
        <w:t>9.</w:t>
      </w:r>
      <w:r>
        <w:rPr>
          <w:rFonts w:hint="eastAsia" w:ascii="Times New Roman" w:hAnsi="Times New Roman"/>
          <w:color w:val="auto"/>
          <w:szCs w:val="21"/>
          <w:highlight w:val="none"/>
          <w:lang w:val="en-US" w:eastAsia="zh-CN"/>
        </w:rPr>
        <w:t>2</w:t>
      </w:r>
      <w:r>
        <w:rPr>
          <w:rFonts w:hint="default" w:ascii="Times New Roman" w:hAnsi="Times New Roman"/>
          <w:color w:val="auto"/>
          <w:szCs w:val="21"/>
          <w:highlight w:val="none"/>
        </w:rPr>
        <w:t>.</w:t>
      </w:r>
      <w:r>
        <w:rPr>
          <w:rFonts w:hint="eastAsia" w:ascii="Times New Roman" w:hAnsi="Times New Roman"/>
          <w:color w:val="auto"/>
          <w:szCs w:val="21"/>
          <w:highlight w:val="none"/>
          <w:lang w:val="en-US" w:eastAsia="zh-CN"/>
        </w:rPr>
        <w:t xml:space="preserve">2 </w:t>
      </w:r>
      <w:r>
        <w:rPr>
          <w:rFonts w:ascii="Times New Roman" w:hAnsi="Times New Roman"/>
          <w:color w:val="auto"/>
          <w:szCs w:val="21"/>
          <w:highlight w:val="none"/>
        </w:rPr>
        <w:t>保修责任阶段服务期：工程完工验收合格，签发工程移交证书起24个月为保修责任阶段服务期。</w:t>
      </w:r>
    </w:p>
    <w:p>
      <w:pPr>
        <w:pStyle w:val="21"/>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监理服务开始日期：监理人应在签订委托监理合同之日起3天内，派出监理人员进驻施工现场。</w:t>
      </w:r>
    </w:p>
    <w:p>
      <w:pPr>
        <w:pStyle w:val="20"/>
        <w:adjustRightInd/>
        <w:snapToGrid/>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9.3签订本监理合同后，由于国家计划及政策法规调整等原因，致使本工程暂无法开工，本监理合同在取得</w:t>
      </w:r>
      <w:r>
        <w:rPr>
          <w:rFonts w:hint="eastAsia" w:ascii="Times New Roman" w:hAnsi="Times New Roman"/>
          <w:color w:val="auto"/>
          <w:szCs w:val="21"/>
          <w:highlight w:val="none"/>
          <w:lang w:eastAsia="zh-CN"/>
        </w:rPr>
        <w:t>委托</w:t>
      </w:r>
      <w:r>
        <w:rPr>
          <w:rFonts w:ascii="Times New Roman" w:hAnsi="Times New Roman"/>
          <w:color w:val="auto"/>
          <w:szCs w:val="21"/>
          <w:highlight w:val="none"/>
        </w:rPr>
        <w:t>人同意的前提下继续有效，期限顺延，但委托人不给予监理人任何经济补偿；如果监理人不同意，则委托人可书面通知监理人解除合同。</w:t>
      </w:r>
    </w:p>
    <w:p>
      <w:pPr>
        <w:pStyle w:val="21"/>
        <w:adjustRightInd w:val="0"/>
        <w:snapToGrid w:val="0"/>
        <w:spacing w:line="360" w:lineRule="auto"/>
        <w:ind w:firstLine="420" w:firstLineChars="200"/>
        <w:rPr>
          <w:rFonts w:hint="default" w:ascii="Times New Roman" w:hAnsi="Times New Roman"/>
          <w:color w:val="auto"/>
          <w:szCs w:val="21"/>
          <w:highlight w:val="none"/>
        </w:rPr>
      </w:pPr>
      <w:r>
        <w:rPr>
          <w:rFonts w:hint="default" w:ascii="Times New Roman" w:hAnsi="Times New Roman"/>
          <w:color w:val="auto"/>
          <w:szCs w:val="21"/>
          <w:highlight w:val="none"/>
        </w:rPr>
        <w:t>9.4</w:t>
      </w:r>
      <w:r>
        <w:rPr>
          <w:rFonts w:ascii="Times New Roman" w:hAnsi="Times New Roman"/>
          <w:color w:val="auto"/>
          <w:szCs w:val="21"/>
          <w:highlight w:val="none"/>
        </w:rPr>
        <w:t>履约担保</w:t>
      </w:r>
    </w:p>
    <w:p>
      <w:pPr>
        <w:pStyle w:val="21"/>
        <w:adjustRightInd w:val="0"/>
        <w:snapToGrid w:val="0"/>
        <w:spacing w:line="360" w:lineRule="auto"/>
        <w:ind w:firstLine="420" w:firstLineChars="200"/>
        <w:rPr>
          <w:rFonts w:hint="default" w:ascii="Times New Roman" w:hAnsi="Times New Roman"/>
          <w:color w:val="auto"/>
          <w:szCs w:val="21"/>
          <w:highlight w:val="none"/>
        </w:rPr>
      </w:pPr>
      <w:r>
        <w:rPr>
          <w:rFonts w:hint="default" w:ascii="Times New Roman" w:hAnsi="Times New Roman"/>
          <w:color w:val="auto"/>
          <w:szCs w:val="21"/>
          <w:highlight w:val="none"/>
        </w:rPr>
        <w:t>9.</w:t>
      </w:r>
      <w:r>
        <w:rPr>
          <w:rFonts w:hint="default" w:ascii="Times New Roman" w:hAnsi="Times New Roman"/>
          <w:color w:val="auto"/>
          <w:szCs w:val="21"/>
          <w:highlight w:val="none"/>
          <w:lang w:val="en-US" w:eastAsia="zh-CN"/>
        </w:rPr>
        <w:t>4</w:t>
      </w:r>
      <w:r>
        <w:rPr>
          <w:rFonts w:hint="default" w:ascii="Times New Roman" w:hAnsi="Times New Roman"/>
          <w:color w:val="auto"/>
          <w:szCs w:val="21"/>
          <w:highlight w:val="none"/>
        </w:rPr>
        <w:t>.1</w:t>
      </w:r>
      <w:r>
        <w:rPr>
          <w:rFonts w:ascii="Times New Roman" w:hAnsi="Times New Roman"/>
          <w:color w:val="auto"/>
          <w:szCs w:val="21"/>
          <w:highlight w:val="none"/>
        </w:rPr>
        <w:t>履约担保的形式：</w:t>
      </w:r>
      <w:r>
        <w:rPr>
          <w:rFonts w:hint="default" w:ascii="Times New Roman" w:hAnsi="Times New Roman"/>
          <w:color w:val="auto"/>
          <w:szCs w:val="21"/>
          <w:highlight w:val="none"/>
        </w:rPr>
        <w:t>可以银行保函、现金</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lang w:val="en-US" w:eastAsia="zh-CN"/>
        </w:rPr>
        <w:t>银行转账）</w:t>
      </w:r>
      <w:r>
        <w:rPr>
          <w:rFonts w:hint="default" w:ascii="Times New Roman" w:hAnsi="Times New Roman"/>
          <w:color w:val="auto"/>
          <w:szCs w:val="21"/>
          <w:highlight w:val="none"/>
        </w:rPr>
        <w:t>、工程担保或保证保险等形式。</w:t>
      </w:r>
    </w:p>
    <w:p>
      <w:pPr>
        <w:pStyle w:val="21"/>
        <w:adjustRightInd w:val="0"/>
        <w:snapToGrid w:val="0"/>
        <w:spacing w:line="360" w:lineRule="auto"/>
        <w:ind w:firstLine="420" w:firstLineChars="200"/>
        <w:rPr>
          <w:rFonts w:hint="eastAsia" w:ascii="Times New Roman" w:hAnsi="Times New Roman"/>
          <w:color w:val="auto"/>
          <w:szCs w:val="21"/>
          <w:highlight w:val="none"/>
        </w:rPr>
      </w:pPr>
      <w:r>
        <w:rPr>
          <w:rFonts w:hint="default" w:ascii="Times New Roman" w:hAnsi="Times New Roman"/>
          <w:color w:val="auto"/>
          <w:szCs w:val="21"/>
          <w:highlight w:val="none"/>
        </w:rPr>
        <w:t>9.</w:t>
      </w:r>
      <w:r>
        <w:rPr>
          <w:rFonts w:hint="default" w:ascii="Times New Roman" w:hAnsi="Times New Roman"/>
          <w:color w:val="auto"/>
          <w:szCs w:val="21"/>
          <w:highlight w:val="none"/>
          <w:lang w:val="en-US" w:eastAsia="zh-CN"/>
        </w:rPr>
        <w:t>4</w:t>
      </w:r>
      <w:r>
        <w:rPr>
          <w:rFonts w:hint="default" w:ascii="Times New Roman" w:hAnsi="Times New Roman"/>
          <w:color w:val="auto"/>
          <w:szCs w:val="21"/>
          <w:highlight w:val="none"/>
        </w:rPr>
        <w:t>.2</w:t>
      </w:r>
      <w:r>
        <w:rPr>
          <w:rFonts w:ascii="Times New Roman" w:hAnsi="Times New Roman"/>
          <w:color w:val="auto"/>
          <w:szCs w:val="21"/>
          <w:highlight w:val="none"/>
        </w:rPr>
        <w:t>履约担保的金额：</w:t>
      </w:r>
      <w:r>
        <w:rPr>
          <w:rFonts w:hint="eastAsia" w:ascii="Times New Roman" w:hAnsi="Times New Roman"/>
          <w:color w:val="auto"/>
          <w:szCs w:val="21"/>
          <w:highlight w:val="none"/>
          <w:lang w:val="en-US" w:eastAsia="zh-CN"/>
        </w:rPr>
        <w:t>签约</w:t>
      </w:r>
      <w:r>
        <w:rPr>
          <w:rFonts w:hint="default" w:ascii="Times New Roman" w:hAnsi="Times New Roman"/>
          <w:color w:val="auto"/>
          <w:szCs w:val="21"/>
          <w:highlight w:val="none"/>
        </w:rPr>
        <w:t>合同</w:t>
      </w:r>
      <w:r>
        <w:rPr>
          <w:rFonts w:hint="eastAsia" w:ascii="Times New Roman" w:hAnsi="Times New Roman"/>
          <w:color w:val="auto"/>
          <w:szCs w:val="21"/>
          <w:highlight w:val="none"/>
          <w:lang w:val="en-US" w:eastAsia="zh-CN"/>
        </w:rPr>
        <w:t>总价</w:t>
      </w:r>
      <w:r>
        <w:rPr>
          <w:rFonts w:hint="default" w:ascii="Times New Roman" w:hAnsi="Times New Roman"/>
          <w:color w:val="auto"/>
          <w:szCs w:val="21"/>
          <w:highlight w:val="none"/>
        </w:rPr>
        <w:t>的5%</w:t>
      </w:r>
      <w:r>
        <w:rPr>
          <w:rFonts w:hint="default" w:ascii="Times New Roman" w:hAnsi="Times New Roman"/>
          <w:color w:val="auto"/>
          <w:szCs w:val="21"/>
          <w:highlight w:val="none"/>
          <w:lang w:eastAsia="zh-CN"/>
        </w:rPr>
        <w:t>。</w:t>
      </w:r>
    </w:p>
    <w:p>
      <w:pPr>
        <w:pStyle w:val="21"/>
        <w:adjustRightInd w:val="0"/>
        <w:snapToGrid w:val="0"/>
        <w:spacing w:line="360" w:lineRule="auto"/>
        <w:ind w:firstLine="420" w:firstLineChars="200"/>
        <w:rPr>
          <w:rFonts w:hint="default" w:ascii="Times New Roman" w:hAnsi="Times New Roman"/>
          <w:color w:val="auto"/>
          <w:szCs w:val="21"/>
          <w:highlight w:val="none"/>
        </w:rPr>
      </w:pPr>
      <w:r>
        <w:rPr>
          <w:rFonts w:hint="default" w:ascii="Times New Roman" w:hAnsi="Times New Roman"/>
          <w:color w:val="auto"/>
          <w:szCs w:val="21"/>
          <w:highlight w:val="none"/>
        </w:rPr>
        <w:t>在收到中</w:t>
      </w:r>
      <w:r>
        <w:rPr>
          <w:rFonts w:hint="default" w:ascii="Times New Roman" w:hAnsi="Times New Roman"/>
          <w:color w:val="auto"/>
          <w:szCs w:val="21"/>
          <w:highlight w:val="none"/>
          <w:lang w:eastAsia="zh-CN"/>
        </w:rPr>
        <w:t>选</w:t>
      </w:r>
      <w:r>
        <w:rPr>
          <w:rFonts w:hint="default" w:ascii="Times New Roman" w:hAnsi="Times New Roman"/>
          <w:color w:val="auto"/>
          <w:szCs w:val="21"/>
          <w:highlight w:val="none"/>
        </w:rPr>
        <w:t>通知书后，监理人须在合同签订前 10 个工作日内向委托人提交履约保证（因工程项目征地、拆迁影响项目开工的，委托人应当相应延长提交履约担保金的时间，具体由委托人确定</w:t>
      </w:r>
      <w:r>
        <w:rPr>
          <w:rFonts w:hint="default" w:ascii="Times New Roman" w:hAnsi="Times New Roman"/>
          <w:color w:val="auto"/>
          <w:szCs w:val="21"/>
          <w:highlight w:val="none"/>
          <w:lang w:eastAsia="zh-CN"/>
        </w:rPr>
        <w:t>）</w:t>
      </w:r>
      <w:r>
        <w:rPr>
          <w:rFonts w:hint="default" w:ascii="Times New Roman" w:hAnsi="Times New Roman"/>
          <w:color w:val="auto"/>
          <w:szCs w:val="21"/>
          <w:highlight w:val="none"/>
        </w:rPr>
        <w:t>。</w:t>
      </w:r>
    </w:p>
    <w:p>
      <w:pPr>
        <w:pStyle w:val="21"/>
        <w:adjustRightInd w:val="0"/>
        <w:snapToGrid w:val="0"/>
        <w:spacing w:line="360" w:lineRule="auto"/>
        <w:ind w:firstLine="420" w:firstLineChars="200"/>
        <w:rPr>
          <w:rFonts w:hint="eastAsia" w:ascii="Times New Roman" w:hAnsi="Times New Roman"/>
          <w:color w:val="auto"/>
          <w:szCs w:val="21"/>
          <w:highlight w:val="none"/>
        </w:rPr>
      </w:pPr>
      <w:r>
        <w:rPr>
          <w:rFonts w:hint="default" w:ascii="Times New Roman" w:hAnsi="Times New Roman"/>
          <w:color w:val="auto"/>
          <w:szCs w:val="21"/>
          <w:highlight w:val="none"/>
        </w:rPr>
        <w:t>9.</w:t>
      </w:r>
      <w:r>
        <w:rPr>
          <w:rFonts w:hint="default" w:ascii="Times New Roman" w:hAnsi="Times New Roman"/>
          <w:color w:val="auto"/>
          <w:szCs w:val="21"/>
          <w:highlight w:val="none"/>
          <w:lang w:val="en-US" w:eastAsia="zh-CN"/>
        </w:rPr>
        <w:t>4</w:t>
      </w:r>
      <w:r>
        <w:rPr>
          <w:rFonts w:hint="default" w:ascii="Times New Roman" w:hAnsi="Times New Roman"/>
          <w:color w:val="auto"/>
          <w:szCs w:val="21"/>
          <w:highlight w:val="none"/>
        </w:rPr>
        <w:t>.3</w:t>
      </w:r>
      <w:r>
        <w:rPr>
          <w:rFonts w:ascii="Times New Roman" w:hAnsi="Times New Roman"/>
          <w:color w:val="auto"/>
          <w:szCs w:val="21"/>
          <w:highlight w:val="none"/>
        </w:rPr>
        <w:t>委托人在监理服务期满后</w:t>
      </w:r>
      <w:r>
        <w:rPr>
          <w:rFonts w:hint="default" w:ascii="Times New Roman" w:hAnsi="Times New Roman"/>
          <w:color w:val="auto"/>
          <w:szCs w:val="21"/>
          <w:highlight w:val="none"/>
        </w:rPr>
        <w:t>30</w:t>
      </w:r>
      <w:r>
        <w:rPr>
          <w:rFonts w:ascii="Times New Roman" w:hAnsi="Times New Roman"/>
          <w:color w:val="auto"/>
          <w:szCs w:val="21"/>
          <w:highlight w:val="none"/>
        </w:rPr>
        <w:t>天内将履约保证金</w:t>
      </w:r>
      <w:r>
        <w:rPr>
          <w:rFonts w:hint="default" w:ascii="Times New Roman" w:hAnsi="Times New Roman"/>
          <w:color w:val="auto"/>
          <w:szCs w:val="21"/>
          <w:highlight w:val="none"/>
        </w:rPr>
        <w:t>（无息）</w:t>
      </w:r>
      <w:r>
        <w:rPr>
          <w:rFonts w:ascii="Times New Roman" w:hAnsi="Times New Roman"/>
          <w:color w:val="auto"/>
          <w:szCs w:val="21"/>
          <w:highlight w:val="none"/>
        </w:rPr>
        <w:t>退还给监理人</w:t>
      </w:r>
      <w:r>
        <w:rPr>
          <w:rFonts w:hint="default" w:ascii="Times New Roman" w:hAnsi="Times New Roman"/>
          <w:color w:val="auto"/>
          <w:szCs w:val="21"/>
          <w:highlight w:val="none"/>
          <w:lang w:eastAsia="zh-CN"/>
        </w:rPr>
        <w:t>。</w:t>
      </w:r>
    </w:p>
    <w:p>
      <w:pPr>
        <w:pStyle w:val="21"/>
        <w:spacing w:line="360" w:lineRule="auto"/>
        <w:ind w:firstLine="420" w:firstLineChars="200"/>
        <w:rPr>
          <w:rFonts w:hint="default" w:ascii="Times New Roman" w:hAnsi="Times New Roman"/>
          <w:color w:val="auto"/>
          <w:szCs w:val="21"/>
          <w:highlight w:val="none"/>
        </w:rPr>
      </w:pPr>
    </w:p>
    <w:p>
      <w:pPr>
        <w:pStyle w:val="21"/>
        <w:adjustRightInd w:val="0"/>
        <w:snapToGrid w:val="0"/>
        <w:spacing w:line="360" w:lineRule="auto"/>
        <w:ind w:firstLine="420" w:firstLineChars="200"/>
        <w:rPr>
          <w:rFonts w:ascii="Times New Roman" w:hAnsi="Times New Roman"/>
          <w:color w:val="auto"/>
          <w:szCs w:val="21"/>
          <w:highlight w:val="none"/>
        </w:rPr>
      </w:pPr>
    </w:p>
    <w:p>
      <w:pPr>
        <w:pStyle w:val="20"/>
        <w:adjustRightInd w:val="0"/>
        <w:snapToGrid w:val="0"/>
        <w:spacing w:line="360" w:lineRule="auto"/>
        <w:rPr>
          <w:rFonts w:ascii="宋体" w:hAnsi="宋体"/>
          <w:color w:val="auto"/>
          <w:highlight w:val="none"/>
        </w:rPr>
      </w:pPr>
    </w:p>
    <w:p>
      <w:pPr>
        <w:pStyle w:val="22"/>
        <w:rPr>
          <w:rFonts w:hint="eastAsia"/>
          <w:color w:val="auto"/>
          <w:sz w:val="24"/>
          <w:highlight w:val="none"/>
        </w:rPr>
      </w:pPr>
      <w:bookmarkStart w:id="355" w:name="_Toc17434"/>
      <w:bookmarkStart w:id="356" w:name="_Toc13638"/>
      <w:bookmarkStart w:id="357" w:name="_Toc19548037"/>
      <w:bookmarkStart w:id="358" w:name="_Toc7486"/>
      <w:bookmarkStart w:id="359" w:name="_Toc2855"/>
      <w:bookmarkStart w:id="360" w:name="_Toc7752"/>
      <w:bookmarkStart w:id="361" w:name="_Toc10682"/>
      <w:bookmarkStart w:id="362" w:name="_Toc20617"/>
    </w:p>
    <w:p>
      <w:pPr>
        <w:pStyle w:val="22"/>
        <w:rPr>
          <w:color w:val="auto"/>
          <w:sz w:val="24"/>
          <w:highlight w:val="none"/>
        </w:rPr>
      </w:pPr>
      <w:r>
        <w:rPr>
          <w:rFonts w:hint="eastAsia"/>
          <w:color w:val="auto"/>
          <w:sz w:val="24"/>
          <w:highlight w:val="none"/>
        </w:rPr>
        <w:t>附录A  相关服务的范围和内容</w:t>
      </w:r>
      <w:bookmarkEnd w:id="352"/>
      <w:bookmarkEnd w:id="353"/>
      <w:bookmarkEnd w:id="354"/>
      <w:bookmarkEnd w:id="355"/>
      <w:bookmarkEnd w:id="356"/>
      <w:bookmarkEnd w:id="357"/>
      <w:bookmarkEnd w:id="358"/>
      <w:bookmarkEnd w:id="359"/>
      <w:bookmarkEnd w:id="360"/>
      <w:bookmarkEnd w:id="361"/>
      <w:bookmarkEnd w:id="362"/>
    </w:p>
    <w:p>
      <w:pPr>
        <w:pStyle w:val="20"/>
        <w:snapToGrid w:val="0"/>
        <w:spacing w:before="120" w:beforeLines="50" w:after="120" w:afterLines="50" w:line="360" w:lineRule="auto"/>
        <w:ind w:firstLine="840" w:firstLineChars="400"/>
        <w:rPr>
          <w:rFonts w:ascii="宋体" w:hAnsi="宋体"/>
          <w:color w:val="auto"/>
          <w:kern w:val="0"/>
          <w:szCs w:val="21"/>
          <w:highlight w:val="none"/>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1</w:t>
      </w: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施工实施</w:t>
      </w:r>
      <w:r>
        <w:rPr>
          <w:rFonts w:hint="eastAsia" w:ascii="宋体" w:hAnsi="宋体"/>
          <w:color w:val="auto"/>
          <w:kern w:val="0"/>
          <w:szCs w:val="21"/>
          <w:highlight w:val="none"/>
        </w:rPr>
        <w:t>阶段：</w:t>
      </w:r>
      <w:r>
        <w:rPr>
          <w:rFonts w:hint="eastAsia" w:ascii="宋体" w:hAnsi="宋体"/>
          <w:color w:val="auto"/>
          <w:szCs w:val="21"/>
          <w:highlight w:val="none"/>
          <w:u w:val="single"/>
        </w:rPr>
        <w:t xml:space="preserve">                                                             </w:t>
      </w:r>
    </w:p>
    <w:p>
      <w:pPr>
        <w:pStyle w:val="20"/>
        <w:snapToGrid w:val="0"/>
        <w:spacing w:before="120" w:beforeLines="50" w:after="120" w:afterLines="50"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20"/>
        <w:snapToGrid w:val="0"/>
        <w:spacing w:before="120" w:beforeLines="50" w:after="120" w:afterLines="50" w:line="360" w:lineRule="auto"/>
        <w:ind w:firstLine="840" w:firstLineChars="400"/>
        <w:rPr>
          <w:rFonts w:hint="eastAsia" w:ascii="宋体" w:hAnsi="宋体"/>
          <w:color w:val="auto"/>
          <w:kern w:val="0"/>
          <w:szCs w:val="21"/>
          <w:highlight w:val="none"/>
        </w:rPr>
      </w:pPr>
    </w:p>
    <w:p>
      <w:pPr>
        <w:pStyle w:val="20"/>
        <w:snapToGrid w:val="0"/>
        <w:spacing w:before="120" w:beforeLines="50" w:after="120" w:afterLines="50" w:line="360" w:lineRule="auto"/>
        <w:ind w:firstLine="840" w:firstLineChars="400"/>
        <w:rPr>
          <w:rFonts w:ascii="宋体" w:hAnsi="宋体"/>
          <w:color w:val="auto"/>
          <w:kern w:val="0"/>
          <w:szCs w:val="21"/>
          <w:highlight w:val="none"/>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2</w:t>
      </w:r>
      <w:r>
        <w:rPr>
          <w:rFonts w:hint="eastAsia" w:ascii="宋体" w:hAnsi="宋体"/>
          <w:color w:val="auto"/>
          <w:kern w:val="0"/>
          <w:szCs w:val="21"/>
          <w:highlight w:val="none"/>
        </w:rPr>
        <w:t xml:space="preserve"> 保修阶段：</w:t>
      </w:r>
      <w:r>
        <w:rPr>
          <w:rFonts w:hint="eastAsia" w:ascii="宋体" w:hAnsi="宋体"/>
          <w:color w:val="auto"/>
          <w:szCs w:val="21"/>
          <w:highlight w:val="none"/>
          <w:u w:val="single"/>
        </w:rPr>
        <w:t xml:space="preserve">                                                             </w:t>
      </w:r>
    </w:p>
    <w:p>
      <w:pPr>
        <w:pStyle w:val="20"/>
        <w:snapToGrid w:val="0"/>
        <w:spacing w:before="120" w:beforeLines="50" w:after="120" w:afterLines="50"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20"/>
        <w:snapToGrid w:val="0"/>
        <w:spacing w:before="120" w:beforeLines="50" w:after="120" w:afterLines="50" w:line="360" w:lineRule="auto"/>
        <w:ind w:firstLine="840" w:firstLineChars="400"/>
        <w:rPr>
          <w:rFonts w:ascii="宋体" w:hAnsi="宋体"/>
          <w:color w:val="auto"/>
          <w:szCs w:val="21"/>
          <w:highlight w:val="none"/>
          <w:u w:val="single"/>
        </w:rPr>
      </w:pPr>
      <w:r>
        <w:rPr>
          <w:rFonts w:hint="eastAsia" w:ascii="宋体" w:hAnsi="宋体"/>
          <w:color w:val="auto"/>
          <w:kern w:val="0"/>
          <w:szCs w:val="21"/>
          <w:highlight w:val="none"/>
        </w:rPr>
        <w:t>A-</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 xml:space="preserve"> </w:t>
      </w:r>
      <w:r>
        <w:rPr>
          <w:rFonts w:hint="eastAsia" w:ascii="宋体" w:hAnsi="宋体"/>
          <w:color w:val="auto"/>
          <w:szCs w:val="21"/>
          <w:highlight w:val="none"/>
        </w:rPr>
        <w:t>其他（专业技术咨询、外部协调工作等）：</w:t>
      </w:r>
      <w:r>
        <w:rPr>
          <w:rFonts w:hint="eastAsia" w:ascii="宋体" w:hAnsi="宋体"/>
          <w:color w:val="auto"/>
          <w:szCs w:val="21"/>
          <w:highlight w:val="none"/>
          <w:u w:val="single"/>
        </w:rPr>
        <w:t xml:space="preserve">                                  </w:t>
      </w:r>
    </w:p>
    <w:p>
      <w:pPr>
        <w:pStyle w:val="20"/>
        <w:snapToGrid w:val="0"/>
        <w:spacing w:before="120" w:beforeLines="50" w:after="120" w:afterLines="50" w:line="360" w:lineRule="auto"/>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22"/>
        <w:rPr>
          <w:color w:val="auto"/>
          <w:sz w:val="24"/>
          <w:highlight w:val="none"/>
        </w:rPr>
      </w:pPr>
      <w:bookmarkStart w:id="363" w:name="_Toc17549"/>
      <w:bookmarkStart w:id="364" w:name="_Toc19675"/>
      <w:bookmarkStart w:id="365" w:name="_Toc12931"/>
      <w:bookmarkStart w:id="366" w:name="_Toc29923"/>
      <w:bookmarkStart w:id="367" w:name="_Toc6828"/>
      <w:bookmarkStart w:id="368" w:name="_Toc7688"/>
      <w:bookmarkStart w:id="369" w:name="_Toc515271104"/>
      <w:bookmarkStart w:id="370" w:name="_Toc473030518"/>
      <w:bookmarkStart w:id="371" w:name="_Toc459567825"/>
      <w:bookmarkStart w:id="372" w:name="_Toc19548038"/>
      <w:bookmarkStart w:id="373" w:name="_Toc5787"/>
      <w:r>
        <w:rPr>
          <w:rFonts w:hint="eastAsia"/>
          <w:color w:val="auto"/>
          <w:sz w:val="24"/>
          <w:highlight w:val="none"/>
        </w:rPr>
        <w:t>附录B  委托人派遣的人员和提供的资料</w:t>
      </w:r>
      <w:bookmarkEnd w:id="363"/>
      <w:bookmarkEnd w:id="364"/>
      <w:bookmarkEnd w:id="365"/>
      <w:bookmarkEnd w:id="366"/>
      <w:bookmarkEnd w:id="367"/>
      <w:bookmarkEnd w:id="368"/>
      <w:bookmarkEnd w:id="369"/>
      <w:bookmarkEnd w:id="370"/>
      <w:bookmarkEnd w:id="371"/>
      <w:bookmarkEnd w:id="372"/>
      <w:bookmarkEnd w:id="373"/>
    </w:p>
    <w:p>
      <w:pPr>
        <w:pStyle w:val="20"/>
        <w:rPr>
          <w:color w:val="auto"/>
          <w:highlight w:val="none"/>
        </w:rPr>
      </w:pPr>
      <w:bookmarkStart w:id="374" w:name="_Toc392940994"/>
    </w:p>
    <w:p>
      <w:pPr>
        <w:pStyle w:val="20"/>
        <w:rPr>
          <w:color w:val="auto"/>
          <w:highlight w:val="none"/>
        </w:rPr>
      </w:pPr>
    </w:p>
    <w:p>
      <w:pPr>
        <w:pStyle w:val="20"/>
        <w:spacing w:after="240" w:afterLines="100"/>
        <w:outlineLvl w:val="0"/>
        <w:rPr>
          <w:b/>
          <w:color w:val="auto"/>
          <w:highlight w:val="none"/>
        </w:rPr>
      </w:pPr>
      <w:bookmarkStart w:id="375" w:name="_Toc28543"/>
      <w:bookmarkStart w:id="376" w:name="_Toc515271107"/>
      <w:bookmarkStart w:id="377" w:name="_Toc518402533"/>
      <w:bookmarkStart w:id="378" w:name="_Toc459567828"/>
      <w:bookmarkStart w:id="379" w:name="_Toc1010"/>
      <w:bookmarkStart w:id="380" w:name="_Toc8933"/>
      <w:bookmarkStart w:id="381" w:name="_Toc19548041"/>
      <w:bookmarkStart w:id="382" w:name="_Toc14096"/>
      <w:bookmarkStart w:id="383" w:name="_Toc21462"/>
      <w:bookmarkStart w:id="384" w:name="_Toc522780702"/>
      <w:bookmarkStart w:id="385" w:name="_Toc28478"/>
      <w:bookmarkStart w:id="386" w:name="_Toc29155"/>
      <w:bookmarkStart w:id="387" w:name="_Toc473030521"/>
      <w:r>
        <w:rPr>
          <w:rFonts w:hint="eastAsia"/>
          <w:b/>
          <w:color w:val="auto"/>
          <w:highlight w:val="none"/>
        </w:rPr>
        <w:t xml:space="preserve">  委托人提供的资料</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名称</w:t>
            </w:r>
          </w:p>
        </w:tc>
        <w:tc>
          <w:tcPr>
            <w:tcW w:w="1491"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份数</w:t>
            </w:r>
          </w:p>
        </w:tc>
        <w:tc>
          <w:tcPr>
            <w:tcW w:w="2147"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提供时间</w:t>
            </w:r>
          </w:p>
        </w:tc>
        <w:tc>
          <w:tcPr>
            <w:tcW w:w="2082" w:type="dxa"/>
            <w:vAlign w:val="center"/>
          </w:tcPr>
          <w:p>
            <w:pPr>
              <w:pStyle w:val="2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1. 工程立项文件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2. 工程勘察文件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3. 工程设计及施工图纸</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4. 工程承包合同及其他相关合同</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5. 施工许可文件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olor w:val="auto"/>
                <w:kern w:val="0"/>
                <w:szCs w:val="21"/>
                <w:highlight w:val="none"/>
              </w:rPr>
            </w:pPr>
            <w:r>
              <w:rPr>
                <w:rFonts w:hint="eastAsia" w:ascii="宋体" w:hAnsi="宋体"/>
                <w:color w:val="auto"/>
                <w:kern w:val="0"/>
                <w:szCs w:val="21"/>
                <w:highlight w:val="none"/>
              </w:rPr>
              <w:t>6. 其他文件</w:t>
            </w:r>
          </w:p>
        </w:tc>
        <w:tc>
          <w:tcPr>
            <w:tcW w:w="1491" w:type="dxa"/>
            <w:vAlign w:val="center"/>
          </w:tcPr>
          <w:p>
            <w:pPr>
              <w:pStyle w:val="20"/>
              <w:spacing w:line="360" w:lineRule="auto"/>
              <w:rPr>
                <w:rFonts w:ascii="宋体" w:hAnsi="宋体"/>
                <w:color w:val="auto"/>
                <w:kern w:val="0"/>
                <w:szCs w:val="21"/>
                <w:highlight w:val="none"/>
              </w:rPr>
            </w:pPr>
          </w:p>
        </w:tc>
        <w:tc>
          <w:tcPr>
            <w:tcW w:w="2147" w:type="dxa"/>
            <w:vAlign w:val="center"/>
          </w:tcPr>
          <w:p>
            <w:pPr>
              <w:pStyle w:val="20"/>
              <w:spacing w:line="360" w:lineRule="auto"/>
              <w:rPr>
                <w:rFonts w:ascii="宋体" w:hAnsi="宋体"/>
                <w:color w:val="auto"/>
                <w:kern w:val="0"/>
                <w:szCs w:val="21"/>
                <w:highlight w:val="none"/>
              </w:rPr>
            </w:pPr>
          </w:p>
        </w:tc>
        <w:tc>
          <w:tcPr>
            <w:tcW w:w="2082" w:type="dxa"/>
            <w:vAlign w:val="center"/>
          </w:tcPr>
          <w:p>
            <w:pPr>
              <w:pStyle w:val="20"/>
              <w:spacing w:line="360" w:lineRule="auto"/>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pStyle w:val="20"/>
              <w:spacing w:line="360" w:lineRule="auto"/>
              <w:rPr>
                <w:rFonts w:ascii="宋体" w:hAnsi="宋体" w:cs="宋体"/>
                <w:color w:val="auto"/>
                <w:kern w:val="0"/>
                <w:szCs w:val="21"/>
                <w:highlight w:val="none"/>
              </w:rPr>
            </w:pPr>
          </w:p>
        </w:tc>
        <w:tc>
          <w:tcPr>
            <w:tcW w:w="1491" w:type="dxa"/>
            <w:vAlign w:val="center"/>
          </w:tcPr>
          <w:p>
            <w:pPr>
              <w:pStyle w:val="20"/>
              <w:spacing w:line="360" w:lineRule="auto"/>
              <w:rPr>
                <w:rFonts w:ascii="宋体" w:hAnsi="宋体" w:cs="宋体"/>
                <w:color w:val="auto"/>
                <w:kern w:val="0"/>
                <w:szCs w:val="21"/>
                <w:highlight w:val="none"/>
              </w:rPr>
            </w:pPr>
          </w:p>
        </w:tc>
        <w:tc>
          <w:tcPr>
            <w:tcW w:w="2147" w:type="dxa"/>
            <w:vAlign w:val="center"/>
          </w:tcPr>
          <w:p>
            <w:pPr>
              <w:pStyle w:val="20"/>
              <w:spacing w:line="360" w:lineRule="auto"/>
              <w:rPr>
                <w:rFonts w:ascii="宋体" w:hAnsi="宋体" w:cs="宋体"/>
                <w:color w:val="auto"/>
                <w:kern w:val="0"/>
                <w:szCs w:val="21"/>
                <w:highlight w:val="none"/>
              </w:rPr>
            </w:pPr>
          </w:p>
        </w:tc>
        <w:tc>
          <w:tcPr>
            <w:tcW w:w="2082" w:type="dxa"/>
            <w:vAlign w:val="center"/>
          </w:tcPr>
          <w:p>
            <w:pPr>
              <w:pStyle w:val="20"/>
              <w:spacing w:line="360" w:lineRule="auto"/>
              <w:rPr>
                <w:rFonts w:ascii="宋体" w:hAnsi="宋体" w:cs="宋体"/>
                <w:color w:val="auto"/>
                <w:kern w:val="0"/>
                <w:szCs w:val="21"/>
                <w:highlight w:val="none"/>
              </w:rPr>
            </w:pPr>
          </w:p>
        </w:tc>
      </w:tr>
    </w:tbl>
    <w:p>
      <w:pPr>
        <w:pStyle w:val="20"/>
        <w:rPr>
          <w:color w:val="auto"/>
          <w:highlight w:val="none"/>
        </w:rPr>
      </w:pPr>
    </w:p>
    <w:bookmarkEnd w:id="295"/>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pStyle w:val="2"/>
        <w:rPr>
          <w:color w:val="auto"/>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sz w:val="20"/>
          <w:highlight w:val="none"/>
        </w:rPr>
      </w:pPr>
    </w:p>
    <w:p>
      <w:pPr>
        <w:rPr>
          <w:color w:val="auto"/>
          <w:highlight w:val="none"/>
        </w:rPr>
      </w:pPr>
    </w:p>
    <w:p>
      <w:pPr>
        <w:spacing w:line="320" w:lineRule="exact"/>
        <w:rPr>
          <w:rFonts w:ascii="Times New Roman" w:hAnsi="Times New Roman"/>
          <w:color w:val="auto"/>
          <w:szCs w:val="21"/>
          <w:highlight w:val="none"/>
          <w:u w:val="single"/>
        </w:rPr>
      </w:pPr>
    </w:p>
    <w:p>
      <w:pPr>
        <w:spacing w:line="320" w:lineRule="exact"/>
        <w:rPr>
          <w:rFonts w:ascii="Times New Roman" w:hAnsi="Times New Roman"/>
          <w:color w:val="auto"/>
          <w:szCs w:val="21"/>
          <w:highlight w:val="none"/>
          <w:u w:val="single"/>
        </w:rPr>
      </w:pPr>
    </w:p>
    <w:p>
      <w:pPr>
        <w:pStyle w:val="3"/>
        <w:numPr>
          <w:ilvl w:val="0"/>
          <w:numId w:val="4"/>
        </w:numPr>
        <w:jc w:val="center"/>
        <w:rPr>
          <w:rFonts w:hint="eastAsia" w:ascii="宋体" w:hAnsi="宋体" w:cs="宋体"/>
          <w:color w:val="auto"/>
          <w:szCs w:val="28"/>
          <w:highlight w:val="none"/>
          <w:u w:val="none"/>
        </w:rPr>
      </w:pPr>
      <w:bookmarkStart w:id="388" w:name="_Toc13013"/>
      <w:bookmarkStart w:id="389" w:name="_Toc26885"/>
      <w:bookmarkStart w:id="390" w:name="_Toc9149"/>
      <w:bookmarkStart w:id="391" w:name="_Toc8296"/>
      <w:bookmarkStart w:id="392" w:name="_Toc29351"/>
      <w:bookmarkStart w:id="393" w:name="_Toc392940995"/>
      <w:bookmarkStart w:id="394" w:name="_Toc19548043"/>
      <w:bookmarkStart w:id="395" w:name="_Toc32571"/>
      <w:bookmarkStart w:id="396" w:name="_Toc402188411"/>
      <w:r>
        <w:rPr>
          <w:rFonts w:hint="eastAsia" w:ascii="宋体" w:hAnsi="宋体" w:cs="宋体"/>
          <w:color w:val="auto"/>
          <w:szCs w:val="28"/>
          <w:highlight w:val="none"/>
        </w:rPr>
        <w:t xml:space="preserve"> </w:t>
      </w:r>
      <w:bookmarkStart w:id="397" w:name="_Toc11941"/>
      <w:r>
        <w:rPr>
          <w:rFonts w:hint="eastAsia" w:ascii="宋体" w:hAnsi="宋体" w:cs="宋体"/>
          <w:color w:val="auto"/>
          <w:szCs w:val="28"/>
          <w:highlight w:val="none"/>
        </w:rPr>
        <w:t>监理工作任务</w:t>
      </w:r>
      <w:bookmarkEnd w:id="388"/>
      <w:bookmarkEnd w:id="389"/>
      <w:bookmarkEnd w:id="390"/>
      <w:bookmarkEnd w:id="391"/>
      <w:bookmarkEnd w:id="392"/>
      <w:bookmarkEnd w:id="393"/>
      <w:bookmarkEnd w:id="394"/>
      <w:bookmarkEnd w:id="395"/>
      <w:bookmarkEnd w:id="396"/>
      <w:bookmarkEnd w:id="397"/>
    </w:p>
    <w:p>
      <w:pPr>
        <w:pStyle w:val="19"/>
        <w:snapToGrid w:val="0"/>
        <w:spacing w:before="157" w:beforeLines="50" w:line="360" w:lineRule="auto"/>
        <w:rPr>
          <w:rFonts w:hint="eastAsia" w:ascii="Cambria" w:hAnsi="Cambria"/>
          <w:b/>
          <w:bCs/>
          <w:color w:val="auto"/>
          <w:sz w:val="28"/>
          <w:szCs w:val="28"/>
          <w:highlight w:val="none"/>
        </w:rPr>
      </w:pPr>
      <w:bookmarkStart w:id="398" w:name="_Toc26101"/>
      <w:bookmarkStart w:id="399" w:name="_Toc19548044"/>
      <w:bookmarkStart w:id="400" w:name="_Toc21380"/>
      <w:bookmarkStart w:id="401" w:name="_Toc30678"/>
      <w:bookmarkStart w:id="402" w:name="_Toc17142"/>
      <w:bookmarkStart w:id="403" w:name="EBd14b0c6986cb47e3bb35735936ae4700"/>
      <w:r>
        <w:rPr>
          <w:rFonts w:hint="eastAsia" w:ascii="Cambria" w:hAnsi="Cambria"/>
          <w:b/>
          <w:bCs/>
          <w:color w:val="auto"/>
          <w:sz w:val="28"/>
          <w:szCs w:val="28"/>
          <w:highlight w:val="none"/>
        </w:rPr>
        <w:t>1. 工程概述</w:t>
      </w:r>
      <w:bookmarkEnd w:id="398"/>
      <w:bookmarkEnd w:id="399"/>
      <w:bookmarkEnd w:id="400"/>
      <w:bookmarkEnd w:id="401"/>
      <w:bookmarkEnd w:id="402"/>
    </w:p>
    <w:p>
      <w:pPr>
        <w:pStyle w:val="23"/>
        <w:autoSpaceDE w:val="0"/>
        <w:autoSpaceDN w:val="0"/>
        <w:spacing w:line="360" w:lineRule="auto"/>
        <w:ind w:left="90" w:leftChars="43" w:firstLine="420" w:firstLineChars="200"/>
        <w:jc w:val="left"/>
        <w:rPr>
          <w:color w:val="auto"/>
          <w:kern w:val="0"/>
          <w:szCs w:val="21"/>
          <w:highlight w:val="none"/>
        </w:rPr>
      </w:pPr>
      <w:bookmarkStart w:id="404" w:name="_Toc22571"/>
      <w:bookmarkStart w:id="405" w:name="_Toc318213157"/>
      <w:bookmarkStart w:id="406" w:name="_Toc392940997"/>
      <w:bookmarkStart w:id="407" w:name="_Toc402188413"/>
      <w:bookmarkStart w:id="408" w:name="_Toc11265"/>
      <w:r>
        <w:rPr>
          <w:rFonts w:hAnsi="宋体"/>
          <w:color w:val="auto"/>
          <w:kern w:val="0"/>
          <w:szCs w:val="21"/>
          <w:highlight w:val="none"/>
        </w:rPr>
        <w:t>详见本</w:t>
      </w:r>
      <w:r>
        <w:rPr>
          <w:rFonts w:hint="eastAsia" w:hAnsi="宋体"/>
          <w:color w:val="auto"/>
          <w:kern w:val="0"/>
          <w:szCs w:val="21"/>
          <w:highlight w:val="none"/>
          <w:lang w:eastAsia="zh-CN"/>
        </w:rPr>
        <w:t>比选</w:t>
      </w:r>
      <w:r>
        <w:rPr>
          <w:rFonts w:hAnsi="宋体"/>
          <w:color w:val="auto"/>
          <w:kern w:val="0"/>
          <w:szCs w:val="21"/>
          <w:highlight w:val="none"/>
        </w:rPr>
        <w:t>文件的第一章</w:t>
      </w:r>
      <w:r>
        <w:rPr>
          <w:rFonts w:hint="eastAsia" w:hAnsi="宋体"/>
          <w:color w:val="auto"/>
          <w:kern w:val="0"/>
          <w:szCs w:val="21"/>
          <w:highlight w:val="none"/>
          <w:lang w:eastAsia="zh-CN"/>
        </w:rPr>
        <w:t>比选</w:t>
      </w:r>
      <w:r>
        <w:rPr>
          <w:rFonts w:hAnsi="宋体"/>
          <w:color w:val="auto"/>
          <w:kern w:val="0"/>
          <w:szCs w:val="21"/>
          <w:highlight w:val="none"/>
        </w:rPr>
        <w:t>须知。</w:t>
      </w:r>
    </w:p>
    <w:p>
      <w:pPr>
        <w:pStyle w:val="19"/>
        <w:snapToGrid w:val="0"/>
        <w:spacing w:before="157" w:beforeLines="50" w:line="360" w:lineRule="auto"/>
        <w:rPr>
          <w:rFonts w:hint="eastAsia" w:ascii="Cambria" w:hAnsi="Cambria"/>
          <w:b/>
          <w:bCs/>
          <w:color w:val="auto"/>
          <w:sz w:val="28"/>
          <w:szCs w:val="28"/>
          <w:highlight w:val="none"/>
        </w:rPr>
      </w:pPr>
      <w:bookmarkStart w:id="409" w:name="_Toc19548045"/>
      <w:bookmarkStart w:id="410" w:name="_Toc115"/>
      <w:bookmarkStart w:id="411" w:name="_Toc21916"/>
      <w:r>
        <w:rPr>
          <w:rFonts w:hint="eastAsia" w:ascii="Cambria" w:hAnsi="Cambria"/>
          <w:b/>
          <w:bCs/>
          <w:color w:val="auto"/>
          <w:sz w:val="28"/>
          <w:szCs w:val="28"/>
          <w:highlight w:val="none"/>
        </w:rPr>
        <w:t>2. 监理工作和目标要求</w:t>
      </w:r>
      <w:bookmarkEnd w:id="404"/>
      <w:bookmarkEnd w:id="405"/>
      <w:bookmarkEnd w:id="406"/>
      <w:bookmarkEnd w:id="407"/>
      <w:bookmarkEnd w:id="408"/>
      <w:bookmarkEnd w:id="409"/>
      <w:bookmarkEnd w:id="410"/>
      <w:bookmarkEnd w:id="411"/>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监理工作内容包括</w:t>
      </w:r>
      <w:r>
        <w:rPr>
          <w:rFonts w:hint="eastAsia" w:hAnsi="宋体"/>
          <w:b/>
          <w:color w:val="auto"/>
          <w:kern w:val="0"/>
          <w:szCs w:val="21"/>
          <w:highlight w:val="none"/>
        </w:rPr>
        <w:t>本工程委托监理合同专用条件第</w:t>
      </w:r>
      <w:r>
        <w:rPr>
          <w:rFonts w:hAnsi="宋体"/>
          <w:b/>
          <w:color w:val="auto"/>
          <w:kern w:val="0"/>
          <w:szCs w:val="21"/>
          <w:highlight w:val="none"/>
        </w:rPr>
        <w:t>2.1</w:t>
      </w:r>
      <w:r>
        <w:rPr>
          <w:rFonts w:hint="eastAsia" w:hAnsi="宋体"/>
          <w:b/>
          <w:color w:val="auto"/>
          <w:kern w:val="0"/>
          <w:szCs w:val="21"/>
          <w:highlight w:val="none"/>
        </w:rPr>
        <w:t>条。</w:t>
      </w:r>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rPr>
        <w:t>目标：工程投资控制在合同价格以内，工程质量控制达到合格标准，工程进度控制在合同工期之内。</w:t>
      </w:r>
    </w:p>
    <w:p>
      <w:pPr>
        <w:pStyle w:val="19"/>
        <w:snapToGrid w:val="0"/>
        <w:spacing w:before="157" w:beforeLines="50" w:line="360" w:lineRule="auto"/>
        <w:rPr>
          <w:rFonts w:hint="eastAsia" w:ascii="Cambria" w:hAnsi="Cambria"/>
          <w:b/>
          <w:bCs/>
          <w:color w:val="auto"/>
          <w:sz w:val="28"/>
          <w:szCs w:val="28"/>
          <w:highlight w:val="none"/>
        </w:rPr>
      </w:pPr>
      <w:bookmarkStart w:id="412" w:name="_Toc392940998"/>
      <w:bookmarkStart w:id="413" w:name="_Toc10760"/>
      <w:bookmarkStart w:id="414" w:name="_Toc402188414"/>
      <w:bookmarkStart w:id="415" w:name="_Toc26679"/>
      <w:bookmarkStart w:id="416" w:name="_Toc31559"/>
      <w:bookmarkStart w:id="417" w:name="_Toc19548046"/>
      <w:bookmarkStart w:id="418" w:name="_Toc318213158"/>
      <w:bookmarkStart w:id="419" w:name="_Toc7541"/>
      <w:r>
        <w:rPr>
          <w:rFonts w:hint="eastAsia" w:ascii="Cambria" w:hAnsi="Cambria"/>
          <w:b/>
          <w:bCs/>
          <w:color w:val="auto"/>
          <w:sz w:val="28"/>
          <w:szCs w:val="28"/>
          <w:highlight w:val="none"/>
        </w:rPr>
        <w:t xml:space="preserve">3. </w:t>
      </w:r>
      <w:r>
        <w:rPr>
          <w:rFonts w:hint="eastAsia" w:ascii="Cambria" w:hAnsi="Cambria"/>
          <w:b/>
          <w:bCs/>
          <w:color w:val="auto"/>
          <w:sz w:val="28"/>
          <w:szCs w:val="28"/>
          <w:highlight w:val="none"/>
          <w:lang w:eastAsia="zh-CN"/>
        </w:rPr>
        <w:t>比选发起人</w:t>
      </w:r>
      <w:r>
        <w:rPr>
          <w:rFonts w:hint="eastAsia" w:ascii="Cambria" w:hAnsi="Cambria"/>
          <w:b/>
          <w:bCs/>
          <w:color w:val="auto"/>
          <w:sz w:val="28"/>
          <w:szCs w:val="28"/>
          <w:highlight w:val="none"/>
        </w:rPr>
        <w:t>应提供的设施与服务工作</w:t>
      </w:r>
      <w:bookmarkEnd w:id="412"/>
      <w:bookmarkEnd w:id="413"/>
      <w:bookmarkEnd w:id="414"/>
      <w:bookmarkEnd w:id="415"/>
      <w:bookmarkEnd w:id="416"/>
      <w:bookmarkEnd w:id="417"/>
      <w:bookmarkEnd w:id="418"/>
      <w:bookmarkEnd w:id="419"/>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int="eastAsia" w:hAnsi="宋体"/>
          <w:color w:val="auto"/>
          <w:kern w:val="0"/>
          <w:szCs w:val="21"/>
          <w:highlight w:val="none"/>
          <w:lang w:eastAsia="zh-CN"/>
        </w:rPr>
        <w:t>比选发起人不需</w:t>
      </w:r>
      <w:r>
        <w:rPr>
          <w:rFonts w:hint="eastAsia" w:hAnsi="宋体"/>
          <w:color w:val="auto"/>
          <w:kern w:val="0"/>
          <w:szCs w:val="21"/>
          <w:highlight w:val="none"/>
        </w:rPr>
        <w:t>向监理人提供开展监理服务工作所必须的办公用房、生活用房。</w:t>
      </w:r>
    </w:p>
    <w:p>
      <w:pPr>
        <w:pStyle w:val="19"/>
        <w:snapToGrid w:val="0"/>
        <w:spacing w:before="157" w:beforeLines="50" w:line="360" w:lineRule="auto"/>
        <w:rPr>
          <w:rFonts w:hint="eastAsia" w:ascii="Cambria" w:hAnsi="Cambria"/>
          <w:b/>
          <w:bCs/>
          <w:color w:val="auto"/>
          <w:sz w:val="28"/>
          <w:szCs w:val="28"/>
          <w:highlight w:val="none"/>
        </w:rPr>
      </w:pPr>
      <w:bookmarkStart w:id="420" w:name="_Toc392940999"/>
      <w:bookmarkStart w:id="421" w:name="_Toc402188415"/>
      <w:bookmarkStart w:id="422" w:name="_Toc24934"/>
      <w:bookmarkStart w:id="423" w:name="_Toc4033"/>
      <w:bookmarkStart w:id="424" w:name="_Toc9668"/>
      <w:bookmarkStart w:id="425" w:name="_Toc30705"/>
      <w:bookmarkStart w:id="426" w:name="_Toc318213159"/>
      <w:bookmarkStart w:id="427" w:name="_Toc19548047"/>
      <w:r>
        <w:rPr>
          <w:rFonts w:hint="eastAsia" w:ascii="Cambria" w:hAnsi="Cambria"/>
          <w:b/>
          <w:bCs/>
          <w:color w:val="auto"/>
          <w:sz w:val="28"/>
          <w:szCs w:val="28"/>
          <w:highlight w:val="none"/>
        </w:rPr>
        <w:t>4. 需要监理人提供的设备</w:t>
      </w:r>
      <w:bookmarkEnd w:id="420"/>
      <w:bookmarkEnd w:id="421"/>
      <w:bookmarkEnd w:id="422"/>
      <w:bookmarkEnd w:id="423"/>
      <w:bookmarkEnd w:id="424"/>
      <w:bookmarkEnd w:id="425"/>
      <w:bookmarkEnd w:id="426"/>
      <w:bookmarkEnd w:id="427"/>
    </w:p>
    <w:p>
      <w:pPr>
        <w:pStyle w:val="24"/>
        <w:autoSpaceDE w:val="0"/>
        <w:autoSpaceDN w:val="0"/>
        <w:spacing w:line="360" w:lineRule="auto"/>
        <w:ind w:left="90" w:leftChars="43" w:firstLine="420" w:firstLineChars="200"/>
        <w:jc w:val="left"/>
        <w:rPr>
          <w:rFonts w:hAnsi="宋体"/>
          <w:color w:val="auto"/>
          <w:kern w:val="0"/>
          <w:szCs w:val="21"/>
          <w:highlight w:val="none"/>
        </w:rPr>
      </w:pPr>
      <w:r>
        <w:rPr>
          <w:rFonts w:hAnsi="宋体"/>
          <w:color w:val="auto"/>
          <w:kern w:val="0"/>
          <w:szCs w:val="21"/>
          <w:highlight w:val="none"/>
        </w:rPr>
        <w:t xml:space="preserve">4.1 </w:t>
      </w:r>
      <w:r>
        <w:rPr>
          <w:rFonts w:hint="eastAsia" w:hAnsi="宋体"/>
          <w:color w:val="auto"/>
          <w:kern w:val="0"/>
          <w:szCs w:val="21"/>
          <w:highlight w:val="none"/>
        </w:rPr>
        <w:t>监理人员的办公用房、生活用房</w:t>
      </w:r>
      <w:r>
        <w:rPr>
          <w:rFonts w:hint="eastAsia" w:hAnsi="宋体"/>
          <w:color w:val="auto"/>
          <w:kern w:val="0"/>
          <w:szCs w:val="21"/>
          <w:highlight w:val="none"/>
          <w:lang w:eastAsia="zh-CN"/>
        </w:rPr>
        <w:t>、</w:t>
      </w:r>
      <w:r>
        <w:rPr>
          <w:rFonts w:hint="eastAsia" w:hAnsi="宋体"/>
          <w:color w:val="auto"/>
          <w:kern w:val="0"/>
          <w:szCs w:val="21"/>
          <w:highlight w:val="none"/>
        </w:rPr>
        <w:t>生活用品、交通工具、通讯、办公用品、监理用具、保险由监理人自行解决，在投标报价时应考虑此费用。</w:t>
      </w:r>
    </w:p>
    <w:p>
      <w:pPr>
        <w:pStyle w:val="24"/>
        <w:ind w:firstLine="525" w:firstLineChars="250"/>
        <w:rPr>
          <w:color w:val="auto"/>
          <w:highlight w:val="none"/>
        </w:rPr>
      </w:pPr>
      <w:r>
        <w:rPr>
          <w:color w:val="auto"/>
          <w:highlight w:val="none"/>
        </w:rPr>
        <w:t xml:space="preserve">4.2 </w:t>
      </w:r>
      <w:r>
        <w:rPr>
          <w:rFonts w:hint="eastAsia"/>
          <w:color w:val="auto"/>
          <w:highlight w:val="none"/>
          <w:lang w:eastAsia="zh-CN"/>
        </w:rPr>
        <w:t>监理</w:t>
      </w:r>
      <w:r>
        <w:rPr>
          <w:rFonts w:hint="eastAsia"/>
          <w:color w:val="auto"/>
          <w:highlight w:val="none"/>
        </w:rPr>
        <w:t>人应根据本工程的特点提供必要的监理仪器。</w:t>
      </w:r>
    </w:p>
    <w:p>
      <w:pPr>
        <w:ind w:firstLine="422"/>
        <w:rPr>
          <w:color w:val="auto"/>
          <w:sz w:val="20"/>
          <w:highlight w:val="none"/>
        </w:rPr>
      </w:pPr>
      <w:r>
        <w:rPr>
          <w:rFonts w:hint="eastAsia"/>
          <w:color w:val="auto"/>
          <w:sz w:val="20"/>
          <w:highlight w:val="none"/>
        </w:rPr>
        <w:t xml:space="preserve"> </w:t>
      </w:r>
      <w:bookmarkEnd w:id="403"/>
      <w:r>
        <w:rPr>
          <w:color w:val="auto"/>
          <w:highlight w:val="none"/>
        </w:rPr>
        <w:br w:type="page"/>
      </w:r>
    </w:p>
    <w:p>
      <w:pPr>
        <w:pStyle w:val="3"/>
        <w:numPr>
          <w:ilvl w:val="0"/>
          <w:numId w:val="4"/>
        </w:numPr>
        <w:jc w:val="center"/>
        <w:rPr>
          <w:rFonts w:hint="eastAsia" w:ascii="宋体" w:hAnsi="宋体" w:cs="宋体"/>
          <w:color w:val="auto"/>
          <w:szCs w:val="28"/>
          <w:highlight w:val="none"/>
        </w:rPr>
      </w:pPr>
      <w:bookmarkStart w:id="428" w:name="_Toc11072"/>
      <w:bookmarkStart w:id="429" w:name="_Toc14595"/>
      <w:bookmarkStart w:id="430" w:name="_Toc2692"/>
      <w:bookmarkStart w:id="431" w:name="_Toc22473"/>
      <w:bookmarkStart w:id="432" w:name="_Toc11894"/>
      <w:bookmarkStart w:id="433" w:name="_Toc12244"/>
      <w:bookmarkStart w:id="434" w:name="_Toc19548048"/>
      <w:r>
        <w:rPr>
          <w:rFonts w:hint="eastAsia" w:ascii="宋体" w:hAnsi="宋体" w:cs="宋体"/>
          <w:color w:val="auto"/>
          <w:szCs w:val="28"/>
          <w:highlight w:val="none"/>
        </w:rPr>
        <w:t xml:space="preserve"> </w:t>
      </w:r>
      <w:bookmarkStart w:id="435" w:name="_Toc24773"/>
      <w:r>
        <w:rPr>
          <w:rFonts w:hint="eastAsia" w:ascii="宋体" w:hAnsi="宋体" w:cs="宋体"/>
          <w:color w:val="auto"/>
          <w:szCs w:val="28"/>
          <w:highlight w:val="none"/>
        </w:rPr>
        <w:t>图纸</w:t>
      </w:r>
      <w:bookmarkEnd w:id="428"/>
      <w:bookmarkEnd w:id="429"/>
      <w:bookmarkEnd w:id="430"/>
      <w:bookmarkEnd w:id="431"/>
      <w:bookmarkEnd w:id="432"/>
      <w:bookmarkEnd w:id="433"/>
      <w:bookmarkEnd w:id="434"/>
      <w:bookmarkEnd w:id="435"/>
    </w:p>
    <w:p>
      <w:pPr>
        <w:jc w:val="center"/>
        <w:rPr>
          <w:rFonts w:hint="eastAsia"/>
          <w:b/>
          <w:bCs/>
          <w:color w:val="auto"/>
          <w:sz w:val="32"/>
          <w:szCs w:val="32"/>
          <w:highlight w:val="none"/>
        </w:rPr>
      </w:pPr>
      <w:r>
        <w:rPr>
          <w:color w:val="auto"/>
          <w:sz w:val="32"/>
          <w:szCs w:val="32"/>
          <w:highlight w:val="none"/>
        </w:rPr>
        <w:t xml:space="preserve"> </w:t>
      </w:r>
      <w:bookmarkStart w:id="436" w:name="_Toc351059321"/>
      <w:bookmarkStart w:id="437" w:name="_Toc351040177"/>
      <w:r>
        <w:rPr>
          <w:rFonts w:hint="eastAsia"/>
          <w:b/>
          <w:bCs/>
          <w:color w:val="auto"/>
          <w:sz w:val="32"/>
          <w:szCs w:val="32"/>
          <w:highlight w:val="none"/>
        </w:rPr>
        <w:t>（</w:t>
      </w:r>
      <w:r>
        <w:rPr>
          <w:rFonts w:hint="eastAsia" w:hAnsi="宋体"/>
          <w:b/>
          <w:bCs/>
          <w:color w:val="auto"/>
          <w:sz w:val="32"/>
          <w:highlight w:val="none"/>
        </w:rPr>
        <w:t>另册</w:t>
      </w:r>
      <w:r>
        <w:rPr>
          <w:rFonts w:hint="eastAsia"/>
          <w:b/>
          <w:bCs/>
          <w:color w:val="auto"/>
          <w:sz w:val="32"/>
          <w:szCs w:val="32"/>
          <w:highlight w:val="none"/>
        </w:rPr>
        <w:t>）</w:t>
      </w:r>
      <w:bookmarkEnd w:id="436"/>
      <w:bookmarkEnd w:id="437"/>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pStyle w:val="3"/>
        <w:numPr>
          <w:ilvl w:val="0"/>
          <w:numId w:val="4"/>
        </w:numPr>
        <w:rPr>
          <w:rFonts w:ascii="宋体" w:hAnsi="宋体" w:cs="宋体"/>
          <w:color w:val="auto"/>
          <w:szCs w:val="28"/>
          <w:highlight w:val="none"/>
        </w:rPr>
      </w:pPr>
      <w:bookmarkStart w:id="438" w:name="_Toc24668"/>
      <w:bookmarkStart w:id="439" w:name="_Toc471482369"/>
      <w:bookmarkStart w:id="440" w:name="_Toc26580"/>
      <w:bookmarkStart w:id="441" w:name="_Toc1897"/>
      <w:bookmarkStart w:id="442" w:name="_Toc9606"/>
      <w:bookmarkStart w:id="443" w:name="_Toc15172"/>
      <w:bookmarkStart w:id="444" w:name="_Toc16386"/>
      <w:bookmarkStart w:id="445" w:name="_Toc2349"/>
      <w:bookmarkStart w:id="446" w:name="_Toc32280"/>
      <w:bookmarkStart w:id="447" w:name="_Toc6779"/>
      <w:bookmarkStart w:id="448" w:name="_Toc19345"/>
      <w:bookmarkStart w:id="449" w:name="_Toc29766"/>
      <w:bookmarkStart w:id="450" w:name="_Toc461525321"/>
      <w:bookmarkStart w:id="451" w:name="_Toc27378"/>
      <w:bookmarkStart w:id="452" w:name="_Toc20710"/>
      <w:bookmarkStart w:id="453" w:name="_Toc26692"/>
      <w:bookmarkStart w:id="454" w:name="_Toc29471"/>
      <w:bookmarkStart w:id="455" w:name="_Toc23661"/>
      <w:r>
        <w:rPr>
          <w:rFonts w:hint="eastAsia" w:ascii="宋体" w:hAnsi="宋体" w:cs="宋体"/>
          <w:color w:val="auto"/>
          <w:szCs w:val="28"/>
          <w:highlight w:val="none"/>
          <w:lang w:val="en-US" w:eastAsia="zh-CN"/>
        </w:rPr>
        <w:t xml:space="preserve"> </w:t>
      </w:r>
      <w:bookmarkStart w:id="456" w:name="_Toc13393"/>
      <w:bookmarkStart w:id="457" w:name="_Toc8284"/>
      <w:r>
        <w:rPr>
          <w:rFonts w:hint="eastAsia" w:ascii="宋体" w:hAnsi="宋体" w:cs="宋体"/>
          <w:color w:val="auto"/>
          <w:szCs w:val="28"/>
          <w:highlight w:val="none"/>
        </w:rPr>
        <w:t>比选申请文件</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Start w:id="458" w:name="_Toc114052391"/>
    </w:p>
    <w:p>
      <w:pPr>
        <w:jc w:val="center"/>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 xml:space="preserve"> 项目比选申请文件</w:t>
      </w:r>
    </w:p>
    <w:p>
      <w:pPr>
        <w:pStyle w:val="13"/>
        <w:jc w:val="center"/>
        <w:rPr>
          <w:b w:val="0"/>
          <w:bCs w:val="0"/>
          <w:color w:val="auto"/>
          <w:sz w:val="28"/>
          <w:szCs w:val="28"/>
          <w:highlight w:val="none"/>
        </w:rPr>
      </w:pPr>
      <w:bookmarkStart w:id="459" w:name="_Toc31417"/>
      <w:bookmarkStart w:id="460" w:name="_Toc24727"/>
      <w:bookmarkStart w:id="461" w:name="_Toc6045"/>
      <w:bookmarkStart w:id="462" w:name="_Toc10669"/>
      <w:bookmarkStart w:id="463" w:name="_Toc12677"/>
      <w:bookmarkStart w:id="464" w:name="_Toc22529"/>
      <w:bookmarkStart w:id="465" w:name="_Toc461525322"/>
      <w:bookmarkStart w:id="466" w:name="_Toc16428"/>
      <w:bookmarkStart w:id="467" w:name="_Toc18503"/>
      <w:r>
        <w:rPr>
          <w:b w:val="0"/>
          <w:bCs w:val="0"/>
          <w:color w:val="auto"/>
          <w:sz w:val="28"/>
          <w:szCs w:val="28"/>
          <w:highlight w:val="none"/>
        </w:rPr>
        <w:t>资格审查部分</w:t>
      </w:r>
      <w:bookmarkEnd w:id="459"/>
      <w:bookmarkEnd w:id="460"/>
      <w:bookmarkEnd w:id="461"/>
      <w:bookmarkEnd w:id="462"/>
      <w:bookmarkEnd w:id="463"/>
      <w:bookmarkEnd w:id="464"/>
      <w:bookmarkEnd w:id="465"/>
      <w:bookmarkEnd w:id="466"/>
      <w:bookmarkEnd w:id="467"/>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w:t>
      </w:r>
      <w:bookmarkEnd w:id="458"/>
      <w:r>
        <w:rPr>
          <w:rFonts w:hint="eastAsia" w:ascii="宋体" w:hAnsi="宋体" w:cs="宋体"/>
          <w:color w:val="auto"/>
          <w:sz w:val="28"/>
          <w:szCs w:val="28"/>
          <w:highlight w:val="none"/>
        </w:rPr>
        <w:t>请</w:t>
      </w:r>
      <w:bookmarkStart w:id="468" w:name="_Toc114052392"/>
      <w:r>
        <w:rPr>
          <w:rFonts w:hint="eastAsia" w:ascii="宋体" w:hAnsi="宋体" w:cs="宋体"/>
          <w:color w:val="auto"/>
          <w:sz w:val="28"/>
          <w:szCs w:val="28"/>
          <w:highlight w:val="none"/>
        </w:rPr>
        <w:t xml:space="preserve">人：                 </w:t>
      </w:r>
      <w:bookmarkEnd w:id="468"/>
      <w:r>
        <w:rPr>
          <w:rFonts w:hint="eastAsia" w:ascii="宋体" w:hAnsi="宋体" w:cs="宋体"/>
          <w:color w:val="auto"/>
          <w:sz w:val="28"/>
          <w:szCs w:val="28"/>
          <w:highlight w:val="none"/>
        </w:rPr>
        <w:t xml:space="preserve">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w:t>
      </w:r>
      <w:bookmarkStart w:id="469" w:name="_Toc333307122"/>
      <w:r>
        <w:rPr>
          <w:rFonts w:hint="eastAsia" w:ascii="宋体" w:hAnsi="宋体" w:cs="宋体"/>
          <w:color w:val="auto"/>
          <w:sz w:val="28"/>
          <w:szCs w:val="28"/>
          <w:highlight w:val="none"/>
        </w:rPr>
        <w:t>理人</w:t>
      </w:r>
      <w:bookmarkEnd w:id="469"/>
      <w:r>
        <w:rPr>
          <w:rFonts w:hint="eastAsia" w:ascii="宋体" w:hAnsi="宋体" w:cs="宋体"/>
          <w:color w:val="auto"/>
          <w:sz w:val="28"/>
          <w:szCs w:val="28"/>
          <w:highlight w:val="none"/>
        </w:rPr>
        <w:t>：（签字或盖章）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firstLine="1260" w:firstLineChars="450"/>
        <w:jc w:val="left"/>
        <w:rPr>
          <w:rFonts w:ascii="宋体" w:hAnsi="宋体" w:cs="宋体"/>
          <w:color w:val="auto"/>
          <w:sz w:val="28"/>
          <w:szCs w:val="28"/>
          <w:highlight w:val="none"/>
        </w:rPr>
      </w:pPr>
      <w:r>
        <w:rPr>
          <w:rFonts w:hint="eastAsia" w:ascii="宋体" w:hAnsi="宋体" w:cs="宋体"/>
          <w:color w:val="auto"/>
          <w:sz w:val="28"/>
          <w:szCs w:val="28"/>
          <w:highlight w:val="none"/>
        </w:rPr>
        <w:t>年    月    日</w:t>
      </w:r>
    </w:p>
    <w:p>
      <w:pPr>
        <w:ind w:right="753" w:firstLine="1260" w:firstLineChars="450"/>
        <w:jc w:val="left"/>
        <w:rPr>
          <w:rFonts w:ascii="宋体" w:hAnsi="宋体" w:cs="宋体"/>
          <w:color w:val="auto"/>
          <w:sz w:val="28"/>
          <w:szCs w:val="28"/>
          <w:highlight w:val="none"/>
        </w:rPr>
      </w:pPr>
    </w:p>
    <w:p>
      <w:pPr>
        <w:ind w:right="753" w:firstLine="1260" w:firstLineChars="450"/>
        <w:jc w:val="left"/>
        <w:rPr>
          <w:rFonts w:ascii="宋体" w:hAnsi="宋体" w:cs="宋体"/>
          <w:color w:val="auto"/>
          <w:sz w:val="28"/>
          <w:szCs w:val="28"/>
          <w:highlight w:val="none"/>
        </w:rPr>
      </w:pPr>
    </w:p>
    <w:p>
      <w:pPr>
        <w:pStyle w:val="2"/>
        <w:rPr>
          <w:color w:val="auto"/>
          <w:highlight w:val="none"/>
        </w:rPr>
      </w:pPr>
      <w:bookmarkStart w:id="470" w:name="_Toc7849"/>
      <w:bookmarkStart w:id="471" w:name="_Toc461525323"/>
    </w:p>
    <w:p>
      <w:pPr>
        <w:pStyle w:val="4"/>
        <w:jc w:val="center"/>
        <w:rPr>
          <w:rFonts w:hint="eastAsia"/>
          <w:b/>
          <w:color w:val="auto"/>
          <w:highlight w:val="none"/>
        </w:rPr>
      </w:pPr>
      <w:bookmarkStart w:id="472" w:name="_Toc13042"/>
      <w:bookmarkStart w:id="473" w:name="_Toc24695"/>
      <w:bookmarkStart w:id="474" w:name="_Toc8930"/>
      <w:bookmarkStart w:id="475" w:name="_Toc17090"/>
      <w:bookmarkStart w:id="476" w:name="_Toc9905"/>
      <w:bookmarkStart w:id="477" w:name="_Toc7514"/>
      <w:bookmarkStart w:id="478" w:name="_Toc28967"/>
      <w:bookmarkStart w:id="479" w:name="_Toc7031"/>
      <w:bookmarkStart w:id="480" w:name="_Toc13726"/>
      <w:bookmarkStart w:id="481" w:name="_Toc22776"/>
      <w:bookmarkStart w:id="482" w:name="_Toc16042"/>
      <w:bookmarkStart w:id="483" w:name="_Toc23201"/>
      <w:bookmarkStart w:id="484" w:name="_Toc471482370"/>
      <w:bookmarkStart w:id="485" w:name="_Toc16191"/>
      <w:bookmarkStart w:id="486" w:name="_Toc24578"/>
      <w:bookmarkStart w:id="487" w:name="_Toc29495"/>
      <w:r>
        <w:rPr>
          <w:rFonts w:hint="eastAsia"/>
          <w:b/>
          <w:color w:val="auto"/>
          <w:highlight w:val="none"/>
        </w:rPr>
        <w:t>一、资格审查文件目录</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numPr>
          <w:ilvl w:val="0"/>
          <w:numId w:val="5"/>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诚信声明（原件）</w:t>
      </w:r>
    </w:p>
    <w:p>
      <w:pPr>
        <w:numPr>
          <w:ilvl w:val="0"/>
          <w:numId w:val="5"/>
        </w:numPr>
        <w:tabs>
          <w:tab w:val="left" w:pos="826"/>
        </w:tabs>
        <w:spacing w:line="560" w:lineRule="exact"/>
        <w:rPr>
          <w:rFonts w:ascii="宋体" w:hAnsi="宋体"/>
          <w:color w:val="auto"/>
          <w:sz w:val="28"/>
          <w:szCs w:val="28"/>
          <w:highlight w:val="none"/>
        </w:rPr>
      </w:pPr>
      <w:r>
        <w:rPr>
          <w:rFonts w:hint="eastAsia" w:ascii="宋体" w:hAnsi="宋体"/>
          <w:color w:val="auto"/>
          <w:sz w:val="28"/>
          <w:szCs w:val="28"/>
          <w:highlight w:val="none"/>
        </w:rPr>
        <w:t>法定代表人资格证明书（原件）</w:t>
      </w:r>
    </w:p>
    <w:p>
      <w:pPr>
        <w:numPr>
          <w:ilvl w:val="0"/>
          <w:numId w:val="5"/>
        </w:numPr>
        <w:tabs>
          <w:tab w:val="left" w:pos="826"/>
        </w:tabs>
        <w:spacing w:line="560" w:lineRule="exact"/>
        <w:rPr>
          <w:rFonts w:ascii="宋体" w:hAnsi="宋体"/>
          <w:color w:val="auto"/>
          <w:sz w:val="28"/>
          <w:szCs w:val="28"/>
          <w:highlight w:val="none"/>
        </w:rPr>
      </w:pPr>
      <w:r>
        <w:rPr>
          <w:rFonts w:hint="eastAsia" w:ascii="宋体" w:hAnsi="宋体"/>
          <w:color w:val="auto"/>
          <w:sz w:val="28"/>
          <w:szCs w:val="28"/>
          <w:highlight w:val="none"/>
        </w:rPr>
        <w:t>法定代表人身份证明文件（提供复印件</w:t>
      </w:r>
      <w:r>
        <w:rPr>
          <w:rFonts w:hint="eastAsia" w:ascii="宋体" w:hAnsi="宋体"/>
          <w:color w:val="auto"/>
          <w:kern w:val="0"/>
          <w:sz w:val="28"/>
          <w:szCs w:val="28"/>
          <w:highlight w:val="none"/>
        </w:rPr>
        <w:t>加盖法人单位公章</w:t>
      </w:r>
      <w:r>
        <w:rPr>
          <w:rFonts w:hint="eastAsia" w:ascii="宋体" w:hAnsi="宋体"/>
          <w:color w:val="auto"/>
          <w:sz w:val="28"/>
          <w:szCs w:val="28"/>
          <w:highlight w:val="none"/>
        </w:rPr>
        <w:t>）</w:t>
      </w:r>
    </w:p>
    <w:p>
      <w:pPr>
        <w:numPr>
          <w:ilvl w:val="0"/>
          <w:numId w:val="5"/>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比选申请文件签署授权委托书（原件）</w:t>
      </w:r>
    </w:p>
    <w:p>
      <w:pPr>
        <w:numPr>
          <w:ilvl w:val="0"/>
          <w:numId w:val="5"/>
        </w:numPr>
        <w:tabs>
          <w:tab w:val="left" w:pos="826"/>
        </w:tabs>
        <w:spacing w:line="560" w:lineRule="exact"/>
        <w:rPr>
          <w:rFonts w:ascii="宋体" w:hAnsi="宋体"/>
          <w:color w:val="auto"/>
          <w:kern w:val="0"/>
          <w:sz w:val="28"/>
          <w:szCs w:val="28"/>
          <w:highlight w:val="none"/>
        </w:rPr>
      </w:pPr>
      <w:r>
        <w:rPr>
          <w:rFonts w:hint="eastAsia" w:ascii="宋体" w:hAnsi="宋体"/>
          <w:color w:val="auto"/>
          <w:kern w:val="0"/>
          <w:sz w:val="28"/>
          <w:szCs w:val="28"/>
          <w:highlight w:val="none"/>
        </w:rPr>
        <w:t>授权代理人身份证明文件（提供复印件加盖法人单位公章）</w:t>
      </w:r>
    </w:p>
    <w:p>
      <w:pPr>
        <w:numPr>
          <w:ilvl w:val="0"/>
          <w:numId w:val="5"/>
        </w:numPr>
        <w:tabs>
          <w:tab w:val="left" w:pos="826"/>
        </w:tabs>
        <w:spacing w:line="560" w:lineRule="exact"/>
        <w:rPr>
          <w:rFonts w:hint="eastAsia" w:ascii="宋体" w:hAnsi="宋体"/>
          <w:b w:val="0"/>
          <w:color w:val="auto"/>
          <w:kern w:val="0"/>
          <w:sz w:val="28"/>
          <w:szCs w:val="28"/>
          <w:highlight w:val="none"/>
        </w:rPr>
      </w:pPr>
      <w:r>
        <w:rPr>
          <w:rFonts w:hint="eastAsia" w:ascii="宋体" w:hAnsi="宋体" w:cstheme="minorBidi"/>
          <w:color w:val="auto"/>
          <w:kern w:val="0"/>
          <w:sz w:val="28"/>
          <w:szCs w:val="28"/>
          <w:highlight w:val="none"/>
        </w:rPr>
        <w:t>营业执照复印件</w:t>
      </w:r>
      <w:r>
        <w:rPr>
          <w:rFonts w:hint="eastAsia" w:ascii="宋体" w:hAnsi="宋体" w:cstheme="minorBidi"/>
          <w:color w:val="auto"/>
          <w:kern w:val="0"/>
          <w:sz w:val="28"/>
          <w:szCs w:val="28"/>
          <w:highlight w:val="none"/>
          <w:lang w:eastAsia="zh-CN"/>
        </w:rPr>
        <w:t>、</w:t>
      </w:r>
      <w:r>
        <w:rPr>
          <w:rFonts w:hint="eastAsia" w:ascii="宋体" w:hAnsi="宋体" w:cstheme="minorBidi"/>
          <w:color w:val="auto"/>
          <w:kern w:val="0"/>
          <w:sz w:val="28"/>
          <w:szCs w:val="28"/>
          <w:highlight w:val="none"/>
        </w:rPr>
        <w:t>税务登记证复印件</w:t>
      </w:r>
      <w:r>
        <w:rPr>
          <w:rFonts w:hint="eastAsia" w:ascii="宋体" w:hAnsi="宋体" w:cstheme="minorBidi"/>
          <w:color w:val="auto"/>
          <w:kern w:val="0"/>
          <w:sz w:val="28"/>
          <w:szCs w:val="28"/>
          <w:highlight w:val="none"/>
          <w:lang w:eastAsia="zh-CN"/>
        </w:rPr>
        <w:t>（</w:t>
      </w:r>
      <w:r>
        <w:rPr>
          <w:rFonts w:hint="eastAsia" w:ascii="宋体" w:hAnsi="宋体" w:cstheme="minorBidi"/>
          <w:color w:val="auto"/>
          <w:kern w:val="0"/>
          <w:sz w:val="28"/>
          <w:szCs w:val="28"/>
          <w:highlight w:val="none"/>
        </w:rPr>
        <w:t>如已办理三证合一则不需提供）</w:t>
      </w:r>
      <w:r>
        <w:rPr>
          <w:rFonts w:hint="eastAsia" w:ascii="宋体" w:hAnsi="宋体" w:cstheme="minorBidi"/>
          <w:color w:val="auto"/>
          <w:kern w:val="0"/>
          <w:sz w:val="28"/>
          <w:szCs w:val="28"/>
          <w:highlight w:val="none"/>
          <w:lang w:eastAsia="zh-CN"/>
        </w:rPr>
        <w:t>、</w:t>
      </w:r>
      <w:r>
        <w:rPr>
          <w:rFonts w:hint="eastAsia" w:ascii="宋体" w:hAnsi="宋体" w:cstheme="minorBidi"/>
          <w:color w:val="auto"/>
          <w:kern w:val="0"/>
          <w:sz w:val="28"/>
          <w:szCs w:val="28"/>
          <w:highlight w:val="none"/>
        </w:rPr>
        <w:t>组织机构代码证复印件（ 如已办理三证合一则不需提供）（加盖单位公章）</w:t>
      </w:r>
    </w:p>
    <w:p>
      <w:pPr>
        <w:numPr>
          <w:ilvl w:val="0"/>
          <w:numId w:val="5"/>
        </w:numPr>
        <w:tabs>
          <w:tab w:val="left" w:pos="826"/>
        </w:tabs>
        <w:spacing w:line="56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rPr>
        <w:t>企业资质证书</w:t>
      </w:r>
      <w:r>
        <w:rPr>
          <w:rFonts w:hint="eastAsia" w:ascii="宋体" w:hAnsi="宋体" w:cstheme="minorBidi"/>
          <w:color w:val="auto"/>
          <w:kern w:val="0"/>
          <w:sz w:val="28"/>
          <w:szCs w:val="28"/>
          <w:highlight w:val="none"/>
        </w:rPr>
        <w:t>复印件（加盖单位公章）</w:t>
      </w:r>
    </w:p>
    <w:p>
      <w:pPr>
        <w:numPr>
          <w:ilvl w:val="0"/>
          <w:numId w:val="5"/>
        </w:numPr>
        <w:tabs>
          <w:tab w:val="left" w:pos="826"/>
        </w:tabs>
        <w:spacing w:line="56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rPr>
        <w:t>联合体协议书原件扫描件（如有）</w:t>
      </w:r>
    </w:p>
    <w:p>
      <w:pPr>
        <w:numPr>
          <w:ilvl w:val="0"/>
          <w:numId w:val="5"/>
        </w:numPr>
        <w:tabs>
          <w:tab w:val="left" w:pos="826"/>
        </w:tabs>
        <w:spacing w:line="56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lang w:eastAsia="zh-CN"/>
        </w:rPr>
        <w:t>2</w:t>
      </w:r>
      <w:r>
        <w:rPr>
          <w:rFonts w:hint="eastAsia" w:ascii="宋体" w:hAnsi="宋体" w:cstheme="minorBidi"/>
          <w:color w:val="auto"/>
          <w:kern w:val="0"/>
          <w:sz w:val="28"/>
          <w:szCs w:val="28"/>
          <w:highlight w:val="none"/>
          <w:lang w:val="en-US" w:eastAsia="zh-CN"/>
        </w:rPr>
        <w:t>022年度南宁市本级政府投资工程监理项目定点监理单位公开征集入围供应商</w:t>
      </w:r>
      <w:r>
        <w:rPr>
          <w:rFonts w:hint="eastAsia" w:ascii="宋体" w:hAnsi="宋体" w:cstheme="minorBidi"/>
          <w:color w:val="auto"/>
          <w:kern w:val="0"/>
          <w:sz w:val="28"/>
          <w:szCs w:val="28"/>
          <w:highlight w:val="none"/>
          <w:u w:val="none"/>
          <w:lang w:val="en-US" w:eastAsia="zh-CN"/>
        </w:rPr>
        <w:t>（市政公用工程）证明材料</w:t>
      </w:r>
    </w:p>
    <w:p>
      <w:pPr>
        <w:tabs>
          <w:tab w:val="left" w:pos="826"/>
        </w:tabs>
        <w:spacing w:line="560" w:lineRule="exact"/>
        <w:ind w:left="426"/>
        <w:rPr>
          <w:rFonts w:ascii="宋体" w:hAnsi="宋体"/>
          <w:i/>
          <w:color w:val="auto"/>
          <w:kern w:val="0"/>
          <w:sz w:val="28"/>
          <w:szCs w:val="28"/>
          <w:highlight w:val="none"/>
        </w:rPr>
      </w:pPr>
      <w:r>
        <w:rPr>
          <w:rFonts w:ascii="宋体" w:hAnsi="宋体"/>
          <w:i/>
          <w:color w:val="auto"/>
          <w:kern w:val="0"/>
          <w:sz w:val="28"/>
          <w:szCs w:val="28"/>
          <w:highlight w:val="none"/>
        </w:rPr>
        <w:t>10、其他</w:t>
      </w:r>
      <w:r>
        <w:rPr>
          <w:rFonts w:hint="eastAsia" w:ascii="宋体" w:hAnsi="宋体"/>
          <w:i/>
          <w:color w:val="auto"/>
          <w:kern w:val="0"/>
          <w:sz w:val="28"/>
          <w:szCs w:val="28"/>
          <w:highlight w:val="none"/>
        </w:rPr>
        <w:t>……</w:t>
      </w:r>
    </w:p>
    <w:p>
      <w:pPr>
        <w:ind w:right="753"/>
        <w:jc w:val="left"/>
        <w:rPr>
          <w:rFonts w:ascii="宋体" w:hAnsi="宋体" w:cs="宋体"/>
          <w:color w:val="auto"/>
          <w:sz w:val="28"/>
          <w:szCs w:val="28"/>
          <w:highlight w:val="none"/>
        </w:rPr>
      </w:pPr>
    </w:p>
    <w:p>
      <w:pPr>
        <w:ind w:right="-21"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spacing w:line="560" w:lineRule="exact"/>
        <w:ind w:firstLine="420" w:firstLineChars="200"/>
        <w:jc w:val="center"/>
        <w:rPr>
          <w:rFonts w:ascii="宋体" w:hAnsi="宋体"/>
          <w:b/>
          <w:bCs/>
          <w:color w:val="auto"/>
          <w:sz w:val="28"/>
          <w:szCs w:val="28"/>
          <w:highlight w:val="none"/>
        </w:rPr>
      </w:pPr>
      <w:bookmarkStart w:id="488" w:name="_Toc27423"/>
      <w:bookmarkStart w:id="489" w:name="_Toc1582"/>
      <w:bookmarkStart w:id="490" w:name="_Toc461525324"/>
      <w:r>
        <w:rPr>
          <w:color w:val="auto"/>
          <w:highlight w:val="none"/>
        </w:rPr>
        <w:br w:type="page"/>
      </w:r>
      <w:bookmarkEnd w:id="488"/>
      <w:bookmarkEnd w:id="489"/>
      <w:bookmarkEnd w:id="490"/>
      <w:bookmarkStart w:id="491" w:name="_Toc24466"/>
      <w:bookmarkStart w:id="492" w:name="_Toc15071"/>
      <w:bookmarkStart w:id="493" w:name="_Toc18804"/>
      <w:bookmarkStart w:id="494" w:name="_Toc14714"/>
      <w:bookmarkStart w:id="495" w:name="_Toc461525329"/>
      <w:bookmarkStart w:id="496" w:name="_Toc26924"/>
      <w:bookmarkStart w:id="497" w:name="_Toc17531"/>
      <w:bookmarkStart w:id="498" w:name="_Toc30157"/>
      <w:bookmarkStart w:id="499" w:name="_Toc29655"/>
      <w:bookmarkStart w:id="500" w:name="_Toc29347"/>
      <w:bookmarkStart w:id="501" w:name="_Toc15465"/>
      <w:bookmarkStart w:id="502" w:name="_Toc32325"/>
      <w:r>
        <w:rPr>
          <w:rFonts w:hint="eastAsia" w:ascii="宋体" w:hAnsi="宋体"/>
          <w:b/>
          <w:bCs/>
          <w:color w:val="auto"/>
          <w:sz w:val="28"/>
          <w:szCs w:val="28"/>
          <w:highlight w:val="none"/>
        </w:rPr>
        <w:t>1</w:t>
      </w:r>
      <w:r>
        <w:rPr>
          <w:rFonts w:ascii="宋体" w:hAnsi="宋体"/>
          <w:b/>
          <w:bCs/>
          <w:color w:val="auto"/>
          <w:sz w:val="28"/>
          <w:szCs w:val="28"/>
          <w:highlight w:val="none"/>
        </w:rPr>
        <w:t>、</w:t>
      </w:r>
      <w:r>
        <w:rPr>
          <w:rFonts w:hint="eastAsia" w:ascii="宋体" w:hAnsi="宋体"/>
          <w:b/>
          <w:bCs/>
          <w:color w:val="auto"/>
          <w:sz w:val="28"/>
          <w:szCs w:val="28"/>
          <w:highlight w:val="none"/>
        </w:rPr>
        <w:t>诚信声明</w:t>
      </w:r>
    </w:p>
    <w:p>
      <w:pPr>
        <w:spacing w:line="560" w:lineRule="exact"/>
        <w:ind w:firstLine="420" w:firstLineChars="200"/>
        <w:rPr>
          <w:rFonts w:ascii="宋体" w:hAnsi="宋体"/>
          <w:color w:val="auto"/>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本人       （法定代表人、身份证号码              ）郑重声明：</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rPr>
        <w:tab/>
      </w:r>
      <w:r>
        <w:rPr>
          <w:rFonts w:hint="eastAsia" w:ascii="宋体" w:hAnsi="宋体"/>
          <w:color w:val="auto"/>
          <w:sz w:val="24"/>
          <w:highlight w:val="none"/>
        </w:rPr>
        <w:t>本企业参加</w:t>
      </w:r>
      <w:r>
        <w:rPr>
          <w:rFonts w:hint="eastAsia" w:ascii="宋体" w:hAnsi="宋体"/>
          <w:b/>
          <w:color w:val="auto"/>
          <w:sz w:val="24"/>
          <w:highlight w:val="none"/>
          <w:u w:val="single"/>
        </w:rPr>
        <w:t xml:space="preserve">                项目</w:t>
      </w:r>
      <w:r>
        <w:rPr>
          <w:rFonts w:hint="eastAsia" w:ascii="宋体" w:hAnsi="宋体"/>
          <w:color w:val="auto"/>
          <w:sz w:val="24"/>
          <w:highlight w:val="none"/>
        </w:rPr>
        <w:t>采购项目比选活动所提交的所有资料、填写数据及所包含的附件资料内容是真实的、合法的、有效的；</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rPr>
        <w:tab/>
      </w:r>
      <w:r>
        <w:rPr>
          <w:rFonts w:hint="eastAsia" w:ascii="宋体" w:hAnsi="宋体"/>
          <w:color w:val="auto"/>
          <w:sz w:val="24"/>
          <w:highlight w:val="none"/>
        </w:rPr>
        <w:t>本企业未被国家、广西壮族自治区、南宁市相关行政主管部门通报停止投标活动，无犯罪行贿记录；</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rPr>
        <w:tab/>
      </w:r>
      <w:r>
        <w:rPr>
          <w:rFonts w:hint="eastAsia" w:ascii="宋体" w:hAnsi="宋体"/>
          <w:color w:val="auto"/>
          <w:sz w:val="24"/>
          <w:highlight w:val="none"/>
        </w:rPr>
        <w:t>同时，我在此所作的声明也是真实有效的，并愿意对在比选过程中有关部门的调查结果承担责任；</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rPr>
        <w:tab/>
      </w:r>
      <w:r>
        <w:rPr>
          <w:rFonts w:hint="eastAsia" w:ascii="宋体" w:hAnsi="宋体"/>
          <w:color w:val="auto"/>
          <w:sz w:val="24"/>
          <w:highlight w:val="none"/>
        </w:rPr>
        <w:t>本企业提交的所有比选申请资料如有不实，愿接受相关部门依据有关法律法规给予的处罚。</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5、本企业提供的服务不存在知识产权或专利纠纷，保证甲方能正常使用本企业所提供的服务。</w:t>
      </w:r>
    </w:p>
    <w:p>
      <w:pPr>
        <w:spacing w:line="360" w:lineRule="auto"/>
        <w:ind w:firstLine="470" w:firstLineChars="196"/>
        <w:rPr>
          <w:rFonts w:ascii="宋体" w:hAnsi="宋体"/>
          <w:i/>
          <w:color w:val="auto"/>
          <w:sz w:val="24"/>
          <w:highlight w:val="none"/>
        </w:rPr>
      </w:pPr>
      <w:r>
        <w:rPr>
          <w:rFonts w:ascii="宋体" w:hAnsi="宋体"/>
          <w:i/>
          <w:color w:val="auto"/>
          <w:sz w:val="24"/>
          <w:szCs w:val="24"/>
          <w:highlight w:val="none"/>
        </w:rPr>
        <w:t>6、</w:t>
      </w:r>
      <w:r>
        <w:rPr>
          <w:rFonts w:hint="eastAsia" w:ascii="宋体" w:hAnsi="宋体"/>
          <w:i/>
          <w:color w:val="auto"/>
          <w:sz w:val="24"/>
          <w:szCs w:val="24"/>
          <w:highlight w:val="none"/>
        </w:rPr>
        <w:t>其他……</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（公章）</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法定代表人：（签字）</w:t>
      </w:r>
    </w:p>
    <w:p>
      <w:pPr>
        <w:spacing w:line="360" w:lineRule="auto"/>
        <w:ind w:firstLine="470" w:firstLineChars="196"/>
        <w:rPr>
          <w:rFonts w:ascii="宋体" w:hAnsi="宋体"/>
          <w:color w:val="auto"/>
          <w:sz w:val="24"/>
          <w:highlight w:val="none"/>
        </w:rPr>
      </w:pPr>
    </w:p>
    <w:p>
      <w:pPr>
        <w:spacing w:line="360" w:lineRule="auto"/>
        <w:ind w:firstLine="470" w:firstLineChars="196"/>
        <w:rPr>
          <w:color w:val="auto"/>
          <w:sz w:val="24"/>
          <w:highlight w:val="none"/>
        </w:rPr>
      </w:pPr>
      <w:r>
        <w:rPr>
          <w:rFonts w:hint="eastAsia" w:ascii="宋体" w:hAnsi="宋体"/>
          <w:color w:val="auto"/>
          <w:sz w:val="24"/>
          <w:highlight w:val="none"/>
        </w:rPr>
        <w:t>日期：　　年   月    日</w:t>
      </w: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bookmarkEnd w:id="491"/>
    <w:bookmarkEnd w:id="492"/>
    <w:bookmarkEnd w:id="493"/>
    <w:bookmarkEnd w:id="494"/>
    <w:bookmarkEnd w:id="495"/>
    <w:bookmarkEnd w:id="496"/>
    <w:bookmarkEnd w:id="497"/>
    <w:bookmarkEnd w:id="498"/>
    <w:bookmarkEnd w:id="499"/>
    <w:bookmarkEnd w:id="500"/>
    <w:bookmarkEnd w:id="501"/>
    <w:bookmarkEnd w:id="502"/>
    <w:p>
      <w:pPr>
        <w:autoSpaceDE w:val="0"/>
        <w:autoSpaceDN w:val="0"/>
        <w:adjustRightInd w:val="0"/>
        <w:spacing w:line="480" w:lineRule="auto"/>
        <w:jc w:val="center"/>
        <w:rPr>
          <w:rFonts w:ascii="宋体" w:hAnsi="宋体"/>
          <w:b/>
          <w:color w:val="auto"/>
          <w:kern w:val="0"/>
          <w:sz w:val="30"/>
          <w:szCs w:val="30"/>
          <w:highlight w:val="none"/>
        </w:rPr>
      </w:pPr>
      <w:bookmarkStart w:id="503" w:name="_Toc19937"/>
      <w:bookmarkStart w:id="504" w:name="_Toc3498"/>
      <w:bookmarkStart w:id="505" w:name="_Toc32075"/>
      <w:bookmarkStart w:id="506" w:name="_Toc750"/>
      <w:bookmarkStart w:id="507" w:name="_Toc16756"/>
      <w:bookmarkStart w:id="508" w:name="_Toc28436"/>
      <w:bookmarkStart w:id="509" w:name="_Toc25670"/>
      <w:bookmarkStart w:id="510" w:name="_Toc7760"/>
      <w:bookmarkStart w:id="511" w:name="_Toc6606"/>
      <w:r>
        <w:rPr>
          <w:rFonts w:hint="eastAsia" w:ascii="宋体" w:hAnsi="宋体"/>
          <w:b/>
          <w:color w:val="auto"/>
          <w:kern w:val="0"/>
          <w:sz w:val="30"/>
          <w:szCs w:val="30"/>
          <w:highlight w:val="none"/>
        </w:rPr>
        <w:t>2、法定代表人资格证明书</w:t>
      </w:r>
    </w:p>
    <w:p>
      <w:pPr>
        <w:rPr>
          <w:rFonts w:ascii="宋体" w:hAnsi="宋体"/>
          <w:b/>
          <w:color w:val="auto"/>
          <w:sz w:val="36"/>
          <w:highlight w:val="none"/>
        </w:rPr>
      </w:pPr>
    </w:p>
    <w:p>
      <w:pPr>
        <w:rPr>
          <w:rFonts w:ascii="宋体" w:hAnsi="宋体"/>
          <w:b/>
          <w:color w:val="auto"/>
          <w:highlight w:val="none"/>
        </w:rPr>
      </w:pPr>
    </w:p>
    <w:p>
      <w:pPr>
        <w:spacing w:line="360" w:lineRule="auto"/>
        <w:ind w:firstLine="612"/>
        <w:rPr>
          <w:rFonts w:ascii="宋体" w:hAnsi="宋体"/>
          <w:color w:val="auto"/>
          <w:sz w:val="24"/>
          <w:highlight w:val="none"/>
        </w:rPr>
      </w:pPr>
      <w:r>
        <w:rPr>
          <w:rFonts w:hint="eastAsia" w:ascii="宋体" w:hAnsi="宋体"/>
          <w:color w:val="auto"/>
          <w:sz w:val="24"/>
          <w:highlight w:val="none"/>
        </w:rPr>
        <w:t>单位名称：</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2"/>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单位性质：</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地    址：</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成立时间：年月日</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经营期限：</w:t>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姓    名： 性别：年龄： 职务：</w:t>
      </w:r>
      <w:r>
        <w:rPr>
          <w:rFonts w:hint="eastAsia" w:ascii="宋体" w:hAnsi="宋体"/>
          <w:color w:val="auto"/>
          <w:sz w:val="24"/>
          <w:highlight w:val="none"/>
          <w:u w:val="single"/>
        </w:rPr>
        <w:tab/>
      </w:r>
      <w:r>
        <w:rPr>
          <w:rFonts w:hint="eastAsia"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（比选申请人单位名称）         </w:t>
      </w:r>
      <w:r>
        <w:rPr>
          <w:rFonts w:hint="eastAsia" w:ascii="宋体" w:hAnsi="宋体"/>
          <w:color w:val="auto"/>
          <w:sz w:val="24"/>
          <w:highlight w:val="none"/>
        </w:rPr>
        <w:t>的法定代表人。</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特此证明。</w:t>
      </w:r>
    </w:p>
    <w:p>
      <w:pPr>
        <w:tabs>
          <w:tab w:val="left" w:pos="720"/>
          <w:tab w:val="left" w:pos="900"/>
        </w:tabs>
        <w:spacing w:line="360" w:lineRule="auto"/>
        <w:rPr>
          <w:rFonts w:ascii="宋体" w:hAnsi="宋体"/>
          <w:color w:val="auto"/>
          <w:sz w:val="24"/>
          <w:highlight w:val="none"/>
        </w:rPr>
      </w:pPr>
    </w:p>
    <w:p>
      <w:pPr>
        <w:tabs>
          <w:tab w:val="left" w:pos="720"/>
          <w:tab w:val="left" w:pos="900"/>
        </w:tabs>
        <w:spacing w:line="360" w:lineRule="auto"/>
        <w:jc w:val="center"/>
        <w:rPr>
          <w:rFonts w:ascii="宋体" w:hAnsi="宋体"/>
          <w:color w:val="auto"/>
          <w:sz w:val="24"/>
          <w:highlight w:val="none"/>
        </w:rPr>
      </w:pPr>
      <w:r>
        <w:rPr>
          <w:rFonts w:hint="eastAsia" w:ascii="宋体" w:hAnsi="宋体"/>
          <w:color w:val="auto"/>
          <w:sz w:val="24"/>
          <w:highlight w:val="none"/>
        </w:rPr>
        <w:t xml:space="preserve">                           比选申请人：</w:t>
      </w:r>
      <w:r>
        <w:rPr>
          <w:rFonts w:hint="eastAsia" w:ascii="宋体" w:hAnsi="宋体"/>
          <w:color w:val="auto"/>
          <w:sz w:val="24"/>
          <w:highlight w:val="none"/>
          <w:u w:val="single"/>
        </w:rPr>
        <w:t xml:space="preserve">     （盖公章）        </w:t>
      </w:r>
    </w:p>
    <w:p>
      <w:pPr>
        <w:spacing w:line="360" w:lineRule="auto"/>
        <w:jc w:val="center"/>
        <w:rPr>
          <w:rFonts w:ascii="宋体" w:hAnsi="宋体"/>
          <w:color w:val="auto"/>
          <w:sz w:val="24"/>
          <w:highlight w:val="none"/>
        </w:rPr>
      </w:pPr>
      <w:r>
        <w:rPr>
          <w:rFonts w:hint="eastAsia" w:ascii="宋体" w:hAnsi="宋体"/>
          <w:color w:val="auto"/>
          <w:sz w:val="24"/>
          <w:highlight w:val="none"/>
        </w:rPr>
        <w:t xml:space="preserve">                                  日  期：年月日</w:t>
      </w:r>
    </w:p>
    <w:p>
      <w:pPr>
        <w:pStyle w:val="5"/>
        <w:rPr>
          <w:color w:val="auto"/>
          <w:highlight w:val="none"/>
        </w:rPr>
      </w:pPr>
      <w:r>
        <w:rPr>
          <w:rFonts w:ascii="楷体_GB2312" w:eastAsia="楷体_GB2312"/>
          <w:b/>
          <w:color w:val="auto"/>
          <w:sz w:val="24"/>
          <w:highlight w:val="none"/>
        </w:rPr>
        <w:br w:type="page"/>
      </w:r>
      <w:bookmarkEnd w:id="503"/>
      <w:bookmarkEnd w:id="504"/>
      <w:bookmarkEnd w:id="505"/>
      <w:bookmarkEnd w:id="506"/>
      <w:bookmarkEnd w:id="507"/>
      <w:bookmarkEnd w:id="508"/>
      <w:bookmarkEnd w:id="509"/>
      <w:bookmarkEnd w:id="510"/>
      <w:bookmarkEnd w:id="511"/>
      <w:r>
        <w:rPr>
          <w:rFonts w:hint="eastAsia" w:ascii="宋体" w:hAnsi="宋体" w:eastAsia="宋体"/>
          <w:b/>
          <w:color w:val="auto"/>
          <w:sz w:val="30"/>
          <w:szCs w:val="30"/>
          <w:highlight w:val="none"/>
        </w:rPr>
        <w:t>3、</w:t>
      </w:r>
      <w:r>
        <w:rPr>
          <w:rFonts w:hint="eastAsia" w:ascii="宋体" w:hAnsi="宋体"/>
          <w:b/>
          <w:color w:val="auto"/>
          <w:sz w:val="30"/>
          <w:szCs w:val="30"/>
          <w:highlight w:val="none"/>
        </w:rPr>
        <w:t>法定代表人身份证明文件（提供复印件加盖法人单位公章）</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autoSpaceDE w:val="0"/>
        <w:autoSpaceDN w:val="0"/>
        <w:adjustRightInd w:val="0"/>
        <w:spacing w:line="480" w:lineRule="auto"/>
        <w:jc w:val="center"/>
        <w:rPr>
          <w:rFonts w:ascii="宋体" w:hAnsi="宋体"/>
          <w:b/>
          <w:color w:val="auto"/>
          <w:kern w:val="0"/>
          <w:sz w:val="30"/>
          <w:szCs w:val="30"/>
          <w:highlight w:val="none"/>
        </w:rPr>
      </w:pPr>
      <w:r>
        <w:rPr>
          <w:rFonts w:hint="eastAsia" w:ascii="宋体" w:hAnsi="宋体"/>
          <w:b/>
          <w:color w:val="auto"/>
          <w:kern w:val="0"/>
          <w:sz w:val="30"/>
          <w:szCs w:val="30"/>
          <w:highlight w:val="none"/>
        </w:rPr>
        <w:t>4、授权委托书</w:t>
      </w:r>
    </w:p>
    <w:p>
      <w:pPr>
        <w:spacing w:line="480" w:lineRule="auto"/>
        <w:jc w:val="center"/>
        <w:rPr>
          <w:rFonts w:ascii="楷体_GB2312" w:eastAsia="楷体_GB2312"/>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本授权委托书声明：我</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系</w:t>
      </w:r>
      <w:r>
        <w:rPr>
          <w:rFonts w:hint="eastAsia" w:ascii="宋体" w:hAnsi="宋体"/>
          <w:color w:val="auto"/>
          <w:kern w:val="0"/>
          <w:sz w:val="24"/>
          <w:highlight w:val="none"/>
          <w:u w:val="single"/>
        </w:rPr>
        <w:t>（比选申请人名称）</w:t>
      </w:r>
      <w:r>
        <w:rPr>
          <w:rFonts w:hint="eastAsia" w:ascii="宋体" w:hAnsi="宋体"/>
          <w:color w:val="auto"/>
          <w:kern w:val="0"/>
          <w:sz w:val="24"/>
          <w:highlight w:val="none"/>
        </w:rPr>
        <w:t>的法定代表人，现授权委托</w:t>
      </w:r>
      <w:r>
        <w:rPr>
          <w:rFonts w:ascii="宋体" w:hAnsi="宋体"/>
          <w:color w:val="auto"/>
          <w:kern w:val="0"/>
          <w:sz w:val="24"/>
          <w:highlight w:val="none"/>
          <w:u w:val="single"/>
        </w:rPr>
        <w:t>(</w:t>
      </w:r>
      <w:r>
        <w:rPr>
          <w:rFonts w:hint="eastAsia" w:ascii="宋体" w:hAnsi="宋体"/>
          <w:color w:val="auto"/>
          <w:kern w:val="0"/>
          <w:sz w:val="24"/>
          <w:highlight w:val="none"/>
          <w:u w:val="single"/>
        </w:rPr>
        <w:t xml:space="preserve">比选申请人名称)        </w:t>
      </w:r>
      <w:r>
        <w:rPr>
          <w:rFonts w:hint="eastAsia" w:ascii="宋体" w:hAnsi="宋体"/>
          <w:color w:val="auto"/>
          <w:kern w:val="0"/>
          <w:sz w:val="24"/>
          <w:highlight w:val="none"/>
        </w:rPr>
        <w:t>的</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为我公司代理人，以本公司名义参加</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代理人无转委托权。特此委托。</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性别：</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年龄：</w:t>
      </w:r>
      <w:r>
        <w:rPr>
          <w:rFonts w:ascii="宋体" w:hAnsi="宋体"/>
          <w:color w:val="auto"/>
          <w:kern w:val="0"/>
          <w:sz w:val="24"/>
          <w:szCs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单位：</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 xml:space="preserve"> 部门：</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 xml:space="preserve"> 职务：</w:t>
      </w:r>
      <w:r>
        <w:rPr>
          <w:rFonts w:ascii="宋体" w:hAnsi="宋体"/>
          <w:color w:val="auto"/>
          <w:kern w:val="0"/>
          <w:sz w:val="24"/>
          <w:szCs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比选申请人：（ 加盖单位公章）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法定代表人：（签字、盖章）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日期：</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年</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月</w:t>
      </w:r>
      <w:r>
        <w:rPr>
          <w:rFonts w:ascii="宋体" w:hAnsi="宋体"/>
          <w:color w:val="auto"/>
          <w:kern w:val="0"/>
          <w:sz w:val="24"/>
          <w:szCs w:val="24"/>
          <w:highlight w:val="none"/>
          <w:u w:val="single"/>
        </w:rPr>
        <w:t xml:space="preserve">     </w:t>
      </w:r>
      <w:r>
        <w:rPr>
          <w:rFonts w:hint="eastAsia" w:ascii="宋体" w:hAnsi="宋体"/>
          <w:color w:val="auto"/>
          <w:kern w:val="0"/>
          <w:sz w:val="24"/>
          <w:highlight w:val="none"/>
        </w:rPr>
        <w:t>日</w:t>
      </w:r>
    </w:p>
    <w:p>
      <w:pPr>
        <w:ind w:right="753"/>
        <w:jc w:val="left"/>
        <w:rPr>
          <w:rStyle w:val="25"/>
          <w:color w:val="auto"/>
          <w:highlight w:val="none"/>
        </w:rPr>
      </w:pPr>
      <w:r>
        <w:rPr>
          <w:rFonts w:ascii="宋体" w:hAnsi="宋体"/>
          <w:color w:val="auto"/>
          <w:kern w:val="0"/>
          <w:sz w:val="24"/>
          <w:highlight w:val="none"/>
        </w:rPr>
        <w:br w:type="page"/>
      </w:r>
      <w:bookmarkStart w:id="512" w:name="_Toc18479"/>
      <w:bookmarkStart w:id="513" w:name="_Toc880"/>
      <w:bookmarkStart w:id="514" w:name="_Toc11434"/>
      <w:bookmarkStart w:id="515" w:name="_Toc2475"/>
      <w:bookmarkStart w:id="516" w:name="_Toc29504"/>
      <w:bookmarkStart w:id="517" w:name="_Toc1509"/>
      <w:bookmarkStart w:id="518" w:name="_Toc26749"/>
      <w:bookmarkStart w:id="519" w:name="_Toc30136"/>
      <w:r>
        <w:rPr>
          <w:rFonts w:hint="eastAsia" w:ascii="宋体" w:hAnsi="宋体"/>
          <w:b/>
          <w:color w:val="auto"/>
          <w:kern w:val="0"/>
          <w:sz w:val="30"/>
          <w:szCs w:val="30"/>
          <w:highlight w:val="none"/>
        </w:rPr>
        <w:t>5、授权代理人身份证明文件（提供复印件加盖法人单位公章）</w:t>
      </w:r>
    </w:p>
    <w:bookmarkEnd w:id="512"/>
    <w:bookmarkEnd w:id="513"/>
    <w:bookmarkEnd w:id="514"/>
    <w:bookmarkEnd w:id="515"/>
    <w:bookmarkEnd w:id="516"/>
    <w:bookmarkEnd w:id="517"/>
    <w:bookmarkEnd w:id="518"/>
    <w:bookmarkEnd w:id="519"/>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autoSpaceDE w:val="0"/>
        <w:autoSpaceDN w:val="0"/>
        <w:adjustRightInd w:val="0"/>
        <w:spacing w:line="480" w:lineRule="auto"/>
        <w:ind w:right="0"/>
        <w:jc w:val="center"/>
        <w:rPr>
          <w:rFonts w:hint="eastAsia" w:ascii="宋体" w:hAnsi="宋体" w:cs="Times New Roman"/>
          <w:b/>
          <w:color w:val="auto"/>
          <w:kern w:val="0"/>
          <w:sz w:val="30"/>
          <w:szCs w:val="30"/>
          <w:highlight w:val="none"/>
        </w:rPr>
      </w:pPr>
      <w:r>
        <w:rPr>
          <w:rFonts w:hint="eastAsia" w:ascii="宋体" w:hAnsi="宋体"/>
          <w:b/>
          <w:color w:val="auto"/>
          <w:kern w:val="0"/>
          <w:sz w:val="30"/>
          <w:szCs w:val="30"/>
          <w:highlight w:val="none"/>
        </w:rPr>
        <w:t>6、营业执照</w:t>
      </w:r>
      <w:r>
        <w:rPr>
          <w:rFonts w:hint="eastAsia" w:ascii="宋体" w:hAnsi="宋体" w:cstheme="minorBidi"/>
          <w:b/>
          <w:color w:val="auto"/>
          <w:kern w:val="0"/>
          <w:sz w:val="30"/>
          <w:szCs w:val="30"/>
          <w:highlight w:val="none"/>
        </w:rPr>
        <w:t>复印件</w:t>
      </w:r>
      <w:r>
        <w:rPr>
          <w:rFonts w:hint="eastAsia" w:ascii="宋体" w:hAnsi="宋体" w:cstheme="minorBidi"/>
          <w:b/>
          <w:color w:val="auto"/>
          <w:kern w:val="0"/>
          <w:sz w:val="30"/>
          <w:szCs w:val="30"/>
          <w:highlight w:val="none"/>
          <w:lang w:eastAsia="zh-CN"/>
        </w:rPr>
        <w:t>、</w:t>
      </w:r>
      <w:r>
        <w:rPr>
          <w:rFonts w:hint="eastAsia" w:ascii="宋体" w:hAnsi="宋体" w:cstheme="minorBidi"/>
          <w:b/>
          <w:color w:val="auto"/>
          <w:kern w:val="0"/>
          <w:sz w:val="30"/>
          <w:szCs w:val="30"/>
          <w:highlight w:val="none"/>
        </w:rPr>
        <w:t>税务登记证复印件</w:t>
      </w:r>
      <w:r>
        <w:rPr>
          <w:rFonts w:hint="eastAsia" w:ascii="宋体" w:hAnsi="宋体" w:cstheme="minorBidi"/>
          <w:b/>
          <w:color w:val="auto"/>
          <w:kern w:val="0"/>
          <w:sz w:val="30"/>
          <w:szCs w:val="30"/>
          <w:highlight w:val="none"/>
          <w:lang w:eastAsia="zh-CN"/>
        </w:rPr>
        <w:t>（</w:t>
      </w:r>
      <w:r>
        <w:rPr>
          <w:rFonts w:hint="eastAsia" w:ascii="宋体" w:hAnsi="宋体" w:cstheme="minorBidi"/>
          <w:b/>
          <w:color w:val="auto"/>
          <w:kern w:val="0"/>
          <w:sz w:val="30"/>
          <w:szCs w:val="30"/>
          <w:highlight w:val="none"/>
        </w:rPr>
        <w:t>如已办理三证合一则不需提供）</w:t>
      </w:r>
      <w:r>
        <w:rPr>
          <w:rFonts w:hint="eastAsia" w:ascii="宋体" w:hAnsi="宋体" w:cstheme="minorBidi"/>
          <w:b/>
          <w:color w:val="auto"/>
          <w:kern w:val="0"/>
          <w:sz w:val="30"/>
          <w:szCs w:val="30"/>
          <w:highlight w:val="none"/>
          <w:lang w:eastAsia="zh-CN"/>
        </w:rPr>
        <w:t>、</w:t>
      </w:r>
      <w:r>
        <w:rPr>
          <w:rFonts w:hint="eastAsia" w:ascii="宋体" w:hAnsi="宋体" w:cstheme="minorBidi"/>
          <w:b/>
          <w:color w:val="auto"/>
          <w:kern w:val="0"/>
          <w:sz w:val="30"/>
          <w:szCs w:val="30"/>
          <w:highlight w:val="none"/>
        </w:rPr>
        <w:t>组织机构代码证复印件（ 如已办理三证合一则不需提供）（加盖单位公章）</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autoSpaceDE w:val="0"/>
        <w:autoSpaceDN w:val="0"/>
        <w:adjustRightInd w:val="0"/>
        <w:spacing w:line="480" w:lineRule="auto"/>
        <w:jc w:val="center"/>
        <w:rPr>
          <w:rFonts w:hint="eastAsia" w:ascii="宋体" w:hAnsi="宋体"/>
          <w:b/>
          <w:color w:val="auto"/>
          <w:kern w:val="0"/>
          <w:sz w:val="30"/>
          <w:szCs w:val="30"/>
          <w:highlight w:val="none"/>
        </w:rPr>
      </w:pPr>
      <w:r>
        <w:rPr>
          <w:rFonts w:hint="eastAsia" w:ascii="宋体" w:hAnsi="宋体"/>
          <w:b/>
          <w:color w:val="auto"/>
          <w:kern w:val="0"/>
          <w:sz w:val="30"/>
          <w:szCs w:val="30"/>
          <w:highlight w:val="none"/>
        </w:rPr>
        <w:t>7、</w:t>
      </w:r>
      <w:r>
        <w:rPr>
          <w:rFonts w:hint="eastAsia" w:ascii="宋体" w:hAnsi="宋体"/>
          <w:b/>
          <w:color w:val="auto"/>
          <w:kern w:val="0"/>
          <w:sz w:val="30"/>
          <w:szCs w:val="30"/>
          <w:highlight w:val="none"/>
          <w:lang w:val="en-US" w:eastAsia="zh-CN"/>
        </w:rPr>
        <w:t>企</w:t>
      </w:r>
      <w:r>
        <w:rPr>
          <w:rFonts w:hint="eastAsia" w:ascii="宋体" w:hAnsi="宋体"/>
          <w:b/>
          <w:color w:val="auto"/>
          <w:kern w:val="0"/>
          <w:sz w:val="30"/>
          <w:szCs w:val="30"/>
          <w:highlight w:val="none"/>
        </w:rPr>
        <w:t>业资质证书</w:t>
      </w:r>
      <w:r>
        <w:rPr>
          <w:rFonts w:hint="eastAsia" w:ascii="宋体" w:hAnsi="宋体" w:cstheme="minorBidi"/>
          <w:b/>
          <w:color w:val="auto"/>
          <w:kern w:val="0"/>
          <w:sz w:val="30"/>
          <w:szCs w:val="30"/>
          <w:highlight w:val="none"/>
        </w:rPr>
        <w:t>复印件（加盖单位公章</w:t>
      </w:r>
      <w:r>
        <w:rPr>
          <w:rFonts w:hint="eastAsia" w:ascii="宋体" w:hAnsi="宋体"/>
          <w:b/>
          <w:color w:val="auto"/>
          <w:kern w:val="0"/>
          <w:sz w:val="30"/>
          <w:szCs w:val="30"/>
          <w:highlight w:val="none"/>
        </w:rPr>
        <w:t>）；</w:t>
      </w:r>
    </w:p>
    <w:p>
      <w:pPr>
        <w:autoSpaceDE w:val="0"/>
        <w:autoSpaceDN w:val="0"/>
        <w:adjustRightInd w:val="0"/>
        <w:spacing w:line="480" w:lineRule="auto"/>
        <w:ind w:firstLine="482" w:firstLineChars="200"/>
        <w:rPr>
          <w:rFonts w:ascii="宋体" w:hAnsi="宋体"/>
          <w:b/>
          <w:color w:val="auto"/>
          <w:kern w:val="0"/>
          <w:sz w:val="24"/>
          <w:highlight w:val="none"/>
        </w:rPr>
      </w:pPr>
      <w:r>
        <w:rPr>
          <w:rFonts w:ascii="宋体" w:hAnsi="宋体"/>
          <w:b/>
          <w:color w:val="auto"/>
          <w:kern w:val="0"/>
          <w:sz w:val="24"/>
          <w:highlight w:val="none"/>
        </w:rPr>
        <w:br w:type="page"/>
      </w:r>
      <w:r>
        <w:rPr>
          <w:rFonts w:hint="eastAsia" w:ascii="宋体" w:hAnsi="宋体"/>
          <w:b/>
          <w:color w:val="auto"/>
          <w:kern w:val="0"/>
          <w:sz w:val="30"/>
          <w:szCs w:val="30"/>
          <w:highlight w:val="none"/>
        </w:rPr>
        <w:t>8、联合体协议书原件扫描件（</w:t>
      </w:r>
      <w:r>
        <w:rPr>
          <w:rFonts w:hint="eastAsia" w:ascii="宋体" w:hAnsi="宋体"/>
          <w:b/>
          <w:color w:val="auto"/>
          <w:kern w:val="0"/>
          <w:sz w:val="30"/>
          <w:szCs w:val="30"/>
          <w:highlight w:val="none"/>
          <w:lang w:val="en-US" w:eastAsia="zh-CN"/>
        </w:rPr>
        <w:t>如有</w:t>
      </w:r>
      <w:r>
        <w:rPr>
          <w:rFonts w:hint="eastAsia" w:ascii="宋体" w:hAnsi="宋体"/>
          <w:b/>
          <w:color w:val="auto"/>
          <w:kern w:val="0"/>
          <w:sz w:val="30"/>
          <w:szCs w:val="30"/>
          <w:highlight w:val="none"/>
        </w:rPr>
        <w:t>）</w:t>
      </w:r>
    </w:p>
    <w:p>
      <w:pPr>
        <w:ind w:right="753"/>
        <w:jc w:val="left"/>
        <w:rPr>
          <w:rFonts w:ascii="宋体" w:hAnsi="宋体"/>
          <w:color w:val="auto"/>
          <w:kern w:val="0"/>
          <w:sz w:val="28"/>
          <w:szCs w:val="28"/>
          <w:highlight w:val="none"/>
        </w:rPr>
      </w:pPr>
      <w:r>
        <w:rPr>
          <w:rFonts w:ascii="宋体" w:hAnsi="宋体"/>
          <w:b/>
          <w:color w:val="auto"/>
          <w:kern w:val="0"/>
          <w:sz w:val="24"/>
          <w:highlight w:val="none"/>
        </w:rPr>
        <w:br w:type="page"/>
      </w:r>
      <w:r>
        <w:rPr>
          <w:rFonts w:hint="eastAsia" w:ascii="宋体" w:hAnsi="宋体"/>
          <w:b/>
          <w:color w:val="auto"/>
          <w:kern w:val="0"/>
          <w:sz w:val="30"/>
          <w:szCs w:val="30"/>
          <w:highlight w:val="none"/>
        </w:rPr>
        <w:t xml:space="preserve">9. </w:t>
      </w:r>
      <w:r>
        <w:rPr>
          <w:rFonts w:hint="eastAsia" w:ascii="宋体" w:hAnsi="宋体"/>
          <w:b/>
          <w:color w:val="auto"/>
          <w:kern w:val="0"/>
          <w:sz w:val="30"/>
          <w:szCs w:val="30"/>
          <w:highlight w:val="none"/>
          <w:lang w:eastAsia="zh-CN"/>
        </w:rPr>
        <w:t>2</w:t>
      </w:r>
      <w:r>
        <w:rPr>
          <w:rFonts w:hint="eastAsia" w:ascii="宋体" w:hAnsi="宋体" w:cstheme="minorBidi"/>
          <w:b/>
          <w:color w:val="auto"/>
          <w:kern w:val="0"/>
          <w:sz w:val="30"/>
          <w:szCs w:val="30"/>
          <w:highlight w:val="none"/>
          <w:lang w:val="en-US" w:eastAsia="zh-CN"/>
        </w:rPr>
        <w:t>022年度南宁市本级政府投资工程监理项目定点监理单位公开征集入围供应商</w:t>
      </w:r>
      <w:r>
        <w:rPr>
          <w:rFonts w:hint="eastAsia" w:ascii="宋体" w:hAnsi="宋体" w:cstheme="minorBidi"/>
          <w:b/>
          <w:color w:val="auto"/>
          <w:kern w:val="0"/>
          <w:sz w:val="30"/>
          <w:szCs w:val="30"/>
          <w:highlight w:val="none"/>
          <w:u w:val="none"/>
          <w:lang w:val="en-US" w:eastAsia="zh-CN"/>
        </w:rPr>
        <w:t>（市政公用工程）证明材</w:t>
      </w:r>
      <w:r>
        <w:rPr>
          <w:rFonts w:hint="eastAsia" w:ascii="宋体" w:hAnsi="宋体"/>
          <w:b/>
          <w:color w:val="auto"/>
          <w:kern w:val="0"/>
          <w:sz w:val="30"/>
          <w:szCs w:val="30"/>
          <w:highlight w:val="none"/>
          <w:lang w:val="en-US" w:eastAsia="zh-CN"/>
        </w:rPr>
        <w:t>料</w:t>
      </w: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widowControl/>
        <w:jc w:val="left"/>
        <w:rPr>
          <w:rFonts w:ascii="宋体" w:hAnsi="宋体"/>
          <w:color w:val="auto"/>
          <w:kern w:val="0"/>
          <w:sz w:val="28"/>
          <w:szCs w:val="28"/>
          <w:highlight w:val="none"/>
        </w:rPr>
      </w:pPr>
      <w:r>
        <w:rPr>
          <w:rFonts w:ascii="宋体" w:hAnsi="宋体"/>
          <w:color w:val="auto"/>
          <w:kern w:val="0"/>
          <w:sz w:val="28"/>
          <w:szCs w:val="28"/>
          <w:highlight w:val="none"/>
        </w:rPr>
        <w:br w:type="page"/>
      </w:r>
    </w:p>
    <w:p>
      <w:pPr>
        <w:ind w:right="753"/>
        <w:jc w:val="left"/>
        <w:rPr>
          <w:rFonts w:ascii="宋体" w:hAnsi="宋体"/>
          <w:i/>
          <w:color w:val="auto"/>
          <w:kern w:val="0"/>
          <w:sz w:val="28"/>
          <w:szCs w:val="28"/>
          <w:highlight w:val="none"/>
        </w:rPr>
      </w:pPr>
      <w:r>
        <w:rPr>
          <w:rFonts w:ascii="宋体" w:hAnsi="宋体"/>
          <w:i/>
          <w:color w:val="auto"/>
          <w:kern w:val="0"/>
          <w:sz w:val="28"/>
          <w:szCs w:val="28"/>
          <w:highlight w:val="none"/>
        </w:rPr>
        <w:t>10、其他……</w:t>
      </w:r>
    </w:p>
    <w:p>
      <w:pPr>
        <w:widowControl/>
        <w:jc w:val="left"/>
        <w:rPr>
          <w:rFonts w:ascii="宋体" w:hAnsi="宋体"/>
          <w:i/>
          <w:color w:val="auto"/>
          <w:kern w:val="0"/>
          <w:sz w:val="28"/>
          <w:szCs w:val="28"/>
          <w:highlight w:val="none"/>
        </w:rPr>
      </w:pPr>
      <w:r>
        <w:rPr>
          <w:rFonts w:ascii="宋体" w:hAnsi="宋体"/>
          <w:i/>
          <w:color w:val="auto"/>
          <w:kern w:val="0"/>
          <w:sz w:val="28"/>
          <w:szCs w:val="28"/>
          <w:highlight w:val="none"/>
        </w:rPr>
        <w:br w:type="page"/>
      </w:r>
    </w:p>
    <w:p>
      <w:pPr>
        <w:ind w:right="753"/>
        <w:jc w:val="left"/>
        <w:rPr>
          <w:rFonts w:ascii="宋体" w:hAnsi="宋体"/>
          <w:i/>
          <w:color w:val="auto"/>
          <w:kern w:val="0"/>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jc w:val="center"/>
        <w:rPr>
          <w:rFonts w:ascii="宋体" w:hAnsi="宋体" w:cs="宋体"/>
          <w:color w:val="auto"/>
          <w:szCs w:val="28"/>
          <w:highlight w:val="none"/>
        </w:rPr>
      </w:pPr>
    </w:p>
    <w:p>
      <w:pPr>
        <w:jc w:val="center"/>
        <w:rPr>
          <w:rFonts w:ascii="宋体" w:hAnsi="宋体" w:cs="宋体"/>
          <w:color w:val="auto"/>
          <w:szCs w:val="28"/>
          <w:highlight w:val="none"/>
        </w:rPr>
      </w:pPr>
      <w:r>
        <w:rPr>
          <w:rFonts w:hint="eastAsia" w:ascii="宋体" w:hAnsi="宋体" w:cs="宋体"/>
          <w:color w:val="auto"/>
          <w:sz w:val="28"/>
          <w:szCs w:val="28"/>
          <w:highlight w:val="none"/>
        </w:rPr>
        <w:t xml:space="preserve"> 项目比选申请文件</w:t>
      </w:r>
    </w:p>
    <w:p>
      <w:pPr>
        <w:pStyle w:val="13"/>
        <w:jc w:val="center"/>
        <w:rPr>
          <w:b w:val="0"/>
          <w:bCs w:val="0"/>
          <w:color w:val="auto"/>
          <w:sz w:val="28"/>
          <w:szCs w:val="28"/>
          <w:highlight w:val="none"/>
        </w:rPr>
      </w:pPr>
      <w:bookmarkStart w:id="520" w:name="_Toc144"/>
      <w:bookmarkStart w:id="521" w:name="_Toc23149"/>
      <w:bookmarkStart w:id="522" w:name="_Toc25575"/>
      <w:bookmarkStart w:id="523" w:name="_Toc461525334"/>
      <w:bookmarkStart w:id="524" w:name="_Toc31069"/>
      <w:bookmarkStart w:id="525" w:name="_Toc124"/>
      <w:bookmarkStart w:id="526" w:name="_Toc10507"/>
      <w:bookmarkStart w:id="527" w:name="_Toc16451"/>
      <w:bookmarkStart w:id="528" w:name="_Toc18631"/>
      <w:bookmarkStart w:id="529" w:name="_Toc4828"/>
      <w:r>
        <w:rPr>
          <w:rFonts w:hint="eastAsia"/>
          <w:b w:val="0"/>
          <w:bCs w:val="0"/>
          <w:color w:val="auto"/>
          <w:sz w:val="28"/>
          <w:szCs w:val="28"/>
          <w:highlight w:val="none"/>
        </w:rPr>
        <w:t>技术部分</w:t>
      </w:r>
      <w:bookmarkEnd w:id="520"/>
      <w:bookmarkEnd w:id="521"/>
      <w:bookmarkEnd w:id="522"/>
      <w:bookmarkEnd w:id="523"/>
      <w:bookmarkEnd w:id="524"/>
      <w:bookmarkEnd w:id="525"/>
      <w:bookmarkEnd w:id="526"/>
      <w:bookmarkEnd w:id="527"/>
      <w:bookmarkEnd w:id="528"/>
      <w:bookmarkEnd w:id="529"/>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年    月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4"/>
        <w:jc w:val="center"/>
        <w:rPr>
          <w:b/>
          <w:color w:val="auto"/>
          <w:highlight w:val="none"/>
        </w:rPr>
      </w:pPr>
      <w:bookmarkStart w:id="530" w:name="_Toc23508"/>
      <w:bookmarkStart w:id="531" w:name="_Toc20357"/>
      <w:bookmarkStart w:id="532" w:name="_Toc31998"/>
      <w:bookmarkStart w:id="533" w:name="_Toc15888"/>
      <w:bookmarkStart w:id="534" w:name="_Toc29536"/>
      <w:bookmarkStart w:id="535" w:name="_Toc471482371"/>
      <w:bookmarkStart w:id="536" w:name="_Toc32510"/>
      <w:bookmarkStart w:id="537" w:name="_Toc25475"/>
      <w:bookmarkStart w:id="538" w:name="_Toc21144"/>
      <w:bookmarkStart w:id="539" w:name="_Toc31521"/>
      <w:bookmarkStart w:id="540" w:name="_Toc31582"/>
      <w:bookmarkStart w:id="541" w:name="_Toc19934"/>
      <w:bookmarkStart w:id="542" w:name="_Toc13801"/>
      <w:bookmarkStart w:id="543" w:name="_Toc1986"/>
      <w:bookmarkStart w:id="544" w:name="_Toc26769"/>
      <w:bookmarkStart w:id="545" w:name="_Toc9379"/>
      <w:bookmarkStart w:id="546" w:name="_Toc23325"/>
      <w:r>
        <w:rPr>
          <w:rFonts w:hint="eastAsia"/>
          <w:b/>
          <w:color w:val="auto"/>
          <w:highlight w:val="none"/>
        </w:rPr>
        <w:t>二、技术部分材料目录</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rPr>
        <w:t>.拟投入人员配置明细表；</w:t>
      </w:r>
    </w:p>
    <w:p>
      <w:pPr>
        <w:ind w:right="-21"/>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.拟投入人员的相关工作业绩、资历及能力（由比选申请人自行编写）</w:t>
      </w:r>
    </w:p>
    <w:p>
      <w:pPr>
        <w:ind w:right="-21"/>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.服务方案（由比选申请人自行编写）；</w:t>
      </w:r>
    </w:p>
    <w:p>
      <w:pPr>
        <w:ind w:right="-21" w:firstLine="420" w:firstLineChars="150"/>
        <w:jc w:val="left"/>
        <w:rPr>
          <w:rFonts w:ascii="宋体" w:hAnsi="宋体" w:cs="宋体"/>
          <w:i/>
          <w:color w:val="auto"/>
          <w:sz w:val="28"/>
          <w:szCs w:val="28"/>
          <w:highlight w:val="none"/>
        </w:rPr>
      </w:pPr>
      <w:r>
        <w:rPr>
          <w:rFonts w:hint="eastAsia" w:ascii="宋体" w:hAnsi="宋体" w:cs="宋体"/>
          <w:i/>
          <w:color w:val="auto"/>
          <w:sz w:val="28"/>
          <w:szCs w:val="28"/>
          <w:highlight w:val="none"/>
          <w:lang w:val="en-US" w:eastAsia="zh-CN"/>
        </w:rPr>
        <w:t>4</w:t>
      </w:r>
      <w:r>
        <w:rPr>
          <w:rFonts w:ascii="宋体" w:hAnsi="宋体" w:cs="宋体"/>
          <w:i/>
          <w:color w:val="auto"/>
          <w:sz w:val="28"/>
          <w:szCs w:val="28"/>
          <w:highlight w:val="none"/>
        </w:rPr>
        <w:t>.其他……</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21"/>
        <w:jc w:val="left"/>
        <w:rPr>
          <w:rFonts w:ascii="宋体" w:hAnsi="宋体" w:cs="宋体"/>
          <w:color w:val="auto"/>
          <w:sz w:val="28"/>
          <w:szCs w:val="28"/>
          <w:highlight w:val="none"/>
        </w:rPr>
      </w:pPr>
      <w:bookmarkStart w:id="547" w:name="_Toc6862"/>
      <w:bookmarkStart w:id="548" w:name="_Toc30501"/>
      <w:bookmarkStart w:id="549" w:name="_Toc461525332"/>
    </w:p>
    <w:p>
      <w:pPr>
        <w:pStyle w:val="5"/>
        <w:rPr>
          <w:color w:val="auto"/>
          <w:highlight w:val="none"/>
        </w:rPr>
      </w:pPr>
      <w:bookmarkStart w:id="550" w:name="_Toc14359"/>
      <w:bookmarkStart w:id="551" w:name="_Toc5471"/>
      <w:bookmarkStart w:id="552" w:name="_Toc30796"/>
      <w:bookmarkStart w:id="553" w:name="_Toc27864"/>
      <w:bookmarkStart w:id="554" w:name="_Toc12801"/>
      <w:bookmarkStart w:id="555" w:name="_Toc28309"/>
      <w:bookmarkStart w:id="556" w:name="_Toc24135"/>
      <w:bookmarkStart w:id="557" w:name="_Toc21426"/>
      <w:r>
        <w:rPr>
          <w:rFonts w:hint="eastAsia"/>
          <w:color w:val="auto"/>
          <w:highlight w:val="none"/>
          <w:lang w:val="en-US" w:eastAsia="zh-CN"/>
        </w:rPr>
        <w:t>1</w:t>
      </w:r>
      <w:r>
        <w:rPr>
          <w:rFonts w:hint="eastAsia"/>
          <w:color w:val="auto"/>
          <w:highlight w:val="none"/>
        </w:rPr>
        <w:t>.拟投入人员配置明细表</w:t>
      </w:r>
      <w:bookmarkEnd w:id="550"/>
      <w:bookmarkEnd w:id="551"/>
      <w:bookmarkEnd w:id="552"/>
      <w:bookmarkEnd w:id="553"/>
      <w:bookmarkEnd w:id="554"/>
      <w:bookmarkEnd w:id="555"/>
      <w:bookmarkEnd w:id="556"/>
      <w:bookmarkEnd w:id="557"/>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07"/>
        <w:gridCol w:w="1077"/>
        <w:gridCol w:w="1323"/>
        <w:gridCol w:w="153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序号</w:t>
            </w:r>
          </w:p>
        </w:tc>
        <w:tc>
          <w:tcPr>
            <w:tcW w:w="993"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姓名</w:t>
            </w:r>
          </w:p>
        </w:tc>
        <w:tc>
          <w:tcPr>
            <w:tcW w:w="850"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年龄</w:t>
            </w:r>
          </w:p>
        </w:tc>
        <w:tc>
          <w:tcPr>
            <w:tcW w:w="851"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性别</w:t>
            </w:r>
          </w:p>
        </w:tc>
        <w:tc>
          <w:tcPr>
            <w:tcW w:w="907"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学历</w:t>
            </w:r>
          </w:p>
        </w:tc>
        <w:tc>
          <w:tcPr>
            <w:tcW w:w="1077"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专业</w:t>
            </w:r>
          </w:p>
        </w:tc>
        <w:tc>
          <w:tcPr>
            <w:tcW w:w="1323" w:type="dxa"/>
          </w:tcPr>
          <w:p>
            <w:pPr>
              <w:pStyle w:val="26"/>
              <w:jc w:val="center"/>
              <w:rPr>
                <w:rStyle w:val="15"/>
                <w:rFonts w:hint="eastAsia" w:hAnsi="宋体" w:eastAsia="宋体" w:cs="Times New Roman"/>
                <w:color w:val="auto"/>
                <w:szCs w:val="21"/>
                <w:highlight w:val="none"/>
              </w:rPr>
            </w:pPr>
            <w:r>
              <w:rPr>
                <w:rStyle w:val="15"/>
                <w:rFonts w:hAnsi="宋体" w:eastAsia="宋体" w:cs="Times New Roman"/>
                <w:color w:val="auto"/>
                <w:szCs w:val="21"/>
                <w:highlight w:val="none"/>
              </w:rPr>
              <w:t>执业资格或岗位</w:t>
            </w:r>
          </w:p>
          <w:p>
            <w:pPr>
              <w:pStyle w:val="7"/>
              <w:spacing w:line="400" w:lineRule="exact"/>
              <w:ind w:left="0" w:leftChars="0"/>
              <w:jc w:val="center"/>
              <w:rPr>
                <w:rFonts w:ascii="宋体" w:hAnsi="宋体"/>
                <w:color w:val="auto"/>
                <w:szCs w:val="21"/>
                <w:highlight w:val="none"/>
              </w:rPr>
            </w:pPr>
            <w:r>
              <w:rPr>
                <w:rStyle w:val="15"/>
                <w:rFonts w:hAnsi="宋体" w:eastAsia="宋体" w:cs="Times New Roman"/>
                <w:color w:val="auto"/>
                <w:szCs w:val="21"/>
                <w:highlight w:val="none"/>
              </w:rPr>
              <w:t>（培训）证书</w:t>
            </w:r>
          </w:p>
        </w:tc>
        <w:tc>
          <w:tcPr>
            <w:tcW w:w="1530" w:type="dxa"/>
          </w:tcPr>
          <w:p>
            <w:pPr>
              <w:pStyle w:val="7"/>
              <w:spacing w:line="400" w:lineRule="exact"/>
              <w:ind w:left="0" w:leftChars="0"/>
              <w:jc w:val="center"/>
              <w:rPr>
                <w:rFonts w:ascii="宋体" w:hAnsi="宋体"/>
                <w:color w:val="auto"/>
                <w:szCs w:val="21"/>
                <w:highlight w:val="none"/>
              </w:rPr>
            </w:pPr>
            <w:r>
              <w:rPr>
                <w:rStyle w:val="15"/>
                <w:rFonts w:hAnsi="宋体" w:eastAsia="宋体" w:cs="Times New Roman"/>
                <w:color w:val="auto"/>
                <w:szCs w:val="21"/>
                <w:highlight w:val="none"/>
              </w:rPr>
              <w:t>工程监理（服务）工作年限</w:t>
            </w:r>
          </w:p>
        </w:tc>
        <w:tc>
          <w:tcPr>
            <w:tcW w:w="1116" w:type="dxa"/>
          </w:tcPr>
          <w:p>
            <w:pPr>
              <w:pStyle w:val="7"/>
              <w:spacing w:line="400" w:lineRule="exact"/>
              <w:ind w:left="0" w:leftChars="0"/>
              <w:jc w:val="center"/>
              <w:rPr>
                <w:rFonts w:ascii="宋体" w:hAnsi="宋体"/>
                <w:color w:val="auto"/>
                <w:szCs w:val="21"/>
                <w:highlight w:val="none"/>
              </w:rPr>
            </w:pPr>
            <w:r>
              <w:rPr>
                <w:rFonts w:hint="eastAsia" w:ascii="宋体" w:hAnsi="宋体"/>
                <w:color w:val="auto"/>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7"/>
              <w:spacing w:line="400" w:lineRule="exact"/>
              <w:ind w:left="0" w:leftChars="0"/>
              <w:rPr>
                <w:rFonts w:ascii="宋体" w:hAnsi="宋体"/>
                <w:color w:val="auto"/>
                <w:szCs w:val="21"/>
                <w:highlight w:val="none"/>
              </w:rPr>
            </w:pPr>
          </w:p>
        </w:tc>
        <w:tc>
          <w:tcPr>
            <w:tcW w:w="993" w:type="dxa"/>
          </w:tcPr>
          <w:p>
            <w:pPr>
              <w:pStyle w:val="7"/>
              <w:spacing w:line="400" w:lineRule="exact"/>
              <w:ind w:left="0" w:leftChars="0"/>
              <w:rPr>
                <w:rFonts w:ascii="宋体" w:hAnsi="宋体"/>
                <w:color w:val="auto"/>
                <w:szCs w:val="21"/>
                <w:highlight w:val="none"/>
              </w:rPr>
            </w:pPr>
          </w:p>
        </w:tc>
        <w:tc>
          <w:tcPr>
            <w:tcW w:w="850" w:type="dxa"/>
          </w:tcPr>
          <w:p>
            <w:pPr>
              <w:pStyle w:val="7"/>
              <w:spacing w:line="400" w:lineRule="exact"/>
              <w:ind w:left="0" w:leftChars="0"/>
              <w:rPr>
                <w:rFonts w:ascii="宋体" w:hAnsi="宋体"/>
                <w:color w:val="auto"/>
                <w:szCs w:val="21"/>
                <w:highlight w:val="none"/>
              </w:rPr>
            </w:pPr>
          </w:p>
        </w:tc>
        <w:tc>
          <w:tcPr>
            <w:tcW w:w="851" w:type="dxa"/>
          </w:tcPr>
          <w:p>
            <w:pPr>
              <w:pStyle w:val="7"/>
              <w:spacing w:line="400" w:lineRule="exact"/>
              <w:ind w:left="0" w:leftChars="0"/>
              <w:rPr>
                <w:rFonts w:ascii="宋体" w:hAnsi="宋体"/>
                <w:color w:val="auto"/>
                <w:szCs w:val="21"/>
                <w:highlight w:val="none"/>
              </w:rPr>
            </w:pPr>
          </w:p>
        </w:tc>
        <w:tc>
          <w:tcPr>
            <w:tcW w:w="907" w:type="dxa"/>
          </w:tcPr>
          <w:p>
            <w:pPr>
              <w:pStyle w:val="7"/>
              <w:spacing w:line="400" w:lineRule="exact"/>
              <w:ind w:left="0" w:leftChars="0"/>
              <w:rPr>
                <w:rFonts w:ascii="宋体" w:hAnsi="宋体"/>
                <w:color w:val="auto"/>
                <w:szCs w:val="21"/>
                <w:highlight w:val="none"/>
              </w:rPr>
            </w:pPr>
          </w:p>
        </w:tc>
        <w:tc>
          <w:tcPr>
            <w:tcW w:w="1077" w:type="dxa"/>
          </w:tcPr>
          <w:p>
            <w:pPr>
              <w:pStyle w:val="7"/>
              <w:spacing w:line="400" w:lineRule="exact"/>
              <w:ind w:left="0" w:leftChars="0"/>
              <w:rPr>
                <w:rFonts w:ascii="宋体" w:hAnsi="宋体"/>
                <w:color w:val="auto"/>
                <w:szCs w:val="21"/>
                <w:highlight w:val="none"/>
              </w:rPr>
            </w:pPr>
          </w:p>
        </w:tc>
        <w:tc>
          <w:tcPr>
            <w:tcW w:w="1323" w:type="dxa"/>
          </w:tcPr>
          <w:p>
            <w:pPr>
              <w:pStyle w:val="7"/>
              <w:spacing w:line="400" w:lineRule="exact"/>
              <w:ind w:left="0" w:leftChars="0"/>
              <w:rPr>
                <w:rFonts w:ascii="宋体" w:hAnsi="宋体"/>
                <w:color w:val="auto"/>
                <w:szCs w:val="21"/>
                <w:highlight w:val="none"/>
              </w:rPr>
            </w:pPr>
          </w:p>
        </w:tc>
        <w:tc>
          <w:tcPr>
            <w:tcW w:w="1530" w:type="dxa"/>
          </w:tcPr>
          <w:p>
            <w:pPr>
              <w:pStyle w:val="7"/>
              <w:spacing w:line="400" w:lineRule="exact"/>
              <w:ind w:left="0" w:leftChars="0"/>
              <w:rPr>
                <w:rFonts w:ascii="宋体" w:hAnsi="宋体"/>
                <w:color w:val="auto"/>
                <w:szCs w:val="21"/>
                <w:highlight w:val="none"/>
              </w:rPr>
            </w:pPr>
          </w:p>
        </w:tc>
        <w:tc>
          <w:tcPr>
            <w:tcW w:w="1116" w:type="dxa"/>
          </w:tcPr>
          <w:p>
            <w:pPr>
              <w:pStyle w:val="7"/>
              <w:spacing w:line="400" w:lineRule="exact"/>
              <w:ind w:left="0" w:leftChars="0"/>
              <w:rPr>
                <w:rFonts w:ascii="宋体" w:hAnsi="宋体"/>
                <w:color w:val="auto"/>
                <w:szCs w:val="21"/>
                <w:highlight w:val="none"/>
              </w:rPr>
            </w:pPr>
          </w:p>
        </w:tc>
      </w:tr>
    </w:tbl>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bookmarkEnd w:id="547"/>
    <w:bookmarkEnd w:id="548"/>
    <w:bookmarkEnd w:id="549"/>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r>
        <w:rPr>
          <w:rStyle w:val="25"/>
          <w:rFonts w:hint="eastAsia"/>
          <w:color w:val="auto"/>
          <w:highlight w:val="none"/>
          <w:lang w:val="en-US" w:eastAsia="zh-CN"/>
        </w:rPr>
        <w:t>2</w:t>
      </w:r>
      <w:r>
        <w:rPr>
          <w:rStyle w:val="25"/>
          <w:rFonts w:hint="eastAsia"/>
          <w:color w:val="auto"/>
          <w:highlight w:val="none"/>
        </w:rPr>
        <w:t>.拟投入人员的相关工作业绩、资历及能力</w:t>
      </w:r>
    </w:p>
    <w:tbl>
      <w:tblPr>
        <w:tblStyle w:val="14"/>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26"/>
        <w:gridCol w:w="416"/>
        <w:gridCol w:w="1282"/>
        <w:gridCol w:w="1893"/>
        <w:gridCol w:w="394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姓  名</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年 龄</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性别</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hint="eastAsia" w:ascii="宋体" w:hAnsi="宋体" w:eastAsia="宋体"/>
                <w:bCs/>
                <w:color w:val="auto"/>
                <w:sz w:val="24"/>
                <w:highlight w:val="none"/>
                <w:lang w:eastAsia="zh-CN"/>
              </w:rPr>
            </w:pPr>
            <w:r>
              <w:rPr>
                <w:rFonts w:hint="eastAsia" w:ascii="宋体" w:hAnsi="宋体"/>
                <w:bCs/>
                <w:color w:val="auto"/>
                <w:sz w:val="24"/>
                <w:highlight w:val="none"/>
              </w:rPr>
              <w:t>学历（专业</w:t>
            </w:r>
            <w:r>
              <w:rPr>
                <w:rFonts w:hint="eastAsia" w:ascii="宋体" w:hAnsi="宋体"/>
                <w:bCs/>
                <w:color w:val="auto"/>
                <w:sz w:val="24"/>
                <w:highlight w:val="none"/>
                <w:lang w:eastAsia="zh-CN"/>
              </w:rPr>
              <w:t>）</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职  称</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pStyle w:val="26"/>
              <w:jc w:val="center"/>
              <w:rPr>
                <w:rStyle w:val="15"/>
                <w:rFonts w:hint="eastAsia" w:hAnsi="宋体" w:eastAsia="宋体" w:cs="Times New Roman"/>
                <w:color w:val="auto"/>
                <w:szCs w:val="21"/>
                <w:highlight w:val="none"/>
              </w:rPr>
            </w:pPr>
            <w:r>
              <w:rPr>
                <w:rStyle w:val="15"/>
                <w:rFonts w:hAnsi="宋体" w:eastAsia="宋体" w:cs="Times New Roman"/>
                <w:color w:val="auto"/>
                <w:szCs w:val="21"/>
                <w:highlight w:val="none"/>
              </w:rPr>
              <w:t>执业资格或岗位</w:t>
            </w:r>
          </w:p>
          <w:p>
            <w:pPr>
              <w:spacing w:line="440" w:lineRule="exact"/>
              <w:jc w:val="center"/>
              <w:rPr>
                <w:rFonts w:hint="eastAsia" w:ascii="宋体" w:hAnsi="宋体" w:eastAsia="宋体"/>
                <w:bCs/>
                <w:color w:val="auto"/>
                <w:sz w:val="24"/>
                <w:highlight w:val="none"/>
                <w:lang w:eastAsia="zh-CN"/>
              </w:rPr>
            </w:pPr>
            <w:r>
              <w:rPr>
                <w:rStyle w:val="15"/>
                <w:rFonts w:hAnsi="宋体" w:eastAsia="宋体" w:cs="Times New Roman"/>
                <w:color w:val="auto"/>
                <w:szCs w:val="21"/>
                <w:highlight w:val="none"/>
              </w:rPr>
              <w:t>（培训）证书</w:t>
            </w:r>
            <w:r>
              <w:rPr>
                <w:rStyle w:val="15"/>
                <w:rFonts w:hint="eastAsia" w:hAnsi="宋体" w:cs="Times New Roman"/>
                <w:color w:val="auto"/>
                <w:szCs w:val="21"/>
                <w:highlight w:val="none"/>
                <w:lang w:eastAsia="zh-CN"/>
              </w:rPr>
              <w:t>（专业、编号）</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拟任职务</w:t>
            </w:r>
          </w:p>
        </w:tc>
        <w:tc>
          <w:tcPr>
            <w:tcW w:w="1698" w:type="dxa"/>
            <w:gridSpan w:val="2"/>
            <w:vAlign w:val="center"/>
          </w:tcPr>
          <w:p>
            <w:pPr>
              <w:spacing w:line="440" w:lineRule="exact"/>
              <w:jc w:val="center"/>
              <w:rPr>
                <w:rFonts w:ascii="宋体" w:hAnsi="宋体"/>
                <w:bCs/>
                <w:color w:val="auto"/>
                <w:sz w:val="24"/>
                <w:highlight w:val="none"/>
              </w:rPr>
            </w:pPr>
          </w:p>
        </w:tc>
        <w:tc>
          <w:tcPr>
            <w:tcW w:w="1893" w:type="dxa"/>
            <w:vAlign w:val="center"/>
          </w:tcPr>
          <w:p>
            <w:pPr>
              <w:spacing w:line="440" w:lineRule="exact"/>
              <w:jc w:val="center"/>
              <w:rPr>
                <w:rFonts w:ascii="宋体" w:hAnsi="宋体"/>
                <w:bCs/>
                <w:color w:val="auto"/>
                <w:sz w:val="24"/>
                <w:highlight w:val="none"/>
              </w:rPr>
            </w:pPr>
            <w:r>
              <w:rPr>
                <w:rStyle w:val="15"/>
                <w:rFonts w:hAnsi="宋体" w:eastAsia="宋体" w:cs="Times New Roman"/>
                <w:color w:val="auto"/>
                <w:szCs w:val="21"/>
                <w:highlight w:val="none"/>
              </w:rPr>
              <w:t>工程监理（服务）工作年限</w:t>
            </w:r>
          </w:p>
        </w:tc>
        <w:tc>
          <w:tcPr>
            <w:tcW w:w="3949" w:type="dxa"/>
            <w:vAlign w:val="center"/>
          </w:tcPr>
          <w:p>
            <w:pPr>
              <w:spacing w:line="440" w:lineRule="exact"/>
              <w:jc w:val="center"/>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01" w:hRule="atLeast"/>
          <w:jc w:val="center"/>
        </w:trPr>
        <w:tc>
          <w:tcPr>
            <w:tcW w:w="8966" w:type="dxa"/>
            <w:gridSpan w:val="5"/>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主要工作经历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29" w:hRule="atLeast"/>
          <w:jc w:val="center"/>
        </w:trPr>
        <w:tc>
          <w:tcPr>
            <w:tcW w:w="1842" w:type="dxa"/>
            <w:gridSpan w:val="2"/>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时  间</w:t>
            </w:r>
          </w:p>
        </w:tc>
        <w:tc>
          <w:tcPr>
            <w:tcW w:w="7124" w:type="dxa"/>
            <w:gridSpan w:val="3"/>
            <w:vAlign w:val="center"/>
          </w:tcPr>
          <w:p>
            <w:pPr>
              <w:spacing w:line="440" w:lineRule="exact"/>
              <w:jc w:val="center"/>
              <w:rPr>
                <w:rFonts w:ascii="宋体" w:hAnsi="宋体"/>
                <w:bCs/>
                <w:color w:val="auto"/>
                <w:sz w:val="24"/>
                <w:highlight w:val="none"/>
              </w:rPr>
            </w:pPr>
            <w:r>
              <w:rPr>
                <w:rFonts w:hint="eastAsia" w:ascii="宋体" w:hAnsi="宋体"/>
                <w:bCs/>
                <w:color w:val="auto"/>
                <w:sz w:val="24"/>
                <w:highlight w:val="none"/>
              </w:rPr>
              <w:t>参加过的类似项目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13" w:hRule="atLeast"/>
          <w:jc w:val="center"/>
        </w:trPr>
        <w:tc>
          <w:tcPr>
            <w:tcW w:w="1842" w:type="dxa"/>
            <w:gridSpan w:val="2"/>
          </w:tcPr>
          <w:p>
            <w:pPr>
              <w:spacing w:line="440" w:lineRule="exact"/>
              <w:rPr>
                <w:rFonts w:ascii="宋体" w:hAnsi="宋体"/>
                <w:bCs/>
                <w:color w:val="auto"/>
                <w:sz w:val="24"/>
                <w:highlight w:val="none"/>
              </w:rPr>
            </w:pPr>
          </w:p>
        </w:tc>
        <w:tc>
          <w:tcPr>
            <w:tcW w:w="7124" w:type="dxa"/>
            <w:gridSpan w:val="3"/>
          </w:tcPr>
          <w:p>
            <w:pPr>
              <w:spacing w:line="440" w:lineRule="exact"/>
              <w:rPr>
                <w:rFonts w:ascii="宋体" w:hAnsi="宋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53" w:hRule="atLeast"/>
          <w:jc w:val="center"/>
        </w:trPr>
        <w:tc>
          <w:tcPr>
            <w:tcW w:w="1842" w:type="dxa"/>
            <w:gridSpan w:val="2"/>
          </w:tcPr>
          <w:p>
            <w:pPr>
              <w:spacing w:line="440" w:lineRule="exact"/>
              <w:rPr>
                <w:rFonts w:eastAsia="黑体"/>
                <w:bCs/>
                <w:color w:val="auto"/>
                <w:sz w:val="24"/>
                <w:highlight w:val="none"/>
              </w:rPr>
            </w:pPr>
          </w:p>
        </w:tc>
        <w:tc>
          <w:tcPr>
            <w:tcW w:w="7124" w:type="dxa"/>
            <w:gridSpan w:val="3"/>
          </w:tcPr>
          <w:p>
            <w:pPr>
              <w:spacing w:line="440" w:lineRule="exact"/>
              <w:rPr>
                <w:rFonts w:eastAsia="黑体"/>
                <w:bCs/>
                <w:color w:val="auto"/>
                <w:sz w:val="24"/>
                <w:highlight w:val="none"/>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97" w:hRule="atLeast"/>
          <w:jc w:val="center"/>
        </w:trPr>
        <w:tc>
          <w:tcPr>
            <w:tcW w:w="1842" w:type="dxa"/>
            <w:gridSpan w:val="2"/>
          </w:tcPr>
          <w:p>
            <w:pPr>
              <w:spacing w:line="440" w:lineRule="exact"/>
              <w:rPr>
                <w:rFonts w:eastAsia="黑体"/>
                <w:bCs/>
                <w:color w:val="auto"/>
                <w:sz w:val="24"/>
                <w:highlight w:val="none"/>
              </w:rPr>
            </w:pPr>
          </w:p>
        </w:tc>
        <w:tc>
          <w:tcPr>
            <w:tcW w:w="7124" w:type="dxa"/>
            <w:gridSpan w:val="3"/>
          </w:tcPr>
          <w:p>
            <w:pPr>
              <w:spacing w:line="440" w:lineRule="exact"/>
              <w:rPr>
                <w:rFonts w:eastAsia="黑体"/>
                <w:bCs/>
                <w:color w:val="auto"/>
                <w:sz w:val="24"/>
                <w:highlight w:val="none"/>
              </w:rPr>
            </w:pPr>
          </w:p>
        </w:tc>
      </w:tr>
    </w:tbl>
    <w:p>
      <w:pPr>
        <w:rPr>
          <w:color w:val="auto"/>
          <w:highlight w:val="none"/>
        </w:rPr>
      </w:pPr>
    </w:p>
    <w:p>
      <w:pPr>
        <w:rPr>
          <w:rFonts w:ascii="宋体" w:hAnsi="宋体"/>
          <w:color w:val="auto"/>
          <w:sz w:val="24"/>
          <w:highlight w:val="none"/>
        </w:rPr>
      </w:pPr>
      <w:r>
        <w:rPr>
          <w:rFonts w:hint="eastAsia" w:ascii="宋体" w:hAnsi="宋体"/>
          <w:color w:val="auto"/>
          <w:sz w:val="24"/>
          <w:highlight w:val="none"/>
        </w:rPr>
        <w:t>此表须附学历、职称、资格证复印件、社保等证明材料。</w:t>
      </w:r>
    </w:p>
    <w:p>
      <w:pPr>
        <w:rPr>
          <w:color w:val="auto"/>
          <w:highlight w:val="none"/>
        </w:rPr>
      </w:pPr>
    </w:p>
    <w:p>
      <w:pPr>
        <w:pStyle w:val="27"/>
        <w:bidi w:val="0"/>
        <w:jc w:val="center"/>
        <w:rPr>
          <w:rStyle w:val="15"/>
          <w:rFonts w:hint="eastAsia" w:cs="Times New Roman"/>
          <w:color w:val="auto"/>
          <w:sz w:val="30"/>
          <w:szCs w:val="30"/>
          <w:highlight w:val="none"/>
        </w:rPr>
      </w:pPr>
      <w:bookmarkStart w:id="558" w:name="_Toc392941008"/>
      <w:bookmarkStart w:id="559" w:name="_Toc473030536"/>
      <w:bookmarkStart w:id="560" w:name="_Toc459567843"/>
    </w:p>
    <w:p>
      <w:pPr>
        <w:pStyle w:val="27"/>
        <w:bidi w:val="0"/>
        <w:jc w:val="center"/>
        <w:rPr>
          <w:rStyle w:val="15"/>
          <w:rFonts w:hint="eastAsia" w:cs="Times New Roman"/>
          <w:color w:val="auto"/>
          <w:sz w:val="30"/>
          <w:szCs w:val="30"/>
          <w:highlight w:val="none"/>
        </w:rPr>
      </w:pPr>
    </w:p>
    <w:bookmarkEnd w:id="558"/>
    <w:bookmarkEnd w:id="559"/>
    <w:bookmarkEnd w:id="560"/>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pStyle w:val="5"/>
        <w:rPr>
          <w:rFonts w:hint="eastAsia"/>
          <w:color w:val="auto"/>
          <w:highlight w:val="none"/>
          <w:lang w:val="en-US" w:eastAsia="zh-CN"/>
        </w:rPr>
      </w:pPr>
      <w:bookmarkStart w:id="561" w:name="_Toc17896"/>
      <w:bookmarkStart w:id="562" w:name="_Toc21725"/>
      <w:bookmarkStart w:id="563" w:name="_Toc5051"/>
      <w:bookmarkStart w:id="564" w:name="_Toc17903"/>
      <w:bookmarkStart w:id="565" w:name="_Toc30924"/>
      <w:bookmarkStart w:id="566" w:name="_Toc597"/>
      <w:bookmarkStart w:id="567" w:name="_Toc29269"/>
      <w:bookmarkStart w:id="568" w:name="_Toc28584"/>
    </w:p>
    <w:p>
      <w:pPr>
        <w:pStyle w:val="5"/>
        <w:rPr>
          <w:rFonts w:hint="eastAsia"/>
          <w:color w:val="auto"/>
          <w:highlight w:val="none"/>
          <w:lang w:val="en-US" w:eastAsia="zh-CN"/>
        </w:rPr>
      </w:pPr>
    </w:p>
    <w:p>
      <w:pPr>
        <w:pStyle w:val="5"/>
        <w:spacing w:before="0" w:after="0"/>
        <w:rPr>
          <w:color w:val="auto"/>
          <w:highlight w:val="none"/>
        </w:rPr>
      </w:pPr>
      <w:r>
        <w:rPr>
          <w:rFonts w:hint="eastAsia"/>
          <w:color w:val="auto"/>
          <w:highlight w:val="none"/>
          <w:lang w:val="en-US" w:eastAsia="zh-CN"/>
        </w:rPr>
        <w:t>3</w:t>
      </w:r>
      <w:r>
        <w:rPr>
          <w:rFonts w:hint="eastAsia"/>
          <w:color w:val="auto"/>
          <w:highlight w:val="none"/>
        </w:rPr>
        <w:t>.服务方案（由比选申请人自行编写）</w:t>
      </w:r>
      <w:bookmarkEnd w:id="561"/>
      <w:bookmarkEnd w:id="562"/>
      <w:bookmarkEnd w:id="563"/>
      <w:bookmarkEnd w:id="564"/>
      <w:bookmarkEnd w:id="565"/>
      <w:bookmarkEnd w:id="566"/>
      <w:bookmarkEnd w:id="567"/>
      <w:bookmarkEnd w:id="568"/>
    </w:p>
    <w:p>
      <w:pPr>
        <w:ind w:firstLine="420" w:firstLineChars="150"/>
        <w:rPr>
          <w:rFonts w:ascii="宋体" w:hAnsi="宋体" w:cs="宋体"/>
          <w:color w:val="auto"/>
          <w:sz w:val="28"/>
          <w:szCs w:val="28"/>
          <w:highlight w:val="none"/>
        </w:rPr>
      </w:pPr>
      <w:r>
        <w:rPr>
          <w:rFonts w:hint="eastAsia" w:ascii="宋体" w:hAnsi="宋体" w:cs="宋体"/>
          <w:color w:val="auto"/>
          <w:sz w:val="28"/>
          <w:szCs w:val="28"/>
          <w:highlight w:val="none"/>
        </w:rPr>
        <w:t>注：主要从服务态度、服务质量、服务响应时间、坐班服务、培训等方面进行阐述。该服务方案将作为合同的附件。</w:t>
      </w: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color w:val="auto"/>
          <w:sz w:val="28"/>
          <w:szCs w:val="28"/>
          <w:highlight w:val="none"/>
        </w:rPr>
      </w:pPr>
    </w:p>
    <w:p>
      <w:pPr>
        <w:ind w:firstLine="420" w:firstLineChars="150"/>
        <w:rPr>
          <w:rFonts w:ascii="宋体" w:hAnsi="宋体" w:cs="宋体"/>
          <w:i/>
          <w:color w:val="auto"/>
          <w:sz w:val="28"/>
          <w:szCs w:val="28"/>
          <w:highlight w:val="none"/>
        </w:rPr>
      </w:pPr>
      <w:r>
        <w:rPr>
          <w:rFonts w:hint="eastAsia" w:ascii="宋体" w:hAnsi="宋体" w:cs="宋体"/>
          <w:i/>
          <w:color w:val="auto"/>
          <w:sz w:val="28"/>
          <w:szCs w:val="28"/>
          <w:highlight w:val="none"/>
          <w:lang w:val="en-US" w:eastAsia="zh-CN"/>
        </w:rPr>
        <w:t>4</w:t>
      </w:r>
      <w:r>
        <w:rPr>
          <w:rFonts w:ascii="宋体" w:hAnsi="宋体" w:cs="宋体"/>
          <w:i/>
          <w:color w:val="auto"/>
          <w:sz w:val="28"/>
          <w:szCs w:val="28"/>
          <w:highlight w:val="none"/>
        </w:rPr>
        <w:t>.其他……</w:t>
      </w:r>
    </w:p>
    <w:p>
      <w:pPr>
        <w:widowControl/>
        <w:jc w:val="left"/>
        <w:rPr>
          <w:rFonts w:ascii="宋体" w:hAnsi="宋体" w:cs="宋体"/>
          <w:i/>
          <w:color w:val="auto"/>
          <w:sz w:val="28"/>
          <w:szCs w:val="28"/>
          <w:highlight w:val="none"/>
        </w:rPr>
      </w:pPr>
      <w:r>
        <w:rPr>
          <w:rFonts w:ascii="宋体" w:hAnsi="宋体" w:cs="宋体"/>
          <w:i/>
          <w:color w:val="auto"/>
          <w:sz w:val="28"/>
          <w:szCs w:val="28"/>
          <w:highlight w:val="none"/>
        </w:rPr>
        <w:br w:type="page"/>
      </w:r>
    </w:p>
    <w:p>
      <w:pPr>
        <w:ind w:firstLine="420" w:firstLineChars="150"/>
        <w:rPr>
          <w:rFonts w:ascii="宋体" w:hAnsi="宋体" w:cs="宋体"/>
          <w:i/>
          <w:color w:val="auto"/>
          <w:sz w:val="28"/>
          <w:szCs w:val="28"/>
          <w:highlight w:val="none"/>
        </w:rPr>
      </w:pPr>
    </w:p>
    <w:p>
      <w:pPr>
        <w:ind w:firstLine="420" w:firstLineChars="150"/>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hint="eastAsia" w:ascii="宋体" w:hAnsi="宋体" w:cs="宋体"/>
          <w:color w:val="auto"/>
          <w:sz w:val="28"/>
          <w:szCs w:val="28"/>
          <w:highlight w:val="none"/>
        </w:rPr>
        <w:t xml:space="preserve"> 项目比选申请文件</w:t>
      </w:r>
    </w:p>
    <w:p>
      <w:pPr>
        <w:pStyle w:val="13"/>
        <w:jc w:val="center"/>
        <w:rPr>
          <w:color w:val="auto"/>
          <w:highlight w:val="none"/>
        </w:rPr>
      </w:pPr>
      <w:bookmarkStart w:id="569" w:name="_Toc461525327"/>
      <w:bookmarkStart w:id="570" w:name="_Toc20460"/>
      <w:bookmarkStart w:id="571" w:name="_Toc3587"/>
      <w:bookmarkStart w:id="572" w:name="_Toc27059"/>
      <w:bookmarkStart w:id="573" w:name="_Toc15573"/>
      <w:bookmarkStart w:id="574" w:name="_Toc3278"/>
      <w:bookmarkStart w:id="575" w:name="_Toc196"/>
      <w:bookmarkStart w:id="576" w:name="_Toc10925"/>
      <w:bookmarkStart w:id="577" w:name="_Toc21287"/>
      <w:r>
        <w:rPr>
          <w:b w:val="0"/>
          <w:bCs w:val="0"/>
          <w:color w:val="auto"/>
          <w:sz w:val="28"/>
          <w:szCs w:val="28"/>
          <w:highlight w:val="none"/>
        </w:rPr>
        <w:t>商务部分</w:t>
      </w:r>
      <w:bookmarkEnd w:id="569"/>
      <w:bookmarkEnd w:id="570"/>
      <w:bookmarkEnd w:id="571"/>
      <w:bookmarkEnd w:id="572"/>
      <w:bookmarkEnd w:id="573"/>
      <w:bookmarkEnd w:id="574"/>
      <w:bookmarkEnd w:id="575"/>
      <w:bookmarkEnd w:id="576"/>
      <w:bookmarkEnd w:id="577"/>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bookmarkStart w:id="578" w:name="_Toc333307133"/>
      <w:r>
        <w:rPr>
          <w:rFonts w:hint="eastAsia"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bookmarkEnd w:id="578"/>
    <w:p>
      <w:pPr>
        <w:ind w:right="753"/>
        <w:jc w:val="left"/>
        <w:rPr>
          <w:rFonts w:ascii="宋体" w:hAnsi="宋体" w:cs="宋体"/>
          <w:color w:val="auto"/>
          <w:sz w:val="28"/>
          <w:szCs w:val="28"/>
          <w:highlight w:val="none"/>
        </w:rPr>
      </w:pPr>
      <w:bookmarkStart w:id="579" w:name="_Toc333307134"/>
      <w:r>
        <w:rPr>
          <w:rFonts w:hint="eastAsia" w:ascii="宋体" w:hAnsi="宋体" w:cs="宋体"/>
          <w:color w:val="auto"/>
          <w:sz w:val="28"/>
          <w:szCs w:val="28"/>
          <w:highlight w:val="none"/>
        </w:rPr>
        <w:t xml:space="preserve">     年    </w:t>
      </w:r>
      <w:bookmarkEnd w:id="579"/>
      <w:r>
        <w:rPr>
          <w:rFonts w:hint="eastAsia" w:ascii="宋体" w:hAnsi="宋体" w:cs="宋体"/>
          <w:color w:val="auto"/>
          <w:sz w:val="28"/>
          <w:szCs w:val="28"/>
          <w:highlight w:val="none"/>
        </w:rPr>
        <w:t>月</w:t>
      </w:r>
      <w:bookmarkStart w:id="580" w:name="_Toc333307135"/>
      <w:r>
        <w:rPr>
          <w:rFonts w:hint="eastAsia" w:ascii="宋体" w:hAnsi="宋体" w:cs="宋体"/>
          <w:color w:val="auto"/>
          <w:sz w:val="28"/>
          <w:szCs w:val="28"/>
          <w:highlight w:val="none"/>
        </w:rPr>
        <w:t xml:space="preserve">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4"/>
        <w:jc w:val="center"/>
        <w:rPr>
          <w:b/>
          <w:color w:val="auto"/>
          <w:highlight w:val="none"/>
        </w:rPr>
      </w:pPr>
      <w:bookmarkStart w:id="581" w:name="_Toc29739"/>
      <w:bookmarkStart w:id="582" w:name="_Toc2010"/>
      <w:bookmarkStart w:id="583" w:name="_Toc471482372"/>
      <w:bookmarkStart w:id="584" w:name="_Toc17346"/>
      <w:bookmarkStart w:id="585" w:name="_Toc461525328"/>
      <w:bookmarkStart w:id="586" w:name="_Toc1794"/>
      <w:bookmarkStart w:id="587" w:name="_Toc7127"/>
      <w:bookmarkStart w:id="588" w:name="_Toc21818"/>
      <w:bookmarkStart w:id="589" w:name="_Toc11015"/>
      <w:bookmarkStart w:id="590" w:name="_Toc4901"/>
      <w:bookmarkStart w:id="591" w:name="_Toc24524"/>
      <w:bookmarkStart w:id="592" w:name="_Toc28212"/>
      <w:bookmarkStart w:id="593" w:name="_Toc4589"/>
      <w:bookmarkStart w:id="594" w:name="_Toc16542"/>
      <w:bookmarkStart w:id="595" w:name="_Toc7630"/>
      <w:bookmarkStart w:id="596" w:name="_Toc24408"/>
      <w:bookmarkStart w:id="597" w:name="_Toc21835"/>
      <w:bookmarkStart w:id="598" w:name="_Toc5616"/>
      <w:bookmarkStart w:id="599" w:name="_Toc18267"/>
      <w:bookmarkStart w:id="600" w:name="_Toc30879"/>
      <w:r>
        <w:rPr>
          <w:rFonts w:hint="eastAsia"/>
          <w:b/>
          <w:color w:val="auto"/>
          <w:highlight w:val="none"/>
        </w:rPr>
        <w:t>三、商务部分材料目录</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bookmarkEnd w:id="580"/>
    <w:p>
      <w:pPr>
        <w:ind w:right="753"/>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1.报价表；</w:t>
      </w:r>
    </w:p>
    <w:p>
      <w:pPr>
        <w:ind w:right="753" w:firstLine="420" w:firstLineChars="150"/>
        <w:jc w:val="left"/>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t>.业绩表；</w:t>
      </w:r>
    </w:p>
    <w:p>
      <w:pPr>
        <w:ind w:right="753"/>
        <w:jc w:val="left"/>
        <w:rPr>
          <w:rFonts w:hint="eastAsia"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numPr>
          <w:ilvl w:val="0"/>
          <w:numId w:val="6"/>
        </w:numPr>
        <w:rPr>
          <w:rFonts w:hint="eastAsia"/>
          <w:color w:val="auto"/>
          <w:highlight w:val="none"/>
        </w:rPr>
      </w:pPr>
      <w:bookmarkStart w:id="601" w:name="_Toc26609"/>
      <w:bookmarkStart w:id="602" w:name="_Toc1148"/>
      <w:bookmarkStart w:id="603" w:name="_Toc6408"/>
      <w:bookmarkStart w:id="604" w:name="_Toc25896"/>
      <w:bookmarkStart w:id="605" w:name="_Toc29844"/>
      <w:bookmarkStart w:id="606" w:name="_Toc20415"/>
      <w:bookmarkStart w:id="607" w:name="_Toc3569"/>
      <w:bookmarkStart w:id="608" w:name="_Toc9748"/>
      <w:bookmarkStart w:id="609" w:name="_Toc25214"/>
      <w:bookmarkStart w:id="610" w:name="_Toc461525330"/>
      <w:bookmarkStart w:id="611" w:name="_Toc17958"/>
      <w:bookmarkStart w:id="612" w:name="_Toc29457"/>
      <w:r>
        <w:rPr>
          <w:rFonts w:hint="eastAsia"/>
          <w:color w:val="auto"/>
          <w:highlight w:val="none"/>
        </w:rPr>
        <w:t>报价表</w:t>
      </w:r>
      <w:bookmarkEnd w:id="601"/>
      <w:bookmarkEnd w:id="602"/>
      <w:r>
        <w:rPr>
          <w:rFonts w:hint="eastAsia"/>
          <w:color w:val="auto"/>
          <w:highlight w:val="none"/>
        </w:rPr>
        <w:t>（格式）</w:t>
      </w:r>
      <w:bookmarkEnd w:id="603"/>
      <w:bookmarkEnd w:id="604"/>
      <w:bookmarkEnd w:id="605"/>
      <w:bookmarkEnd w:id="606"/>
      <w:bookmarkEnd w:id="607"/>
      <w:bookmarkEnd w:id="608"/>
      <w:bookmarkEnd w:id="609"/>
      <w:bookmarkEnd w:id="610"/>
      <w:bookmarkEnd w:id="611"/>
      <w:bookmarkEnd w:id="612"/>
    </w:p>
    <w:tbl>
      <w:tblPr>
        <w:tblStyle w:val="14"/>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214"/>
        <w:gridCol w:w="216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108"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2214"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内容</w:t>
            </w:r>
          </w:p>
        </w:tc>
        <w:tc>
          <w:tcPr>
            <w:tcW w:w="2160" w:type="dxa"/>
            <w:vAlign w:val="center"/>
          </w:tcPr>
          <w:p>
            <w:pPr>
              <w:ind w:right="753"/>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报价</w:t>
            </w:r>
          </w:p>
        </w:tc>
        <w:tc>
          <w:tcPr>
            <w:tcW w:w="2633"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计算方式及下浮率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2108" w:type="dxa"/>
            <w:vMerge w:val="restart"/>
            <w:vAlign w:val="center"/>
          </w:tcPr>
          <w:p>
            <w:pPr>
              <w:ind w:right="753"/>
              <w:jc w:val="center"/>
              <w:rPr>
                <w:rFonts w:ascii="宋体" w:hAnsi="宋体" w:eastAsia="宋体" w:cs="宋体"/>
                <w:color w:val="auto"/>
                <w:szCs w:val="21"/>
                <w:highlight w:val="none"/>
              </w:rPr>
            </w:pPr>
            <w:r>
              <w:rPr>
                <w:rFonts w:hint="eastAsia" w:ascii="宋体" w:hAnsi="宋体" w:cs="宋体"/>
                <w:color w:val="auto"/>
                <w:szCs w:val="21"/>
                <w:highlight w:val="none"/>
                <w:lang w:val="zh-CN" w:eastAsia="zh-CN"/>
              </w:rPr>
              <w:t>南宁火车北站东广场整理工程</w:t>
            </w:r>
            <w:r>
              <w:rPr>
                <w:rFonts w:hint="eastAsia" w:ascii="宋体" w:hAnsi="宋体" w:cs="宋体"/>
                <w:color w:val="auto"/>
                <w:szCs w:val="21"/>
                <w:highlight w:val="none"/>
                <w:lang w:val="en-US" w:eastAsia="zh-CN"/>
              </w:rPr>
              <w:t>监理项</w:t>
            </w:r>
            <w:r>
              <w:rPr>
                <w:rFonts w:hint="eastAsia" w:ascii="宋体" w:hAnsi="宋体" w:eastAsia="宋体" w:cs="宋体"/>
                <w:color w:val="auto"/>
                <w:szCs w:val="21"/>
                <w:highlight w:val="none"/>
              </w:rPr>
              <w:t>目</w:t>
            </w:r>
          </w:p>
        </w:tc>
        <w:tc>
          <w:tcPr>
            <w:tcW w:w="2214" w:type="dxa"/>
            <w:vAlign w:val="center"/>
          </w:tcPr>
          <w:p>
            <w:pPr>
              <w:numPr>
                <w:ilvl w:val="0"/>
                <w:numId w:val="7"/>
              </w:numPr>
              <w:ind w:right="753"/>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不含税报价</w:t>
            </w:r>
          </w:p>
          <w:p>
            <w:pPr>
              <w:numPr>
                <w:ilvl w:val="-1"/>
                <w:numId w:val="0"/>
              </w:numPr>
              <w:ind w:right="753"/>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单位：元</w:t>
            </w:r>
            <w:r>
              <w:rPr>
                <w:rFonts w:hint="eastAsia" w:ascii="宋体" w:hAnsi="宋体" w:eastAsia="宋体" w:cs="宋体"/>
                <w:color w:val="auto"/>
                <w:szCs w:val="21"/>
                <w:highlight w:val="none"/>
                <w:lang w:eastAsia="zh-CN"/>
              </w:rPr>
              <w:t>）</w:t>
            </w:r>
          </w:p>
        </w:tc>
        <w:tc>
          <w:tcPr>
            <w:tcW w:w="2160" w:type="dxa"/>
            <w:vAlign w:val="center"/>
          </w:tcPr>
          <w:p>
            <w:pPr>
              <w:ind w:right="753"/>
              <w:jc w:val="center"/>
              <w:rPr>
                <w:rFonts w:hint="eastAsia" w:ascii="宋体" w:hAnsi="宋体" w:eastAsia="宋体" w:cs="宋体"/>
                <w:color w:val="auto"/>
                <w:szCs w:val="21"/>
                <w:highlight w:val="none"/>
              </w:rPr>
            </w:pPr>
          </w:p>
        </w:tc>
        <w:tc>
          <w:tcPr>
            <w:tcW w:w="2633" w:type="dxa"/>
            <w:vMerge w:val="restart"/>
            <w:vAlign w:val="center"/>
          </w:tcPr>
          <w:p>
            <w:pPr>
              <w:ind w:right="753"/>
              <w:jc w:val="center"/>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）监理服务费</w:t>
            </w:r>
            <w:r>
              <w:rPr>
                <w:rFonts w:hint="eastAsia"/>
                <w:color w:val="auto"/>
                <w:highlight w:val="none"/>
              </w:rPr>
              <w:t>=</w:t>
            </w:r>
            <w:r>
              <w:rPr>
                <w:rFonts w:hint="eastAsia"/>
                <w:color w:val="auto"/>
                <w:highlight w:val="none"/>
                <w:lang w:val="en-US" w:eastAsia="zh-CN"/>
              </w:rPr>
              <w:t>上限控制价</w:t>
            </w:r>
            <w:r>
              <w:rPr>
                <w:rFonts w:hint="eastAsia"/>
                <w:color w:val="auto"/>
                <w:highlight w:val="none"/>
              </w:rPr>
              <w:t>×（1—</w:t>
            </w:r>
            <w:r>
              <w:rPr>
                <w:rFonts w:hint="eastAsia"/>
                <w:color w:val="auto"/>
                <w:highlight w:val="none"/>
                <w:lang w:val="en-US" w:eastAsia="zh-CN"/>
              </w:rPr>
              <w:t>下浮</w:t>
            </w:r>
            <w:r>
              <w:rPr>
                <w:rFonts w:hint="eastAsia"/>
                <w:color w:val="auto"/>
                <w:highlight w:val="none"/>
              </w:rPr>
              <w:t>系数）</w:t>
            </w:r>
          </w:p>
          <w:p>
            <w:pPr>
              <w:pStyle w:val="2"/>
              <w:rPr>
                <w:rFonts w:hint="default" w:eastAsiaTheme="minorEastAsia"/>
                <w:color w:val="auto"/>
                <w:highlight w:val="none"/>
                <w:lang w:val="en-US" w:eastAsia="zh-CN"/>
              </w:rPr>
            </w:pPr>
            <w:r>
              <w:rPr>
                <w:rFonts w:hint="eastAsia" w:hAnsi="宋体"/>
                <w:color w:val="auto"/>
                <w:highlight w:val="none"/>
                <w:lang w:val="en-US" w:eastAsia="zh-CN"/>
              </w:rPr>
              <w:t>（2）下浮系数：</w:t>
            </w:r>
            <w:r>
              <w:rPr>
                <w:rFonts w:hint="eastAsia" w:hAnsi="宋体"/>
                <w:color w:val="auto"/>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108" w:type="dxa"/>
            <w:vMerge w:val="continue"/>
            <w:vAlign w:val="center"/>
          </w:tcPr>
          <w:p>
            <w:pPr>
              <w:ind w:right="753"/>
              <w:jc w:val="center"/>
              <w:rPr>
                <w:rFonts w:ascii="宋体" w:hAnsi="宋体" w:eastAsia="宋体" w:cs="宋体"/>
                <w:color w:val="auto"/>
                <w:szCs w:val="21"/>
                <w:highlight w:val="none"/>
              </w:rPr>
            </w:pPr>
          </w:p>
        </w:tc>
        <w:tc>
          <w:tcPr>
            <w:tcW w:w="2214" w:type="dxa"/>
            <w:vAlign w:val="center"/>
          </w:tcPr>
          <w:p>
            <w:pPr>
              <w:ind w:right="753"/>
              <w:jc w:val="center"/>
              <w:rPr>
                <w:rFonts w:hint="default" w:ascii="宋体" w:hAnsi="宋体" w:eastAsia="宋体" w:cs="宋体"/>
                <w:color w:val="auto"/>
                <w:szCs w:val="21"/>
                <w:highlight w:val="none"/>
                <w:lang w:val="en-US"/>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税率（单位：%）</w:t>
            </w:r>
          </w:p>
        </w:tc>
        <w:tc>
          <w:tcPr>
            <w:tcW w:w="2160" w:type="dxa"/>
            <w:vAlign w:val="center"/>
          </w:tcPr>
          <w:p>
            <w:pPr>
              <w:ind w:right="753"/>
              <w:jc w:val="center"/>
              <w:rPr>
                <w:rFonts w:hint="eastAsia" w:ascii="宋体" w:hAnsi="宋体" w:eastAsia="宋体" w:cs="宋体"/>
                <w:color w:val="auto"/>
                <w:szCs w:val="21"/>
                <w:highlight w:val="none"/>
              </w:rPr>
            </w:pPr>
          </w:p>
        </w:tc>
        <w:tc>
          <w:tcPr>
            <w:tcW w:w="2633" w:type="dxa"/>
            <w:vMerge w:val="continue"/>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108" w:type="dxa"/>
            <w:vMerge w:val="continue"/>
            <w:vAlign w:val="center"/>
          </w:tcPr>
          <w:p>
            <w:pPr>
              <w:ind w:right="753"/>
              <w:jc w:val="center"/>
              <w:rPr>
                <w:rFonts w:ascii="宋体" w:hAnsi="宋体" w:eastAsia="宋体" w:cs="宋体"/>
                <w:color w:val="auto"/>
                <w:szCs w:val="21"/>
                <w:highlight w:val="none"/>
              </w:rPr>
            </w:pPr>
          </w:p>
        </w:tc>
        <w:tc>
          <w:tcPr>
            <w:tcW w:w="2214" w:type="dxa"/>
            <w:vAlign w:val="center"/>
          </w:tcPr>
          <w:p>
            <w:pPr>
              <w:numPr>
                <w:ilvl w:val="0"/>
                <w:numId w:val="8"/>
              </w:numPr>
              <w:ind w:right="753"/>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税金</w:t>
            </w:r>
          </w:p>
          <w:p>
            <w:pPr>
              <w:numPr>
                <w:ilvl w:val="-1"/>
                <w:numId w:val="0"/>
              </w:numPr>
              <w:ind w:right="753"/>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单位：元</w:t>
            </w:r>
            <w:r>
              <w:rPr>
                <w:rFonts w:hint="eastAsia" w:ascii="宋体" w:hAnsi="宋体" w:eastAsia="宋体" w:cs="宋体"/>
                <w:color w:val="auto"/>
                <w:szCs w:val="21"/>
                <w:highlight w:val="none"/>
                <w:lang w:eastAsia="zh-CN"/>
              </w:rPr>
              <w:t>）</w:t>
            </w:r>
          </w:p>
        </w:tc>
        <w:tc>
          <w:tcPr>
            <w:tcW w:w="2160" w:type="dxa"/>
            <w:vAlign w:val="center"/>
          </w:tcPr>
          <w:p>
            <w:pPr>
              <w:ind w:right="753"/>
              <w:jc w:val="center"/>
              <w:rPr>
                <w:rFonts w:hint="eastAsia" w:ascii="宋体" w:hAnsi="宋体" w:eastAsia="宋体" w:cs="宋体"/>
                <w:color w:val="auto"/>
                <w:szCs w:val="21"/>
                <w:highlight w:val="none"/>
                <w:lang w:val="en-US" w:eastAsia="zh-CN"/>
              </w:rPr>
            </w:pPr>
          </w:p>
        </w:tc>
        <w:tc>
          <w:tcPr>
            <w:tcW w:w="2633" w:type="dxa"/>
            <w:vMerge w:val="continue"/>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108"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c>
          <w:tcPr>
            <w:tcW w:w="2214" w:type="dxa"/>
            <w:tcBorders>
              <w:bottom w:val="single" w:color="auto" w:sz="4" w:space="0"/>
            </w:tcBorders>
            <w:vAlign w:val="center"/>
          </w:tcPr>
          <w:p>
            <w:pPr>
              <w:numPr>
                <w:ilvl w:val="-1"/>
                <w:numId w:val="0"/>
              </w:numPr>
              <w:ind w:right="753"/>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含税总报价（=1+</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p>
          <w:p>
            <w:pPr>
              <w:numPr>
                <w:ilvl w:val="-1"/>
                <w:numId w:val="0"/>
              </w:numPr>
              <w:ind w:right="753"/>
              <w:jc w:val="center"/>
              <w:rPr>
                <w:rFonts w:hint="default"/>
                <w:color w:val="auto"/>
                <w:highlight w:val="none"/>
                <w:lang w:val="en-US" w:eastAsia="zh-CN"/>
              </w:rPr>
            </w:pPr>
            <w:r>
              <w:rPr>
                <w:rFonts w:hint="eastAsia" w:ascii="宋体" w:hAnsi="宋体" w:eastAsia="宋体" w:cs="宋体"/>
                <w:color w:val="auto"/>
                <w:szCs w:val="21"/>
                <w:highlight w:val="none"/>
                <w:lang w:val="en-US" w:eastAsia="zh-CN"/>
              </w:rPr>
              <w:t>（单位：元）</w:t>
            </w:r>
          </w:p>
        </w:tc>
        <w:tc>
          <w:tcPr>
            <w:tcW w:w="2160" w:type="dxa"/>
            <w:tcBorders>
              <w:bottom w:val="single" w:color="auto" w:sz="4" w:space="0"/>
            </w:tcBorders>
            <w:vAlign w:val="center"/>
          </w:tcPr>
          <w:p>
            <w:pPr>
              <w:ind w:right="753"/>
              <w:jc w:val="center"/>
              <w:rPr>
                <w:rFonts w:hint="default" w:ascii="宋体" w:hAnsi="宋体" w:eastAsia="宋体" w:cs="宋体"/>
                <w:color w:val="auto"/>
                <w:szCs w:val="21"/>
                <w:highlight w:val="none"/>
                <w:lang w:val="en-US"/>
              </w:rPr>
            </w:pPr>
          </w:p>
        </w:tc>
        <w:tc>
          <w:tcPr>
            <w:tcW w:w="2633"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r>
    </w:tbl>
    <w:p>
      <w:pPr>
        <w:ind w:right="753"/>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注：上述报价以“元”为单位，保留到小数点后2位</w:t>
      </w:r>
      <w:r>
        <w:rPr>
          <w:rFonts w:hint="eastAsia" w:ascii="宋体" w:hAnsi="宋体" w:eastAsia="宋体" w:cs="宋体"/>
          <w:color w:val="auto"/>
          <w:sz w:val="28"/>
          <w:szCs w:val="28"/>
          <w:highlight w:val="none"/>
          <w:lang w:eastAsia="zh-CN"/>
        </w:rPr>
        <w:t>。</w:t>
      </w:r>
    </w:p>
    <w:p>
      <w:pPr>
        <w:ind w:right="753"/>
        <w:rPr>
          <w:rFonts w:ascii="宋体" w:hAnsi="宋体" w:eastAsia="宋体" w:cs="宋体"/>
          <w:color w:val="auto"/>
          <w:sz w:val="28"/>
          <w:szCs w:val="28"/>
          <w:highlight w:val="none"/>
        </w:rPr>
      </w:pPr>
    </w:p>
    <w:p>
      <w:pPr>
        <w:pStyle w:val="2"/>
        <w:rPr>
          <w:rFonts w:ascii="宋体" w:hAnsi="宋体" w:eastAsia="宋体" w:cs="宋体"/>
          <w:color w:val="auto"/>
          <w:sz w:val="28"/>
          <w:szCs w:val="28"/>
          <w:highlight w:val="none"/>
        </w:rPr>
      </w:pPr>
    </w:p>
    <w:p>
      <w:pPr>
        <w:pStyle w:val="2"/>
        <w:rPr>
          <w:rFonts w:ascii="宋体" w:hAnsi="宋体" w:eastAsia="宋体" w:cs="宋体"/>
          <w:color w:val="auto"/>
          <w:sz w:val="28"/>
          <w:szCs w:val="28"/>
          <w:highlight w:val="none"/>
        </w:rPr>
      </w:pPr>
    </w:p>
    <w:p>
      <w:pPr>
        <w:pStyle w:val="2"/>
        <w:rPr>
          <w:rFonts w:ascii="宋体" w:hAnsi="宋体" w:eastAsia="宋体" w:cs="宋体"/>
          <w:color w:val="auto"/>
          <w:sz w:val="28"/>
          <w:szCs w:val="28"/>
          <w:highlight w:val="none"/>
        </w:rPr>
      </w:pPr>
    </w:p>
    <w:p>
      <w:pPr>
        <w:ind w:right="75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比</w:t>
      </w:r>
      <w:r>
        <w:rPr>
          <w:rFonts w:hint="eastAsia" w:ascii="宋体" w:hAnsi="宋体" w:eastAsia="宋体" w:cs="宋体"/>
          <w:color w:val="auto"/>
          <w:sz w:val="28"/>
          <w:szCs w:val="28"/>
          <w:highlight w:val="none"/>
        </w:rPr>
        <w:t xml:space="preserve">选申请人（公章）                                </w:t>
      </w:r>
    </w:p>
    <w:p>
      <w:pPr>
        <w:ind w:right="753"/>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法定代表人或其委托代理人签名（或盖章）：</w:t>
      </w:r>
    </w:p>
    <w:p>
      <w:pPr>
        <w:spacing w:line="360" w:lineRule="auto"/>
        <w:ind w:right="565" w:rightChars="269"/>
        <w:jc w:val="left"/>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pStyle w:val="5"/>
        <w:rPr>
          <w:color w:val="auto"/>
          <w:highlight w:val="none"/>
        </w:rPr>
      </w:pPr>
      <w:r>
        <w:rPr>
          <w:rFonts w:hint="eastAsia"/>
          <w:color w:val="auto"/>
          <w:highlight w:val="none"/>
          <w:lang w:val="en-US" w:eastAsia="zh-CN"/>
        </w:rPr>
        <w:t>2</w:t>
      </w:r>
      <w:r>
        <w:rPr>
          <w:rFonts w:hint="eastAsia"/>
          <w:color w:val="auto"/>
          <w:highlight w:val="none"/>
        </w:rPr>
        <w:t>.业绩表</w:t>
      </w:r>
    </w:p>
    <w:tbl>
      <w:tblPr>
        <w:tblStyle w:val="14"/>
        <w:tblW w:w="8897" w:type="dxa"/>
        <w:tblInd w:w="0" w:type="dxa"/>
        <w:tblLayout w:type="fixed"/>
        <w:tblCellMar>
          <w:top w:w="0" w:type="dxa"/>
          <w:left w:w="108" w:type="dxa"/>
          <w:bottom w:w="0" w:type="dxa"/>
          <w:right w:w="108" w:type="dxa"/>
        </w:tblCellMar>
      </w:tblPr>
      <w:tblGrid>
        <w:gridCol w:w="971"/>
        <w:gridCol w:w="4949"/>
        <w:gridCol w:w="297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49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合同对方名称</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合同签订时间</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highlight w:val="none"/>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4"/>
                <w:highlight w:val="none"/>
              </w:rPr>
            </w:pPr>
            <w:r>
              <w:rPr>
                <w:rFonts w:hint="eastAsia" w:ascii="宋体" w:hAnsi="宋体" w:cs="宋体"/>
                <w:color w:val="auto"/>
                <w:kern w:val="0"/>
                <w:sz w:val="24"/>
                <w:highlight w:val="none"/>
              </w:rPr>
              <w:t>　</w:t>
            </w:r>
          </w:p>
        </w:tc>
      </w:tr>
    </w:tbl>
    <w:p>
      <w:pPr>
        <w:ind w:firstLine="420"/>
        <w:rPr>
          <w:rFonts w:ascii="宋体" w:hAnsi="宋体"/>
          <w:color w:val="auto"/>
          <w:sz w:val="24"/>
          <w:highlight w:val="none"/>
        </w:rPr>
      </w:pPr>
      <w:r>
        <w:rPr>
          <w:rFonts w:hint="eastAsia" w:ascii="宋体" w:hAnsi="宋体"/>
          <w:color w:val="auto"/>
          <w:sz w:val="24"/>
          <w:highlight w:val="none"/>
        </w:rPr>
        <w:t>注：1、业绩表是指   年   月  日至   年  月  日期间，对与本项目相关或相近的服务经验。</w:t>
      </w:r>
    </w:p>
    <w:p>
      <w:pPr>
        <w:ind w:firstLine="420"/>
        <w:rPr>
          <w:rFonts w:ascii="宋体" w:hAnsi="宋体"/>
          <w:color w:val="auto"/>
          <w:sz w:val="24"/>
          <w:highlight w:val="none"/>
        </w:rPr>
      </w:pPr>
      <w:r>
        <w:rPr>
          <w:rFonts w:hint="eastAsia" w:ascii="宋体" w:hAnsi="宋体"/>
          <w:color w:val="auto"/>
          <w:sz w:val="24"/>
          <w:highlight w:val="none"/>
        </w:rPr>
        <w:t>2、此表须附相应合同复印件（必须</w:t>
      </w:r>
      <w:r>
        <w:rPr>
          <w:rFonts w:hint="eastAsia" w:ascii="宋体" w:hAnsi="宋体" w:cs="宋体"/>
          <w:color w:val="auto"/>
          <w:sz w:val="24"/>
          <w:highlight w:val="none"/>
        </w:rPr>
        <w:t>体现合同对方名称</w:t>
      </w:r>
      <w:r>
        <w:rPr>
          <w:rFonts w:hint="eastAsia" w:ascii="宋体" w:hAnsi="宋体" w:cs="宋体"/>
          <w:color w:val="auto"/>
          <w:sz w:val="24"/>
          <w:highlight w:val="none"/>
          <w:lang w:eastAsia="zh-CN"/>
        </w:rPr>
        <w:t>、</w:t>
      </w:r>
      <w:r>
        <w:rPr>
          <w:rFonts w:hint="eastAsia" w:ascii="宋体" w:hAnsi="宋体" w:cs="宋体"/>
          <w:color w:val="auto"/>
          <w:sz w:val="24"/>
          <w:highlight w:val="none"/>
        </w:rPr>
        <w:t>签订时间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合同金额等关键信息</w:t>
      </w:r>
      <w:r>
        <w:rPr>
          <w:rFonts w:hint="eastAsia" w:ascii="宋体" w:hAnsi="宋体" w:cs="宋体"/>
          <w:color w:val="auto"/>
          <w:kern w:val="0"/>
          <w:sz w:val="24"/>
          <w:highlight w:val="none"/>
        </w:rPr>
        <w:t>，涉及商业秘密的内容可以隐去</w:t>
      </w:r>
      <w:r>
        <w:rPr>
          <w:rFonts w:hint="eastAsia" w:ascii="宋体" w:hAnsi="宋体"/>
          <w:color w:val="auto"/>
          <w:sz w:val="24"/>
          <w:highlight w:val="none"/>
        </w:rPr>
        <w:t>）</w:t>
      </w:r>
      <w:r>
        <w:rPr>
          <w:rFonts w:hint="eastAsia" w:ascii="宋体" w:hAnsi="宋体"/>
          <w:color w:val="auto"/>
          <w:sz w:val="24"/>
          <w:szCs w:val="28"/>
          <w:highlight w:val="none"/>
        </w:rPr>
        <w:t>证明材料</w:t>
      </w:r>
      <w:r>
        <w:rPr>
          <w:rFonts w:hint="eastAsia" w:ascii="宋体" w:hAnsi="宋体"/>
          <w:color w:val="auto"/>
          <w:sz w:val="24"/>
          <w:highlight w:val="none"/>
        </w:rPr>
        <w:t>。</w:t>
      </w:r>
      <w:r>
        <w:rPr>
          <w:rFonts w:hint="eastAsia" w:ascii="宋体" w:hAnsi="宋体"/>
          <w:color w:val="auto"/>
          <w:sz w:val="24"/>
          <w:szCs w:val="28"/>
          <w:highlight w:val="none"/>
        </w:rPr>
        <w:t>未附证明材料的项目视为无效。</w:t>
      </w:r>
    </w:p>
    <w:p>
      <w:pPr>
        <w:ind w:right="-21"/>
        <w:jc w:val="left"/>
        <w:rPr>
          <w:rFonts w:ascii="宋体" w:hAnsi="宋体" w:cs="宋体"/>
          <w:color w:val="auto"/>
          <w:sz w:val="28"/>
          <w:szCs w:val="28"/>
          <w:highlight w:val="none"/>
        </w:rPr>
      </w:pPr>
    </w:p>
    <w:p>
      <w:pPr>
        <w:jc w:val="center"/>
        <w:rPr>
          <w:rFonts w:hint="eastAsia"/>
          <w:b/>
          <w:bCs/>
          <w:color w:val="auto"/>
          <w:sz w:val="32"/>
          <w:szCs w:val="32"/>
          <w:highlight w:val="none"/>
        </w:rPr>
      </w:pPr>
    </w:p>
    <w:p>
      <w:pPr>
        <w:rPr>
          <w:rFonts w:hint="eastAsia"/>
          <w:color w:val="auto"/>
          <w:highlight w:val="none"/>
        </w:rPr>
      </w:pPr>
    </w:p>
    <w:p>
      <w:pPr>
        <w:pStyle w:val="18"/>
        <w:adjustRightInd w:val="0"/>
        <w:snapToGrid w:val="0"/>
        <w:spacing w:line="360" w:lineRule="auto"/>
        <w:ind w:right="-126" w:rightChars="-60" w:firstLine="415" w:firstLineChars="198"/>
        <w:rPr>
          <w:color w:val="auto"/>
          <w:szCs w:val="21"/>
          <w:highlight w:val="none"/>
          <w:u w:val="single"/>
        </w:rPr>
      </w:pPr>
    </w:p>
    <w:bookmarkEnd w:id="267"/>
    <w:p>
      <w:pPr>
        <w:rPr>
          <w:color w:val="auto"/>
          <w:sz w:val="20"/>
          <w:szCs w:val="21"/>
          <w:highlight w:val="none"/>
          <w:u w:val="single"/>
        </w:rPr>
      </w:pPr>
    </w:p>
    <w:p>
      <w:pPr>
        <w:spacing w:line="420" w:lineRule="exact"/>
        <w:jc w:val="center"/>
        <w:rPr>
          <w:color w:val="auto"/>
          <w:highlight w:val="none"/>
        </w:rPr>
      </w:pPr>
    </w:p>
    <w:p>
      <w:pPr>
        <w:spacing w:line="420" w:lineRule="exact"/>
        <w:jc w:val="center"/>
        <w:rPr>
          <w:color w:val="auto"/>
          <w:highlight w:val="none"/>
        </w:rPr>
      </w:pPr>
    </w:p>
    <w:p>
      <w:pPr>
        <w:pStyle w:val="4"/>
        <w:jc w:val="center"/>
        <w:rPr>
          <w:rFonts w:hint="eastAsia"/>
          <w:color w:val="auto"/>
          <w:highlight w:val="none"/>
        </w:rPr>
      </w:pPr>
    </w:p>
    <w:p>
      <w:pPr>
        <w:pStyle w:val="3"/>
        <w:rPr>
          <w:color w:val="auto"/>
          <w:highlight w:val="none"/>
        </w:rPr>
      </w:pPr>
      <w:bookmarkStart w:id="613" w:name="_Toc8362"/>
      <w:bookmarkStart w:id="614" w:name="_Toc471482373"/>
      <w:bookmarkStart w:id="615" w:name="_Toc18782"/>
      <w:bookmarkStart w:id="616" w:name="_Toc27696"/>
      <w:bookmarkStart w:id="617" w:name="_Toc19609"/>
      <w:bookmarkStart w:id="618" w:name="_Toc23422"/>
      <w:bookmarkStart w:id="619" w:name="_Toc20703"/>
      <w:bookmarkStart w:id="620" w:name="_Toc25576"/>
      <w:bookmarkStart w:id="692" w:name="_GoBack"/>
      <w:bookmarkEnd w:id="692"/>
      <w:r>
        <w:rPr>
          <w:rFonts w:hint="eastAsia"/>
          <w:color w:val="auto"/>
          <w:highlight w:val="none"/>
        </w:rPr>
        <w:t>第</w:t>
      </w:r>
      <w:r>
        <w:rPr>
          <w:rFonts w:hint="eastAsia"/>
          <w:color w:val="auto"/>
          <w:highlight w:val="none"/>
          <w:lang w:eastAsia="zh-CN"/>
        </w:rPr>
        <w:t>六</w:t>
      </w:r>
      <w:r>
        <w:rPr>
          <w:rFonts w:hint="eastAsia"/>
          <w:color w:val="auto"/>
          <w:highlight w:val="none"/>
        </w:rPr>
        <w:t>章</w:t>
      </w:r>
      <w:r>
        <w:rPr>
          <w:rFonts w:hint="eastAsia"/>
          <w:color w:val="auto"/>
          <w:highlight w:val="none"/>
          <w:lang w:val="en-US" w:eastAsia="zh-CN"/>
        </w:rPr>
        <w:t xml:space="preserve">  </w:t>
      </w:r>
      <w:r>
        <w:rPr>
          <w:rFonts w:hint="eastAsia"/>
          <w:color w:val="auto"/>
          <w:highlight w:val="none"/>
        </w:rPr>
        <w:t>评比办法</w:t>
      </w:r>
      <w:bookmarkEnd w:id="613"/>
      <w:bookmarkEnd w:id="614"/>
      <w:bookmarkEnd w:id="615"/>
      <w:bookmarkEnd w:id="616"/>
      <w:bookmarkEnd w:id="617"/>
      <w:bookmarkEnd w:id="618"/>
      <w:bookmarkEnd w:id="619"/>
      <w:bookmarkEnd w:id="620"/>
    </w:p>
    <w:p>
      <w:pPr>
        <w:pStyle w:val="4"/>
        <w:rPr>
          <w:color w:val="auto"/>
          <w:highlight w:val="none"/>
        </w:rPr>
      </w:pPr>
      <w:bookmarkStart w:id="621" w:name="_Toc7201"/>
      <w:bookmarkStart w:id="622" w:name="_Toc17031"/>
      <w:bookmarkStart w:id="623" w:name="_Toc3233"/>
      <w:bookmarkStart w:id="624" w:name="_Toc31412"/>
      <w:bookmarkStart w:id="625" w:name="_Toc28938"/>
      <w:bookmarkStart w:id="626" w:name="_Toc10281"/>
      <w:bookmarkStart w:id="627" w:name="_Toc3898"/>
      <w:bookmarkStart w:id="628" w:name="_Toc9699"/>
      <w:bookmarkStart w:id="629" w:name="_Toc17632"/>
      <w:bookmarkStart w:id="630" w:name="_Toc471482374"/>
      <w:bookmarkStart w:id="631" w:name="_Toc13157"/>
      <w:bookmarkStart w:id="632" w:name="_Toc25239"/>
      <w:bookmarkStart w:id="633" w:name="_Toc10015"/>
      <w:bookmarkStart w:id="634" w:name="_Toc16236"/>
      <w:bookmarkStart w:id="635" w:name="_Toc17107"/>
      <w:bookmarkStart w:id="636" w:name="_Toc2433"/>
      <w:bookmarkStart w:id="637" w:name="_Toc2996"/>
      <w:r>
        <w:rPr>
          <w:rFonts w:hint="eastAsia"/>
          <w:color w:val="auto"/>
          <w:highlight w:val="none"/>
        </w:rPr>
        <w:t>一、综合评分办法</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1.资格评审：对比选申请人的资格条件、比选申请文件的完整性和有效性、比选申请文件的有效期等方面进行审查。通过资格评审的比选申请文件进入技术、商务评审。</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2.技术、商务评审：由比选评审小组按照比选文件的要求，对照比选申请文件的应答进行比较，并对各比选申请文件的技术、商务内容进行评审，且技术部分、商务部分由比选评审小组讨论定档后进行打分。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（1）如果数字表示的金额和用文字表示的金额不一致时，应以文字表示的金额为准；</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（2）当单价与数量的乘积与合价不一致时，以合价为准，并调整单价；</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（3）当合价与报价总价不一致时，以报价总价为准，调整相关合价；</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（4）评审期间，比选评审小组不接受任何比选申请人主动提出的对报价及单价、合价的调整；</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（5）其它未尽事宜，由评审小组审议确定(如意见不一致时，以记名方式投票确定)。</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5.</w:t>
      </w:r>
      <w:r>
        <w:rPr>
          <w:rFonts w:ascii="宋体" w:hAnsi="宋体" w:cs="宋体"/>
          <w:color w:val="auto"/>
          <w:sz w:val="28"/>
          <w:szCs w:val="28"/>
          <w:highlight w:val="none"/>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4"/>
        <w:rPr>
          <w:color w:val="auto"/>
          <w:highlight w:val="none"/>
        </w:rPr>
      </w:pPr>
      <w:bookmarkStart w:id="638" w:name="_Toc30979"/>
      <w:bookmarkStart w:id="639" w:name="_Toc6388"/>
      <w:bookmarkStart w:id="640" w:name="_Toc5576"/>
      <w:bookmarkStart w:id="641" w:name="_Toc7245"/>
      <w:bookmarkStart w:id="642" w:name="_Toc31578"/>
      <w:bookmarkStart w:id="643" w:name="_Toc5579"/>
      <w:bookmarkStart w:id="644" w:name="_Toc20237"/>
      <w:bookmarkStart w:id="645" w:name="_Toc21005"/>
      <w:bookmarkStart w:id="646" w:name="_Toc10860"/>
      <w:bookmarkStart w:id="647" w:name="_Toc26057"/>
      <w:bookmarkStart w:id="648" w:name="_Toc14401"/>
      <w:bookmarkStart w:id="649" w:name="_Toc471482375"/>
      <w:bookmarkStart w:id="650" w:name="_Toc28435"/>
      <w:bookmarkStart w:id="651" w:name="_Toc12579"/>
      <w:bookmarkStart w:id="652" w:name="_Toc15054"/>
      <w:bookmarkStart w:id="653" w:name="_Toc29031"/>
      <w:bookmarkStart w:id="654" w:name="_Toc29182"/>
      <w:r>
        <w:rPr>
          <w:rFonts w:hint="eastAsia"/>
          <w:color w:val="auto"/>
          <w:highlight w:val="none"/>
        </w:rPr>
        <w:t>二、总分计算公式</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总分即比选申请人评分综合得分，其计算公式：</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总分＝商务部分得分+技术部分得分</w:t>
      </w:r>
    </w:p>
    <w:p>
      <w:pPr>
        <w:ind w:right="753"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注：各项指标的分数计算四舍五入，取小数点后两位。</w:t>
      </w:r>
    </w:p>
    <w:p>
      <w:pPr>
        <w:pStyle w:val="4"/>
        <w:rPr>
          <w:color w:val="auto"/>
          <w:highlight w:val="none"/>
        </w:rPr>
      </w:pPr>
      <w:bookmarkStart w:id="655" w:name="_Toc31364"/>
      <w:bookmarkStart w:id="656" w:name="_Toc23087"/>
      <w:bookmarkStart w:id="657" w:name="_Toc18027"/>
      <w:bookmarkStart w:id="658" w:name="_Toc8001"/>
      <w:bookmarkStart w:id="659" w:name="_Toc10918"/>
      <w:bookmarkStart w:id="660" w:name="_Toc32296"/>
      <w:bookmarkStart w:id="661" w:name="_Toc28207"/>
      <w:bookmarkStart w:id="662" w:name="_Toc9696"/>
      <w:bookmarkStart w:id="663" w:name="_Toc6470"/>
      <w:bookmarkStart w:id="664" w:name="_Toc2392"/>
      <w:bookmarkStart w:id="665" w:name="_Toc4749"/>
      <w:bookmarkStart w:id="666" w:name="_Toc12777"/>
      <w:bookmarkStart w:id="667" w:name="_Toc471482376"/>
      <w:bookmarkStart w:id="668" w:name="_Toc31078"/>
      <w:bookmarkStart w:id="669" w:name="_Toc26842"/>
      <w:bookmarkStart w:id="670" w:name="_Toc31522"/>
      <w:bookmarkStart w:id="671" w:name="_Toc13406"/>
      <w:r>
        <w:rPr>
          <w:rFonts w:hint="eastAsia"/>
          <w:color w:val="auto"/>
          <w:highlight w:val="none"/>
        </w:rPr>
        <w:t>三、评分细则</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2"/>
        <w:rPr>
          <w:rFonts w:hint="eastAsia"/>
          <w:color w:val="auto"/>
          <w:sz w:val="28"/>
          <w:szCs w:val="28"/>
          <w:highlight w:val="none"/>
        </w:rPr>
      </w:pPr>
      <w:bookmarkStart w:id="672" w:name="_Toc18752"/>
      <w:bookmarkStart w:id="673" w:name="_Toc1358"/>
      <w:bookmarkStart w:id="674" w:name="_Toc15382"/>
      <w:r>
        <w:rPr>
          <w:rFonts w:hint="eastAsia"/>
          <w:color w:val="auto"/>
          <w:sz w:val="28"/>
          <w:szCs w:val="28"/>
          <w:highlight w:val="none"/>
        </w:rPr>
        <w:t>1.商务部分评分细则（满分</w:t>
      </w:r>
      <w:r>
        <w:rPr>
          <w:rFonts w:hint="eastAsia"/>
          <w:color w:val="auto"/>
          <w:sz w:val="28"/>
          <w:szCs w:val="28"/>
          <w:highlight w:val="none"/>
          <w:lang w:val="en-US" w:eastAsia="zh-CN"/>
        </w:rPr>
        <w:t>3</w:t>
      </w:r>
      <w:r>
        <w:rPr>
          <w:rFonts w:hint="eastAsia"/>
          <w:color w:val="auto"/>
          <w:sz w:val="28"/>
          <w:szCs w:val="28"/>
          <w:highlight w:val="none"/>
        </w:rPr>
        <w:t>0分）</w:t>
      </w:r>
      <w:bookmarkEnd w:id="672"/>
      <w:bookmarkEnd w:id="673"/>
      <w:bookmarkEnd w:id="674"/>
    </w:p>
    <w:tbl>
      <w:tblPr>
        <w:tblStyle w:val="14"/>
        <w:tblpPr w:leftFromText="180" w:rightFromText="180" w:vertAnchor="text" w:horzAnchor="page" w:tblpX="1767" w:tblpY="151"/>
        <w:tblOverlap w:val="never"/>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06"/>
        <w:gridCol w:w="4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270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评分因素</w:t>
            </w:r>
          </w:p>
        </w:tc>
        <w:tc>
          <w:tcPr>
            <w:tcW w:w="4991"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2706"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本项目报价评分</w:t>
            </w:r>
          </w:p>
          <w:p>
            <w:pPr>
              <w:jc w:val="center"/>
              <w:rPr>
                <w:rFonts w:ascii="宋体" w:hAnsi="宋体" w:cs="宋体"/>
                <w:color w:val="auto"/>
                <w:kern w:val="0"/>
                <w:sz w:val="24"/>
                <w:highlight w:val="none"/>
              </w:rPr>
            </w:pPr>
            <w:r>
              <w:rPr>
                <w:rFonts w:hint="eastAsia" w:ascii="宋体" w:hAnsi="宋体" w:cs="宋体"/>
                <w:color w:val="auto"/>
                <w:kern w:val="0"/>
                <w:sz w:val="24"/>
                <w:highlight w:val="none"/>
              </w:rPr>
              <w:t>（满分</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0分）</w:t>
            </w:r>
          </w:p>
        </w:tc>
        <w:tc>
          <w:tcPr>
            <w:tcW w:w="4991" w:type="dxa"/>
            <w:vAlign w:val="center"/>
          </w:tcPr>
          <w:p>
            <w:pPr>
              <w:ind w:firstLine="0" w:firstLineChars="0"/>
              <w:jc w:val="left"/>
              <w:rPr>
                <w:rFonts w:ascii="宋体" w:hAnsi="宋体"/>
                <w:b/>
                <w:color w:val="auto"/>
                <w:kern w:val="0"/>
                <w:sz w:val="24"/>
                <w:highlight w:val="none"/>
              </w:rPr>
            </w:pPr>
            <w:r>
              <w:rPr>
                <w:rFonts w:ascii="宋体" w:hAnsi="宋体"/>
                <w:b/>
                <w:color w:val="auto"/>
                <w:kern w:val="0"/>
                <w:sz w:val="24"/>
                <w:highlight w:val="none"/>
              </w:rPr>
              <w:t>比选申请人价格大于上</w:t>
            </w:r>
            <w:r>
              <w:rPr>
                <w:rFonts w:hint="eastAsia" w:ascii="宋体" w:hAnsi="宋体"/>
                <w:b/>
                <w:color w:val="auto"/>
                <w:kern w:val="0"/>
                <w:sz w:val="24"/>
                <w:highlight w:val="none"/>
                <w:lang w:val="en-US" w:eastAsia="zh-CN"/>
              </w:rPr>
              <w:t>限</w:t>
            </w:r>
            <w:r>
              <w:rPr>
                <w:rFonts w:ascii="宋体" w:hAnsi="宋体"/>
                <w:b/>
                <w:color w:val="auto"/>
                <w:kern w:val="0"/>
                <w:sz w:val="24"/>
                <w:highlight w:val="none"/>
              </w:rPr>
              <w:t>控</w:t>
            </w:r>
            <w:r>
              <w:rPr>
                <w:rFonts w:hint="eastAsia" w:ascii="宋体" w:hAnsi="宋体"/>
                <w:b/>
                <w:color w:val="auto"/>
                <w:kern w:val="0"/>
                <w:sz w:val="24"/>
                <w:highlight w:val="none"/>
                <w:lang w:val="en-US" w:eastAsia="zh-CN"/>
              </w:rPr>
              <w:t>制</w:t>
            </w:r>
            <w:r>
              <w:rPr>
                <w:rFonts w:ascii="宋体" w:hAnsi="宋体"/>
                <w:b/>
                <w:color w:val="auto"/>
                <w:kern w:val="0"/>
                <w:sz w:val="24"/>
                <w:highlight w:val="none"/>
              </w:rPr>
              <w:t>价时比选申请文件作无效处理</w:t>
            </w:r>
            <w:r>
              <w:rPr>
                <w:rFonts w:hint="eastAsia" w:ascii="宋体" w:hAnsi="宋体"/>
                <w:b/>
                <w:color w:val="auto"/>
                <w:kern w:val="0"/>
                <w:sz w:val="24"/>
                <w:highlight w:val="none"/>
              </w:rPr>
              <w:t>。</w:t>
            </w:r>
          </w:p>
          <w:p>
            <w:pPr>
              <w:spacing w:line="240" w:lineRule="auto"/>
              <w:rPr>
                <w:color w:val="auto"/>
                <w:szCs w:val="21"/>
                <w:highlight w:val="none"/>
              </w:rPr>
            </w:pPr>
            <w:r>
              <w:rPr>
                <w:color w:val="auto"/>
                <w:szCs w:val="21"/>
                <w:highlight w:val="none"/>
              </w:rPr>
              <w:t>下浮0%（含）~</w:t>
            </w:r>
            <w:r>
              <w:rPr>
                <w:rFonts w:hint="eastAsia"/>
                <w:color w:val="auto"/>
                <w:szCs w:val="21"/>
                <w:highlight w:val="none"/>
                <w:lang w:val="en-US" w:eastAsia="zh-CN"/>
              </w:rPr>
              <w:t>2</w:t>
            </w:r>
            <w:r>
              <w:rPr>
                <w:color w:val="auto"/>
                <w:szCs w:val="21"/>
                <w:highlight w:val="none"/>
              </w:rPr>
              <w:t>%（不含），得</w:t>
            </w:r>
            <w:r>
              <w:rPr>
                <w:rFonts w:hint="eastAsia"/>
                <w:color w:val="auto"/>
                <w:szCs w:val="21"/>
                <w:highlight w:val="none"/>
                <w:lang w:val="en-US" w:eastAsia="zh-CN"/>
              </w:rPr>
              <w:t>3</w:t>
            </w:r>
            <w:r>
              <w:rPr>
                <w:color w:val="auto"/>
                <w:szCs w:val="21"/>
                <w:highlight w:val="none"/>
              </w:rPr>
              <w:t>分；</w:t>
            </w:r>
          </w:p>
          <w:p>
            <w:pPr>
              <w:spacing w:line="240" w:lineRule="auto"/>
              <w:rPr>
                <w:color w:val="auto"/>
                <w:szCs w:val="21"/>
                <w:highlight w:val="none"/>
              </w:rPr>
            </w:pPr>
            <w:r>
              <w:rPr>
                <w:color w:val="auto"/>
                <w:szCs w:val="21"/>
                <w:highlight w:val="none"/>
              </w:rPr>
              <w:t>下浮</w:t>
            </w:r>
            <w:r>
              <w:rPr>
                <w:rFonts w:hint="eastAsia"/>
                <w:color w:val="auto"/>
                <w:szCs w:val="21"/>
                <w:highlight w:val="none"/>
                <w:lang w:val="en-US" w:eastAsia="zh-CN"/>
              </w:rPr>
              <w:t>2</w:t>
            </w:r>
            <w:r>
              <w:rPr>
                <w:color w:val="auto"/>
                <w:szCs w:val="21"/>
                <w:highlight w:val="none"/>
              </w:rPr>
              <w:t>%（含）~</w:t>
            </w:r>
            <w:r>
              <w:rPr>
                <w:rFonts w:hint="eastAsia"/>
                <w:color w:val="auto"/>
                <w:szCs w:val="21"/>
                <w:highlight w:val="none"/>
                <w:lang w:val="en-US" w:eastAsia="zh-CN"/>
              </w:rPr>
              <w:t>4</w:t>
            </w:r>
            <w:r>
              <w:rPr>
                <w:color w:val="auto"/>
                <w:szCs w:val="21"/>
                <w:highlight w:val="none"/>
              </w:rPr>
              <w:t>%（不含），得</w:t>
            </w:r>
            <w:r>
              <w:rPr>
                <w:rFonts w:hint="eastAsia"/>
                <w:color w:val="auto"/>
                <w:szCs w:val="21"/>
                <w:highlight w:val="none"/>
                <w:lang w:val="en-US" w:eastAsia="zh-CN"/>
              </w:rPr>
              <w:t>5</w:t>
            </w:r>
            <w:r>
              <w:rPr>
                <w:color w:val="auto"/>
                <w:szCs w:val="21"/>
                <w:highlight w:val="none"/>
              </w:rPr>
              <w:t>分；</w:t>
            </w:r>
          </w:p>
          <w:p>
            <w:pPr>
              <w:spacing w:line="240" w:lineRule="auto"/>
              <w:rPr>
                <w:color w:val="auto"/>
                <w:szCs w:val="21"/>
                <w:highlight w:val="none"/>
              </w:rPr>
            </w:pPr>
            <w:r>
              <w:rPr>
                <w:color w:val="auto"/>
                <w:szCs w:val="21"/>
                <w:highlight w:val="none"/>
              </w:rPr>
              <w:t>下浮</w:t>
            </w:r>
            <w:r>
              <w:rPr>
                <w:rFonts w:hint="eastAsia"/>
                <w:color w:val="auto"/>
                <w:szCs w:val="21"/>
                <w:highlight w:val="none"/>
                <w:lang w:val="en-US" w:eastAsia="zh-CN"/>
              </w:rPr>
              <w:t>4</w:t>
            </w:r>
            <w:r>
              <w:rPr>
                <w:color w:val="auto"/>
                <w:szCs w:val="21"/>
                <w:highlight w:val="none"/>
              </w:rPr>
              <w:t>%（含）~</w:t>
            </w:r>
            <w:r>
              <w:rPr>
                <w:rFonts w:hint="eastAsia"/>
                <w:color w:val="auto"/>
                <w:szCs w:val="21"/>
                <w:highlight w:val="none"/>
                <w:lang w:val="en-US" w:eastAsia="zh-CN"/>
              </w:rPr>
              <w:t>6</w:t>
            </w:r>
            <w:r>
              <w:rPr>
                <w:color w:val="auto"/>
                <w:szCs w:val="21"/>
                <w:highlight w:val="none"/>
              </w:rPr>
              <w:t>%（不含），得</w:t>
            </w:r>
            <w:r>
              <w:rPr>
                <w:rFonts w:hint="eastAsia"/>
                <w:color w:val="auto"/>
                <w:szCs w:val="21"/>
                <w:highlight w:val="none"/>
                <w:lang w:val="en-US" w:eastAsia="zh-CN"/>
              </w:rPr>
              <w:t>8</w:t>
            </w:r>
            <w:r>
              <w:rPr>
                <w:color w:val="auto"/>
                <w:szCs w:val="21"/>
                <w:highlight w:val="none"/>
              </w:rPr>
              <w:t>分；</w:t>
            </w:r>
          </w:p>
          <w:p>
            <w:pPr>
              <w:spacing w:line="240" w:lineRule="auto"/>
              <w:rPr>
                <w:color w:val="auto"/>
                <w:szCs w:val="21"/>
                <w:highlight w:val="none"/>
              </w:rPr>
            </w:pPr>
            <w:r>
              <w:rPr>
                <w:color w:val="auto"/>
                <w:szCs w:val="21"/>
                <w:highlight w:val="none"/>
              </w:rPr>
              <w:t>下浮</w:t>
            </w:r>
            <w:r>
              <w:rPr>
                <w:rFonts w:hint="eastAsia"/>
                <w:color w:val="auto"/>
                <w:szCs w:val="21"/>
                <w:highlight w:val="none"/>
                <w:lang w:val="en-US" w:eastAsia="zh-CN"/>
              </w:rPr>
              <w:t>6</w:t>
            </w:r>
            <w:r>
              <w:rPr>
                <w:color w:val="auto"/>
                <w:szCs w:val="21"/>
                <w:highlight w:val="none"/>
              </w:rPr>
              <w:t>%（含）~</w:t>
            </w:r>
            <w:r>
              <w:rPr>
                <w:rFonts w:hint="eastAsia"/>
                <w:color w:val="auto"/>
                <w:szCs w:val="21"/>
                <w:highlight w:val="none"/>
                <w:lang w:val="en-US" w:eastAsia="zh-CN"/>
              </w:rPr>
              <w:t>8</w:t>
            </w:r>
            <w:r>
              <w:rPr>
                <w:color w:val="auto"/>
                <w:szCs w:val="21"/>
                <w:highlight w:val="none"/>
              </w:rPr>
              <w:t>%（不含），得</w:t>
            </w:r>
            <w:r>
              <w:rPr>
                <w:rFonts w:hint="eastAsia"/>
                <w:color w:val="auto"/>
                <w:szCs w:val="21"/>
                <w:highlight w:val="none"/>
                <w:lang w:val="en-US" w:eastAsia="zh-CN"/>
              </w:rPr>
              <w:t>13</w:t>
            </w:r>
            <w:r>
              <w:rPr>
                <w:color w:val="auto"/>
                <w:szCs w:val="21"/>
                <w:highlight w:val="none"/>
              </w:rPr>
              <w:t>分；</w:t>
            </w:r>
          </w:p>
          <w:p>
            <w:pPr>
              <w:ind w:firstLine="0" w:firstLineChars="0"/>
              <w:jc w:val="left"/>
              <w:rPr>
                <w:color w:val="auto"/>
                <w:szCs w:val="21"/>
                <w:highlight w:val="none"/>
              </w:rPr>
            </w:pPr>
            <w:r>
              <w:rPr>
                <w:color w:val="auto"/>
                <w:szCs w:val="21"/>
                <w:highlight w:val="none"/>
              </w:rPr>
              <w:t>下浮</w:t>
            </w:r>
            <w:r>
              <w:rPr>
                <w:rFonts w:hint="eastAsia"/>
                <w:color w:val="auto"/>
                <w:szCs w:val="21"/>
                <w:highlight w:val="none"/>
                <w:lang w:val="en-US" w:eastAsia="zh-CN"/>
              </w:rPr>
              <w:t>8</w:t>
            </w:r>
            <w:r>
              <w:rPr>
                <w:color w:val="auto"/>
                <w:szCs w:val="21"/>
                <w:highlight w:val="none"/>
              </w:rPr>
              <w:t>%（含）~</w:t>
            </w:r>
            <w:r>
              <w:rPr>
                <w:rFonts w:hint="eastAsia"/>
                <w:color w:val="auto"/>
                <w:szCs w:val="21"/>
                <w:highlight w:val="none"/>
                <w:lang w:val="en-US" w:eastAsia="zh-CN"/>
              </w:rPr>
              <w:t>9</w:t>
            </w:r>
            <w:r>
              <w:rPr>
                <w:color w:val="auto"/>
                <w:szCs w:val="21"/>
                <w:highlight w:val="none"/>
              </w:rPr>
              <w:t>%（</w:t>
            </w:r>
            <w:r>
              <w:rPr>
                <w:rFonts w:hint="eastAsia"/>
                <w:color w:val="auto"/>
                <w:szCs w:val="21"/>
                <w:highlight w:val="none"/>
                <w:lang w:val="en-US" w:eastAsia="zh-CN"/>
              </w:rPr>
              <w:t>不</w:t>
            </w:r>
            <w:r>
              <w:rPr>
                <w:color w:val="auto"/>
                <w:szCs w:val="21"/>
                <w:highlight w:val="none"/>
              </w:rPr>
              <w:t>含），得</w:t>
            </w:r>
            <w:r>
              <w:rPr>
                <w:rFonts w:hint="eastAsia"/>
                <w:color w:val="auto"/>
                <w:szCs w:val="21"/>
                <w:highlight w:val="none"/>
                <w:lang w:val="en-US" w:eastAsia="zh-CN"/>
              </w:rPr>
              <w:t>16</w:t>
            </w:r>
            <w:r>
              <w:rPr>
                <w:color w:val="auto"/>
                <w:szCs w:val="21"/>
                <w:highlight w:val="none"/>
              </w:rPr>
              <w:t>分；</w:t>
            </w:r>
          </w:p>
          <w:p>
            <w:pPr>
              <w:ind w:firstLine="0" w:firstLineChars="0"/>
              <w:jc w:val="left"/>
              <w:rPr>
                <w:rFonts w:ascii="宋体" w:hAnsi="宋体"/>
                <w:color w:val="auto"/>
                <w:sz w:val="24"/>
                <w:highlight w:val="none"/>
              </w:rPr>
            </w:pPr>
            <w:r>
              <w:rPr>
                <w:color w:val="auto"/>
                <w:szCs w:val="21"/>
                <w:highlight w:val="none"/>
              </w:rPr>
              <w:t>下浮</w:t>
            </w:r>
            <w:r>
              <w:rPr>
                <w:rFonts w:hint="eastAsia"/>
                <w:color w:val="auto"/>
                <w:szCs w:val="21"/>
                <w:highlight w:val="none"/>
                <w:lang w:val="en-US" w:eastAsia="zh-CN"/>
              </w:rPr>
              <w:t>10</w:t>
            </w:r>
            <w:r>
              <w:rPr>
                <w:color w:val="auto"/>
                <w:szCs w:val="21"/>
                <w:highlight w:val="none"/>
              </w:rPr>
              <w:t>%</w:t>
            </w:r>
            <w:r>
              <w:rPr>
                <w:rFonts w:hint="eastAsia"/>
                <w:color w:val="auto"/>
                <w:szCs w:val="21"/>
                <w:highlight w:val="none"/>
                <w:lang w:val="en-US" w:eastAsia="zh-CN"/>
              </w:rPr>
              <w:t xml:space="preserve"> </w:t>
            </w:r>
            <w:r>
              <w:rPr>
                <w:color w:val="auto"/>
                <w:szCs w:val="21"/>
                <w:highlight w:val="none"/>
              </w:rPr>
              <w:t>得</w:t>
            </w:r>
            <w:r>
              <w:rPr>
                <w:rFonts w:hint="eastAsia"/>
                <w:color w:val="auto"/>
                <w:szCs w:val="21"/>
                <w:highlight w:val="none"/>
                <w:lang w:val="en-US" w:eastAsia="zh-CN"/>
              </w:rPr>
              <w:t>20</w:t>
            </w:r>
            <w:r>
              <w:rPr>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2</w:t>
            </w:r>
          </w:p>
        </w:tc>
        <w:tc>
          <w:tcPr>
            <w:tcW w:w="2706" w:type="dxa"/>
            <w:vAlign w:val="center"/>
          </w:tcPr>
          <w:p>
            <w:pPr>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highlight w:val="none"/>
              </w:rPr>
              <w:t>业绩表（满分 10分）</w:t>
            </w:r>
          </w:p>
        </w:tc>
        <w:tc>
          <w:tcPr>
            <w:tcW w:w="4991" w:type="dxa"/>
            <w:vAlign w:val="center"/>
          </w:tcPr>
          <w:p>
            <w:pPr>
              <w:ind w:firstLine="240" w:firstLineChars="1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201</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年1 月 1 日至比选公告发布之日期间，有</w:t>
            </w:r>
            <w:r>
              <w:rPr>
                <w:rFonts w:hint="eastAsia" w:ascii="宋体" w:hAnsi="宋体" w:cs="宋体"/>
                <w:color w:val="auto"/>
                <w:sz w:val="24"/>
                <w:highlight w:val="none"/>
                <w:lang w:val="en-US" w:eastAsia="zh-CN"/>
              </w:rPr>
              <w:t>单项合同3000万及以上的市政</w:t>
            </w:r>
            <w:r>
              <w:rPr>
                <w:rFonts w:hint="eastAsia" w:ascii="宋体" w:hAnsi="宋体" w:cs="宋体"/>
                <w:color w:val="auto"/>
                <w:sz w:val="24"/>
                <w:highlight w:val="none"/>
              </w:rPr>
              <w:t>公用工程</w:t>
            </w:r>
            <w:r>
              <w:rPr>
                <w:rFonts w:hint="eastAsia" w:ascii="宋体" w:hAnsi="宋体" w:cs="宋体"/>
                <w:color w:val="auto"/>
                <w:sz w:val="24"/>
                <w:highlight w:val="none"/>
                <w:lang w:val="en-US" w:eastAsia="zh-CN"/>
              </w:rPr>
              <w:t>监理</w:t>
            </w:r>
            <w:r>
              <w:rPr>
                <w:rFonts w:hint="eastAsia" w:ascii="宋体" w:hAnsi="宋体" w:cs="宋体"/>
                <w:color w:val="auto"/>
                <w:sz w:val="24"/>
                <w:highlight w:val="none"/>
              </w:rPr>
              <w:t>服务经验，以提供合同复印件（体现合同对方名称</w:t>
            </w:r>
            <w:r>
              <w:rPr>
                <w:rFonts w:hint="eastAsia" w:ascii="宋体" w:hAnsi="宋体" w:cs="宋体"/>
                <w:color w:val="auto"/>
                <w:sz w:val="24"/>
                <w:highlight w:val="none"/>
                <w:lang w:eastAsia="zh-CN"/>
              </w:rPr>
              <w:t>、</w:t>
            </w:r>
            <w:r>
              <w:rPr>
                <w:rFonts w:hint="eastAsia" w:ascii="宋体" w:hAnsi="宋体" w:cs="宋体"/>
                <w:color w:val="auto"/>
                <w:sz w:val="24"/>
                <w:highlight w:val="none"/>
              </w:rPr>
              <w:t>签订时间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合同金额等关键信息</w:t>
            </w:r>
            <w:r>
              <w:rPr>
                <w:rFonts w:hint="eastAsia" w:ascii="宋体" w:hAnsi="宋体" w:cs="宋体"/>
                <w:color w:val="auto"/>
                <w:sz w:val="24"/>
                <w:highlight w:val="none"/>
              </w:rPr>
              <w:t>，涉及到商业秘密的内容可以隐去）证明材料为准。每个业绩得5分。</w:t>
            </w:r>
          </w:p>
        </w:tc>
      </w:tr>
    </w:tbl>
    <w:p>
      <w:pPr>
        <w:jc w:val="left"/>
        <w:rPr>
          <w:rFonts w:ascii="宋体" w:hAnsi="宋体" w:cs="宋体"/>
          <w:color w:val="auto"/>
          <w:sz w:val="28"/>
          <w:szCs w:val="28"/>
          <w:highlight w:val="none"/>
        </w:rPr>
      </w:pPr>
    </w:p>
    <w:p>
      <w:pPr>
        <w:numPr>
          <w:ilvl w:val="0"/>
          <w:numId w:val="9"/>
        </w:numPr>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技术部分评分细则（满分</w:t>
      </w:r>
      <w:r>
        <w:rPr>
          <w:rFonts w:hint="eastAsia" w:ascii="宋体" w:hAnsi="宋体" w:cs="宋体"/>
          <w:color w:val="auto"/>
          <w:sz w:val="28"/>
          <w:szCs w:val="28"/>
          <w:highlight w:val="none"/>
          <w:lang w:val="en-US" w:eastAsia="zh-CN"/>
        </w:rPr>
        <w:t>7</w:t>
      </w:r>
      <w:r>
        <w:rPr>
          <w:rFonts w:hint="eastAsia" w:ascii="宋体" w:hAnsi="宋体" w:cs="宋体"/>
          <w:color w:val="auto"/>
          <w:sz w:val="28"/>
          <w:szCs w:val="28"/>
          <w:highlight w:val="none"/>
        </w:rPr>
        <w:t>0分）</w:t>
      </w:r>
    </w:p>
    <w:p>
      <w:pPr>
        <w:pStyle w:val="2"/>
        <w:rPr>
          <w:rFonts w:hint="eastAsia" w:ascii="宋体" w:hAnsi="宋体" w:cs="宋体"/>
          <w:color w:val="auto"/>
          <w:sz w:val="28"/>
          <w:szCs w:val="28"/>
          <w:highlight w:val="none"/>
        </w:rPr>
      </w:pPr>
    </w:p>
    <w:tbl>
      <w:tblPr>
        <w:tblStyle w:val="14"/>
        <w:tblpPr w:leftFromText="180" w:rightFromText="180" w:vertAnchor="text" w:horzAnchor="page" w:tblpX="1292" w:tblpY="367"/>
        <w:tblOverlap w:val="never"/>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4113"/>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22" w:type="dxa"/>
            <w:vAlign w:val="center"/>
          </w:tcPr>
          <w:p>
            <w:pPr>
              <w:jc w:val="center"/>
              <w:rPr>
                <w:rFonts w:ascii="宋体" w:hAnsi="宋体" w:cs="宋体"/>
                <w:color w:val="auto"/>
                <w:kern w:val="0"/>
                <w:sz w:val="24"/>
                <w:highlight w:val="none"/>
              </w:rPr>
            </w:pPr>
            <w:r>
              <w:rPr>
                <w:rFonts w:hint="eastAsia" w:ascii="宋体" w:hAnsi="宋体" w:cs="宋体"/>
                <w:color w:val="auto"/>
                <w:sz w:val="24"/>
                <w:highlight w:val="none"/>
              </w:rPr>
              <w:t>评分因素</w:t>
            </w:r>
          </w:p>
        </w:tc>
        <w:tc>
          <w:tcPr>
            <w:tcW w:w="7772" w:type="dxa"/>
            <w:gridSpan w:val="2"/>
            <w:vAlign w:val="center"/>
          </w:tcPr>
          <w:p>
            <w:pPr>
              <w:jc w:val="center"/>
              <w:rPr>
                <w:rFonts w:hint="eastAsia" w:ascii="宋体" w:hAnsi="宋体" w:cs="宋体" w:eastAsiaTheme="minorEastAsia"/>
                <w:color w:val="auto"/>
                <w:kern w:val="0"/>
                <w:sz w:val="24"/>
                <w:highlight w:val="none"/>
                <w:lang w:eastAsia="zh-CN"/>
              </w:rPr>
            </w:pPr>
            <w:r>
              <w:rPr>
                <w:rFonts w:hint="eastAsia" w:ascii="宋体" w:hAnsi="宋体" w:cs="宋体"/>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422" w:type="dxa"/>
            <w:vMerge w:val="restart"/>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服务方案</w:t>
            </w:r>
          </w:p>
          <w:p>
            <w:pPr>
              <w:jc w:val="left"/>
              <w:rPr>
                <w:rFonts w:hint="eastAsia" w:ascii="宋体" w:hAnsi="宋体" w:cs="宋体"/>
                <w:color w:val="auto"/>
                <w:sz w:val="24"/>
                <w:highlight w:val="none"/>
              </w:rPr>
            </w:pPr>
            <w:r>
              <w:rPr>
                <w:rFonts w:hint="eastAsia" w:ascii="宋体" w:hAnsi="宋体" w:cs="宋体"/>
                <w:color w:val="auto"/>
                <w:sz w:val="24"/>
                <w:highlight w:val="none"/>
              </w:rPr>
              <w:t>（满分</w:t>
            </w:r>
            <w:r>
              <w:rPr>
                <w:rFonts w:hint="eastAsia" w:ascii="宋体" w:hAnsi="宋体" w:cs="宋体"/>
                <w:color w:val="auto"/>
                <w:sz w:val="24"/>
                <w:highlight w:val="none"/>
                <w:lang w:val="en-US" w:eastAsia="zh-CN"/>
              </w:rPr>
              <w:t>50</w:t>
            </w:r>
            <w:r>
              <w:rPr>
                <w:rFonts w:hint="eastAsia" w:ascii="宋体" w:hAnsi="宋体" w:cs="宋体"/>
                <w:color w:val="auto"/>
                <w:sz w:val="24"/>
                <w:highlight w:val="none"/>
              </w:rPr>
              <w:t>分）</w:t>
            </w:r>
          </w:p>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工程特点、难点分析及监理对策（</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 xml:space="preserve">要求：分析深入、深刻。 </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 xml:space="preserve">：根据工程特点提出的难点、重点准确，提出解决方案科学合理。 </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 xml:space="preserve">分：根据工程特点能够提出的难点、重点，提出解决方案较合理。 </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分：提出的难点、重点不准确，解决方案不合理。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3"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质量控制重点及监理措施（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要求：质量控制重点分析到位、明确；质量目标分解、规划合理，质量控制体系健全，质量控制措施有效可靠，控制手段先进完善。</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3"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进度控制重点及监理措施（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要求：节点或阶段工期明确，进度控制重点明确；工期总进度计划网络图科学、优化，工期控制点设置合理，控制措施与手段可靠有力。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eastAsiaTheme="minorEastAsia"/>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4"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造价控制重点及监理措施（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投资控制重点分析到位明确；风险预测与防范对策有效可行；能抓住工程费用最易突破的环节，明确投资控制重点；控制措施与手段健全；能兼顾工期与质量目标，合理确定资金流量；能提出有效的合理化建议，降低工程投资。</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合同及信息管理措施（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p>
            <w:pPr>
              <w:jc w:val="left"/>
              <w:rPr>
                <w:rFonts w:hint="eastAsia" w:ascii="宋体" w:hAnsi="宋体" w:cs="宋体"/>
                <w:color w:val="auto"/>
                <w:sz w:val="24"/>
                <w:highlight w:val="none"/>
                <w:lang w:val="en-US" w:eastAsia="zh-CN"/>
              </w:rPr>
            </w:pP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要求：合同及信息管理制度明确、程序清晰、控制措施合理全面。</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监理工作协调（</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要求：监理工作协调方法正确,措施得力。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1422" w:type="dxa"/>
            <w:vMerge w:val="continue"/>
            <w:vAlign w:val="center"/>
          </w:tcPr>
          <w:p>
            <w:pPr>
              <w:jc w:val="left"/>
              <w:rPr>
                <w:rFonts w:hint="eastAsia" w:ascii="宋体" w:hAnsi="宋体" w:cs="宋体"/>
                <w:color w:val="auto"/>
                <w:sz w:val="24"/>
                <w:highlight w:val="none"/>
              </w:rPr>
            </w:pPr>
          </w:p>
        </w:tc>
        <w:tc>
          <w:tcPr>
            <w:tcW w:w="4113" w:type="dxa"/>
            <w:vAlign w:val="center"/>
          </w:tcPr>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环境保护及文明施工监理措施（</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w:t>
            </w:r>
          </w:p>
        </w:tc>
        <w:tc>
          <w:tcPr>
            <w:tcW w:w="3659" w:type="dxa"/>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要求：环境保护、安全文明施工保证体系健全、可靠；安全事故控制措施得力；能有针对工程环境及工程特点、难点防范及化解安全事故的发生，措施得力。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lang w:val="en-US" w:eastAsia="zh-CN"/>
              </w:rPr>
              <w:t>分</w:t>
            </w:r>
            <w:r>
              <w:rPr>
                <w:rFonts w:hint="eastAsia" w:ascii="宋体" w:hAnsi="宋体" w:cs="宋体"/>
                <w:color w:val="auto"/>
                <w:sz w:val="24"/>
                <w:highlight w:val="none"/>
              </w:rPr>
              <w:t>：完全满足要求。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trPr>
        <w:tc>
          <w:tcPr>
            <w:tcW w:w="1422" w:type="dxa"/>
            <w:vMerge w:val="continue"/>
            <w:tcBorders>
              <w:bottom w:val="single" w:color="auto" w:sz="4" w:space="0"/>
            </w:tcBorders>
            <w:vAlign w:val="center"/>
          </w:tcPr>
          <w:p>
            <w:pPr>
              <w:jc w:val="left"/>
              <w:rPr>
                <w:rFonts w:hint="eastAsia" w:ascii="宋体" w:hAnsi="宋体" w:cs="宋体"/>
                <w:color w:val="auto"/>
                <w:sz w:val="24"/>
                <w:highlight w:val="none"/>
              </w:rPr>
            </w:pPr>
          </w:p>
        </w:tc>
        <w:tc>
          <w:tcPr>
            <w:tcW w:w="4113" w:type="dxa"/>
            <w:tcBorders>
              <w:bottom w:val="single" w:color="auto" w:sz="4" w:space="0"/>
            </w:tcBorders>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履行安全职责措施（</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分）</w:t>
            </w:r>
          </w:p>
          <w:p>
            <w:pPr>
              <w:jc w:val="left"/>
              <w:rPr>
                <w:rFonts w:hint="eastAsia" w:ascii="宋体" w:hAnsi="宋体" w:cs="宋体"/>
                <w:color w:val="auto"/>
                <w:sz w:val="24"/>
                <w:highlight w:val="none"/>
                <w:lang w:val="en-US" w:eastAsia="zh-CN"/>
              </w:rPr>
            </w:pPr>
          </w:p>
        </w:tc>
        <w:tc>
          <w:tcPr>
            <w:tcW w:w="3659" w:type="dxa"/>
            <w:tcBorders>
              <w:bottom w:val="single" w:color="auto" w:sz="4" w:space="0"/>
            </w:tcBorders>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rPr>
              <w:t>要求：保证施工安全的监理控制措施体系健全、可靠；安全事故控制措施得力；能有针对工程特点、难点防范及化解安全事故的发生，措施得力。</w:t>
            </w:r>
          </w:p>
          <w:p>
            <w:pPr>
              <w:jc w:val="left"/>
              <w:rPr>
                <w:rFonts w:hint="eastAsia" w:ascii="宋体" w:hAnsi="宋体" w:cs="宋体"/>
                <w:color w:val="auto"/>
                <w:sz w:val="24"/>
                <w:highlight w:val="none"/>
              </w:rPr>
            </w:pPr>
            <w:r>
              <w:rPr>
                <w:rFonts w:hint="eastAsia" w:ascii="宋体" w:hAnsi="宋体" w:cs="宋体"/>
                <w:color w:val="auto"/>
                <w:sz w:val="24"/>
                <w:highlight w:val="none"/>
              </w:rPr>
              <w:t>好（</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分：完全满足要求。</w:t>
            </w:r>
          </w:p>
          <w:p>
            <w:pPr>
              <w:jc w:val="left"/>
              <w:rPr>
                <w:rFonts w:hint="eastAsia" w:ascii="宋体" w:hAnsi="宋体" w:cs="宋体"/>
                <w:color w:val="auto"/>
                <w:sz w:val="24"/>
                <w:highlight w:val="none"/>
              </w:rPr>
            </w:pPr>
            <w:r>
              <w:rPr>
                <w:rFonts w:hint="eastAsia" w:ascii="宋体" w:hAnsi="宋体" w:cs="宋体"/>
                <w:color w:val="auto"/>
                <w:sz w:val="24"/>
                <w:highlight w:val="none"/>
              </w:rPr>
              <w:t>中（</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分：基本满足要求。</w:t>
            </w:r>
          </w:p>
          <w:p>
            <w:pPr>
              <w:jc w:val="left"/>
              <w:rPr>
                <w:rFonts w:hint="eastAsia" w:ascii="宋体" w:hAnsi="宋体" w:cs="宋体"/>
                <w:color w:val="auto"/>
                <w:sz w:val="24"/>
                <w:highlight w:val="none"/>
                <w:lang w:val="en-US" w:eastAsia="zh-CN"/>
              </w:rPr>
            </w:pPr>
            <w:r>
              <w:rPr>
                <w:rFonts w:hint="eastAsia" w:ascii="宋体" w:hAnsi="宋体" w:cs="宋体"/>
                <w:color w:val="auto"/>
                <w:sz w:val="24"/>
                <w:highlight w:val="none"/>
              </w:rPr>
              <w:t>差</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0-</w:t>
            </w:r>
            <w:r>
              <w:rPr>
                <w:rFonts w:hint="eastAsia" w:ascii="宋体" w:hAnsi="宋体" w:cs="宋体"/>
                <w:color w:val="auto"/>
                <w:sz w:val="24"/>
                <w:highlight w:val="none"/>
                <w:lang w:val="en-US" w:eastAsia="zh-CN"/>
              </w:rPr>
              <w:t>2</w:t>
            </w:r>
            <w:r>
              <w:rPr>
                <w:rFonts w:hint="eastAsia" w:ascii="宋体" w:hAnsi="宋体" w:cs="宋体" w:eastAsiaTheme="minorEastAsia"/>
                <w:color w:val="auto"/>
                <w:sz w:val="24"/>
                <w:highlight w:val="none"/>
                <w:lang w:eastAsia="zh-CN"/>
              </w:rPr>
              <w:t>〕</w:t>
            </w:r>
            <w:r>
              <w:rPr>
                <w:rFonts w:hint="eastAsia" w:ascii="宋体" w:hAnsi="宋体" w:cs="宋体"/>
                <w:color w:val="auto"/>
                <w:sz w:val="24"/>
                <w:highlight w:val="none"/>
              </w:rPr>
              <w:t>分：不满足要求。</w:t>
            </w:r>
          </w:p>
        </w:tc>
      </w:tr>
    </w:tbl>
    <w:p>
      <w:pPr>
        <w:pStyle w:val="2"/>
        <w:rPr>
          <w:rFonts w:hint="eastAsia" w:ascii="宋体" w:hAnsi="宋体" w:cs="宋体"/>
          <w:color w:val="auto"/>
          <w:sz w:val="28"/>
          <w:szCs w:val="28"/>
          <w:highlight w:val="none"/>
        </w:rPr>
      </w:pPr>
    </w:p>
    <w:p>
      <w:pPr>
        <w:pStyle w:val="2"/>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p>
      <w:pPr>
        <w:widowControl w:val="0"/>
        <w:numPr>
          <w:ilvl w:val="0"/>
          <w:numId w:val="0"/>
        </w:numPr>
        <w:tabs>
          <w:tab w:val="left" w:pos="312"/>
        </w:tabs>
        <w:jc w:val="left"/>
        <w:rPr>
          <w:rFonts w:hint="eastAsia" w:ascii="宋体" w:hAnsi="宋体" w:cs="宋体"/>
          <w:color w:val="auto"/>
          <w:sz w:val="28"/>
          <w:szCs w:val="28"/>
          <w:highlight w:val="none"/>
        </w:rPr>
      </w:pPr>
    </w:p>
    <w:tbl>
      <w:tblPr>
        <w:tblStyle w:val="14"/>
        <w:tblpPr w:leftFromText="180" w:rightFromText="180" w:vertAnchor="text" w:horzAnchor="margin" w:tblpY="587"/>
        <w:tblW w:w="9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134"/>
        <w:gridCol w:w="4678"/>
        <w:gridCol w:w="1256"/>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149" w:type="dxa"/>
            <w:tcMar>
              <w:left w:w="0" w:type="dxa"/>
              <w:right w:w="0" w:type="dxa"/>
            </w:tcMar>
          </w:tcPr>
          <w:p>
            <w:pPr>
              <w:spacing w:line="360" w:lineRule="auto"/>
              <w:jc w:val="center"/>
              <w:rPr>
                <w:rFonts w:ascii="宋体" w:hAnsi="宋体"/>
                <w:color w:val="auto"/>
                <w:sz w:val="24"/>
                <w:highlight w:val="none"/>
              </w:rPr>
            </w:pPr>
            <w:r>
              <w:rPr>
                <w:rFonts w:hint="eastAsia" w:ascii="宋体" w:hAnsi="宋体"/>
                <w:color w:val="auto"/>
                <w:sz w:val="24"/>
                <w:highlight w:val="none"/>
              </w:rPr>
              <w:t>评分因素</w:t>
            </w:r>
          </w:p>
        </w:tc>
        <w:tc>
          <w:tcPr>
            <w:tcW w:w="8222" w:type="dxa"/>
            <w:gridSpan w:val="4"/>
          </w:tcPr>
          <w:p>
            <w:pPr>
              <w:spacing w:line="360" w:lineRule="auto"/>
              <w:jc w:val="center"/>
              <w:rPr>
                <w:rFonts w:ascii="宋体" w:hAnsi="宋体"/>
                <w:color w:val="auto"/>
                <w:sz w:val="24"/>
                <w:highlight w:val="none"/>
              </w:rPr>
            </w:pPr>
            <w:r>
              <w:rPr>
                <w:rFonts w:hint="eastAsia" w:ascii="宋体" w:hAnsi="宋体"/>
                <w:color w:val="auto"/>
                <w:sz w:val="24"/>
                <w:highlight w:val="none"/>
              </w:rPr>
              <w:t>评分标准（投标人员满足所有资历要求得满分，其中一项不满足得0分）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149" w:type="dxa"/>
            <w:vMerge w:val="restart"/>
            <w:tcMar>
              <w:left w:w="0" w:type="dxa"/>
              <w:right w:w="0" w:type="dxa"/>
            </w:tcMar>
          </w:tcPr>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拟投入人员配置明</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 xml:space="preserve">细（满分 </w:t>
            </w:r>
            <w:r>
              <w:rPr>
                <w:rFonts w:hint="eastAsia" w:ascii="宋体" w:hAnsi="宋体"/>
                <w:color w:val="auto"/>
                <w:sz w:val="24"/>
                <w:highlight w:val="none"/>
                <w:lang w:val="en-US" w:eastAsia="zh-CN"/>
              </w:rPr>
              <w:t>20</w:t>
            </w:r>
            <w:r>
              <w:rPr>
                <w:rFonts w:hint="eastAsia" w:ascii="宋体" w:hAnsi="宋体"/>
                <w:color w:val="auto"/>
                <w:sz w:val="24"/>
                <w:highlight w:val="none"/>
              </w:rPr>
              <w:t>分）</w:t>
            </w: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岗位</w:t>
            </w:r>
          </w:p>
        </w:tc>
        <w:tc>
          <w:tcPr>
            <w:tcW w:w="4678"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资历要求</w:t>
            </w:r>
          </w:p>
        </w:tc>
        <w:tc>
          <w:tcPr>
            <w:tcW w:w="1256" w:type="dxa"/>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人数要求</w:t>
            </w:r>
          </w:p>
        </w:tc>
        <w:tc>
          <w:tcPr>
            <w:tcW w:w="1154" w:type="dxa"/>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3"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总监理工程师</w:t>
            </w:r>
          </w:p>
        </w:tc>
        <w:tc>
          <w:tcPr>
            <w:tcW w:w="4678" w:type="dxa"/>
            <w:tcMar>
              <w:left w:w="0" w:type="dxa"/>
              <w:right w:w="0" w:type="dxa"/>
            </w:tcMar>
            <w:vAlign w:val="center"/>
          </w:tcPr>
          <w:p>
            <w:pPr>
              <w:spacing w:line="360" w:lineRule="auto"/>
              <w:jc w:val="both"/>
              <w:rPr>
                <w:rFonts w:hint="eastAsia" w:ascii="宋体" w:hAnsi="宋体" w:eastAsiaTheme="minorEastAsia"/>
                <w:color w:val="auto"/>
                <w:sz w:val="24"/>
                <w:highlight w:val="none"/>
                <w:lang w:eastAsia="zh-CN"/>
              </w:rPr>
            </w:pPr>
            <w:r>
              <w:rPr>
                <w:rFonts w:hint="eastAsia" w:ascii="宋体" w:hAnsi="宋体"/>
                <w:color w:val="auto"/>
                <w:sz w:val="24"/>
                <w:highlight w:val="none"/>
              </w:rPr>
              <w:t>持有国家建设部颁发的《注册监理工程师执业证书》</w:t>
            </w:r>
            <w:r>
              <w:rPr>
                <w:rFonts w:hint="eastAsia" w:ascii="宋体" w:hAnsi="宋体"/>
                <w:color w:val="auto"/>
                <w:sz w:val="24"/>
                <w:highlight w:val="none"/>
                <w:lang w:eastAsia="zh-CN"/>
              </w:rPr>
              <w:t>，</w:t>
            </w:r>
            <w:r>
              <w:rPr>
                <w:rFonts w:hint="eastAsia" w:ascii="宋体" w:hAnsi="宋体"/>
                <w:color w:val="auto"/>
                <w:sz w:val="24"/>
                <w:highlight w:val="none"/>
              </w:rPr>
              <w:t>注册专业为</w:t>
            </w:r>
            <w:r>
              <w:rPr>
                <w:rFonts w:hint="eastAsia" w:ascii="宋体" w:hAnsi="宋体"/>
                <w:color w:val="auto"/>
                <w:sz w:val="24"/>
                <w:highlight w:val="none"/>
                <w:lang w:val="en-US" w:eastAsia="zh-CN"/>
              </w:rPr>
              <w:t>市政</w:t>
            </w:r>
            <w:r>
              <w:rPr>
                <w:rFonts w:hint="eastAsia" w:ascii="宋体" w:hAnsi="宋体"/>
                <w:color w:val="auto"/>
                <w:sz w:val="24"/>
                <w:highlight w:val="none"/>
              </w:rPr>
              <w:t>工程</w:t>
            </w:r>
            <w:r>
              <w:rPr>
                <w:rFonts w:hint="eastAsia" w:ascii="宋体" w:hAnsi="宋体"/>
                <w:color w:val="auto"/>
                <w:sz w:val="24"/>
                <w:highlight w:val="none"/>
                <w:lang w:eastAsia="zh-CN"/>
              </w:rPr>
              <w:t>；</w:t>
            </w:r>
            <w:r>
              <w:rPr>
                <w:rFonts w:hint="eastAsia" w:ascii="宋体" w:hAnsi="宋体"/>
                <w:color w:val="auto"/>
                <w:sz w:val="24"/>
                <w:highlight w:val="none"/>
              </w:rPr>
              <w:t>具有本科及以上学历的；具有</w:t>
            </w:r>
            <w:r>
              <w:rPr>
                <w:rFonts w:hint="eastAsia" w:ascii="宋体" w:hAnsi="宋体"/>
                <w:color w:val="auto"/>
                <w:sz w:val="24"/>
                <w:highlight w:val="none"/>
                <w:lang w:val="en-US" w:eastAsia="zh-CN"/>
              </w:rPr>
              <w:t>副高</w:t>
            </w:r>
            <w:r>
              <w:rPr>
                <w:rFonts w:hint="eastAsia" w:ascii="宋体" w:hAnsi="宋体"/>
                <w:color w:val="auto"/>
                <w:sz w:val="24"/>
                <w:highlight w:val="none"/>
              </w:rPr>
              <w:t>级</w:t>
            </w:r>
            <w:r>
              <w:rPr>
                <w:rFonts w:hint="eastAsia" w:ascii="宋体" w:hAnsi="宋体"/>
                <w:color w:val="auto"/>
                <w:sz w:val="24"/>
                <w:highlight w:val="none"/>
                <w:lang w:val="en-US" w:eastAsia="zh-CN"/>
              </w:rPr>
              <w:t>及</w:t>
            </w:r>
            <w:r>
              <w:rPr>
                <w:rFonts w:hint="eastAsia" w:ascii="宋体" w:hAnsi="宋体"/>
                <w:color w:val="auto"/>
                <w:sz w:val="24"/>
                <w:highlight w:val="none"/>
              </w:rPr>
              <w:t xml:space="preserve">以上专业技术职称 </w:t>
            </w:r>
            <w:r>
              <w:rPr>
                <w:rFonts w:hint="eastAsia" w:ascii="宋体" w:hAnsi="宋体"/>
                <w:color w:val="auto"/>
                <w:sz w:val="24"/>
                <w:highlight w:val="none"/>
                <w:lang w:eastAsia="zh-CN"/>
              </w:rPr>
              <w:t>。</w:t>
            </w:r>
          </w:p>
        </w:tc>
        <w:tc>
          <w:tcPr>
            <w:tcW w:w="1256"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1人</w:t>
            </w:r>
          </w:p>
        </w:tc>
        <w:tc>
          <w:tcPr>
            <w:tcW w:w="1154" w:type="dxa"/>
          </w:tcPr>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土建专业监理工程师</w:t>
            </w:r>
          </w:p>
        </w:tc>
        <w:tc>
          <w:tcPr>
            <w:tcW w:w="4678"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大专及以上学历；具有中级（含中级）以上专业技术职称；持有国家建设部颁发的《注册监理工程师注册执业证书》或广西壮族自治区住建厅颁发本单位广西建设监理工程师证书或省级建设行政主管部门颁发的监理员岗位证书</w:t>
            </w:r>
          </w:p>
        </w:tc>
        <w:tc>
          <w:tcPr>
            <w:tcW w:w="1256"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1人</w:t>
            </w:r>
          </w:p>
        </w:tc>
        <w:tc>
          <w:tcPr>
            <w:tcW w:w="1154" w:type="dxa"/>
          </w:tcPr>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安全监理工程师</w:t>
            </w:r>
          </w:p>
        </w:tc>
        <w:tc>
          <w:tcPr>
            <w:tcW w:w="4678"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大专及以上学历；具有中级（含中级）以上专业技术职称；持有国家建设部颁发的《注册监理工程师注册执业证书》或广西壮族自治区住建厅颁发本单位广西建设监理工程师证书或省级建设行政主管部门颁发的监理员岗位证书</w:t>
            </w:r>
          </w:p>
        </w:tc>
        <w:tc>
          <w:tcPr>
            <w:tcW w:w="1256" w:type="dxa"/>
            <w:tcMar>
              <w:left w:w="0" w:type="dxa"/>
              <w:right w:w="0" w:type="dxa"/>
            </w:tcMar>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1人</w:t>
            </w:r>
          </w:p>
        </w:tc>
        <w:tc>
          <w:tcPr>
            <w:tcW w:w="1154" w:type="dxa"/>
          </w:tcPr>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lang w:val="en-US" w:eastAsia="zh-CN"/>
              </w:rPr>
            </w:pPr>
          </w:p>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9" w:type="dxa"/>
            <w:vMerge w:val="continue"/>
            <w:tcMar>
              <w:left w:w="0" w:type="dxa"/>
              <w:right w:w="0" w:type="dxa"/>
            </w:tcMar>
          </w:tcPr>
          <w:p>
            <w:pPr>
              <w:spacing w:line="360" w:lineRule="auto"/>
              <w:jc w:val="center"/>
              <w:rPr>
                <w:rFonts w:hint="eastAsia" w:ascii="宋体" w:hAnsi="宋体"/>
                <w:color w:val="auto"/>
                <w:sz w:val="24"/>
                <w:highlight w:val="none"/>
              </w:rPr>
            </w:pPr>
          </w:p>
        </w:tc>
        <w:tc>
          <w:tcPr>
            <w:tcW w:w="1134" w:type="dxa"/>
            <w:tcMar>
              <w:left w:w="0" w:type="dxa"/>
              <w:right w:w="0" w:type="dxa"/>
            </w:tcMar>
            <w:vAlign w:val="center"/>
          </w:tcPr>
          <w:p>
            <w:pPr>
              <w:spacing w:line="360" w:lineRule="auto"/>
              <w:jc w:val="center"/>
              <w:rPr>
                <w:rFonts w:hint="default" w:ascii="宋体" w:hAnsi="宋体" w:eastAsiaTheme="minorEastAsia"/>
                <w:color w:val="auto"/>
                <w:sz w:val="24"/>
                <w:highlight w:val="none"/>
                <w:lang w:val="en-US" w:eastAsia="zh-CN"/>
              </w:rPr>
            </w:pPr>
            <w:r>
              <w:rPr>
                <w:rFonts w:hint="eastAsia" w:ascii="宋体" w:hAnsi="宋体"/>
                <w:color w:val="auto"/>
                <w:sz w:val="24"/>
                <w:highlight w:val="none"/>
                <w:lang w:val="en-US" w:eastAsia="zh-CN"/>
              </w:rPr>
              <w:t>测量专业监理工程师</w:t>
            </w:r>
          </w:p>
        </w:tc>
        <w:tc>
          <w:tcPr>
            <w:tcW w:w="4678" w:type="dxa"/>
            <w:tcMar>
              <w:left w:w="0" w:type="dxa"/>
              <w:right w:w="0" w:type="dxa"/>
            </w:tcMar>
            <w:vAlign w:val="center"/>
          </w:tcPr>
          <w:p>
            <w:pPr>
              <w:spacing w:line="360" w:lineRule="auto"/>
              <w:jc w:val="center"/>
              <w:rPr>
                <w:rFonts w:hint="default" w:ascii="宋体" w:hAnsi="宋体" w:eastAsiaTheme="minorEastAsia"/>
                <w:color w:val="auto"/>
                <w:sz w:val="24"/>
                <w:highlight w:val="none"/>
                <w:lang w:val="en-US" w:eastAsia="zh-CN"/>
              </w:rPr>
            </w:pPr>
            <w:r>
              <w:rPr>
                <w:rFonts w:hint="eastAsia" w:ascii="宋体" w:hAnsi="宋体"/>
                <w:color w:val="auto"/>
                <w:sz w:val="24"/>
                <w:highlight w:val="none"/>
              </w:rPr>
              <w:t>大专及以上学历；具有中级（含中级）以上专业技术职称；</w:t>
            </w:r>
            <w:r>
              <w:rPr>
                <w:rFonts w:hint="eastAsia" w:ascii="宋体" w:hAnsi="宋体"/>
                <w:color w:val="auto"/>
                <w:sz w:val="24"/>
                <w:highlight w:val="none"/>
                <w:lang w:val="en-US" w:eastAsia="zh-CN"/>
              </w:rPr>
              <w:t>持有监理培训证和测量上岗证</w:t>
            </w:r>
          </w:p>
        </w:tc>
        <w:tc>
          <w:tcPr>
            <w:tcW w:w="1256" w:type="dxa"/>
            <w:tcMar>
              <w:left w:w="0" w:type="dxa"/>
              <w:right w:w="0" w:type="dxa"/>
            </w:tcMar>
            <w:vAlign w:val="center"/>
          </w:tcPr>
          <w:p>
            <w:pPr>
              <w:spacing w:line="360" w:lineRule="auto"/>
              <w:jc w:val="center"/>
              <w:rPr>
                <w:rFonts w:hint="default" w:ascii="宋体" w:hAnsi="宋体" w:eastAsiaTheme="minorEastAsia"/>
                <w:color w:val="auto"/>
                <w:sz w:val="24"/>
                <w:highlight w:val="none"/>
                <w:lang w:val="en-US" w:eastAsia="zh-CN"/>
              </w:rPr>
            </w:pPr>
            <w:r>
              <w:rPr>
                <w:rFonts w:hint="eastAsia" w:ascii="宋体" w:hAnsi="宋体"/>
                <w:color w:val="auto"/>
                <w:sz w:val="24"/>
                <w:highlight w:val="none"/>
                <w:lang w:val="en-US" w:eastAsia="zh-CN"/>
              </w:rPr>
              <w:t>1人</w:t>
            </w:r>
          </w:p>
        </w:tc>
        <w:tc>
          <w:tcPr>
            <w:tcW w:w="1154" w:type="dxa"/>
            <w:vAlign w:val="center"/>
          </w:tcPr>
          <w:p>
            <w:pPr>
              <w:spacing w:line="360" w:lineRule="auto"/>
              <w:jc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分</w:t>
            </w:r>
          </w:p>
        </w:tc>
      </w:tr>
    </w:tbl>
    <w:p>
      <w:pPr>
        <w:widowControl w:val="0"/>
        <w:numPr>
          <w:ilvl w:val="0"/>
          <w:numId w:val="0"/>
        </w:numPr>
        <w:jc w:val="left"/>
        <w:rPr>
          <w:rFonts w:hint="eastAsia" w:ascii="宋体" w:hAnsi="宋体" w:cs="宋体"/>
          <w:color w:val="auto"/>
          <w:sz w:val="28"/>
          <w:szCs w:val="28"/>
          <w:highlight w:val="none"/>
        </w:rPr>
      </w:pPr>
    </w:p>
    <w:p>
      <w:pPr>
        <w:widowControl w:val="0"/>
        <w:numPr>
          <w:ilvl w:val="0"/>
          <w:numId w:val="0"/>
        </w:numPr>
        <w:jc w:val="left"/>
        <w:rPr>
          <w:rFonts w:hint="eastAsia" w:ascii="宋体" w:hAnsi="宋体" w:cs="宋体"/>
          <w:color w:val="auto"/>
          <w:sz w:val="28"/>
          <w:szCs w:val="28"/>
          <w:highlight w:val="none"/>
        </w:rPr>
      </w:pPr>
    </w:p>
    <w:p>
      <w:pPr>
        <w:rPr>
          <w:color w:val="auto"/>
          <w:highlight w:val="none"/>
        </w:rPr>
      </w:pPr>
    </w:p>
    <w:p>
      <w:pPr>
        <w:pStyle w:val="4"/>
        <w:spacing w:line="240" w:lineRule="auto"/>
        <w:rPr>
          <w:color w:val="auto"/>
          <w:szCs w:val="28"/>
          <w:highlight w:val="none"/>
        </w:rPr>
      </w:pPr>
      <w:bookmarkStart w:id="675" w:name="_Toc19395"/>
      <w:bookmarkStart w:id="676" w:name="_Toc10183"/>
      <w:bookmarkStart w:id="677" w:name="_Toc2968"/>
      <w:bookmarkStart w:id="678" w:name="_Toc30389"/>
      <w:bookmarkStart w:id="679" w:name="_Toc19593"/>
      <w:bookmarkStart w:id="680" w:name="_Toc15663"/>
      <w:bookmarkStart w:id="681" w:name="_Toc14081"/>
      <w:bookmarkStart w:id="682" w:name="_Toc22367"/>
      <w:bookmarkStart w:id="683" w:name="_Toc24296"/>
      <w:bookmarkStart w:id="684" w:name="_Toc4621"/>
      <w:bookmarkStart w:id="685" w:name="_Toc3978"/>
      <w:bookmarkStart w:id="686" w:name="_Toc22492"/>
      <w:bookmarkStart w:id="687" w:name="_Toc471482377"/>
      <w:bookmarkStart w:id="688" w:name="_Toc21685"/>
      <w:bookmarkStart w:id="689" w:name="_Toc19365"/>
      <w:bookmarkStart w:id="690" w:name="_Toc29392"/>
      <w:bookmarkStart w:id="691" w:name="_Toc27525"/>
      <w:r>
        <w:rPr>
          <w:rFonts w:hint="eastAsia"/>
          <w:color w:val="auto"/>
          <w:szCs w:val="28"/>
          <w:highlight w:val="none"/>
        </w:rPr>
        <w:t>四、中选标准</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ind w:right="754"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评审小组将按照综合得分由</w:t>
      </w:r>
      <w:r>
        <w:rPr>
          <w:rFonts w:hint="eastAsia" w:ascii="宋体" w:hAnsi="宋体" w:cs="宋体"/>
          <w:color w:val="auto"/>
          <w:sz w:val="28"/>
          <w:szCs w:val="28"/>
          <w:highlight w:val="none"/>
          <w:lang w:val="en-US" w:eastAsia="zh-CN"/>
        </w:rPr>
        <w:t>高</w:t>
      </w:r>
      <w:r>
        <w:rPr>
          <w:rFonts w:hint="eastAsia" w:ascii="宋体" w:hAnsi="宋体" w:cs="宋体"/>
          <w:color w:val="auto"/>
          <w:sz w:val="28"/>
          <w:szCs w:val="28"/>
          <w:highlight w:val="none"/>
        </w:rPr>
        <w:t>到</w:t>
      </w:r>
      <w:r>
        <w:rPr>
          <w:rFonts w:hint="eastAsia" w:ascii="宋体" w:hAnsi="宋体" w:cs="宋体"/>
          <w:color w:val="auto"/>
          <w:sz w:val="28"/>
          <w:szCs w:val="28"/>
          <w:highlight w:val="none"/>
          <w:lang w:val="en-US" w:eastAsia="zh-CN"/>
        </w:rPr>
        <w:t>低</w:t>
      </w:r>
      <w:r>
        <w:rPr>
          <w:rFonts w:hint="eastAsia" w:ascii="宋体" w:hAnsi="宋体" w:cs="宋体"/>
          <w:color w:val="auto"/>
          <w:sz w:val="28"/>
          <w:szCs w:val="28"/>
          <w:highlight w:val="none"/>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pPr>
        <w:ind w:right="754" w:firstLine="560" w:firstLineChars="200"/>
        <w:jc w:val="left"/>
        <w:rPr>
          <w:rFonts w:ascii="宋体" w:hAnsi="宋体" w:cs="宋体"/>
          <w:color w:val="auto"/>
          <w:sz w:val="28"/>
          <w:szCs w:val="28"/>
          <w:highlight w:val="none"/>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bCs/>
          <w:color w:val="auto"/>
          <w:sz w:val="28"/>
          <w:szCs w:val="28"/>
          <w:highlight w:val="none"/>
          <w:lang w:eastAsia="zh-CN"/>
        </w:rPr>
      </w:pPr>
    </w:p>
    <w:p>
      <w:pPr>
        <w:spacing w:line="360" w:lineRule="auto"/>
        <w:ind w:firstLine="560" w:firstLineChars="200"/>
        <w:rPr>
          <w:rFonts w:hint="eastAsia" w:cs="宋体"/>
          <w:color w:val="auto"/>
          <w:sz w:val="28"/>
          <w:szCs w:val="28"/>
          <w:highlight w:val="none"/>
        </w:rPr>
      </w:pPr>
    </w:p>
    <w:p>
      <w:pPr>
        <w:numPr>
          <w:ilvl w:val="0"/>
          <w:numId w:val="0"/>
        </w:numPr>
        <w:ind w:leftChars="0" w:firstLine="280" w:firstLineChars="100"/>
        <w:rPr>
          <w:rFonts w:hint="default" w:ascii="宋体" w:hAnsi="宋体" w:cs="宋体" w:eastAsiaTheme="minorEastAsia"/>
          <w:b w:val="0"/>
          <w:bCs w:val="0"/>
          <w:color w:val="auto"/>
          <w:kern w:val="0"/>
          <w:sz w:val="28"/>
          <w:szCs w:val="28"/>
          <w:highlight w:val="none"/>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BBBD5"/>
    <w:multiLevelType w:val="singleLevel"/>
    <w:tmpl w:val="A01BBBD5"/>
    <w:lvl w:ilvl="0" w:tentative="0">
      <w:start w:val="1"/>
      <w:numFmt w:val="chineseCounting"/>
      <w:suff w:val="space"/>
      <w:lvlText w:val="第%1章"/>
      <w:lvlJc w:val="left"/>
      <w:rPr>
        <w:rFonts w:hint="eastAsia"/>
      </w:rPr>
    </w:lvl>
  </w:abstractNum>
  <w:abstractNum w:abstractNumId="1">
    <w:nsid w:val="CF9FA987"/>
    <w:multiLevelType w:val="singleLevel"/>
    <w:tmpl w:val="CF9FA987"/>
    <w:lvl w:ilvl="0" w:tentative="0">
      <w:start w:val="1"/>
      <w:numFmt w:val="decimal"/>
      <w:lvlText w:val="%1."/>
      <w:lvlJc w:val="left"/>
      <w:pPr>
        <w:tabs>
          <w:tab w:val="left" w:pos="312"/>
        </w:tabs>
      </w:pPr>
    </w:lvl>
  </w:abstractNum>
  <w:abstractNum w:abstractNumId="2">
    <w:nsid w:val="D96E9A08"/>
    <w:multiLevelType w:val="singleLevel"/>
    <w:tmpl w:val="D96E9A08"/>
    <w:lvl w:ilvl="0" w:tentative="0">
      <w:start w:val="2"/>
      <w:numFmt w:val="decimal"/>
      <w:lvlText w:val="%1."/>
      <w:lvlJc w:val="left"/>
      <w:pPr>
        <w:tabs>
          <w:tab w:val="left" w:pos="312"/>
        </w:tabs>
      </w:pPr>
    </w:lvl>
  </w:abstractNum>
  <w:abstractNum w:abstractNumId="3">
    <w:nsid w:val="F7EB345B"/>
    <w:multiLevelType w:val="singleLevel"/>
    <w:tmpl w:val="F7EB345B"/>
    <w:lvl w:ilvl="0" w:tentative="0">
      <w:start w:val="1"/>
      <w:numFmt w:val="decimal"/>
      <w:lvlText w:val="%1."/>
      <w:lvlJc w:val="left"/>
      <w:pPr>
        <w:tabs>
          <w:tab w:val="left" w:pos="312"/>
        </w:tabs>
      </w:pPr>
    </w:lvl>
  </w:abstractNum>
  <w:abstractNum w:abstractNumId="4">
    <w:nsid w:val="057BAFD7"/>
    <w:multiLevelType w:val="singleLevel"/>
    <w:tmpl w:val="057BAFD7"/>
    <w:lvl w:ilvl="0" w:tentative="0">
      <w:start w:val="3"/>
      <w:numFmt w:val="decimal"/>
      <w:lvlText w:val="%1."/>
      <w:lvlJc w:val="left"/>
      <w:pPr>
        <w:tabs>
          <w:tab w:val="left" w:pos="312"/>
        </w:tabs>
      </w:pPr>
    </w:lvl>
  </w:abstractNum>
  <w:abstractNum w:abstractNumId="5">
    <w:nsid w:val="1A98AD14"/>
    <w:multiLevelType w:val="singleLevel"/>
    <w:tmpl w:val="1A98AD14"/>
    <w:lvl w:ilvl="0" w:tentative="0">
      <w:start w:val="1"/>
      <w:numFmt w:val="decimal"/>
      <w:suff w:val="nothing"/>
      <w:lvlText w:val="（%1）"/>
      <w:lvlJc w:val="left"/>
    </w:lvl>
  </w:abstractNum>
  <w:abstractNum w:abstractNumId="6">
    <w:nsid w:val="213105F9"/>
    <w:multiLevelType w:val="singleLevel"/>
    <w:tmpl w:val="213105F9"/>
    <w:lvl w:ilvl="0" w:tentative="0">
      <w:start w:val="1"/>
      <w:numFmt w:val="decimal"/>
      <w:suff w:val="nothing"/>
      <w:lvlText w:val="（%1）"/>
      <w:lvlJc w:val="left"/>
    </w:lvl>
  </w:abstractNum>
  <w:abstractNum w:abstractNumId="7">
    <w:nsid w:val="52ABEA66"/>
    <w:multiLevelType w:val="singleLevel"/>
    <w:tmpl w:val="52ABEA66"/>
    <w:lvl w:ilvl="0" w:tentative="0">
      <w:start w:val="3"/>
      <w:numFmt w:val="chineseCounting"/>
      <w:suff w:val="space"/>
      <w:lvlText w:val="第%1章"/>
      <w:lvlJc w:val="left"/>
    </w:lvl>
  </w:abstractNum>
  <w:abstractNum w:abstractNumId="8">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ZTVjZjUzMWMzYTYzNzI1OWNjZTBiYTQ3ZDg5MDAifQ=="/>
  </w:docVars>
  <w:rsids>
    <w:rsidRoot w:val="04287A59"/>
    <w:rsid w:val="010A30B5"/>
    <w:rsid w:val="01F93E28"/>
    <w:rsid w:val="023B0E7F"/>
    <w:rsid w:val="024D6C3F"/>
    <w:rsid w:val="02CE1DF7"/>
    <w:rsid w:val="038D1E85"/>
    <w:rsid w:val="04287A59"/>
    <w:rsid w:val="044B7B75"/>
    <w:rsid w:val="04A21A6E"/>
    <w:rsid w:val="04EF3542"/>
    <w:rsid w:val="05F006FB"/>
    <w:rsid w:val="07583633"/>
    <w:rsid w:val="07DC7E75"/>
    <w:rsid w:val="08DA5226"/>
    <w:rsid w:val="08E14806"/>
    <w:rsid w:val="091F5E8D"/>
    <w:rsid w:val="09261CB8"/>
    <w:rsid w:val="0941123F"/>
    <w:rsid w:val="09E76D21"/>
    <w:rsid w:val="09F07F52"/>
    <w:rsid w:val="0B745BDD"/>
    <w:rsid w:val="0B842047"/>
    <w:rsid w:val="0CDC2107"/>
    <w:rsid w:val="0CE80DF9"/>
    <w:rsid w:val="0CF85562"/>
    <w:rsid w:val="0D44270F"/>
    <w:rsid w:val="0DEC25C4"/>
    <w:rsid w:val="0EB44DED"/>
    <w:rsid w:val="0FE03EB9"/>
    <w:rsid w:val="11695658"/>
    <w:rsid w:val="11BC3199"/>
    <w:rsid w:val="122138D6"/>
    <w:rsid w:val="12491C54"/>
    <w:rsid w:val="12BC56F7"/>
    <w:rsid w:val="14BB69D7"/>
    <w:rsid w:val="16CF0644"/>
    <w:rsid w:val="1701544F"/>
    <w:rsid w:val="181D20E9"/>
    <w:rsid w:val="188D5E27"/>
    <w:rsid w:val="18A423BF"/>
    <w:rsid w:val="18E02A7A"/>
    <w:rsid w:val="19225AFE"/>
    <w:rsid w:val="199557C9"/>
    <w:rsid w:val="1AE3031E"/>
    <w:rsid w:val="1B2A0989"/>
    <w:rsid w:val="1BE87941"/>
    <w:rsid w:val="1C744D1F"/>
    <w:rsid w:val="1C997638"/>
    <w:rsid w:val="1D477E44"/>
    <w:rsid w:val="1F334A62"/>
    <w:rsid w:val="1F390D9F"/>
    <w:rsid w:val="1FDE6619"/>
    <w:rsid w:val="208C6E8C"/>
    <w:rsid w:val="209A6FB8"/>
    <w:rsid w:val="20CF612F"/>
    <w:rsid w:val="20DC3B18"/>
    <w:rsid w:val="20FA3B95"/>
    <w:rsid w:val="21543113"/>
    <w:rsid w:val="21E0472D"/>
    <w:rsid w:val="22010E3A"/>
    <w:rsid w:val="233B1EFB"/>
    <w:rsid w:val="236A3046"/>
    <w:rsid w:val="23B13C28"/>
    <w:rsid w:val="23F94699"/>
    <w:rsid w:val="24291725"/>
    <w:rsid w:val="247A3B8B"/>
    <w:rsid w:val="256D2678"/>
    <w:rsid w:val="28184E04"/>
    <w:rsid w:val="281C3055"/>
    <w:rsid w:val="28350E55"/>
    <w:rsid w:val="286B323B"/>
    <w:rsid w:val="28B73933"/>
    <w:rsid w:val="28C82EF3"/>
    <w:rsid w:val="28EB7F76"/>
    <w:rsid w:val="297A1079"/>
    <w:rsid w:val="2A5F2B75"/>
    <w:rsid w:val="2A702BC8"/>
    <w:rsid w:val="2B106E77"/>
    <w:rsid w:val="2B492424"/>
    <w:rsid w:val="2BC44975"/>
    <w:rsid w:val="2C15532B"/>
    <w:rsid w:val="2C56613F"/>
    <w:rsid w:val="2F29567C"/>
    <w:rsid w:val="2F3E026E"/>
    <w:rsid w:val="2FD60DDE"/>
    <w:rsid w:val="30285715"/>
    <w:rsid w:val="30342252"/>
    <w:rsid w:val="30424FE6"/>
    <w:rsid w:val="30EC4C6B"/>
    <w:rsid w:val="311036D7"/>
    <w:rsid w:val="31280191"/>
    <w:rsid w:val="3135376A"/>
    <w:rsid w:val="316E5C56"/>
    <w:rsid w:val="31846795"/>
    <w:rsid w:val="31F8794B"/>
    <w:rsid w:val="3259360C"/>
    <w:rsid w:val="34750FC4"/>
    <w:rsid w:val="34F43859"/>
    <w:rsid w:val="35712C79"/>
    <w:rsid w:val="362B0447"/>
    <w:rsid w:val="36521A01"/>
    <w:rsid w:val="36FD5C1C"/>
    <w:rsid w:val="378249FE"/>
    <w:rsid w:val="37982CB9"/>
    <w:rsid w:val="38D8695B"/>
    <w:rsid w:val="3A9C574C"/>
    <w:rsid w:val="3AED47B6"/>
    <w:rsid w:val="3D1042CF"/>
    <w:rsid w:val="3DE730DB"/>
    <w:rsid w:val="3E3B1320"/>
    <w:rsid w:val="3E412892"/>
    <w:rsid w:val="3E941736"/>
    <w:rsid w:val="3EEC151F"/>
    <w:rsid w:val="3FE61CB3"/>
    <w:rsid w:val="407C0724"/>
    <w:rsid w:val="40AB79F3"/>
    <w:rsid w:val="41314E93"/>
    <w:rsid w:val="419C2C0F"/>
    <w:rsid w:val="4272310A"/>
    <w:rsid w:val="42F06635"/>
    <w:rsid w:val="44AE3555"/>
    <w:rsid w:val="453B7428"/>
    <w:rsid w:val="45682DFA"/>
    <w:rsid w:val="45784787"/>
    <w:rsid w:val="45A827F6"/>
    <w:rsid w:val="46AC06BD"/>
    <w:rsid w:val="479676A1"/>
    <w:rsid w:val="47E55C82"/>
    <w:rsid w:val="48463554"/>
    <w:rsid w:val="48566109"/>
    <w:rsid w:val="49CE2369"/>
    <w:rsid w:val="4ADE114C"/>
    <w:rsid w:val="4BEC26F7"/>
    <w:rsid w:val="4C0750C7"/>
    <w:rsid w:val="4C1E3517"/>
    <w:rsid w:val="4DB8452B"/>
    <w:rsid w:val="4DEF0D66"/>
    <w:rsid w:val="4EBF66A5"/>
    <w:rsid w:val="4F2B2670"/>
    <w:rsid w:val="51F1033F"/>
    <w:rsid w:val="5239750A"/>
    <w:rsid w:val="53046CAE"/>
    <w:rsid w:val="53882AC5"/>
    <w:rsid w:val="540168F4"/>
    <w:rsid w:val="54812D0C"/>
    <w:rsid w:val="551E29B9"/>
    <w:rsid w:val="55861BAE"/>
    <w:rsid w:val="568772DD"/>
    <w:rsid w:val="574C257C"/>
    <w:rsid w:val="576F69CF"/>
    <w:rsid w:val="5823588A"/>
    <w:rsid w:val="5859451E"/>
    <w:rsid w:val="589904C1"/>
    <w:rsid w:val="59011144"/>
    <w:rsid w:val="5A3C2FF9"/>
    <w:rsid w:val="5A5158DD"/>
    <w:rsid w:val="5A5D52B0"/>
    <w:rsid w:val="5AB1453B"/>
    <w:rsid w:val="5AE922D5"/>
    <w:rsid w:val="5C254429"/>
    <w:rsid w:val="5F377B72"/>
    <w:rsid w:val="5F4737FE"/>
    <w:rsid w:val="5F635F8B"/>
    <w:rsid w:val="5FD26E60"/>
    <w:rsid w:val="60957422"/>
    <w:rsid w:val="60CB6968"/>
    <w:rsid w:val="61830F53"/>
    <w:rsid w:val="61872D5D"/>
    <w:rsid w:val="62844D59"/>
    <w:rsid w:val="632626AC"/>
    <w:rsid w:val="64543FC3"/>
    <w:rsid w:val="64D4535E"/>
    <w:rsid w:val="677213F5"/>
    <w:rsid w:val="681D31BC"/>
    <w:rsid w:val="69420B12"/>
    <w:rsid w:val="6AD370C1"/>
    <w:rsid w:val="6B1067AD"/>
    <w:rsid w:val="6BD7247C"/>
    <w:rsid w:val="6D110753"/>
    <w:rsid w:val="6D864A09"/>
    <w:rsid w:val="6DC06482"/>
    <w:rsid w:val="6DD53EB7"/>
    <w:rsid w:val="6EE95014"/>
    <w:rsid w:val="6EF100B3"/>
    <w:rsid w:val="70EB791F"/>
    <w:rsid w:val="7122756D"/>
    <w:rsid w:val="71D70082"/>
    <w:rsid w:val="72DA702C"/>
    <w:rsid w:val="72F15ACA"/>
    <w:rsid w:val="733C3B9D"/>
    <w:rsid w:val="74040B23"/>
    <w:rsid w:val="74847908"/>
    <w:rsid w:val="75FF0680"/>
    <w:rsid w:val="765100C3"/>
    <w:rsid w:val="768C6099"/>
    <w:rsid w:val="76B0766B"/>
    <w:rsid w:val="76FD3152"/>
    <w:rsid w:val="77DF6831"/>
    <w:rsid w:val="78081EAE"/>
    <w:rsid w:val="784B239B"/>
    <w:rsid w:val="78867409"/>
    <w:rsid w:val="78A8469B"/>
    <w:rsid w:val="78C6737B"/>
    <w:rsid w:val="796F095E"/>
    <w:rsid w:val="7A573E1B"/>
    <w:rsid w:val="7A7A69DD"/>
    <w:rsid w:val="7AFB2B1C"/>
    <w:rsid w:val="7B2E6FA2"/>
    <w:rsid w:val="7BC81B56"/>
    <w:rsid w:val="7D233CDA"/>
    <w:rsid w:val="7DB63F07"/>
    <w:rsid w:val="7E1C6A9F"/>
    <w:rsid w:val="7EE50E2A"/>
    <w:rsid w:val="7FEF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25"/>
    <w:qFormat/>
    <w:uiPriority w:val="0"/>
    <w:pPr>
      <w:keepNext/>
      <w:keepLines/>
      <w:spacing w:before="260" w:after="260" w:line="413" w:lineRule="auto"/>
      <w:outlineLvl w:val="2"/>
    </w:pPr>
    <w:rPr>
      <w:kern w:val="0"/>
      <w:sz w:val="28"/>
      <w:szCs w:val="20"/>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pacing w:line="312" w:lineRule="atLeast"/>
      <w:textAlignment w:val="baseline"/>
    </w:pPr>
    <w:rPr>
      <w:rFonts w:ascii="宋体" w:hAnsi="Courier New"/>
    </w:rPr>
  </w:style>
  <w:style w:type="paragraph" w:styleId="6">
    <w:name w:val="annotation text"/>
    <w:basedOn w:val="1"/>
    <w:qFormat/>
    <w:uiPriority w:val="0"/>
    <w:pPr>
      <w:jc w:val="left"/>
    </w:pPr>
    <w:rPr>
      <w:rFonts w:ascii="Calibri" w:hAnsi="Calibri"/>
      <w:szCs w:val="22"/>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annotation subject"/>
    <w:basedOn w:val="6"/>
    <w:next w:val="6"/>
    <w:qFormat/>
    <w:uiPriority w:val="0"/>
    <w:rPr>
      <w:rFonts w:ascii="Times New Roman" w:hAnsi="Times New Roman"/>
      <w:b/>
      <w:bCs/>
      <w:szCs w:val="24"/>
    </w:rPr>
  </w:style>
  <w:style w:type="character" w:styleId="16">
    <w:name w:val="annotation reference"/>
    <w:qFormat/>
    <w:uiPriority w:val="0"/>
    <w:rPr>
      <w:sz w:val="21"/>
      <w:szCs w:val="21"/>
    </w:rPr>
  </w:style>
  <w:style w:type="paragraph" w:customStyle="1" w:styleId="1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标题 2_1"/>
    <w:basedOn w:val="20"/>
    <w:next w:val="20"/>
    <w:unhideWhenUsed/>
    <w:qFormat/>
    <w:uiPriority w:val="0"/>
    <w:pPr>
      <w:keepNext/>
      <w:keepLines/>
      <w:spacing w:before="260" w:after="260" w:line="416" w:lineRule="auto"/>
      <w:outlineLvl w:val="1"/>
    </w:pPr>
    <w:rPr>
      <w:rFonts w:ascii="Cambria" w:hAnsi="Cambria"/>
      <w:b/>
      <w:bCs/>
      <w:sz w:val="32"/>
      <w:szCs w:val="32"/>
    </w:rPr>
  </w:style>
  <w:style w:type="paragraph" w:customStyle="1" w:styleId="23">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5">
    <w:name w:val="标题 3 Char"/>
    <w:link w:val="5"/>
    <w:qFormat/>
    <w:uiPriority w:val="0"/>
    <w:rPr>
      <w:kern w:val="0"/>
      <w:sz w:val="28"/>
      <w:szCs w:val="20"/>
    </w:rPr>
  </w:style>
  <w:style w:type="paragraph" w:customStyle="1" w:styleId="26">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标题 3_0"/>
    <w:basedOn w:val="26"/>
    <w:next w:val="26"/>
    <w:qFormat/>
    <w:uiPriority w:val="0"/>
    <w:pPr>
      <w:keepNext/>
      <w:keepLines/>
      <w:spacing w:line="360" w:lineRule="auto"/>
      <w:outlineLvl w:val="2"/>
    </w:pPr>
    <w:rPr>
      <w:rFonts w:eastAsia="黑体"/>
      <w:b/>
      <w:bCs/>
      <w:kern w:val="0"/>
      <w:sz w:val="20"/>
      <w:szCs w:val="32"/>
    </w:rPr>
  </w:style>
  <w:style w:type="paragraph" w:customStyle="1" w:styleId="28">
    <w:name w:val="正文_2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54</Pages>
  <Words>18347</Words>
  <Characters>19179</Characters>
  <Lines>0</Lines>
  <Paragraphs>0</Paragraphs>
  <TotalTime>7</TotalTime>
  <ScaleCrop>false</ScaleCrop>
  <LinksUpToDate>false</LinksUpToDate>
  <CharactersWithSpaces>21767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2022-05-27T07:08:00Z</dcterms:created>
  <dc:creator>陆国天</dc:creator>
  <cp:lastModifiedBy>H8htiLcYVL0iQqIPDANYPwT0gdCekj/6F8WeoSG4L3GDJvp0EpcrvMgARWeQW61KOj7Ko4AA7OVfwnOUtr/6Sg==</cp:lastModifiedBy>
  <dcterms:modified xsi:type="dcterms:W3CDTF">2022-11-10T03:13:01Z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3018C8C9EB6342C9A5B798EA590280BC</vt:lpwstr>
  </property>
</Properties>
</file>