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ind w:right="-57" w:firstLine="0"/>
        <w:jc w:val="center"/>
        <w:outlineLvl w:val="0"/>
        <w:rPr>
          <w:rStyle w:val="41"/>
          <w:rFonts w:ascii="宋体" w:hAnsi="宋体" w:eastAsia="宋体"/>
        </w:rPr>
      </w:pPr>
      <w:r>
        <w:rPr>
          <w:rFonts w:hint="eastAsia" w:ascii="仿宋" w:hAnsi="仿宋" w:eastAsia="仿宋" w:cs="仿宋"/>
          <w:b/>
          <w:color w:val="auto"/>
          <w:spacing w:val="1"/>
          <w:sz w:val="44"/>
          <w:szCs w:val="44"/>
          <w:lang w:val="en-US" w:eastAsia="zh-CN"/>
        </w:rPr>
        <w:t xml:space="preserve"> </w:t>
      </w:r>
    </w:p>
    <w:p>
      <w:pPr>
        <w:pStyle w:val="58"/>
        <w:kinsoku w:val="0"/>
        <w:overflowPunct w:val="0"/>
        <w:ind w:left="0" w:firstLine="0" w:firstLineChars="0"/>
        <w:jc w:val="center"/>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lang w:eastAsia="zh-CN"/>
        </w:rPr>
        <w:t>南宁轨道交通运营有限公司</w:t>
      </w:r>
    </w:p>
    <w:p>
      <w:pPr>
        <w:pStyle w:val="58"/>
        <w:kinsoku w:val="0"/>
        <w:overflowPunct w:val="0"/>
        <w:ind w:left="0" w:firstLine="0"/>
        <w:jc w:val="center"/>
        <w:rPr>
          <w:ins w:id="0" w:author="大鸣山" w:date="2022-10-19T10:58:06Z"/>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202</w:t>
      </w:r>
      <w:r>
        <w:rPr>
          <w:rFonts w:hint="eastAsia" w:asciiTheme="minorEastAsia" w:hAnsiTheme="minorEastAsia" w:eastAsiaTheme="minorEastAsia" w:cstheme="minorEastAsia"/>
          <w:b/>
          <w:sz w:val="32"/>
          <w:szCs w:val="32"/>
          <w:lang w:val="en-US" w:eastAsia="zh-CN"/>
        </w:rPr>
        <w:t>2</w:t>
      </w:r>
      <w:r>
        <w:rPr>
          <w:rFonts w:hint="eastAsia" w:asciiTheme="minorEastAsia" w:hAnsiTheme="minorEastAsia" w:eastAsiaTheme="minorEastAsia" w:cstheme="minorEastAsia"/>
          <w:b/>
          <w:sz w:val="32"/>
          <w:szCs w:val="32"/>
        </w:rPr>
        <w:t>年安全生产管理人员安全教育培训合同</w:t>
      </w:r>
    </w:p>
    <w:p>
      <w:pPr>
        <w:pStyle w:val="58"/>
        <w:kinsoku w:val="0"/>
        <w:overflowPunct w:val="0"/>
        <w:ind w:left="0" w:firstLine="0"/>
        <w:jc w:val="center"/>
        <w:rPr>
          <w:ins w:id="1" w:author="大鸣山" w:date="2022-10-19T10:58:07Z"/>
          <w:rFonts w:hint="eastAsia" w:asciiTheme="minorEastAsia" w:hAnsiTheme="minorEastAsia" w:eastAsiaTheme="minorEastAsia" w:cstheme="minorEastAsia"/>
          <w:b/>
          <w:sz w:val="32"/>
          <w:szCs w:val="32"/>
        </w:rPr>
      </w:pPr>
    </w:p>
    <w:p>
      <w:pPr>
        <w:pStyle w:val="58"/>
        <w:kinsoku w:val="0"/>
        <w:overflowPunct w:val="0"/>
        <w:ind w:left="0" w:firstLine="0"/>
        <w:jc w:val="center"/>
        <w:rPr>
          <w:ins w:id="2" w:author="大鸣山" w:date="2022-10-19T10:58:07Z"/>
          <w:rFonts w:hint="eastAsia" w:asciiTheme="minorEastAsia" w:hAnsiTheme="minorEastAsia" w:eastAsiaTheme="minorEastAsia" w:cstheme="minorEastAsia"/>
          <w:b/>
          <w:sz w:val="32"/>
          <w:szCs w:val="32"/>
        </w:rPr>
      </w:pPr>
    </w:p>
    <w:p>
      <w:pPr>
        <w:pStyle w:val="58"/>
        <w:kinsoku w:val="0"/>
        <w:overflowPunct w:val="0"/>
        <w:ind w:left="0" w:firstLine="0"/>
        <w:jc w:val="both"/>
        <w:rPr>
          <w:rFonts w:hint="eastAsia" w:asciiTheme="minorEastAsia" w:hAnsiTheme="minorEastAsia" w:eastAsiaTheme="minorEastAsia" w:cstheme="minorEastAsia"/>
          <w:b/>
          <w:sz w:val="32"/>
          <w:szCs w:val="32"/>
        </w:rPr>
        <w:sectPr>
          <w:headerReference r:id="rId5" w:type="default"/>
          <w:footerReference r:id="rId6" w:type="default"/>
          <w:pgSz w:w="11905" w:h="16838"/>
          <w:pgMar w:top="1418" w:right="1418" w:bottom="1304" w:left="1418" w:header="454" w:footer="567" w:gutter="0"/>
          <w:cols w:space="720" w:num="1"/>
          <w:docGrid w:linePitch="312" w:charSpace="0"/>
        </w:sectPr>
        <w:pPrChange w:id="3" w:author="大鸣山" w:date="2022-10-19T10:58:13Z">
          <w:pPr>
            <w:pStyle w:val="58"/>
            <w:kinsoku w:val="0"/>
            <w:overflowPunct w:val="0"/>
            <w:ind w:left="0" w:firstLine="0"/>
            <w:jc w:val="center"/>
          </w:pPr>
        </w:pPrChange>
      </w:pPr>
      <w:bookmarkStart w:id="0" w:name="_GoBack"/>
      <w:bookmarkEnd w:id="0"/>
    </w:p>
    <w:p>
      <w:pPr>
        <w:spacing w:line="560" w:lineRule="exact"/>
        <w:ind w:left="0" w:firstLine="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甲方：</w:t>
      </w:r>
      <w:r>
        <w:rPr>
          <w:rFonts w:hint="eastAsia" w:asciiTheme="minorEastAsia" w:hAnsiTheme="minorEastAsia" w:eastAsiaTheme="minorEastAsia" w:cstheme="minorEastAsia"/>
          <w:b/>
          <w:sz w:val="28"/>
          <w:szCs w:val="28"/>
          <w:lang w:eastAsia="zh-CN"/>
        </w:rPr>
        <w:t>南宁轨道交通运营有限公司</w:t>
      </w:r>
      <w:r>
        <w:rPr>
          <w:rFonts w:hint="eastAsia" w:asciiTheme="minorEastAsia" w:hAnsiTheme="minorEastAsia" w:eastAsiaTheme="minorEastAsia" w:cstheme="minorEastAsia"/>
          <w:b/>
          <w:sz w:val="28"/>
          <w:szCs w:val="28"/>
        </w:rPr>
        <w:t>(以下简称甲方)</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 xml:space="preserve">乙方：     </w:t>
      </w:r>
      <w:r>
        <w:rPr>
          <w:rFonts w:hint="eastAsia" w:asciiTheme="minorEastAsia" w:hAnsiTheme="minorEastAsia" w:eastAsiaTheme="minorEastAsia" w:cstheme="minorEastAsia"/>
          <w:b/>
          <w:sz w:val="28"/>
          <w:szCs w:val="28"/>
          <w:lang w:val="en-US" w:eastAsia="zh-CN"/>
        </w:rPr>
        <w:t xml:space="preserve">                   </w:t>
      </w:r>
      <w:r>
        <w:rPr>
          <w:rFonts w:hint="eastAsia" w:asciiTheme="minorEastAsia" w:hAnsiTheme="minorEastAsia" w:eastAsiaTheme="minorEastAsia" w:cstheme="minorEastAsia"/>
          <w:b/>
          <w:sz w:val="28"/>
          <w:szCs w:val="28"/>
        </w:rPr>
        <w:t>（以下简称乙方）</w:t>
      </w:r>
    </w:p>
    <w:p>
      <w:pPr>
        <w:pStyle w:val="11"/>
        <w:kinsoku w:val="0"/>
        <w:overflowPunct w:val="0"/>
        <w:spacing w:before="0" w:line="395" w:lineRule="exact"/>
        <w:ind w:left="0" w:right="164"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经甲乙双方平等协商，就</w:t>
      </w:r>
      <w:r>
        <w:rPr>
          <w:rFonts w:hint="eastAsia" w:asciiTheme="minorEastAsia" w:hAnsiTheme="minorEastAsia" w:eastAsiaTheme="minorEastAsia" w:cstheme="minorEastAsia"/>
          <w:sz w:val="28"/>
          <w:szCs w:val="28"/>
          <w:lang w:eastAsia="zh-CN"/>
        </w:rPr>
        <w:t>南宁轨道交通运营有限公司2022</w:t>
      </w:r>
      <w:r>
        <w:rPr>
          <w:rFonts w:hint="eastAsia" w:asciiTheme="minorEastAsia" w:hAnsiTheme="minorEastAsia" w:eastAsiaTheme="minorEastAsia" w:cstheme="minorEastAsia"/>
          <w:sz w:val="28"/>
          <w:szCs w:val="28"/>
        </w:rPr>
        <w:t>年安全生产管理人员的培训事宜达成如下协议：</w:t>
      </w:r>
    </w:p>
    <w:p>
      <w:pPr>
        <w:numPr>
          <w:ilvl w:val="0"/>
          <w:numId w:val="1"/>
        </w:num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培训目标</w:t>
      </w:r>
    </w:p>
    <w:p>
      <w:pPr>
        <w:pStyle w:val="11"/>
        <w:kinsoku w:val="0"/>
        <w:overflowPunct w:val="0"/>
        <w:spacing w:before="0" w:line="395" w:lineRule="exact"/>
        <w:ind w:left="0" w:right="164" w:firstLine="560" w:firstLineChars="200"/>
        <w:rPr>
          <w:rFonts w:hint="default" w:cs="Times New Roman" w:asciiTheme="minorEastAsia" w:hAnsiTheme="minorEastAsia" w:eastAsiaTheme="minorEastAsia"/>
          <w:bCs/>
          <w:kern w:val="2"/>
          <w:sz w:val="28"/>
          <w:szCs w:val="28"/>
        </w:rPr>
      </w:pPr>
      <w:r>
        <w:rPr>
          <w:rFonts w:hint="default" w:cs="Times New Roman" w:asciiTheme="minorEastAsia" w:hAnsiTheme="minorEastAsia" w:eastAsiaTheme="minorEastAsia"/>
          <w:bCs/>
          <w:kern w:val="2"/>
          <w:sz w:val="28"/>
          <w:szCs w:val="28"/>
        </w:rPr>
        <w:t>聘请高水平的师资队伍，采用定制化的培训课程、灵活多样的授课方式，全面解析城市轨道交通运营管理的前沿发展趋势，进一步增强</w:t>
      </w:r>
      <w:r>
        <w:rPr>
          <w:rFonts w:hint="default" w:cs="Times New Roman" w:asciiTheme="minorEastAsia" w:hAnsiTheme="minorEastAsia" w:eastAsiaTheme="minorEastAsia"/>
          <w:bCs/>
          <w:kern w:val="2"/>
          <w:sz w:val="28"/>
          <w:szCs w:val="28"/>
          <w:lang w:eastAsia="zh-CN"/>
        </w:rPr>
        <w:t>运营分公司</w:t>
      </w:r>
      <w:r>
        <w:rPr>
          <w:rFonts w:hint="default" w:cs="Times New Roman" w:asciiTheme="minorEastAsia" w:hAnsiTheme="minorEastAsia" w:eastAsiaTheme="minorEastAsia"/>
          <w:bCs/>
          <w:kern w:val="2"/>
          <w:sz w:val="28"/>
          <w:szCs w:val="28"/>
        </w:rPr>
        <w:t>安全管理人员</w:t>
      </w:r>
      <w:r>
        <w:rPr>
          <w:rFonts w:hint="default" w:cs="Times New Roman" w:asciiTheme="minorEastAsia" w:hAnsiTheme="minorEastAsia" w:eastAsiaTheme="minorEastAsia"/>
          <w:bCs/>
          <w:kern w:val="2"/>
          <w:sz w:val="28"/>
          <w:szCs w:val="28"/>
          <w:lang w:eastAsia="zh-CN"/>
        </w:rPr>
        <w:t>安全责任</w:t>
      </w:r>
      <w:r>
        <w:rPr>
          <w:rFonts w:hint="default" w:cs="Times New Roman" w:asciiTheme="minorEastAsia" w:hAnsiTheme="minorEastAsia" w:eastAsiaTheme="minorEastAsia"/>
          <w:bCs/>
          <w:kern w:val="2"/>
          <w:sz w:val="28"/>
          <w:szCs w:val="28"/>
        </w:rPr>
        <w:t>意识和专业知识，熟悉有关安全生产法规，提升</w:t>
      </w:r>
      <w:r>
        <w:rPr>
          <w:rFonts w:hint="default" w:cs="Times New Roman" w:asciiTheme="minorEastAsia" w:hAnsiTheme="minorEastAsia" w:eastAsiaTheme="minorEastAsia"/>
          <w:bCs/>
          <w:kern w:val="2"/>
          <w:sz w:val="28"/>
          <w:szCs w:val="28"/>
          <w:lang w:eastAsia="zh-CN"/>
        </w:rPr>
        <w:t>安全</w:t>
      </w:r>
      <w:r>
        <w:rPr>
          <w:rFonts w:hint="default" w:cs="Times New Roman" w:asciiTheme="minorEastAsia" w:hAnsiTheme="minorEastAsia" w:eastAsiaTheme="minorEastAsia"/>
          <w:bCs/>
          <w:kern w:val="2"/>
          <w:sz w:val="28"/>
          <w:szCs w:val="28"/>
        </w:rPr>
        <w:t>管理人员业务水平和</w:t>
      </w:r>
      <w:r>
        <w:rPr>
          <w:rFonts w:hint="default" w:cs="Times New Roman" w:asciiTheme="minorEastAsia" w:hAnsiTheme="minorEastAsia" w:eastAsiaTheme="minorEastAsia"/>
          <w:bCs/>
          <w:kern w:val="2"/>
          <w:sz w:val="28"/>
          <w:szCs w:val="28"/>
          <w:lang w:eastAsia="zh-CN"/>
        </w:rPr>
        <w:t>能力</w:t>
      </w:r>
      <w:r>
        <w:rPr>
          <w:rFonts w:hint="default" w:cs="Times New Roman" w:asciiTheme="minorEastAsia" w:hAnsiTheme="minorEastAsia" w:eastAsiaTheme="minorEastAsia"/>
          <w:bCs/>
          <w:kern w:val="2"/>
          <w:sz w:val="28"/>
          <w:szCs w:val="28"/>
        </w:rPr>
        <w:t>。</w:t>
      </w:r>
    </w:p>
    <w:p>
      <w:pPr>
        <w:pStyle w:val="11"/>
        <w:kinsoku w:val="0"/>
        <w:overflowPunct w:val="0"/>
        <w:spacing w:before="0" w:line="395" w:lineRule="exact"/>
        <w:ind w:left="0" w:right="164" w:firstLine="0" w:firstLineChars="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二、培训对象及规模</w:t>
      </w:r>
    </w:p>
    <w:p>
      <w:pPr>
        <w:pStyle w:val="11"/>
        <w:kinsoku w:val="0"/>
        <w:overflowPunct w:val="0"/>
        <w:spacing w:before="0" w:line="395" w:lineRule="exact"/>
        <w:ind w:left="0" w:leftChars="0" w:right="164" w:firstLine="560" w:firstLineChars="200"/>
        <w:rPr>
          <w:rFonts w:hint="default" w:cs="Times New Roman" w:asciiTheme="minorEastAsia" w:hAnsiTheme="minorEastAsia" w:eastAsiaTheme="minorEastAsia"/>
          <w:bCs/>
          <w:kern w:val="2"/>
          <w:sz w:val="28"/>
          <w:szCs w:val="28"/>
        </w:rPr>
      </w:pPr>
      <w:r>
        <w:rPr>
          <w:rFonts w:hint="eastAsia" w:cs="Times New Roman" w:asciiTheme="minorEastAsia" w:hAnsiTheme="minorEastAsia" w:eastAsiaTheme="minorEastAsia"/>
          <w:bCs/>
          <w:kern w:val="2"/>
          <w:sz w:val="28"/>
          <w:szCs w:val="28"/>
          <w:lang w:eastAsia="zh-CN"/>
        </w:rPr>
        <w:t>南宁轨道交通运营有限公司2022</w:t>
      </w:r>
      <w:r>
        <w:rPr>
          <w:rFonts w:hint="default" w:cs="Times New Roman" w:asciiTheme="minorEastAsia" w:hAnsiTheme="minorEastAsia" w:eastAsiaTheme="minorEastAsia"/>
          <w:bCs/>
          <w:kern w:val="2"/>
          <w:sz w:val="28"/>
          <w:szCs w:val="28"/>
        </w:rPr>
        <w:t>年安全生产管理人员安全教育培训，共2期，人数共约</w:t>
      </w:r>
      <w:r>
        <w:rPr>
          <w:rFonts w:hint="eastAsia" w:cs="Times New Roman" w:asciiTheme="minorEastAsia" w:hAnsiTheme="minorEastAsia" w:eastAsiaTheme="minorEastAsia"/>
          <w:bCs/>
          <w:kern w:val="2"/>
          <w:sz w:val="28"/>
          <w:szCs w:val="28"/>
          <w:lang w:val="en-US" w:eastAsia="zh-CN"/>
        </w:rPr>
        <w:t>383</w:t>
      </w:r>
      <w:r>
        <w:rPr>
          <w:rFonts w:hint="default" w:cs="Times New Roman" w:asciiTheme="minorEastAsia" w:hAnsiTheme="minorEastAsia" w:eastAsiaTheme="minorEastAsia"/>
          <w:bCs/>
          <w:kern w:val="2"/>
          <w:sz w:val="28"/>
          <w:szCs w:val="28"/>
        </w:rPr>
        <w:t>人。其中第一期</w:t>
      </w:r>
      <w:r>
        <w:rPr>
          <w:rFonts w:hint="default" w:cs="Times New Roman" w:asciiTheme="minorEastAsia" w:hAnsiTheme="minorEastAsia" w:eastAsiaTheme="minorEastAsia"/>
          <w:bCs/>
          <w:kern w:val="2"/>
          <w:sz w:val="28"/>
          <w:szCs w:val="28"/>
          <w:lang w:eastAsia="zh-CN"/>
        </w:rPr>
        <w:t>为</w:t>
      </w:r>
      <w:r>
        <w:rPr>
          <w:rFonts w:hint="default" w:cs="Times New Roman" w:asciiTheme="minorEastAsia" w:hAnsiTheme="minorEastAsia" w:eastAsiaTheme="minorEastAsia"/>
          <w:bCs/>
          <w:kern w:val="2"/>
          <w:sz w:val="28"/>
          <w:szCs w:val="28"/>
        </w:rPr>
        <w:t>安全管理人员初次取证教育培训</w:t>
      </w:r>
      <w:r>
        <w:rPr>
          <w:rFonts w:hint="default" w:cs="Times New Roman" w:asciiTheme="minorEastAsia" w:hAnsiTheme="minorEastAsia" w:eastAsiaTheme="minorEastAsia"/>
          <w:bCs/>
          <w:kern w:val="2"/>
          <w:sz w:val="28"/>
          <w:szCs w:val="28"/>
          <w:lang w:eastAsia="zh-CN"/>
        </w:rPr>
        <w:t>，共一个班次，</w:t>
      </w:r>
      <w:r>
        <w:rPr>
          <w:rFonts w:hint="default" w:cs="Times New Roman" w:asciiTheme="minorEastAsia" w:hAnsiTheme="minorEastAsia" w:eastAsiaTheme="minorEastAsia"/>
          <w:bCs/>
          <w:kern w:val="2"/>
          <w:sz w:val="28"/>
          <w:szCs w:val="28"/>
        </w:rPr>
        <w:t>约</w:t>
      </w:r>
      <w:r>
        <w:rPr>
          <w:rFonts w:hint="eastAsia" w:cs="Times New Roman" w:asciiTheme="minorEastAsia" w:hAnsiTheme="minorEastAsia" w:eastAsiaTheme="minorEastAsia"/>
          <w:bCs/>
          <w:kern w:val="2"/>
          <w:sz w:val="28"/>
          <w:szCs w:val="28"/>
          <w:lang w:val="en-US" w:eastAsia="zh-CN"/>
        </w:rPr>
        <w:t>10</w:t>
      </w:r>
      <w:r>
        <w:rPr>
          <w:rFonts w:hint="default" w:cs="Times New Roman" w:asciiTheme="minorEastAsia" w:hAnsiTheme="minorEastAsia" w:eastAsiaTheme="minorEastAsia"/>
          <w:bCs/>
          <w:kern w:val="2"/>
          <w:sz w:val="28"/>
          <w:szCs w:val="28"/>
        </w:rPr>
        <w:t>0人（线下4天或线下2天线上2天，共4天），第二期</w:t>
      </w:r>
      <w:r>
        <w:rPr>
          <w:rFonts w:hint="default" w:cs="Times New Roman" w:asciiTheme="minorEastAsia" w:hAnsiTheme="minorEastAsia" w:eastAsiaTheme="minorEastAsia"/>
          <w:bCs/>
          <w:kern w:val="2"/>
          <w:sz w:val="28"/>
          <w:szCs w:val="28"/>
          <w:lang w:eastAsia="zh-CN"/>
        </w:rPr>
        <w:t>为</w:t>
      </w:r>
      <w:r>
        <w:rPr>
          <w:rFonts w:hint="default" w:cs="Times New Roman" w:asciiTheme="minorEastAsia" w:hAnsiTheme="minorEastAsia" w:eastAsiaTheme="minorEastAsia"/>
          <w:bCs/>
          <w:kern w:val="2"/>
          <w:sz w:val="28"/>
          <w:szCs w:val="28"/>
        </w:rPr>
        <w:t>主要负责人及安全管理人员再教育培训</w:t>
      </w:r>
      <w:r>
        <w:rPr>
          <w:rFonts w:hint="default" w:cs="Times New Roman" w:asciiTheme="minorEastAsia" w:hAnsiTheme="minorEastAsia" w:eastAsiaTheme="minorEastAsia"/>
          <w:bCs/>
          <w:kern w:val="2"/>
          <w:sz w:val="28"/>
          <w:szCs w:val="28"/>
          <w:lang w:eastAsia="zh-CN"/>
        </w:rPr>
        <w:t>，共两个班次分两批进行，</w:t>
      </w:r>
      <w:r>
        <w:rPr>
          <w:rFonts w:hint="default" w:cs="Times New Roman" w:asciiTheme="minorEastAsia" w:hAnsiTheme="minorEastAsia" w:eastAsiaTheme="minorEastAsia"/>
          <w:bCs/>
          <w:kern w:val="2"/>
          <w:sz w:val="28"/>
          <w:szCs w:val="28"/>
        </w:rPr>
        <w:t>约2</w:t>
      </w:r>
      <w:r>
        <w:rPr>
          <w:rFonts w:hint="eastAsia" w:cs="Times New Roman" w:asciiTheme="minorEastAsia" w:hAnsiTheme="minorEastAsia" w:eastAsiaTheme="minorEastAsia"/>
          <w:bCs/>
          <w:kern w:val="2"/>
          <w:sz w:val="28"/>
          <w:szCs w:val="28"/>
          <w:lang w:val="en-US" w:eastAsia="zh-CN"/>
        </w:rPr>
        <w:t>83</w:t>
      </w:r>
      <w:r>
        <w:rPr>
          <w:rFonts w:hint="default" w:cs="Times New Roman" w:asciiTheme="minorEastAsia" w:hAnsiTheme="minorEastAsia" w:eastAsiaTheme="minorEastAsia"/>
          <w:bCs/>
          <w:kern w:val="2"/>
          <w:sz w:val="28"/>
          <w:szCs w:val="28"/>
        </w:rPr>
        <w:t>人（</w:t>
      </w:r>
      <w:r>
        <w:rPr>
          <w:rFonts w:hint="default" w:cs="Times New Roman" w:asciiTheme="minorEastAsia" w:hAnsiTheme="minorEastAsia" w:eastAsiaTheme="minorEastAsia"/>
          <w:bCs/>
          <w:kern w:val="2"/>
          <w:sz w:val="28"/>
          <w:szCs w:val="28"/>
          <w:lang w:eastAsia="zh-CN"/>
        </w:rPr>
        <w:t>每批</w:t>
      </w:r>
      <w:r>
        <w:rPr>
          <w:rFonts w:hint="eastAsia" w:cs="Times New Roman" w:asciiTheme="minorEastAsia" w:hAnsiTheme="minorEastAsia" w:eastAsiaTheme="minorEastAsia"/>
          <w:bCs/>
          <w:kern w:val="2"/>
          <w:sz w:val="28"/>
          <w:szCs w:val="28"/>
          <w:lang w:val="en-US" w:eastAsia="zh-CN"/>
        </w:rPr>
        <w:t>2天，</w:t>
      </w:r>
      <w:r>
        <w:rPr>
          <w:rFonts w:hint="default" w:cs="Times New Roman" w:asciiTheme="minorEastAsia" w:hAnsiTheme="minorEastAsia" w:eastAsiaTheme="minorEastAsia"/>
          <w:bCs/>
          <w:kern w:val="2"/>
          <w:sz w:val="28"/>
          <w:szCs w:val="28"/>
        </w:rPr>
        <w:t>共</w:t>
      </w:r>
      <w:r>
        <w:rPr>
          <w:rFonts w:hint="eastAsia" w:cs="Times New Roman" w:asciiTheme="minorEastAsia" w:hAnsiTheme="minorEastAsia" w:eastAsiaTheme="minorEastAsia"/>
          <w:bCs/>
          <w:kern w:val="2"/>
          <w:sz w:val="28"/>
          <w:szCs w:val="28"/>
          <w:lang w:val="en-US" w:eastAsia="zh-CN"/>
        </w:rPr>
        <w:t>4</w:t>
      </w:r>
      <w:r>
        <w:rPr>
          <w:rFonts w:hint="default" w:cs="Times New Roman" w:asciiTheme="minorEastAsia" w:hAnsiTheme="minorEastAsia" w:eastAsiaTheme="minorEastAsia"/>
          <w:bCs/>
          <w:kern w:val="2"/>
          <w:sz w:val="28"/>
          <w:szCs w:val="28"/>
        </w:rPr>
        <w:t>天，为线下培训）。</w:t>
      </w:r>
    </w:p>
    <w:p>
      <w:pPr>
        <w:numPr>
          <w:ilvl w:val="0"/>
          <w:numId w:val="0"/>
        </w:numPr>
        <w:tabs>
          <w:tab w:val="left" w:pos="-420"/>
          <w:tab w:val="left" w:pos="-210"/>
          <w:tab w:val="left" w:pos="9030"/>
        </w:tabs>
        <w:spacing w:before="0" w:after="0" w:afterAutospacing="0" w:line="560" w:lineRule="exact"/>
        <w:ind w:left="0" w:right="84" w:rightChars="40" w:firstLine="0"/>
        <w:rPr>
          <w:rFonts w:hint="eastAsia" w:asciiTheme="majorEastAsia" w:hAnsiTheme="majorEastAsia" w:eastAsiaTheme="majorEastAsia" w:cstheme="majorEastAsia"/>
          <w:sz w:val="28"/>
          <w:szCs w:val="28"/>
          <w:lang w:eastAsia="zh-CN"/>
        </w:rPr>
      </w:pPr>
      <w:r>
        <w:rPr>
          <w:rFonts w:hint="eastAsia" w:asciiTheme="minorEastAsia" w:hAnsiTheme="minorEastAsia" w:eastAsiaTheme="minorEastAsia" w:cstheme="minorEastAsia"/>
          <w:b/>
          <w:sz w:val="28"/>
          <w:szCs w:val="28"/>
        </w:rPr>
        <w:t>三、</w:t>
      </w:r>
      <w:r>
        <w:rPr>
          <w:rFonts w:hint="eastAsia" w:asciiTheme="minorEastAsia" w:hAnsiTheme="minorEastAsia" w:eastAsiaTheme="minorEastAsia" w:cstheme="minorEastAsia"/>
          <w:b/>
          <w:bCs w:val="0"/>
          <w:kern w:val="0"/>
          <w:sz w:val="28"/>
          <w:szCs w:val="28"/>
        </w:rPr>
        <w:t>合同期限</w:t>
      </w:r>
      <w:r>
        <w:rPr>
          <w:rFonts w:hint="eastAsia" w:asciiTheme="majorEastAsia" w:hAnsiTheme="majorEastAsia" w:eastAsiaTheme="majorEastAsia" w:cstheme="majorEastAsia"/>
          <w:kern w:val="2"/>
          <w:sz w:val="28"/>
          <w:szCs w:val="28"/>
        </w:rPr>
        <w:t>：</w:t>
      </w:r>
      <w:r>
        <w:rPr>
          <w:rFonts w:hint="eastAsia" w:asciiTheme="majorEastAsia" w:hAnsiTheme="majorEastAsia" w:eastAsiaTheme="majorEastAsia" w:cstheme="majorEastAsia"/>
          <w:sz w:val="28"/>
          <w:szCs w:val="28"/>
          <w:lang w:val="en-US" w:eastAsia="zh-CN"/>
        </w:rPr>
        <w:t>2个月（</w:t>
      </w:r>
      <w:r>
        <w:rPr>
          <w:rFonts w:hint="eastAsia" w:asciiTheme="majorEastAsia" w:hAnsiTheme="majorEastAsia" w:eastAsiaTheme="majorEastAsia" w:cstheme="majorEastAsia"/>
          <w:sz w:val="28"/>
          <w:szCs w:val="28"/>
        </w:rPr>
        <w:t>本项目各项活动</w:t>
      </w:r>
      <w:r>
        <w:rPr>
          <w:rFonts w:hint="eastAsia" w:asciiTheme="majorEastAsia" w:hAnsiTheme="majorEastAsia" w:eastAsiaTheme="majorEastAsia" w:cstheme="majorEastAsia"/>
          <w:sz w:val="28"/>
          <w:szCs w:val="28"/>
          <w:lang w:eastAsia="zh-CN"/>
        </w:rPr>
        <w:t>计划</w:t>
      </w:r>
      <w:r>
        <w:rPr>
          <w:rFonts w:hint="eastAsia" w:asciiTheme="majorEastAsia" w:hAnsiTheme="majorEastAsia" w:eastAsiaTheme="majorEastAsia" w:cstheme="majorEastAsia"/>
          <w:sz w:val="28"/>
          <w:szCs w:val="28"/>
        </w:rPr>
        <w:t>于</w:t>
      </w:r>
      <w:r>
        <w:rPr>
          <w:rFonts w:hint="eastAsia" w:asciiTheme="majorEastAsia" w:hAnsiTheme="majorEastAsia" w:eastAsiaTheme="majorEastAsia" w:cstheme="majorEastAsia"/>
          <w:sz w:val="28"/>
          <w:szCs w:val="28"/>
          <w:lang w:val="en-US" w:eastAsia="zh-CN"/>
        </w:rPr>
        <w:t>11-12</w:t>
      </w:r>
      <w:r>
        <w:rPr>
          <w:rFonts w:hint="eastAsia" w:asciiTheme="majorEastAsia" w:hAnsiTheme="majorEastAsia" w:eastAsiaTheme="majorEastAsia" w:cstheme="majorEastAsia"/>
          <w:sz w:val="28"/>
          <w:szCs w:val="28"/>
        </w:rPr>
        <w:t>月开展</w:t>
      </w:r>
      <w:r>
        <w:rPr>
          <w:rFonts w:hint="eastAsia" w:asciiTheme="majorEastAsia" w:hAnsiTheme="majorEastAsia" w:eastAsiaTheme="majorEastAsia" w:cstheme="majorEastAsia"/>
          <w:sz w:val="28"/>
          <w:szCs w:val="28"/>
          <w:lang w:val="en-US" w:eastAsia="zh-CN"/>
        </w:rPr>
        <w:t>），</w:t>
      </w:r>
      <w:r>
        <w:rPr>
          <w:rFonts w:hint="eastAsia" w:asciiTheme="majorEastAsia" w:hAnsiTheme="majorEastAsia" w:eastAsiaTheme="majorEastAsia" w:cstheme="majorEastAsia"/>
          <w:sz w:val="28"/>
          <w:szCs w:val="28"/>
        </w:rPr>
        <w:t>在中选通知书发出后，乙方须按甲方</w:t>
      </w:r>
      <w:r>
        <w:rPr>
          <w:rFonts w:hint="eastAsia" w:asciiTheme="majorEastAsia" w:hAnsiTheme="majorEastAsia" w:eastAsiaTheme="majorEastAsia" w:cstheme="majorEastAsia"/>
          <w:sz w:val="28"/>
          <w:szCs w:val="28"/>
          <w:lang w:eastAsia="zh-CN"/>
        </w:rPr>
        <w:t>通知开展工作。</w:t>
      </w:r>
    </w:p>
    <w:p>
      <w:pPr>
        <w:numPr>
          <w:ilvl w:val="-1"/>
          <w:numId w:val="0"/>
        </w:numPr>
        <w:tabs>
          <w:tab w:val="left" w:pos="-420"/>
          <w:tab w:val="left" w:pos="-210"/>
          <w:tab w:val="left" w:pos="9030"/>
        </w:tabs>
        <w:spacing w:before="0" w:after="0" w:afterAutospacing="0" w:line="560" w:lineRule="exact"/>
        <w:ind w:left="0" w:right="84" w:rightChars="40" w:firstLine="0" w:firstLineChars="0"/>
        <w:rPr>
          <w:rFonts w:hint="eastAsia" w:asciiTheme="minorEastAsia" w:hAnsiTheme="minorEastAsia" w:eastAsiaTheme="minorEastAsia" w:cstheme="minorEastAsia"/>
          <w:sz w:val="28"/>
          <w:szCs w:val="28"/>
        </w:rPr>
      </w:pPr>
      <w:r>
        <w:rPr>
          <w:rFonts w:hint="eastAsia" w:asciiTheme="majorEastAsia" w:hAnsiTheme="majorEastAsia" w:eastAsiaTheme="majorEastAsia" w:cstheme="majorEastAsia"/>
          <w:sz w:val="28"/>
          <w:szCs w:val="28"/>
          <w:lang w:eastAsia="zh-CN"/>
        </w:rPr>
        <w:t>四、</w:t>
      </w:r>
      <w:r>
        <w:rPr>
          <w:rFonts w:hint="eastAsia" w:asciiTheme="minorEastAsia" w:hAnsiTheme="minorEastAsia" w:eastAsiaTheme="minorEastAsia" w:cstheme="minorEastAsia"/>
          <w:b/>
          <w:sz w:val="28"/>
          <w:szCs w:val="28"/>
        </w:rPr>
        <w:t>培训地点</w:t>
      </w:r>
      <w:r>
        <w:rPr>
          <w:rFonts w:hint="eastAsia" w:asciiTheme="minorEastAsia" w:hAnsiTheme="minorEastAsia" w:eastAsiaTheme="minorEastAsia" w:cstheme="minorEastAsia"/>
          <w:b/>
          <w:sz w:val="28"/>
          <w:szCs w:val="28"/>
          <w:lang w:eastAsia="zh-CN"/>
        </w:rPr>
        <w:t>：</w:t>
      </w:r>
      <w:r>
        <w:rPr>
          <w:rFonts w:hint="eastAsia" w:asciiTheme="minorEastAsia" w:hAnsiTheme="minorEastAsia" w:eastAsiaTheme="minorEastAsia" w:cstheme="minorEastAsia"/>
          <w:b w:val="0"/>
          <w:sz w:val="28"/>
          <w:szCs w:val="28"/>
          <w:lang w:eastAsia="zh-CN"/>
        </w:rPr>
        <w:t>南宁轨道交通运营有限公司</w:t>
      </w:r>
    </w:p>
    <w:p>
      <w:pPr>
        <w:widowControl/>
        <w:tabs>
          <w:tab w:val="left" w:pos="-420"/>
          <w:tab w:val="left" w:pos="-210"/>
          <w:tab w:val="left" w:pos="9030"/>
        </w:tabs>
        <w:spacing w:line="560" w:lineRule="exact"/>
        <w:ind w:right="84" w:rightChars="4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五、培训内容</w:t>
      </w:r>
    </w:p>
    <w:p>
      <w:pPr>
        <w:pStyle w:val="11"/>
        <w:kinsoku w:val="0"/>
        <w:overflowPunct w:val="0"/>
        <w:spacing w:before="0" w:line="240" w:lineRule="auto"/>
        <w:ind w:left="0" w:right="0" w:firstLine="560" w:firstLineChars="200"/>
        <w:rPr>
          <w:rFonts w:hint="eastAsia" w:ascii="宋体" w:hAnsi="宋体" w:eastAsia="宋体" w:cs="Times New Roman"/>
          <w:sz w:val="28"/>
          <w:szCs w:val="28"/>
        </w:rPr>
      </w:pPr>
      <w:r>
        <w:rPr>
          <w:rFonts w:hint="eastAsia" w:ascii="宋体" w:hAnsi="宋体" w:eastAsia="宋体" w:cs="Times New Roman"/>
          <w:sz w:val="28"/>
          <w:szCs w:val="28"/>
        </w:rPr>
        <w:t>1.国家安全生产方针、政策和有关安全生产的法律、法规、规章及标准；</w:t>
      </w:r>
    </w:p>
    <w:p>
      <w:pPr>
        <w:pStyle w:val="11"/>
        <w:kinsoku w:val="0"/>
        <w:overflowPunct w:val="0"/>
        <w:spacing w:before="0" w:line="240" w:lineRule="auto"/>
        <w:ind w:left="0" w:right="0" w:firstLine="560" w:firstLineChars="200"/>
        <w:rPr>
          <w:rFonts w:hint="eastAsia" w:ascii="宋体" w:hAnsi="宋体" w:eastAsia="宋体" w:cs="Times New Roman"/>
          <w:sz w:val="28"/>
          <w:szCs w:val="28"/>
        </w:rPr>
      </w:pPr>
      <w:r>
        <w:rPr>
          <w:rFonts w:hint="eastAsia" w:ascii="宋体" w:hAnsi="宋体" w:eastAsia="宋体" w:cs="Times New Roman"/>
          <w:sz w:val="28"/>
          <w:szCs w:val="28"/>
        </w:rPr>
        <w:t>2.安全生产管理基本知识、安全生产技术、安全生产专业知识；</w:t>
      </w:r>
    </w:p>
    <w:p>
      <w:pPr>
        <w:pStyle w:val="11"/>
        <w:kinsoku w:val="0"/>
        <w:overflowPunct w:val="0"/>
        <w:spacing w:before="0" w:line="240" w:lineRule="auto"/>
        <w:ind w:left="0" w:right="0" w:firstLine="560" w:firstLineChars="200"/>
        <w:rPr>
          <w:rFonts w:hint="eastAsia" w:ascii="宋体" w:hAnsi="宋体" w:eastAsia="宋体" w:cs="Times New Roman"/>
          <w:sz w:val="28"/>
          <w:szCs w:val="28"/>
        </w:rPr>
      </w:pPr>
      <w:r>
        <w:rPr>
          <w:rFonts w:hint="eastAsia" w:ascii="宋体" w:hAnsi="宋体" w:eastAsia="宋体" w:cs="Times New Roman"/>
          <w:sz w:val="28"/>
          <w:szCs w:val="28"/>
        </w:rPr>
        <w:t>3.重大危险源管理、重大事故防范、应急管理和救援组织以及事故调查处理的有关规定；</w:t>
      </w:r>
    </w:p>
    <w:p>
      <w:pPr>
        <w:pStyle w:val="11"/>
        <w:kinsoku w:val="0"/>
        <w:overflowPunct w:val="0"/>
        <w:spacing w:before="0" w:line="240" w:lineRule="auto"/>
        <w:ind w:left="0" w:right="0" w:firstLine="560" w:firstLineChars="200"/>
        <w:rPr>
          <w:rFonts w:hint="eastAsia" w:ascii="宋体" w:hAnsi="宋体" w:eastAsia="宋体" w:cs="Times New Roman"/>
          <w:sz w:val="28"/>
          <w:szCs w:val="28"/>
        </w:rPr>
      </w:pPr>
      <w:r>
        <w:rPr>
          <w:rFonts w:hint="eastAsia" w:ascii="宋体" w:hAnsi="宋体" w:eastAsia="宋体" w:cs="Times New Roman"/>
          <w:sz w:val="28"/>
          <w:szCs w:val="28"/>
        </w:rPr>
        <w:t>4.职业危害（卫生）、预防措施及调查处理方法；</w:t>
      </w:r>
    </w:p>
    <w:p>
      <w:pPr>
        <w:pStyle w:val="11"/>
        <w:kinsoku w:val="0"/>
        <w:overflowPunct w:val="0"/>
        <w:spacing w:before="0" w:line="240" w:lineRule="auto"/>
        <w:ind w:left="0" w:right="0" w:firstLine="560" w:firstLineChars="200"/>
        <w:rPr>
          <w:rFonts w:hint="eastAsia" w:ascii="宋体" w:hAnsi="宋体" w:eastAsia="宋体" w:cs="Times New Roman"/>
          <w:sz w:val="28"/>
          <w:szCs w:val="28"/>
        </w:rPr>
      </w:pPr>
      <w:r>
        <w:rPr>
          <w:rFonts w:hint="eastAsia" w:ascii="宋体" w:hAnsi="宋体" w:eastAsia="宋体" w:cs="Times New Roman"/>
          <w:sz w:val="28"/>
          <w:szCs w:val="28"/>
        </w:rPr>
        <w:t>5.国内外先进的安全生产管理经验；</w:t>
      </w:r>
    </w:p>
    <w:p>
      <w:pPr>
        <w:pStyle w:val="11"/>
        <w:kinsoku w:val="0"/>
        <w:overflowPunct w:val="0"/>
        <w:spacing w:before="0" w:line="240" w:lineRule="auto"/>
        <w:ind w:left="0" w:right="0" w:firstLine="560" w:firstLineChars="200"/>
        <w:rPr>
          <w:rFonts w:hint="eastAsia" w:ascii="宋体" w:hAnsi="宋体" w:eastAsia="宋体" w:cs="Times New Roman"/>
          <w:sz w:val="28"/>
          <w:szCs w:val="28"/>
        </w:rPr>
      </w:pPr>
      <w:r>
        <w:rPr>
          <w:rFonts w:hint="eastAsia" w:ascii="宋体" w:hAnsi="宋体" w:eastAsia="宋体" w:cs="Times New Roman"/>
          <w:sz w:val="28"/>
          <w:szCs w:val="28"/>
        </w:rPr>
        <w:t>6.典型事故、应急管理及应急救援案例分析；</w:t>
      </w:r>
    </w:p>
    <w:p>
      <w:pPr>
        <w:pStyle w:val="11"/>
        <w:kinsoku w:val="0"/>
        <w:overflowPunct w:val="0"/>
        <w:spacing w:before="0" w:line="240" w:lineRule="auto"/>
        <w:ind w:left="0" w:right="0" w:firstLine="560" w:firstLineChars="200"/>
        <w:rPr>
          <w:rFonts w:hint="eastAsia" w:ascii="宋体" w:hAnsi="宋体" w:eastAsia="宋体" w:cs="Times New Roman"/>
          <w:sz w:val="28"/>
          <w:szCs w:val="28"/>
        </w:rPr>
      </w:pPr>
      <w:r>
        <w:rPr>
          <w:rFonts w:hint="eastAsia" w:ascii="宋体" w:hAnsi="宋体" w:eastAsia="宋体" w:cs="Times New Roman"/>
          <w:sz w:val="28"/>
          <w:szCs w:val="28"/>
        </w:rPr>
        <w:t>7.国内外先进的安全生产管理经验；</w:t>
      </w:r>
    </w:p>
    <w:p>
      <w:pPr>
        <w:pStyle w:val="11"/>
        <w:kinsoku w:val="0"/>
        <w:overflowPunct w:val="0"/>
        <w:spacing w:before="0" w:line="240" w:lineRule="auto"/>
        <w:ind w:left="0" w:right="0" w:firstLine="560" w:firstLineChars="200"/>
        <w:rPr>
          <w:rFonts w:hint="eastAsia" w:ascii="宋体" w:hAnsi="宋体" w:eastAsia="宋体" w:cs="Times New Roman"/>
          <w:sz w:val="28"/>
          <w:szCs w:val="28"/>
        </w:rPr>
      </w:pPr>
      <w:r>
        <w:rPr>
          <w:rFonts w:hint="eastAsia" w:ascii="宋体" w:hAnsi="宋体" w:eastAsia="宋体" w:cs="Times New Roman"/>
          <w:sz w:val="28"/>
          <w:szCs w:val="28"/>
        </w:rPr>
        <w:t>8.其他需要培训的内容。</w:t>
      </w:r>
    </w:p>
    <w:p>
      <w:pPr>
        <w:pStyle w:val="11"/>
        <w:kinsoku w:val="0"/>
        <w:overflowPunct w:val="0"/>
        <w:spacing w:before="0" w:line="240" w:lineRule="auto"/>
        <w:ind w:left="0" w:right="0" w:firstLine="0" w:firstLineChars="0"/>
        <w:rPr>
          <w:rFonts w:hint="eastAsia" w:asciiTheme="minorEastAsia" w:hAnsiTheme="minorEastAsia" w:eastAsiaTheme="minorEastAsia" w:cstheme="minorEastAsia"/>
          <w:b/>
          <w:sz w:val="28"/>
          <w:szCs w:val="28"/>
          <w:lang w:eastAsia="zh-CN"/>
        </w:rPr>
      </w:pPr>
      <w:r>
        <w:rPr>
          <w:rFonts w:hint="eastAsia" w:ascii="宋体" w:hAnsi="宋体" w:cs="Times New Roman"/>
          <w:sz w:val="28"/>
          <w:szCs w:val="28"/>
          <w:lang w:eastAsia="zh-CN"/>
        </w:rPr>
        <w:t>六、</w:t>
      </w:r>
      <w:r>
        <w:rPr>
          <w:rFonts w:hint="eastAsia" w:asciiTheme="minorEastAsia" w:hAnsiTheme="minorEastAsia" w:eastAsiaTheme="minorEastAsia" w:cstheme="minorEastAsia"/>
          <w:b/>
          <w:sz w:val="28"/>
          <w:szCs w:val="28"/>
        </w:rPr>
        <w:t>培训师资</w:t>
      </w:r>
    </w:p>
    <w:p>
      <w:pPr>
        <w:widowControl/>
        <w:tabs>
          <w:tab w:val="left" w:pos="-420"/>
          <w:tab w:val="left" w:pos="-210"/>
          <w:tab w:val="left" w:pos="9030"/>
        </w:tabs>
        <w:spacing w:line="560" w:lineRule="exact"/>
        <w:ind w:right="84" w:rightChars="40"/>
        <w:rPr>
          <w:rFonts w:hint="eastAsia" w:asciiTheme="minorEastAsia" w:hAnsiTheme="minorEastAsia" w:eastAsiaTheme="minorEastAsia" w:cstheme="minorEastAsia"/>
          <w:sz w:val="28"/>
          <w:szCs w:val="28"/>
        </w:rPr>
      </w:pPr>
    </w:p>
    <w:p>
      <w:pPr>
        <w:numPr>
          <w:ilvl w:val="-1"/>
          <w:numId w:val="0"/>
        </w:numPr>
        <w:tabs>
          <w:tab w:val="left" w:pos="-420"/>
          <w:tab w:val="left" w:pos="-210"/>
          <w:tab w:val="left" w:pos="9030"/>
        </w:tabs>
        <w:spacing w:line="560" w:lineRule="exact"/>
        <w:ind w:right="84" w:rightChars="4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sz w:val="28"/>
          <w:szCs w:val="28"/>
          <w:lang w:eastAsia="zh-CN"/>
        </w:rPr>
        <w:t>七、</w:t>
      </w:r>
      <w:r>
        <w:rPr>
          <w:rFonts w:hint="eastAsia" w:asciiTheme="minorEastAsia" w:hAnsiTheme="minorEastAsia" w:eastAsiaTheme="minorEastAsia" w:cstheme="minorEastAsia"/>
          <w:b/>
          <w:sz w:val="28"/>
          <w:szCs w:val="28"/>
        </w:rPr>
        <w:t>授课方式</w:t>
      </w:r>
    </w:p>
    <w:p>
      <w:pPr>
        <w:widowControl/>
        <w:tabs>
          <w:tab w:val="left" w:pos="9030"/>
        </w:tabs>
        <w:spacing w:line="560" w:lineRule="exact"/>
        <w:ind w:right="84" w:rightChars="40"/>
        <w:rPr>
          <w:rFonts w:hint="eastAsia" w:asciiTheme="minorEastAsia" w:hAnsiTheme="minorEastAsia" w:eastAsiaTheme="minorEastAsia" w:cstheme="minorEastAsia"/>
          <w:b/>
          <w:sz w:val="28"/>
          <w:szCs w:val="28"/>
          <w:lang w:eastAsia="zh-CN"/>
        </w:rPr>
      </w:pPr>
      <w:r>
        <w:rPr>
          <w:rFonts w:hint="eastAsia" w:asciiTheme="minorEastAsia" w:hAnsiTheme="minorEastAsia" w:eastAsiaTheme="minorEastAsia" w:cstheme="minorEastAsia"/>
          <w:b/>
          <w:sz w:val="28"/>
          <w:szCs w:val="28"/>
        </w:rPr>
        <w:t>现场授课及网络教学</w:t>
      </w:r>
      <w:r>
        <w:rPr>
          <w:rFonts w:hint="eastAsia" w:asciiTheme="minorEastAsia" w:hAnsiTheme="minorEastAsia" w:eastAsiaTheme="minorEastAsia" w:cstheme="minorEastAsia"/>
          <w:b/>
          <w:sz w:val="28"/>
          <w:szCs w:val="28"/>
          <w:lang w:eastAsia="zh-CN"/>
        </w:rPr>
        <w:t>（</w:t>
      </w:r>
      <w:r>
        <w:rPr>
          <w:rFonts w:hint="eastAsia" w:asciiTheme="minorEastAsia" w:hAnsiTheme="minorEastAsia" w:eastAsiaTheme="minorEastAsia" w:cstheme="minorEastAsia"/>
          <w:b/>
          <w:sz w:val="28"/>
          <w:szCs w:val="28"/>
          <w:lang w:val="en-US" w:eastAsia="zh-CN"/>
        </w:rPr>
        <w:t>详细培训要求见技术需求及数量表</w:t>
      </w:r>
      <w:r>
        <w:rPr>
          <w:rFonts w:hint="eastAsia" w:asciiTheme="minorEastAsia" w:hAnsiTheme="minorEastAsia" w:eastAsiaTheme="minorEastAsia" w:cstheme="minorEastAsia"/>
          <w:b/>
          <w:sz w:val="28"/>
          <w:szCs w:val="28"/>
          <w:lang w:eastAsia="zh-CN"/>
        </w:rPr>
        <w:t>）</w:t>
      </w:r>
    </w:p>
    <w:p>
      <w:pPr>
        <w:widowControl/>
        <w:tabs>
          <w:tab w:val="left" w:pos="9030"/>
        </w:tabs>
        <w:spacing w:line="560" w:lineRule="exact"/>
        <w:ind w:right="84" w:rightChars="4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八、双方责任</w:t>
      </w:r>
    </w:p>
    <w:p>
      <w:pPr>
        <w:widowControl/>
        <w:tabs>
          <w:tab w:val="left" w:pos="-420"/>
          <w:tab w:val="left" w:pos="-210"/>
          <w:tab w:val="left" w:pos="9030"/>
        </w:tabs>
        <w:spacing w:line="560" w:lineRule="exact"/>
        <w:ind w:right="84" w:rightChars="4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（一）甲方责任</w:t>
      </w:r>
    </w:p>
    <w:p>
      <w:pPr>
        <w:widowControl w:val="0"/>
        <w:numPr>
          <w:ilvl w:val="0"/>
          <w:numId w:val="2"/>
        </w:numPr>
        <w:spacing w:before="0" w:after="0" w:afterAutospacing="0" w:line="400" w:lineRule="exact"/>
        <w:ind w:left="425" w:right="0" w:hanging="425" w:firstLineChars="0"/>
        <w:rPr>
          <w:rFonts w:hint="eastAsia" w:ascii="宋体" w:hAnsi="宋体"/>
          <w:bCs/>
          <w:kern w:val="2"/>
          <w:sz w:val="28"/>
          <w:szCs w:val="28"/>
        </w:rPr>
      </w:pPr>
      <w:r>
        <w:rPr>
          <w:rFonts w:hint="eastAsia" w:ascii="宋体" w:hAnsi="宋体"/>
          <w:bCs/>
          <w:kern w:val="2"/>
          <w:sz w:val="28"/>
          <w:szCs w:val="28"/>
          <w:lang w:eastAsia="zh-CN"/>
        </w:rPr>
        <w:t>甲方</w:t>
      </w:r>
      <w:r>
        <w:rPr>
          <w:rFonts w:hint="eastAsia" w:ascii="宋体" w:hAnsi="宋体" w:eastAsia="宋体" w:cs="Times New Roman"/>
          <w:bCs/>
          <w:kern w:val="2"/>
          <w:sz w:val="28"/>
          <w:szCs w:val="28"/>
        </w:rPr>
        <w:t>负责组织人员参加本次培训班</w:t>
      </w:r>
      <w:r>
        <w:rPr>
          <w:rFonts w:hint="eastAsia" w:ascii="宋体" w:hAnsi="宋体" w:eastAsia="宋体" w:cs="Times New Roman"/>
          <w:bCs/>
          <w:kern w:val="2"/>
          <w:sz w:val="28"/>
          <w:szCs w:val="28"/>
          <w:lang w:eastAsia="zh-CN"/>
        </w:rPr>
        <w:t>及</w:t>
      </w:r>
      <w:r>
        <w:rPr>
          <w:rFonts w:hint="eastAsia" w:ascii="宋体" w:hAnsi="宋体" w:eastAsia="宋体" w:cs="Times New Roman"/>
          <w:bCs/>
          <w:kern w:val="2"/>
          <w:sz w:val="28"/>
          <w:szCs w:val="28"/>
        </w:rPr>
        <w:t>负责做好培训班学员的日常管理</w:t>
      </w:r>
      <w:r>
        <w:rPr>
          <w:rFonts w:hint="eastAsia" w:ascii="宋体" w:hAnsi="宋体" w:eastAsia="宋体" w:cs="Times New Roman"/>
          <w:bCs/>
          <w:kern w:val="2"/>
          <w:sz w:val="28"/>
          <w:szCs w:val="28"/>
          <w:lang w:eastAsia="zh-CN"/>
        </w:rPr>
        <w:t>；</w:t>
      </w:r>
      <w:r>
        <w:rPr>
          <w:rFonts w:hint="eastAsia" w:ascii="宋体" w:hAnsi="宋体"/>
          <w:bCs/>
          <w:kern w:val="2"/>
          <w:sz w:val="28"/>
          <w:szCs w:val="28"/>
        </w:rPr>
        <w:t>甲方有权向乙方询问工作进展情况及相关内容；甲方有权阐述对具体问题的意见和建议。</w:t>
      </w:r>
    </w:p>
    <w:p>
      <w:pPr>
        <w:widowControl w:val="0"/>
        <w:numPr>
          <w:ilvl w:val="0"/>
          <w:numId w:val="2"/>
        </w:numPr>
        <w:spacing w:before="0" w:after="0" w:afterAutospacing="0" w:line="400" w:lineRule="exact"/>
        <w:ind w:left="425" w:right="0" w:hanging="425" w:firstLineChars="0"/>
        <w:rPr>
          <w:rFonts w:hint="eastAsia" w:ascii="宋体" w:hAnsi="宋体" w:eastAsia="宋体" w:cs="Times New Roman"/>
          <w:sz w:val="28"/>
          <w:szCs w:val="28"/>
        </w:rPr>
      </w:pPr>
      <w:r>
        <w:rPr>
          <w:rFonts w:asciiTheme="minorEastAsia" w:hAnsiTheme="minorEastAsia" w:eastAsiaTheme="minorEastAsia"/>
          <w:bCs/>
          <w:kern w:val="2"/>
          <w:sz w:val="28"/>
          <w:szCs w:val="28"/>
        </w:rPr>
        <w:t>当甲方认定乙方项目负责人或者相关专业人员不按合同履行其职责，或在责任期内因工作疏忽、失误给甲方造成经济损失的</w:t>
      </w:r>
      <w:r>
        <w:rPr>
          <w:rFonts w:hint="eastAsia" w:asciiTheme="minorEastAsia" w:hAnsiTheme="minorEastAsia" w:eastAsiaTheme="minorEastAsia"/>
          <w:bCs/>
          <w:kern w:val="2"/>
          <w:sz w:val="28"/>
          <w:szCs w:val="28"/>
        </w:rPr>
        <w:t>：一次甲方提出警告，两次扣合同金额的百分之一罚金，三次</w:t>
      </w:r>
      <w:r>
        <w:rPr>
          <w:rFonts w:asciiTheme="minorEastAsia" w:hAnsiTheme="minorEastAsia" w:eastAsiaTheme="minorEastAsia"/>
          <w:bCs/>
          <w:kern w:val="2"/>
          <w:sz w:val="28"/>
          <w:szCs w:val="28"/>
        </w:rPr>
        <w:t>甲方有权要求更换乙方项目负责人或者相关专业人员，直至满足甲方要求。如因上述情形而更换项目负责人或相关专业人员导致服务工期延误等情形由乙方自行承担工期延误责任。如更换后仍无法满足甲方要求的，甲方有权终止合同并要求乙方承担相应的赔偿责任。</w:t>
      </w:r>
    </w:p>
    <w:p>
      <w:pPr>
        <w:widowControl w:val="0"/>
        <w:numPr>
          <w:ilvl w:val="0"/>
          <w:numId w:val="2"/>
        </w:numPr>
        <w:spacing w:before="0" w:after="0" w:afterAutospacing="0" w:line="400" w:lineRule="exact"/>
        <w:ind w:left="425" w:right="0" w:hanging="425" w:firstLineChars="0"/>
        <w:rPr>
          <w:rFonts w:hint="eastAsia" w:ascii="宋体" w:hAnsi="宋体" w:eastAsia="宋体" w:cs="Times New Roman"/>
          <w:sz w:val="28"/>
          <w:szCs w:val="28"/>
        </w:rPr>
      </w:pPr>
      <w:r>
        <w:rPr>
          <w:rFonts w:hint="eastAsia" w:ascii="宋体" w:hAnsi="宋体" w:eastAsia="宋体" w:cs="Times New Roman"/>
          <w:sz w:val="28"/>
          <w:szCs w:val="28"/>
        </w:rPr>
        <w:t>按本合同约定向乙方支付培训费；</w:t>
      </w:r>
    </w:p>
    <w:p>
      <w:pPr>
        <w:widowControl w:val="0"/>
        <w:numPr>
          <w:ilvl w:val="0"/>
          <w:numId w:val="2"/>
        </w:numPr>
        <w:spacing w:before="0" w:after="0" w:afterAutospacing="0" w:line="400" w:lineRule="exact"/>
        <w:ind w:left="425" w:right="0" w:hanging="425" w:firstLineChars="0"/>
        <w:rPr>
          <w:rFonts w:hint="eastAsia" w:ascii="宋体" w:hAnsi="宋体" w:eastAsia="宋体" w:cs="Times New Roman"/>
          <w:sz w:val="28"/>
          <w:szCs w:val="28"/>
        </w:rPr>
      </w:pPr>
      <w:r>
        <w:rPr>
          <w:rFonts w:hint="eastAsia" w:ascii="宋体" w:hAnsi="宋体" w:eastAsia="宋体" w:cs="Times New Roman"/>
          <w:sz w:val="28"/>
          <w:szCs w:val="28"/>
        </w:rPr>
        <w:t>负责做好培训班学员的日常管理；</w:t>
      </w:r>
    </w:p>
    <w:p>
      <w:pPr>
        <w:widowControl w:val="0"/>
        <w:numPr>
          <w:ilvl w:val="0"/>
          <w:numId w:val="2"/>
        </w:numPr>
        <w:spacing w:before="0" w:after="0" w:afterAutospacing="0" w:line="400" w:lineRule="exact"/>
        <w:ind w:left="425" w:right="0" w:hanging="425" w:firstLineChars="0"/>
        <w:rPr>
          <w:rFonts w:hint="eastAsia" w:ascii="宋体" w:hAnsi="宋体" w:eastAsia="宋体" w:cs="Times New Roman"/>
          <w:sz w:val="28"/>
          <w:szCs w:val="28"/>
        </w:rPr>
      </w:pPr>
      <w:r>
        <w:rPr>
          <w:rFonts w:hint="eastAsia" w:ascii="宋体" w:hAnsi="宋体" w:eastAsia="宋体" w:cs="Times New Roman"/>
          <w:sz w:val="28"/>
          <w:szCs w:val="28"/>
        </w:rPr>
        <w:t>甲方指定专门联系人与乙方联系相关培训事宜；</w:t>
      </w:r>
    </w:p>
    <w:p>
      <w:pPr>
        <w:widowControl w:val="0"/>
        <w:numPr>
          <w:ilvl w:val="0"/>
          <w:numId w:val="2"/>
        </w:numPr>
        <w:spacing w:before="0" w:after="0" w:afterAutospacing="0" w:line="400" w:lineRule="exact"/>
        <w:ind w:left="425" w:right="0" w:hanging="425" w:firstLineChars="0"/>
        <w:rPr>
          <w:rFonts w:hint="eastAsia" w:ascii="宋体" w:hAnsi="宋体"/>
          <w:kern w:val="2"/>
          <w:sz w:val="28"/>
          <w:szCs w:val="28"/>
          <w:lang w:eastAsia="zh-CN"/>
        </w:rPr>
      </w:pPr>
      <w:r>
        <w:rPr>
          <w:rFonts w:hint="eastAsia" w:ascii="宋体" w:hAnsi="宋体" w:eastAsia="宋体" w:cs="Times New Roman"/>
          <w:sz w:val="28"/>
          <w:szCs w:val="28"/>
        </w:rPr>
        <w:t>培训</w:t>
      </w:r>
      <w:r>
        <w:rPr>
          <w:rFonts w:hint="eastAsia" w:ascii="宋体" w:hAnsi="宋体" w:eastAsia="宋体" w:cs="Times New Roman"/>
          <w:sz w:val="28"/>
          <w:szCs w:val="28"/>
          <w:lang w:eastAsia="zh-CN"/>
        </w:rPr>
        <w:t>计划</w:t>
      </w:r>
      <w:r>
        <w:rPr>
          <w:rFonts w:hint="eastAsia" w:ascii="宋体" w:hAnsi="宋体" w:eastAsia="宋体" w:cs="Times New Roman"/>
          <w:sz w:val="28"/>
          <w:szCs w:val="28"/>
        </w:rPr>
        <w:t>如在时间、人数、课程内容方面以及授课形式上有改动要求必须提前3个工作日告知乙方。</w:t>
      </w:r>
    </w:p>
    <w:p>
      <w:pPr>
        <w:widowControl w:val="0"/>
        <w:numPr>
          <w:ilvl w:val="0"/>
          <w:numId w:val="2"/>
        </w:numPr>
        <w:spacing w:before="0" w:after="0" w:afterAutospacing="0" w:line="400" w:lineRule="exact"/>
        <w:ind w:left="425" w:right="0" w:hanging="425" w:firstLineChars="0"/>
        <w:rPr>
          <w:rFonts w:hint="eastAsia" w:ascii="宋体" w:hAnsi="宋体"/>
          <w:kern w:val="2"/>
          <w:sz w:val="28"/>
          <w:szCs w:val="28"/>
          <w:lang w:eastAsia="zh-CN"/>
        </w:rPr>
      </w:pPr>
      <w:r>
        <w:rPr>
          <w:rFonts w:hint="eastAsia" w:ascii="宋体" w:hAnsi="宋体"/>
          <w:kern w:val="2"/>
          <w:sz w:val="28"/>
          <w:szCs w:val="28"/>
          <w:lang w:eastAsia="zh-CN"/>
        </w:rPr>
        <w:t>培训</w:t>
      </w:r>
      <w:r>
        <w:rPr>
          <w:rFonts w:hint="eastAsia" w:ascii="宋体" w:hAnsi="宋体"/>
          <w:kern w:val="2"/>
          <w:sz w:val="28"/>
          <w:szCs w:val="28"/>
        </w:rPr>
        <w:t>内容</w:t>
      </w:r>
      <w:r>
        <w:rPr>
          <w:rFonts w:hint="eastAsia" w:ascii="宋体" w:hAnsi="宋体"/>
          <w:kern w:val="2"/>
          <w:sz w:val="28"/>
          <w:szCs w:val="28"/>
          <w:lang w:eastAsia="zh-CN"/>
        </w:rPr>
        <w:t>、要求等</w:t>
      </w:r>
      <w:r>
        <w:rPr>
          <w:rFonts w:hint="eastAsia" w:ascii="宋体" w:hAnsi="宋体"/>
          <w:kern w:val="2"/>
          <w:sz w:val="28"/>
          <w:szCs w:val="28"/>
        </w:rPr>
        <w:t>均需通过甲方审核，活动效果达到甲方要求</w:t>
      </w:r>
      <w:r>
        <w:rPr>
          <w:rFonts w:hint="eastAsia" w:ascii="宋体" w:hAnsi="宋体"/>
          <w:kern w:val="2"/>
          <w:sz w:val="28"/>
          <w:szCs w:val="28"/>
          <w:lang w:eastAsia="zh-CN"/>
        </w:rPr>
        <w:t>。</w:t>
      </w:r>
    </w:p>
    <w:p>
      <w:pPr>
        <w:widowControl/>
        <w:tabs>
          <w:tab w:val="left" w:pos="-420"/>
          <w:tab w:val="left" w:pos="-210"/>
          <w:tab w:val="left" w:pos="9030"/>
        </w:tabs>
        <w:spacing w:line="560" w:lineRule="exact"/>
        <w:ind w:right="84" w:rightChars="4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（二）乙方责任</w:t>
      </w:r>
    </w:p>
    <w:p>
      <w:pPr>
        <w:widowControl w:val="0"/>
        <w:numPr>
          <w:ilvl w:val="-1"/>
          <w:numId w:val="0"/>
        </w:numPr>
        <w:spacing w:before="0" w:after="0" w:afterAutospacing="0" w:line="400" w:lineRule="exact"/>
        <w:ind w:left="0" w:right="0" w:firstLine="0" w:firstLineChars="0"/>
        <w:jc w:val="left"/>
        <w:rPr>
          <w:rFonts w:hint="eastAsia" w:asciiTheme="minorEastAsia" w:hAnsiTheme="minorEastAsia" w:eastAsiaTheme="minorEastAsia"/>
          <w:kern w:val="2"/>
          <w:sz w:val="28"/>
          <w:szCs w:val="28"/>
          <w:lang w:bidi="ar"/>
        </w:rPr>
      </w:pPr>
      <w:r>
        <w:rPr>
          <w:rFonts w:hint="eastAsia" w:ascii="宋体" w:hAnsi="宋体" w:eastAsia="宋体" w:cs="Times New Roman"/>
          <w:sz w:val="28"/>
          <w:szCs w:val="28"/>
        </w:rPr>
        <w:t>1.负责培训服务方案实施；</w:t>
      </w:r>
      <w:r>
        <w:rPr>
          <w:rFonts w:hint="eastAsia" w:asciiTheme="minorEastAsia" w:hAnsiTheme="minorEastAsia" w:eastAsiaTheme="minorEastAsia"/>
          <w:kern w:val="2"/>
          <w:sz w:val="28"/>
          <w:szCs w:val="28"/>
          <w:lang w:bidi="ar"/>
        </w:rPr>
        <w:t>完全准备</w:t>
      </w:r>
      <w:r>
        <w:rPr>
          <w:rFonts w:hint="eastAsia" w:asciiTheme="minorEastAsia" w:hAnsiTheme="minorEastAsia" w:eastAsiaTheme="minorEastAsia"/>
          <w:kern w:val="2"/>
          <w:sz w:val="28"/>
          <w:szCs w:val="28"/>
          <w:lang w:eastAsia="zh-CN" w:bidi="ar"/>
        </w:rPr>
        <w:t>培训</w:t>
      </w:r>
      <w:r>
        <w:rPr>
          <w:rFonts w:hint="eastAsia" w:asciiTheme="minorEastAsia" w:hAnsiTheme="minorEastAsia" w:eastAsiaTheme="minorEastAsia"/>
          <w:kern w:val="2"/>
          <w:sz w:val="28"/>
          <w:szCs w:val="28"/>
          <w:lang w:bidi="ar"/>
        </w:rPr>
        <w:t>所需</w:t>
      </w:r>
      <w:r>
        <w:rPr>
          <w:rFonts w:hint="eastAsia" w:asciiTheme="minorEastAsia" w:hAnsiTheme="minorEastAsia" w:eastAsiaTheme="minorEastAsia"/>
          <w:kern w:val="2"/>
          <w:sz w:val="28"/>
          <w:szCs w:val="28"/>
          <w:lang w:eastAsia="zh-CN" w:bidi="ar"/>
        </w:rPr>
        <w:t>资料等</w:t>
      </w:r>
      <w:r>
        <w:rPr>
          <w:rFonts w:hint="eastAsia" w:asciiTheme="minorEastAsia" w:hAnsiTheme="minorEastAsia" w:eastAsiaTheme="minorEastAsia"/>
          <w:kern w:val="2"/>
          <w:sz w:val="28"/>
          <w:szCs w:val="28"/>
          <w:lang w:bidi="ar"/>
        </w:rPr>
        <w:t>（详见技术需求及数量表）；</w:t>
      </w:r>
    </w:p>
    <w:p>
      <w:pPr>
        <w:pStyle w:val="11"/>
        <w:numPr>
          <w:ilvl w:val="0"/>
          <w:numId w:val="3"/>
        </w:numPr>
        <w:kinsoku w:val="0"/>
        <w:overflowPunct w:val="0"/>
        <w:spacing w:before="0" w:line="240" w:lineRule="auto"/>
        <w:ind w:left="0" w:right="0" w:firstLine="0" w:firstLineChars="0"/>
        <w:rPr>
          <w:rFonts w:hint="eastAsia" w:ascii="宋体" w:hAnsi="宋体" w:eastAsia="宋体" w:cs="Times New Roman"/>
          <w:sz w:val="28"/>
          <w:szCs w:val="28"/>
        </w:rPr>
      </w:pPr>
      <w:r>
        <w:rPr>
          <w:rFonts w:hint="eastAsia" w:ascii="宋体" w:hAnsi="宋体" w:eastAsia="宋体" w:cs="Times New Roman"/>
          <w:sz w:val="28"/>
          <w:szCs w:val="28"/>
        </w:rPr>
        <w:t>应按照</w:t>
      </w:r>
      <w:r>
        <w:rPr>
          <w:rFonts w:hint="eastAsia" w:ascii="宋体" w:hAnsi="宋体" w:eastAsia="宋体" w:cs="Times New Roman"/>
          <w:sz w:val="28"/>
          <w:szCs w:val="28"/>
          <w:lang w:eastAsia="zh-CN"/>
        </w:rPr>
        <w:t>甲方要求</w:t>
      </w:r>
      <w:r>
        <w:rPr>
          <w:rFonts w:hint="eastAsia" w:ascii="宋体" w:hAnsi="宋体" w:eastAsia="宋体" w:cs="Times New Roman"/>
          <w:sz w:val="28"/>
          <w:szCs w:val="28"/>
        </w:rPr>
        <w:t>的日期完成培训项目。</w:t>
      </w:r>
    </w:p>
    <w:p>
      <w:pPr>
        <w:pStyle w:val="11"/>
        <w:kinsoku w:val="0"/>
        <w:overflowPunct w:val="0"/>
        <w:spacing w:before="0" w:line="240" w:lineRule="auto"/>
        <w:ind w:left="0" w:right="0" w:firstLine="0" w:firstLineChars="0"/>
        <w:rPr>
          <w:rFonts w:hint="eastAsia" w:ascii="宋体" w:hAnsi="宋体" w:eastAsia="宋体" w:cs="Times New Roman"/>
          <w:sz w:val="28"/>
          <w:szCs w:val="28"/>
        </w:rPr>
      </w:pPr>
      <w:r>
        <w:rPr>
          <w:rFonts w:hint="eastAsia" w:ascii="宋体" w:hAnsi="宋体" w:eastAsia="宋体" w:cs="Times New Roman"/>
          <w:sz w:val="28"/>
          <w:szCs w:val="28"/>
        </w:rPr>
        <w:t>3.培训结束后，乙方组织甲方已完成培训人员参加考试。</w:t>
      </w:r>
    </w:p>
    <w:p>
      <w:pPr>
        <w:pStyle w:val="11"/>
        <w:kinsoku w:val="0"/>
        <w:overflowPunct w:val="0"/>
        <w:spacing w:before="0" w:line="240" w:lineRule="auto"/>
        <w:ind w:left="0" w:right="0" w:firstLine="0" w:firstLineChars="0"/>
        <w:rPr>
          <w:rFonts w:hint="eastAsia" w:ascii="宋体" w:hAnsi="宋体" w:eastAsia="宋体" w:cs="Times New Roman"/>
          <w:sz w:val="28"/>
          <w:szCs w:val="28"/>
        </w:rPr>
      </w:pPr>
      <w:r>
        <w:rPr>
          <w:rFonts w:hint="eastAsia" w:ascii="宋体" w:hAnsi="宋体" w:eastAsia="宋体" w:cs="Times New Roman"/>
          <w:sz w:val="28"/>
          <w:szCs w:val="28"/>
        </w:rPr>
        <w:t>4.甲方学员在考试及格后，乙方负责对初次取证人员颁发“安全培训合格证书”；对再教育人员在原安全培训合格证书中“再培训记录”栏内登记并盖章。于10个工作日内将证书交于甲方。</w:t>
      </w:r>
    </w:p>
    <w:p>
      <w:pPr>
        <w:widowControl w:val="0"/>
        <w:spacing w:before="0" w:after="0" w:afterAutospacing="0"/>
        <w:ind w:left="0" w:right="0" w:firstLine="0" w:firstLineChars="0"/>
        <w:rPr>
          <w:rFonts w:ascii="宋体" w:hAnsi="宋体"/>
          <w:kern w:val="2"/>
          <w:sz w:val="28"/>
          <w:szCs w:val="28"/>
        </w:rPr>
      </w:pPr>
      <w:r>
        <w:rPr>
          <w:rFonts w:hint="eastAsia" w:ascii="宋体" w:hAnsi="宋体"/>
          <w:kern w:val="2"/>
          <w:sz w:val="28"/>
          <w:szCs w:val="28"/>
          <w:lang w:val="en-US" w:eastAsia="zh-CN"/>
        </w:rPr>
        <w:t>5.</w:t>
      </w:r>
      <w:r>
        <w:rPr>
          <w:rFonts w:hint="eastAsia" w:ascii="宋体" w:hAnsi="宋体"/>
          <w:kern w:val="2"/>
          <w:sz w:val="28"/>
          <w:szCs w:val="28"/>
        </w:rPr>
        <w:t>乙方必须按照比选申请文件中承诺的拟投入人员履约。乙方若更换人员必须经甲方同意。</w:t>
      </w:r>
    </w:p>
    <w:p>
      <w:pPr>
        <w:pStyle w:val="11"/>
        <w:kinsoku w:val="0"/>
        <w:overflowPunct w:val="0"/>
        <w:spacing w:before="0" w:line="240" w:lineRule="auto"/>
        <w:ind w:left="0" w:right="0" w:firstLine="0" w:firstLineChars="0"/>
        <w:rPr>
          <w:rFonts w:hint="eastAsia" w:ascii="宋体" w:hAnsi="宋体" w:eastAsia="宋体" w:cs="Times New Roman"/>
          <w:sz w:val="28"/>
          <w:szCs w:val="28"/>
        </w:rPr>
      </w:pPr>
    </w:p>
    <w:p>
      <w:pPr>
        <w:widowControl w:val="0"/>
        <w:numPr>
          <w:ilvl w:val="-1"/>
          <w:numId w:val="0"/>
        </w:numPr>
        <w:spacing w:before="0" w:after="0" w:afterAutospacing="0" w:line="400" w:lineRule="exact"/>
        <w:ind w:left="0" w:right="0" w:rightChars="0" w:firstLine="0"/>
        <w:jc w:val="lef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lang w:eastAsia="zh-CN"/>
        </w:rPr>
        <w:t>九、</w:t>
      </w:r>
      <w:r>
        <w:rPr>
          <w:rFonts w:hint="eastAsia" w:asciiTheme="minorEastAsia" w:hAnsiTheme="minorEastAsia" w:eastAsiaTheme="minorEastAsia" w:cstheme="minorEastAsia"/>
          <w:b/>
          <w:sz w:val="28"/>
          <w:szCs w:val="28"/>
        </w:rPr>
        <w:t>费用与支付</w:t>
      </w:r>
    </w:p>
    <w:p>
      <w:pPr>
        <w:tabs>
          <w:tab w:val="left" w:pos="-420"/>
          <w:tab w:val="left" w:pos="-210"/>
          <w:tab w:val="left" w:pos="9030"/>
        </w:tabs>
        <w:spacing w:line="560" w:lineRule="exact"/>
        <w:ind w:right="84" w:rightChars="40"/>
        <w:rPr>
          <w:rFonts w:hint="eastAsia" w:ascii="宋体" w:hAnsi="宋体" w:eastAsia="宋体" w:cs="Times New Roman"/>
          <w:sz w:val="28"/>
          <w:szCs w:val="28"/>
        </w:rPr>
      </w:pPr>
      <w:r>
        <w:rPr>
          <w:rFonts w:hint="eastAsia" w:ascii="宋体" w:hAnsi="宋体" w:eastAsia="宋体" w:cs="Times New Roman"/>
          <w:sz w:val="28"/>
          <w:szCs w:val="28"/>
        </w:rPr>
        <w:t>（一）费用标准：</w:t>
      </w:r>
    </w:p>
    <w:p>
      <w:pPr>
        <w:pStyle w:val="11"/>
        <w:kinsoku w:val="0"/>
        <w:overflowPunct w:val="0"/>
        <w:spacing w:before="0" w:line="240" w:lineRule="auto"/>
        <w:ind w:left="0" w:right="0" w:firstLine="420"/>
        <w:rPr>
          <w:rFonts w:hint="eastAsia" w:ascii="宋体" w:hAnsi="宋体" w:eastAsia="宋体" w:cs="Times New Roman"/>
          <w:sz w:val="28"/>
          <w:szCs w:val="28"/>
        </w:rPr>
      </w:pPr>
      <w:r>
        <w:rPr>
          <w:rFonts w:hint="eastAsia" w:ascii="宋体" w:hAnsi="宋体" w:eastAsia="宋体" w:cs="Times New Roman"/>
          <w:kern w:val="0"/>
          <w:sz w:val="28"/>
          <w:szCs w:val="28"/>
        </w:rPr>
        <w:t>本合同总价格为（大写）：不含税价：人民币       (¥  )；税费：人民币       (¥  )；税率：  %；含税总价：人民币      (¥  )，（下文称“合同价格”)。本合同价格为暂定价，在合同履约过程中，本合同税率将遵照国家现行税法执行，随国家税率调整而调整。本合同最终税金在结算阶段，按实际产生的税金进行核算，但合同不含税价格不因国家税率调整而调整。</w:t>
      </w:r>
    </w:p>
    <w:tbl>
      <w:tblPr>
        <w:tblStyle w:val="28"/>
        <w:tblW w:w="93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8"/>
        <w:gridCol w:w="1128"/>
        <w:gridCol w:w="934"/>
        <w:gridCol w:w="991"/>
        <w:gridCol w:w="984"/>
        <w:gridCol w:w="911"/>
        <w:gridCol w:w="889"/>
        <w:gridCol w:w="1096"/>
        <w:gridCol w:w="992"/>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78" w:type="dxa"/>
            <w:tcBorders>
              <w:top w:val="single" w:color="auto" w:sz="4" w:space="0"/>
              <w:left w:val="single" w:color="auto" w:sz="4" w:space="0"/>
              <w:bottom w:val="single" w:color="auto" w:sz="4" w:space="0"/>
              <w:right w:val="single" w:color="auto" w:sz="4" w:space="0"/>
            </w:tcBorders>
            <w:noWrap w:val="0"/>
            <w:vAlign w:val="center"/>
          </w:tcPr>
          <w:p>
            <w:pPr>
              <w:pStyle w:val="11"/>
              <w:keepNext w:val="0"/>
              <w:keepLines w:val="0"/>
              <w:widowControl/>
              <w:suppressLineNumbers w:val="0"/>
              <w:kinsoku w:val="0"/>
              <w:overflowPunct w:val="0"/>
              <w:spacing w:before="0" w:beforeAutospacing="0" w:line="240" w:lineRule="auto"/>
              <w:ind w:left="0" w:right="0" w:firstLine="0"/>
              <w:rPr>
                <w:rFonts w:hint="eastAsia" w:ascii="宋体" w:hAnsi="宋体" w:eastAsia="宋体" w:cs="Times New Roman"/>
                <w:kern w:val="2"/>
                <w:sz w:val="28"/>
                <w:szCs w:val="28"/>
              </w:rPr>
            </w:pPr>
            <w:r>
              <w:rPr>
                <w:rFonts w:hint="eastAsia" w:ascii="宋体" w:hAnsi="宋体" w:cs="Times New Roman"/>
                <w:kern w:val="2"/>
                <w:sz w:val="28"/>
                <w:szCs w:val="28"/>
                <w:lang w:eastAsia="zh-CN"/>
              </w:rPr>
              <w:t>序号</w:t>
            </w:r>
          </w:p>
        </w:tc>
        <w:tc>
          <w:tcPr>
            <w:tcW w:w="1128" w:type="dxa"/>
            <w:tcBorders>
              <w:top w:val="single" w:color="auto" w:sz="4" w:space="0"/>
              <w:left w:val="single" w:color="auto" w:sz="4" w:space="0"/>
              <w:bottom w:val="single" w:color="auto" w:sz="4" w:space="0"/>
              <w:right w:val="single" w:color="auto" w:sz="4" w:space="0"/>
            </w:tcBorders>
            <w:noWrap w:val="0"/>
            <w:vAlign w:val="center"/>
          </w:tcPr>
          <w:p>
            <w:pPr>
              <w:pStyle w:val="11"/>
              <w:keepNext w:val="0"/>
              <w:keepLines w:val="0"/>
              <w:widowControl/>
              <w:suppressLineNumbers w:val="0"/>
              <w:kinsoku w:val="0"/>
              <w:overflowPunct w:val="0"/>
              <w:spacing w:before="0" w:beforeAutospacing="0" w:line="240" w:lineRule="auto"/>
              <w:ind w:left="0" w:right="0" w:firstLine="0"/>
              <w:jc w:val="center"/>
              <w:rPr>
                <w:rFonts w:hint="eastAsia" w:ascii="宋体" w:hAnsi="宋体" w:eastAsia="宋体" w:cs="Times New Roman"/>
                <w:kern w:val="2"/>
                <w:sz w:val="28"/>
                <w:szCs w:val="28"/>
                <w:lang w:eastAsia="zh-CN"/>
              </w:rPr>
            </w:pPr>
            <w:r>
              <w:rPr>
                <w:rFonts w:hint="eastAsia" w:ascii="宋体" w:hAnsi="宋体" w:eastAsia="宋体" w:cs="Times New Roman"/>
                <w:kern w:val="2"/>
                <w:sz w:val="28"/>
                <w:szCs w:val="28"/>
                <w:lang w:eastAsia="zh-CN"/>
              </w:rPr>
              <w:t>项目</w:t>
            </w:r>
          </w:p>
          <w:p>
            <w:pPr>
              <w:pStyle w:val="11"/>
              <w:keepNext w:val="0"/>
              <w:keepLines w:val="0"/>
              <w:widowControl/>
              <w:suppressLineNumbers w:val="0"/>
              <w:kinsoku w:val="0"/>
              <w:overflowPunct w:val="0"/>
              <w:spacing w:before="0" w:beforeAutospacing="0" w:line="240" w:lineRule="auto"/>
              <w:ind w:left="0" w:right="0" w:firstLine="0"/>
              <w:jc w:val="center"/>
              <w:rPr>
                <w:rFonts w:hint="eastAsia" w:ascii="宋体" w:hAnsi="宋体" w:eastAsia="宋体" w:cs="Times New Roman"/>
                <w:kern w:val="2"/>
                <w:sz w:val="28"/>
                <w:szCs w:val="28"/>
              </w:rPr>
            </w:pPr>
            <w:r>
              <w:rPr>
                <w:rFonts w:hint="eastAsia" w:ascii="宋体" w:hAnsi="宋体" w:eastAsia="宋体" w:cs="Times New Roman"/>
                <w:kern w:val="2"/>
                <w:sz w:val="28"/>
                <w:szCs w:val="28"/>
                <w:lang w:eastAsia="zh-CN"/>
              </w:rPr>
              <w:t>名称</w:t>
            </w:r>
          </w:p>
        </w:tc>
        <w:tc>
          <w:tcPr>
            <w:tcW w:w="934" w:type="dxa"/>
            <w:tcBorders>
              <w:top w:val="single" w:color="auto" w:sz="4" w:space="0"/>
              <w:left w:val="single" w:color="auto" w:sz="4" w:space="0"/>
              <w:bottom w:val="single" w:color="auto" w:sz="4" w:space="0"/>
              <w:right w:val="single" w:color="auto" w:sz="4" w:space="0"/>
            </w:tcBorders>
            <w:noWrap w:val="0"/>
            <w:vAlign w:val="center"/>
          </w:tcPr>
          <w:p>
            <w:pPr>
              <w:pStyle w:val="11"/>
              <w:keepNext w:val="0"/>
              <w:keepLines w:val="0"/>
              <w:widowControl/>
              <w:suppressLineNumbers w:val="0"/>
              <w:kinsoku w:val="0"/>
              <w:overflowPunct w:val="0"/>
              <w:spacing w:before="0" w:beforeAutospacing="0" w:line="240" w:lineRule="auto"/>
              <w:ind w:left="0" w:right="0" w:firstLine="0"/>
              <w:jc w:val="center"/>
              <w:rPr>
                <w:rFonts w:hint="eastAsia" w:ascii="宋体" w:hAnsi="宋体" w:eastAsia="宋体" w:cs="Times New Roman"/>
                <w:kern w:val="2"/>
                <w:sz w:val="28"/>
                <w:szCs w:val="28"/>
              </w:rPr>
            </w:pPr>
            <w:r>
              <w:rPr>
                <w:rFonts w:hint="eastAsia" w:ascii="宋体" w:hAnsi="宋体" w:eastAsia="宋体" w:cs="Times New Roman"/>
                <w:kern w:val="2"/>
                <w:sz w:val="28"/>
                <w:szCs w:val="28"/>
              </w:rPr>
              <w:t>单位</w:t>
            </w:r>
          </w:p>
        </w:tc>
        <w:tc>
          <w:tcPr>
            <w:tcW w:w="991" w:type="dxa"/>
            <w:tcBorders>
              <w:top w:val="single" w:color="auto" w:sz="4" w:space="0"/>
              <w:left w:val="single" w:color="auto" w:sz="4" w:space="0"/>
              <w:bottom w:val="single" w:color="auto" w:sz="4" w:space="0"/>
              <w:right w:val="single" w:color="auto" w:sz="4" w:space="0"/>
            </w:tcBorders>
            <w:noWrap w:val="0"/>
            <w:vAlign w:val="center"/>
          </w:tcPr>
          <w:p>
            <w:pPr>
              <w:pStyle w:val="11"/>
              <w:keepNext w:val="0"/>
              <w:keepLines w:val="0"/>
              <w:widowControl/>
              <w:suppressLineNumbers w:val="0"/>
              <w:kinsoku w:val="0"/>
              <w:overflowPunct w:val="0"/>
              <w:spacing w:before="0" w:beforeAutospacing="0" w:line="240" w:lineRule="auto"/>
              <w:ind w:left="0" w:right="0" w:firstLine="0"/>
              <w:jc w:val="center"/>
              <w:rPr>
                <w:rFonts w:hint="eastAsia" w:ascii="宋体" w:hAnsi="宋体" w:eastAsia="宋体" w:cs="Times New Roman"/>
                <w:kern w:val="2"/>
                <w:sz w:val="28"/>
                <w:szCs w:val="28"/>
              </w:rPr>
            </w:pPr>
            <w:r>
              <w:rPr>
                <w:rFonts w:hint="eastAsia" w:ascii="宋体" w:hAnsi="宋体" w:eastAsia="宋体" w:cs="Times New Roman"/>
                <w:kern w:val="2"/>
                <w:sz w:val="28"/>
                <w:szCs w:val="28"/>
              </w:rPr>
              <w:t>数量</w:t>
            </w:r>
          </w:p>
        </w:tc>
        <w:tc>
          <w:tcPr>
            <w:tcW w:w="984" w:type="dxa"/>
            <w:tcBorders>
              <w:top w:val="single" w:color="auto" w:sz="4" w:space="0"/>
              <w:left w:val="single" w:color="auto" w:sz="4" w:space="0"/>
              <w:bottom w:val="single" w:color="auto" w:sz="4" w:space="0"/>
              <w:right w:val="single" w:color="auto" w:sz="4" w:space="0"/>
            </w:tcBorders>
            <w:noWrap w:val="0"/>
            <w:vAlign w:val="center"/>
          </w:tcPr>
          <w:p>
            <w:pPr>
              <w:pStyle w:val="11"/>
              <w:keepNext w:val="0"/>
              <w:keepLines w:val="0"/>
              <w:widowControl/>
              <w:suppressLineNumbers w:val="0"/>
              <w:kinsoku w:val="0"/>
              <w:overflowPunct w:val="0"/>
              <w:spacing w:before="0" w:beforeAutospacing="0" w:line="240" w:lineRule="auto"/>
              <w:ind w:left="0" w:right="0" w:firstLine="0"/>
              <w:jc w:val="center"/>
              <w:rPr>
                <w:rFonts w:hint="eastAsia" w:ascii="宋体" w:hAnsi="宋体" w:eastAsia="宋体" w:cs="Times New Roman"/>
                <w:kern w:val="2"/>
                <w:sz w:val="28"/>
                <w:szCs w:val="28"/>
              </w:rPr>
            </w:pPr>
            <w:r>
              <w:rPr>
                <w:rFonts w:hint="eastAsia" w:ascii="宋体" w:hAnsi="宋体" w:eastAsia="宋体" w:cs="Times New Roman"/>
                <w:kern w:val="2"/>
                <w:sz w:val="28"/>
                <w:szCs w:val="28"/>
                <w:lang w:eastAsia="zh-CN"/>
              </w:rPr>
              <w:t>不含税</w:t>
            </w:r>
            <w:r>
              <w:rPr>
                <w:rFonts w:hint="eastAsia" w:ascii="宋体" w:hAnsi="宋体" w:eastAsia="宋体" w:cs="Times New Roman"/>
                <w:kern w:val="2"/>
                <w:sz w:val="28"/>
                <w:szCs w:val="28"/>
              </w:rPr>
              <w:t>单价</w:t>
            </w:r>
          </w:p>
        </w:tc>
        <w:tc>
          <w:tcPr>
            <w:tcW w:w="911" w:type="dxa"/>
            <w:tcBorders>
              <w:top w:val="single" w:color="auto" w:sz="4" w:space="0"/>
              <w:left w:val="single" w:color="auto" w:sz="4" w:space="0"/>
              <w:bottom w:val="single" w:color="auto" w:sz="4" w:space="0"/>
              <w:right w:val="single" w:color="auto" w:sz="4" w:space="0"/>
            </w:tcBorders>
            <w:noWrap w:val="0"/>
            <w:vAlign w:val="center"/>
          </w:tcPr>
          <w:p>
            <w:pPr>
              <w:pStyle w:val="11"/>
              <w:keepNext w:val="0"/>
              <w:keepLines w:val="0"/>
              <w:widowControl/>
              <w:suppressLineNumbers w:val="0"/>
              <w:kinsoku w:val="0"/>
              <w:overflowPunct w:val="0"/>
              <w:spacing w:before="0" w:beforeAutospacing="0" w:line="240" w:lineRule="auto"/>
              <w:ind w:left="0" w:right="0" w:firstLine="0"/>
              <w:jc w:val="center"/>
              <w:rPr>
                <w:rFonts w:hint="eastAsia" w:ascii="宋体" w:hAnsi="宋体" w:eastAsia="宋体" w:cs="Times New Roman"/>
                <w:kern w:val="2"/>
                <w:sz w:val="28"/>
                <w:szCs w:val="28"/>
              </w:rPr>
            </w:pPr>
            <w:r>
              <w:rPr>
                <w:rFonts w:hint="eastAsia" w:ascii="宋体" w:hAnsi="宋体" w:eastAsia="宋体" w:cs="Times New Roman"/>
                <w:kern w:val="2"/>
                <w:sz w:val="28"/>
                <w:szCs w:val="28"/>
                <w:lang w:eastAsia="zh-CN"/>
              </w:rPr>
              <w:t>含税单价</w:t>
            </w:r>
          </w:p>
        </w:tc>
        <w:tc>
          <w:tcPr>
            <w:tcW w:w="889" w:type="dxa"/>
            <w:tcBorders>
              <w:top w:val="single" w:color="auto" w:sz="4" w:space="0"/>
              <w:left w:val="single" w:color="auto" w:sz="4" w:space="0"/>
              <w:bottom w:val="single" w:color="auto" w:sz="4" w:space="0"/>
              <w:right w:val="single" w:color="auto" w:sz="4" w:space="0"/>
            </w:tcBorders>
            <w:noWrap w:val="0"/>
            <w:vAlign w:val="center"/>
          </w:tcPr>
          <w:p>
            <w:pPr>
              <w:pStyle w:val="11"/>
              <w:keepNext w:val="0"/>
              <w:keepLines w:val="0"/>
              <w:widowControl/>
              <w:suppressLineNumbers w:val="0"/>
              <w:kinsoku w:val="0"/>
              <w:overflowPunct w:val="0"/>
              <w:spacing w:before="0" w:beforeAutospacing="0" w:line="240" w:lineRule="auto"/>
              <w:ind w:left="0" w:right="0" w:firstLine="0"/>
              <w:jc w:val="center"/>
              <w:rPr>
                <w:rFonts w:hint="eastAsia" w:ascii="宋体" w:hAnsi="宋体" w:eastAsia="宋体" w:cs="Times New Roman"/>
                <w:kern w:val="2"/>
                <w:sz w:val="28"/>
                <w:szCs w:val="28"/>
              </w:rPr>
            </w:pPr>
            <w:r>
              <w:rPr>
                <w:rFonts w:hint="eastAsia" w:ascii="宋体" w:hAnsi="宋体" w:eastAsia="宋体" w:cs="Times New Roman"/>
                <w:kern w:val="2"/>
                <w:sz w:val="28"/>
                <w:szCs w:val="28"/>
              </w:rPr>
              <w:t>税率</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pStyle w:val="11"/>
              <w:keepNext w:val="0"/>
              <w:keepLines w:val="0"/>
              <w:widowControl/>
              <w:suppressLineNumbers w:val="0"/>
              <w:kinsoku w:val="0"/>
              <w:overflowPunct w:val="0"/>
              <w:spacing w:before="0" w:beforeAutospacing="0" w:line="240" w:lineRule="auto"/>
              <w:ind w:left="0" w:right="0" w:firstLine="0"/>
              <w:jc w:val="center"/>
              <w:rPr>
                <w:rFonts w:hint="eastAsia" w:ascii="宋体" w:hAnsi="宋体" w:eastAsia="宋体" w:cs="Times New Roman"/>
                <w:kern w:val="2"/>
                <w:sz w:val="28"/>
                <w:szCs w:val="28"/>
              </w:rPr>
            </w:pPr>
            <w:r>
              <w:rPr>
                <w:rFonts w:hint="eastAsia" w:ascii="宋体" w:hAnsi="宋体" w:eastAsia="宋体" w:cs="Times New Roman"/>
                <w:kern w:val="2"/>
                <w:sz w:val="28"/>
                <w:szCs w:val="28"/>
                <w:lang w:eastAsia="zh-CN"/>
              </w:rPr>
              <w:t>不含税合价</w:t>
            </w:r>
          </w:p>
        </w:tc>
        <w:tc>
          <w:tcPr>
            <w:tcW w:w="992" w:type="dxa"/>
            <w:tcBorders>
              <w:top w:val="single" w:color="auto" w:sz="4" w:space="0"/>
              <w:left w:val="single" w:color="auto" w:sz="4" w:space="0"/>
              <w:bottom w:val="single" w:color="auto" w:sz="4" w:space="0"/>
              <w:right w:val="single" w:color="auto" w:sz="4" w:space="0"/>
            </w:tcBorders>
            <w:noWrap w:val="0"/>
            <w:vAlign w:val="center"/>
          </w:tcPr>
          <w:p>
            <w:pPr>
              <w:pStyle w:val="11"/>
              <w:keepNext w:val="0"/>
              <w:keepLines w:val="0"/>
              <w:widowControl/>
              <w:suppressLineNumbers w:val="0"/>
              <w:kinsoku w:val="0"/>
              <w:overflowPunct w:val="0"/>
              <w:spacing w:before="0" w:beforeAutospacing="0" w:line="240" w:lineRule="auto"/>
              <w:ind w:left="0" w:right="0" w:firstLine="0"/>
              <w:jc w:val="center"/>
              <w:rPr>
                <w:rFonts w:hint="eastAsia" w:ascii="宋体" w:hAnsi="宋体" w:eastAsia="宋体" w:cs="Times New Roman"/>
                <w:kern w:val="2"/>
                <w:sz w:val="28"/>
                <w:szCs w:val="28"/>
                <w:lang w:eastAsia="zh-CN"/>
              </w:rPr>
            </w:pPr>
            <w:r>
              <w:rPr>
                <w:rFonts w:hint="eastAsia" w:ascii="宋体" w:hAnsi="宋体" w:eastAsia="宋体" w:cs="Times New Roman"/>
                <w:kern w:val="2"/>
                <w:sz w:val="28"/>
                <w:szCs w:val="28"/>
                <w:lang w:eastAsia="zh-CN"/>
              </w:rPr>
              <w:t>含税合价</w:t>
            </w:r>
          </w:p>
        </w:tc>
        <w:tc>
          <w:tcPr>
            <w:tcW w:w="992" w:type="dxa"/>
            <w:tcBorders>
              <w:top w:val="single" w:color="auto" w:sz="4" w:space="0"/>
              <w:left w:val="single" w:color="auto" w:sz="4" w:space="0"/>
              <w:bottom w:val="single" w:color="auto" w:sz="4" w:space="0"/>
              <w:right w:val="single" w:color="auto" w:sz="4" w:space="0"/>
            </w:tcBorders>
            <w:noWrap w:val="0"/>
            <w:vAlign w:val="center"/>
          </w:tcPr>
          <w:p>
            <w:pPr>
              <w:pStyle w:val="11"/>
              <w:keepNext w:val="0"/>
              <w:keepLines w:val="0"/>
              <w:widowControl/>
              <w:suppressLineNumbers w:val="0"/>
              <w:kinsoku w:val="0"/>
              <w:overflowPunct w:val="0"/>
              <w:spacing w:before="0" w:beforeAutospacing="0" w:line="240" w:lineRule="auto"/>
              <w:ind w:left="0" w:right="0" w:firstLine="0"/>
              <w:jc w:val="center"/>
              <w:rPr>
                <w:rFonts w:hint="eastAsia" w:ascii="宋体" w:hAnsi="宋体" w:eastAsia="宋体" w:cs="Times New Roman"/>
                <w:kern w:val="2"/>
                <w:sz w:val="28"/>
                <w:szCs w:val="28"/>
                <w:lang w:eastAsia="zh-CN"/>
              </w:rPr>
            </w:pPr>
            <w:r>
              <w:rPr>
                <w:rFonts w:hint="eastAsia" w:ascii="宋体" w:hAnsi="宋体" w:eastAsia="宋体" w:cs="Times New Roman"/>
                <w:kern w:val="2"/>
                <w:sz w:val="28"/>
                <w:szCs w:val="28"/>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78" w:type="dxa"/>
            <w:tcBorders>
              <w:top w:val="single" w:color="auto" w:sz="4" w:space="0"/>
              <w:left w:val="single" w:color="auto" w:sz="4" w:space="0"/>
              <w:bottom w:val="single" w:color="auto" w:sz="4" w:space="0"/>
              <w:right w:val="single" w:color="auto" w:sz="4" w:space="0"/>
            </w:tcBorders>
            <w:noWrap w:val="0"/>
            <w:vAlign w:val="center"/>
          </w:tcPr>
          <w:p>
            <w:pPr>
              <w:pStyle w:val="11"/>
              <w:keepNext w:val="0"/>
              <w:keepLines w:val="0"/>
              <w:widowControl/>
              <w:suppressLineNumbers w:val="0"/>
              <w:kinsoku w:val="0"/>
              <w:overflowPunct w:val="0"/>
              <w:spacing w:before="0" w:beforeAutospacing="0" w:line="240" w:lineRule="auto"/>
              <w:ind w:left="0" w:right="0" w:firstLine="0"/>
              <w:rPr>
                <w:rFonts w:hint="eastAsia" w:ascii="宋体" w:hAnsi="宋体" w:eastAsia="宋体" w:cs="Times New Roman"/>
                <w:kern w:val="2"/>
                <w:sz w:val="28"/>
                <w:szCs w:val="28"/>
              </w:rPr>
            </w:pPr>
            <w:r>
              <w:rPr>
                <w:rFonts w:hint="eastAsia" w:ascii="宋体" w:hAnsi="宋体" w:eastAsia="宋体" w:cs="Times New Roman"/>
                <w:kern w:val="2"/>
                <w:sz w:val="28"/>
                <w:szCs w:val="28"/>
              </w:rPr>
              <w:t>1</w:t>
            </w:r>
          </w:p>
        </w:tc>
        <w:tc>
          <w:tcPr>
            <w:tcW w:w="1128" w:type="dxa"/>
            <w:tcBorders>
              <w:top w:val="single" w:color="auto" w:sz="4" w:space="0"/>
              <w:left w:val="single" w:color="auto" w:sz="4" w:space="0"/>
              <w:bottom w:val="single" w:color="auto" w:sz="4" w:space="0"/>
              <w:right w:val="single" w:color="auto" w:sz="4" w:space="0"/>
            </w:tcBorders>
            <w:noWrap w:val="0"/>
            <w:vAlign w:val="center"/>
          </w:tcPr>
          <w:p>
            <w:pPr>
              <w:pStyle w:val="11"/>
              <w:keepNext w:val="0"/>
              <w:keepLines w:val="0"/>
              <w:widowControl/>
              <w:suppressLineNumbers w:val="0"/>
              <w:kinsoku w:val="0"/>
              <w:overflowPunct w:val="0"/>
              <w:spacing w:before="0" w:beforeAutospacing="0" w:line="240" w:lineRule="auto"/>
              <w:ind w:left="0" w:right="0" w:firstLine="0"/>
              <w:rPr>
                <w:rFonts w:hint="eastAsia" w:ascii="宋体" w:hAnsi="宋体" w:eastAsia="宋体" w:cs="Times New Roman"/>
                <w:kern w:val="2"/>
                <w:sz w:val="28"/>
                <w:szCs w:val="28"/>
              </w:rPr>
            </w:pPr>
            <w:r>
              <w:rPr>
                <w:rFonts w:hint="eastAsia" w:ascii="宋体" w:hAnsi="宋体" w:eastAsia="宋体" w:cs="Times New Roman"/>
                <w:kern w:val="2"/>
                <w:sz w:val="28"/>
                <w:szCs w:val="28"/>
              </w:rPr>
              <w:t>安全管理人员初次取证教育培训</w:t>
            </w:r>
          </w:p>
        </w:tc>
        <w:tc>
          <w:tcPr>
            <w:tcW w:w="934" w:type="dxa"/>
            <w:tcBorders>
              <w:top w:val="single" w:color="auto" w:sz="4" w:space="0"/>
              <w:left w:val="single" w:color="auto" w:sz="4" w:space="0"/>
              <w:bottom w:val="single" w:color="auto" w:sz="4" w:space="0"/>
              <w:right w:val="single" w:color="auto" w:sz="4" w:space="0"/>
            </w:tcBorders>
            <w:noWrap w:val="0"/>
            <w:vAlign w:val="center"/>
          </w:tcPr>
          <w:p>
            <w:pPr>
              <w:pStyle w:val="11"/>
              <w:keepNext w:val="0"/>
              <w:keepLines w:val="0"/>
              <w:widowControl/>
              <w:suppressLineNumbers w:val="0"/>
              <w:kinsoku w:val="0"/>
              <w:overflowPunct w:val="0"/>
              <w:spacing w:before="0" w:beforeAutospacing="0" w:line="240" w:lineRule="auto"/>
              <w:ind w:left="0" w:right="0" w:firstLine="420"/>
              <w:rPr>
                <w:rFonts w:hint="eastAsia" w:ascii="宋体" w:hAnsi="宋体" w:eastAsia="宋体" w:cs="Times New Roman"/>
                <w:kern w:val="2"/>
                <w:sz w:val="28"/>
                <w:szCs w:val="28"/>
              </w:rPr>
            </w:pPr>
            <w:r>
              <w:rPr>
                <w:rFonts w:hint="eastAsia" w:ascii="宋体" w:hAnsi="宋体" w:eastAsia="宋体" w:cs="Times New Roman"/>
                <w:kern w:val="2"/>
                <w:sz w:val="28"/>
                <w:szCs w:val="28"/>
              </w:rPr>
              <w:t>人</w:t>
            </w:r>
          </w:p>
        </w:tc>
        <w:tc>
          <w:tcPr>
            <w:tcW w:w="991" w:type="dxa"/>
            <w:tcBorders>
              <w:top w:val="single" w:color="auto" w:sz="4" w:space="0"/>
              <w:left w:val="single" w:color="auto" w:sz="4" w:space="0"/>
              <w:bottom w:val="single" w:color="auto" w:sz="4" w:space="0"/>
              <w:right w:val="single" w:color="auto" w:sz="4" w:space="0"/>
            </w:tcBorders>
            <w:noWrap w:val="0"/>
            <w:vAlign w:val="center"/>
          </w:tcPr>
          <w:p>
            <w:pPr>
              <w:pStyle w:val="11"/>
              <w:keepNext w:val="0"/>
              <w:keepLines w:val="0"/>
              <w:widowControl/>
              <w:suppressLineNumbers w:val="0"/>
              <w:kinsoku w:val="0"/>
              <w:overflowPunct w:val="0"/>
              <w:spacing w:before="0" w:beforeAutospacing="0" w:line="240" w:lineRule="auto"/>
              <w:ind w:left="0" w:right="0" w:firstLine="0"/>
              <w:rPr>
                <w:rFonts w:hint="eastAsia" w:ascii="宋体" w:hAnsi="宋体" w:eastAsia="宋体" w:cs="Times New Roman"/>
                <w:kern w:val="2"/>
                <w:sz w:val="28"/>
                <w:szCs w:val="28"/>
              </w:rPr>
            </w:pPr>
            <w:r>
              <w:rPr>
                <w:rFonts w:hint="eastAsia" w:ascii="宋体" w:hAnsi="宋体" w:cs="Times New Roman"/>
                <w:kern w:val="2"/>
                <w:sz w:val="28"/>
                <w:szCs w:val="28"/>
                <w:lang w:val="en-US" w:eastAsia="zh-CN"/>
              </w:rPr>
              <w:t>100</w:t>
            </w:r>
          </w:p>
        </w:tc>
        <w:tc>
          <w:tcPr>
            <w:tcW w:w="984" w:type="dxa"/>
            <w:tcBorders>
              <w:top w:val="single" w:color="auto" w:sz="4" w:space="0"/>
              <w:left w:val="single" w:color="auto" w:sz="4" w:space="0"/>
              <w:bottom w:val="single" w:color="auto" w:sz="4" w:space="0"/>
              <w:right w:val="single" w:color="auto" w:sz="4" w:space="0"/>
            </w:tcBorders>
            <w:noWrap w:val="0"/>
            <w:vAlign w:val="center"/>
          </w:tcPr>
          <w:p>
            <w:pPr>
              <w:pStyle w:val="11"/>
              <w:keepNext w:val="0"/>
              <w:keepLines w:val="0"/>
              <w:widowControl/>
              <w:suppressLineNumbers w:val="0"/>
              <w:kinsoku w:val="0"/>
              <w:overflowPunct w:val="0"/>
              <w:spacing w:before="0" w:beforeAutospacing="0" w:line="240" w:lineRule="auto"/>
              <w:ind w:left="0" w:right="0" w:firstLine="420"/>
              <w:rPr>
                <w:rFonts w:hint="eastAsia" w:ascii="宋体" w:hAnsi="宋体" w:eastAsia="宋体" w:cs="Times New Roman"/>
                <w:kern w:val="2"/>
                <w:sz w:val="28"/>
                <w:szCs w:val="28"/>
              </w:rPr>
            </w:pPr>
          </w:p>
        </w:tc>
        <w:tc>
          <w:tcPr>
            <w:tcW w:w="911" w:type="dxa"/>
            <w:tcBorders>
              <w:top w:val="single" w:color="auto" w:sz="4" w:space="0"/>
              <w:left w:val="single" w:color="auto" w:sz="4" w:space="0"/>
              <w:bottom w:val="single" w:color="auto" w:sz="4" w:space="0"/>
              <w:right w:val="single" w:color="auto" w:sz="4" w:space="0"/>
            </w:tcBorders>
            <w:noWrap w:val="0"/>
            <w:vAlign w:val="center"/>
          </w:tcPr>
          <w:p>
            <w:pPr>
              <w:pStyle w:val="11"/>
              <w:keepNext w:val="0"/>
              <w:keepLines w:val="0"/>
              <w:widowControl/>
              <w:suppressLineNumbers w:val="0"/>
              <w:kinsoku w:val="0"/>
              <w:overflowPunct w:val="0"/>
              <w:spacing w:before="0" w:beforeAutospacing="0" w:line="240" w:lineRule="auto"/>
              <w:ind w:left="0" w:right="0" w:firstLine="420"/>
              <w:rPr>
                <w:rFonts w:hint="eastAsia" w:ascii="宋体" w:hAnsi="宋体" w:eastAsia="宋体" w:cs="Times New Roman"/>
                <w:kern w:val="2"/>
                <w:sz w:val="28"/>
                <w:szCs w:val="28"/>
              </w:rPr>
            </w:pPr>
          </w:p>
        </w:tc>
        <w:tc>
          <w:tcPr>
            <w:tcW w:w="889" w:type="dxa"/>
            <w:tcBorders>
              <w:top w:val="single" w:color="auto" w:sz="4" w:space="0"/>
              <w:left w:val="single" w:color="auto" w:sz="4" w:space="0"/>
              <w:bottom w:val="single" w:color="auto" w:sz="4" w:space="0"/>
              <w:right w:val="single" w:color="auto" w:sz="4" w:space="0"/>
            </w:tcBorders>
            <w:noWrap w:val="0"/>
            <w:vAlign w:val="center"/>
          </w:tcPr>
          <w:p>
            <w:pPr>
              <w:pStyle w:val="11"/>
              <w:keepNext w:val="0"/>
              <w:keepLines w:val="0"/>
              <w:widowControl/>
              <w:suppressLineNumbers w:val="0"/>
              <w:kinsoku w:val="0"/>
              <w:overflowPunct w:val="0"/>
              <w:spacing w:before="0" w:beforeAutospacing="0" w:line="240" w:lineRule="auto"/>
              <w:ind w:left="0" w:right="0" w:firstLine="420"/>
              <w:rPr>
                <w:rFonts w:hint="eastAsia" w:ascii="宋体" w:hAnsi="宋体" w:eastAsia="宋体" w:cs="Times New Roman"/>
                <w:kern w:val="2"/>
                <w:sz w:val="28"/>
                <w:szCs w:val="28"/>
              </w:rPr>
            </w:pPr>
          </w:p>
        </w:tc>
        <w:tc>
          <w:tcPr>
            <w:tcW w:w="1096" w:type="dxa"/>
            <w:tcBorders>
              <w:top w:val="single" w:color="auto" w:sz="4" w:space="0"/>
              <w:left w:val="single" w:color="auto" w:sz="4" w:space="0"/>
              <w:bottom w:val="single" w:color="auto" w:sz="4" w:space="0"/>
              <w:right w:val="single" w:color="auto" w:sz="4" w:space="0"/>
            </w:tcBorders>
            <w:noWrap w:val="0"/>
            <w:vAlign w:val="center"/>
          </w:tcPr>
          <w:p>
            <w:pPr>
              <w:pStyle w:val="11"/>
              <w:keepNext w:val="0"/>
              <w:keepLines w:val="0"/>
              <w:widowControl/>
              <w:suppressLineNumbers w:val="0"/>
              <w:kinsoku w:val="0"/>
              <w:overflowPunct w:val="0"/>
              <w:spacing w:before="0" w:beforeAutospacing="0" w:line="240" w:lineRule="auto"/>
              <w:ind w:left="0" w:right="0" w:firstLine="420"/>
              <w:rPr>
                <w:rFonts w:hint="eastAsia" w:ascii="宋体" w:hAnsi="宋体" w:eastAsia="宋体" w:cs="Times New Roman"/>
                <w:kern w:val="2"/>
                <w:sz w:val="28"/>
                <w:szCs w:val="28"/>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pStyle w:val="11"/>
              <w:keepNext w:val="0"/>
              <w:keepLines w:val="0"/>
              <w:widowControl/>
              <w:suppressLineNumbers w:val="0"/>
              <w:kinsoku w:val="0"/>
              <w:overflowPunct w:val="0"/>
              <w:spacing w:before="0" w:beforeAutospacing="0" w:line="240" w:lineRule="auto"/>
              <w:ind w:left="0" w:right="0" w:firstLine="420"/>
              <w:rPr>
                <w:rFonts w:hint="eastAsia" w:ascii="宋体" w:hAnsi="宋体" w:eastAsia="宋体" w:cs="Times New Roman"/>
                <w:kern w:val="2"/>
                <w:sz w:val="28"/>
                <w:szCs w:val="28"/>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pStyle w:val="11"/>
              <w:keepNext w:val="0"/>
              <w:keepLines w:val="0"/>
              <w:widowControl/>
              <w:suppressLineNumbers w:val="0"/>
              <w:kinsoku w:val="0"/>
              <w:overflowPunct w:val="0"/>
              <w:spacing w:before="0" w:beforeAutospacing="0" w:line="240" w:lineRule="auto"/>
              <w:ind w:left="0" w:right="0" w:firstLine="420"/>
              <w:rPr>
                <w:rFonts w:hint="eastAsia" w:ascii="宋体" w:hAnsi="宋体" w:eastAsia="宋体" w:cs="Times New Roman"/>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78" w:type="dxa"/>
            <w:tcBorders>
              <w:top w:val="single" w:color="auto" w:sz="4" w:space="0"/>
              <w:left w:val="single" w:color="auto" w:sz="4" w:space="0"/>
              <w:bottom w:val="single" w:color="auto" w:sz="4" w:space="0"/>
              <w:right w:val="single" w:color="auto" w:sz="4" w:space="0"/>
            </w:tcBorders>
            <w:noWrap w:val="0"/>
            <w:vAlign w:val="center"/>
          </w:tcPr>
          <w:p>
            <w:pPr>
              <w:pStyle w:val="11"/>
              <w:keepNext w:val="0"/>
              <w:keepLines w:val="0"/>
              <w:widowControl/>
              <w:suppressLineNumbers w:val="0"/>
              <w:kinsoku w:val="0"/>
              <w:overflowPunct w:val="0"/>
              <w:spacing w:before="0" w:beforeAutospacing="0" w:line="240" w:lineRule="auto"/>
              <w:ind w:left="0" w:right="0" w:firstLine="420"/>
              <w:rPr>
                <w:rFonts w:hint="eastAsia" w:ascii="宋体" w:hAnsi="宋体" w:eastAsia="宋体" w:cs="Times New Roman"/>
                <w:kern w:val="2"/>
                <w:sz w:val="28"/>
                <w:szCs w:val="28"/>
                <w:lang w:val="en-US" w:eastAsia="zh-CN"/>
              </w:rPr>
            </w:pPr>
            <w:r>
              <w:rPr>
                <w:rFonts w:hint="eastAsia" w:ascii="宋体" w:hAnsi="宋体" w:eastAsia="宋体" w:cs="Times New Roman"/>
                <w:kern w:val="2"/>
                <w:sz w:val="28"/>
                <w:szCs w:val="28"/>
                <w:lang w:val="en-US" w:eastAsia="zh-CN"/>
              </w:rPr>
              <w:t>2</w:t>
            </w:r>
          </w:p>
        </w:tc>
        <w:tc>
          <w:tcPr>
            <w:tcW w:w="1128" w:type="dxa"/>
            <w:tcBorders>
              <w:top w:val="single" w:color="auto" w:sz="4" w:space="0"/>
              <w:left w:val="single" w:color="auto" w:sz="4" w:space="0"/>
              <w:bottom w:val="single" w:color="auto" w:sz="4" w:space="0"/>
              <w:right w:val="single" w:color="auto" w:sz="4" w:space="0"/>
            </w:tcBorders>
            <w:noWrap w:val="0"/>
            <w:vAlign w:val="center"/>
          </w:tcPr>
          <w:p>
            <w:pPr>
              <w:pStyle w:val="11"/>
              <w:keepNext w:val="0"/>
              <w:keepLines w:val="0"/>
              <w:widowControl/>
              <w:suppressLineNumbers w:val="0"/>
              <w:kinsoku w:val="0"/>
              <w:overflowPunct w:val="0"/>
              <w:spacing w:before="0" w:beforeAutospacing="0" w:line="240" w:lineRule="auto"/>
              <w:ind w:left="0" w:right="0" w:firstLine="0"/>
              <w:rPr>
                <w:rFonts w:hint="eastAsia" w:ascii="宋体" w:hAnsi="宋体" w:eastAsia="宋体" w:cs="Times New Roman"/>
                <w:kern w:val="2"/>
                <w:sz w:val="28"/>
                <w:szCs w:val="28"/>
                <w:lang w:eastAsia="zh-CN"/>
              </w:rPr>
            </w:pPr>
            <w:r>
              <w:rPr>
                <w:rFonts w:hint="eastAsia" w:ascii="宋体" w:hAnsi="宋体" w:eastAsia="宋体" w:cs="Times New Roman"/>
                <w:kern w:val="2"/>
                <w:sz w:val="28"/>
                <w:szCs w:val="28"/>
              </w:rPr>
              <w:t>主要负责人及安全管理人员再教育培训</w:t>
            </w:r>
          </w:p>
        </w:tc>
        <w:tc>
          <w:tcPr>
            <w:tcW w:w="934" w:type="dxa"/>
            <w:tcBorders>
              <w:top w:val="single" w:color="auto" w:sz="4" w:space="0"/>
              <w:left w:val="single" w:color="auto" w:sz="4" w:space="0"/>
              <w:bottom w:val="single" w:color="auto" w:sz="4" w:space="0"/>
              <w:right w:val="single" w:color="auto" w:sz="4" w:space="0"/>
            </w:tcBorders>
            <w:noWrap w:val="0"/>
            <w:vAlign w:val="center"/>
          </w:tcPr>
          <w:p>
            <w:pPr>
              <w:pStyle w:val="11"/>
              <w:keepNext w:val="0"/>
              <w:keepLines w:val="0"/>
              <w:widowControl/>
              <w:suppressLineNumbers w:val="0"/>
              <w:kinsoku w:val="0"/>
              <w:overflowPunct w:val="0"/>
              <w:spacing w:before="0" w:beforeAutospacing="0" w:line="240" w:lineRule="auto"/>
              <w:ind w:left="0" w:right="0" w:firstLine="420"/>
              <w:rPr>
                <w:rFonts w:hint="eastAsia" w:ascii="宋体" w:hAnsi="宋体" w:eastAsia="宋体" w:cs="Times New Roman"/>
                <w:kern w:val="2"/>
                <w:sz w:val="28"/>
                <w:szCs w:val="28"/>
                <w:lang w:eastAsia="zh-CN"/>
              </w:rPr>
            </w:pPr>
            <w:r>
              <w:rPr>
                <w:rFonts w:hint="eastAsia" w:ascii="宋体" w:hAnsi="宋体" w:eastAsia="宋体" w:cs="Times New Roman"/>
                <w:kern w:val="2"/>
                <w:sz w:val="28"/>
                <w:szCs w:val="28"/>
                <w:lang w:eastAsia="zh-CN"/>
              </w:rPr>
              <w:t>人</w:t>
            </w:r>
          </w:p>
        </w:tc>
        <w:tc>
          <w:tcPr>
            <w:tcW w:w="991" w:type="dxa"/>
            <w:tcBorders>
              <w:top w:val="single" w:color="auto" w:sz="4" w:space="0"/>
              <w:left w:val="single" w:color="auto" w:sz="4" w:space="0"/>
              <w:bottom w:val="single" w:color="auto" w:sz="4" w:space="0"/>
              <w:right w:val="single" w:color="auto" w:sz="4" w:space="0"/>
            </w:tcBorders>
            <w:noWrap w:val="0"/>
            <w:vAlign w:val="center"/>
          </w:tcPr>
          <w:p>
            <w:pPr>
              <w:pStyle w:val="11"/>
              <w:keepNext w:val="0"/>
              <w:keepLines w:val="0"/>
              <w:widowControl/>
              <w:suppressLineNumbers w:val="0"/>
              <w:kinsoku w:val="0"/>
              <w:overflowPunct w:val="0"/>
              <w:spacing w:before="0" w:beforeAutospacing="0" w:line="240" w:lineRule="auto"/>
              <w:ind w:left="0" w:right="0" w:firstLine="0"/>
              <w:rPr>
                <w:rFonts w:hint="default" w:ascii="宋体" w:hAnsi="宋体" w:eastAsia="宋体" w:cs="Times New Roman"/>
                <w:kern w:val="2"/>
                <w:sz w:val="28"/>
                <w:szCs w:val="28"/>
                <w:lang w:val="en-US" w:eastAsia="zh-CN"/>
              </w:rPr>
            </w:pPr>
            <w:r>
              <w:rPr>
                <w:rFonts w:hint="eastAsia" w:ascii="宋体" w:hAnsi="宋体" w:eastAsia="宋体" w:cs="Times New Roman"/>
                <w:kern w:val="2"/>
                <w:sz w:val="28"/>
                <w:szCs w:val="28"/>
                <w:lang w:val="en-US" w:eastAsia="zh-CN"/>
              </w:rPr>
              <w:t>2</w:t>
            </w:r>
            <w:r>
              <w:rPr>
                <w:rFonts w:hint="eastAsia" w:ascii="宋体" w:hAnsi="宋体" w:cs="Times New Roman"/>
                <w:kern w:val="2"/>
                <w:sz w:val="28"/>
                <w:szCs w:val="28"/>
                <w:lang w:val="en-US" w:eastAsia="zh-CN"/>
              </w:rPr>
              <w:t>83</w:t>
            </w:r>
          </w:p>
        </w:tc>
        <w:tc>
          <w:tcPr>
            <w:tcW w:w="984" w:type="dxa"/>
            <w:tcBorders>
              <w:top w:val="single" w:color="auto" w:sz="4" w:space="0"/>
              <w:left w:val="single" w:color="auto" w:sz="4" w:space="0"/>
              <w:bottom w:val="single" w:color="auto" w:sz="4" w:space="0"/>
              <w:right w:val="single" w:color="auto" w:sz="4" w:space="0"/>
            </w:tcBorders>
            <w:noWrap w:val="0"/>
            <w:vAlign w:val="center"/>
          </w:tcPr>
          <w:p>
            <w:pPr>
              <w:pStyle w:val="11"/>
              <w:keepNext w:val="0"/>
              <w:keepLines w:val="0"/>
              <w:widowControl/>
              <w:suppressLineNumbers w:val="0"/>
              <w:kinsoku w:val="0"/>
              <w:overflowPunct w:val="0"/>
              <w:spacing w:before="0" w:beforeAutospacing="0" w:line="240" w:lineRule="auto"/>
              <w:ind w:left="0" w:right="0" w:firstLine="420"/>
              <w:rPr>
                <w:rFonts w:hint="eastAsia" w:ascii="宋体" w:hAnsi="宋体" w:eastAsia="宋体" w:cs="Times New Roman"/>
                <w:kern w:val="2"/>
                <w:sz w:val="28"/>
                <w:szCs w:val="28"/>
              </w:rPr>
            </w:pPr>
          </w:p>
        </w:tc>
        <w:tc>
          <w:tcPr>
            <w:tcW w:w="911" w:type="dxa"/>
            <w:tcBorders>
              <w:top w:val="single" w:color="auto" w:sz="4" w:space="0"/>
              <w:left w:val="single" w:color="auto" w:sz="4" w:space="0"/>
              <w:bottom w:val="single" w:color="auto" w:sz="4" w:space="0"/>
              <w:right w:val="single" w:color="auto" w:sz="4" w:space="0"/>
            </w:tcBorders>
            <w:noWrap w:val="0"/>
            <w:vAlign w:val="center"/>
          </w:tcPr>
          <w:p>
            <w:pPr>
              <w:pStyle w:val="11"/>
              <w:keepNext w:val="0"/>
              <w:keepLines w:val="0"/>
              <w:widowControl/>
              <w:suppressLineNumbers w:val="0"/>
              <w:kinsoku w:val="0"/>
              <w:overflowPunct w:val="0"/>
              <w:spacing w:before="0" w:beforeAutospacing="0" w:line="240" w:lineRule="auto"/>
              <w:ind w:left="0" w:right="0" w:firstLine="420"/>
              <w:rPr>
                <w:rFonts w:hint="eastAsia" w:ascii="宋体" w:hAnsi="宋体" w:eastAsia="宋体" w:cs="Times New Roman"/>
                <w:kern w:val="2"/>
                <w:sz w:val="28"/>
                <w:szCs w:val="28"/>
              </w:rPr>
            </w:pPr>
          </w:p>
        </w:tc>
        <w:tc>
          <w:tcPr>
            <w:tcW w:w="889" w:type="dxa"/>
            <w:tcBorders>
              <w:top w:val="single" w:color="auto" w:sz="4" w:space="0"/>
              <w:left w:val="single" w:color="auto" w:sz="4" w:space="0"/>
              <w:bottom w:val="single" w:color="auto" w:sz="4" w:space="0"/>
              <w:right w:val="single" w:color="auto" w:sz="4" w:space="0"/>
            </w:tcBorders>
            <w:noWrap w:val="0"/>
            <w:vAlign w:val="center"/>
          </w:tcPr>
          <w:p>
            <w:pPr>
              <w:pStyle w:val="11"/>
              <w:keepNext w:val="0"/>
              <w:keepLines w:val="0"/>
              <w:widowControl/>
              <w:suppressLineNumbers w:val="0"/>
              <w:kinsoku w:val="0"/>
              <w:overflowPunct w:val="0"/>
              <w:spacing w:before="0" w:beforeAutospacing="0" w:line="240" w:lineRule="auto"/>
              <w:ind w:left="0" w:right="0" w:firstLine="420"/>
              <w:rPr>
                <w:rFonts w:hint="eastAsia" w:ascii="宋体" w:hAnsi="宋体" w:eastAsia="宋体" w:cs="Times New Roman"/>
                <w:kern w:val="2"/>
                <w:sz w:val="28"/>
                <w:szCs w:val="28"/>
              </w:rPr>
            </w:pPr>
          </w:p>
        </w:tc>
        <w:tc>
          <w:tcPr>
            <w:tcW w:w="1096" w:type="dxa"/>
            <w:tcBorders>
              <w:top w:val="single" w:color="auto" w:sz="4" w:space="0"/>
              <w:left w:val="single" w:color="auto" w:sz="4" w:space="0"/>
              <w:bottom w:val="single" w:color="auto" w:sz="4" w:space="0"/>
              <w:right w:val="single" w:color="auto" w:sz="4" w:space="0"/>
            </w:tcBorders>
            <w:noWrap w:val="0"/>
            <w:vAlign w:val="center"/>
          </w:tcPr>
          <w:p>
            <w:pPr>
              <w:pStyle w:val="11"/>
              <w:keepNext w:val="0"/>
              <w:keepLines w:val="0"/>
              <w:widowControl/>
              <w:suppressLineNumbers w:val="0"/>
              <w:kinsoku w:val="0"/>
              <w:overflowPunct w:val="0"/>
              <w:spacing w:before="0" w:beforeAutospacing="0" w:line="240" w:lineRule="auto"/>
              <w:ind w:left="0" w:right="0" w:firstLine="420"/>
              <w:rPr>
                <w:rFonts w:hint="eastAsia" w:ascii="宋体" w:hAnsi="宋体" w:eastAsia="宋体" w:cs="Times New Roman"/>
                <w:kern w:val="2"/>
                <w:sz w:val="28"/>
                <w:szCs w:val="28"/>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pStyle w:val="11"/>
              <w:keepNext w:val="0"/>
              <w:keepLines w:val="0"/>
              <w:widowControl/>
              <w:suppressLineNumbers w:val="0"/>
              <w:kinsoku w:val="0"/>
              <w:overflowPunct w:val="0"/>
              <w:spacing w:before="0" w:beforeAutospacing="0" w:line="240" w:lineRule="auto"/>
              <w:ind w:left="0" w:right="0" w:firstLine="420"/>
              <w:rPr>
                <w:rFonts w:hint="eastAsia" w:ascii="宋体" w:hAnsi="宋体" w:eastAsia="宋体" w:cs="Times New Roman"/>
                <w:kern w:val="2"/>
                <w:sz w:val="28"/>
                <w:szCs w:val="28"/>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pStyle w:val="11"/>
              <w:keepNext w:val="0"/>
              <w:keepLines w:val="0"/>
              <w:widowControl/>
              <w:suppressLineNumbers w:val="0"/>
              <w:kinsoku w:val="0"/>
              <w:overflowPunct w:val="0"/>
              <w:spacing w:before="0" w:beforeAutospacing="0" w:line="240" w:lineRule="auto"/>
              <w:ind w:left="0" w:right="0" w:firstLine="420"/>
              <w:rPr>
                <w:rFonts w:hint="eastAsia" w:ascii="宋体" w:hAnsi="宋体" w:eastAsia="宋体" w:cs="Times New Roman"/>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78" w:type="dxa"/>
            <w:tcBorders>
              <w:top w:val="single" w:color="auto" w:sz="4" w:space="0"/>
              <w:left w:val="single" w:color="auto" w:sz="4" w:space="0"/>
              <w:bottom w:val="single" w:color="auto" w:sz="4" w:space="0"/>
              <w:right w:val="single" w:color="auto" w:sz="4" w:space="0"/>
            </w:tcBorders>
            <w:noWrap w:val="0"/>
            <w:vAlign w:val="center"/>
          </w:tcPr>
          <w:p>
            <w:pPr>
              <w:pStyle w:val="11"/>
              <w:keepNext w:val="0"/>
              <w:keepLines w:val="0"/>
              <w:widowControl/>
              <w:suppressLineNumbers w:val="0"/>
              <w:kinsoku w:val="0"/>
              <w:overflowPunct w:val="0"/>
              <w:spacing w:before="0" w:beforeAutospacing="0" w:line="240" w:lineRule="auto"/>
              <w:ind w:left="0" w:right="0" w:firstLine="420"/>
              <w:rPr>
                <w:rFonts w:hint="eastAsia" w:ascii="宋体" w:hAnsi="宋体" w:eastAsia="宋体" w:cs="Times New Roman"/>
                <w:kern w:val="2"/>
                <w:sz w:val="28"/>
                <w:szCs w:val="28"/>
              </w:rPr>
            </w:pPr>
          </w:p>
        </w:tc>
        <w:tc>
          <w:tcPr>
            <w:tcW w:w="1128" w:type="dxa"/>
            <w:tcBorders>
              <w:top w:val="single" w:color="auto" w:sz="4" w:space="0"/>
              <w:left w:val="single" w:color="auto" w:sz="4" w:space="0"/>
              <w:bottom w:val="single" w:color="auto" w:sz="4" w:space="0"/>
              <w:right w:val="single" w:color="auto" w:sz="4" w:space="0"/>
            </w:tcBorders>
            <w:noWrap w:val="0"/>
            <w:vAlign w:val="center"/>
          </w:tcPr>
          <w:p>
            <w:pPr>
              <w:pStyle w:val="11"/>
              <w:keepNext w:val="0"/>
              <w:keepLines w:val="0"/>
              <w:widowControl/>
              <w:suppressLineNumbers w:val="0"/>
              <w:kinsoku w:val="0"/>
              <w:overflowPunct w:val="0"/>
              <w:spacing w:before="0" w:beforeAutospacing="0" w:line="240" w:lineRule="auto"/>
              <w:ind w:left="0" w:right="0" w:firstLine="0"/>
              <w:rPr>
                <w:rFonts w:hint="eastAsia" w:ascii="宋体" w:hAnsi="宋体" w:eastAsia="宋体" w:cs="Times New Roman"/>
                <w:kern w:val="2"/>
                <w:sz w:val="28"/>
                <w:szCs w:val="28"/>
              </w:rPr>
            </w:pPr>
            <w:r>
              <w:rPr>
                <w:rFonts w:hint="eastAsia" w:ascii="宋体" w:hAnsi="宋体" w:eastAsia="宋体" w:cs="Times New Roman"/>
                <w:kern w:val="2"/>
                <w:sz w:val="28"/>
                <w:szCs w:val="28"/>
                <w:lang w:eastAsia="zh-CN"/>
              </w:rPr>
              <w:t>总计</w:t>
            </w:r>
          </w:p>
        </w:tc>
        <w:tc>
          <w:tcPr>
            <w:tcW w:w="934" w:type="dxa"/>
            <w:tcBorders>
              <w:top w:val="single" w:color="auto" w:sz="4" w:space="0"/>
              <w:left w:val="single" w:color="auto" w:sz="4" w:space="0"/>
              <w:bottom w:val="single" w:color="auto" w:sz="4" w:space="0"/>
              <w:right w:val="single" w:color="auto" w:sz="4" w:space="0"/>
            </w:tcBorders>
            <w:noWrap w:val="0"/>
            <w:vAlign w:val="center"/>
          </w:tcPr>
          <w:p>
            <w:pPr>
              <w:pStyle w:val="11"/>
              <w:keepNext w:val="0"/>
              <w:keepLines w:val="0"/>
              <w:widowControl/>
              <w:suppressLineNumbers w:val="0"/>
              <w:kinsoku w:val="0"/>
              <w:overflowPunct w:val="0"/>
              <w:spacing w:before="0" w:beforeAutospacing="0" w:line="240" w:lineRule="auto"/>
              <w:ind w:left="0" w:right="0" w:firstLine="420"/>
              <w:rPr>
                <w:rFonts w:hint="eastAsia" w:ascii="宋体" w:hAnsi="宋体" w:eastAsia="宋体" w:cs="Times New Roman"/>
                <w:kern w:val="2"/>
                <w:sz w:val="28"/>
                <w:szCs w:val="28"/>
                <w:lang w:val="en-US" w:eastAsia="zh-CN"/>
              </w:rPr>
            </w:pPr>
            <w:r>
              <w:rPr>
                <w:rFonts w:hint="eastAsia" w:ascii="宋体" w:hAnsi="宋体" w:eastAsia="宋体" w:cs="Times New Roman"/>
                <w:kern w:val="2"/>
                <w:sz w:val="28"/>
                <w:szCs w:val="28"/>
                <w:lang w:val="en-US" w:eastAsia="zh-CN"/>
              </w:rPr>
              <w:t>/</w:t>
            </w:r>
          </w:p>
        </w:tc>
        <w:tc>
          <w:tcPr>
            <w:tcW w:w="991" w:type="dxa"/>
            <w:tcBorders>
              <w:top w:val="single" w:color="auto" w:sz="4" w:space="0"/>
              <w:left w:val="single" w:color="auto" w:sz="4" w:space="0"/>
              <w:bottom w:val="single" w:color="auto" w:sz="4" w:space="0"/>
              <w:right w:val="single" w:color="auto" w:sz="4" w:space="0"/>
            </w:tcBorders>
            <w:noWrap w:val="0"/>
            <w:vAlign w:val="center"/>
          </w:tcPr>
          <w:p>
            <w:pPr>
              <w:pStyle w:val="11"/>
              <w:keepNext w:val="0"/>
              <w:keepLines w:val="0"/>
              <w:widowControl/>
              <w:suppressLineNumbers w:val="0"/>
              <w:kinsoku w:val="0"/>
              <w:overflowPunct w:val="0"/>
              <w:spacing w:before="0" w:beforeAutospacing="0" w:line="240" w:lineRule="auto"/>
              <w:ind w:left="0" w:right="0" w:firstLine="420"/>
              <w:rPr>
                <w:rFonts w:hint="eastAsia" w:ascii="宋体" w:hAnsi="宋体" w:eastAsia="宋体" w:cs="Times New Roman"/>
                <w:kern w:val="2"/>
                <w:sz w:val="28"/>
                <w:szCs w:val="28"/>
                <w:lang w:val="en-US" w:eastAsia="zh-CN"/>
              </w:rPr>
            </w:pPr>
            <w:r>
              <w:rPr>
                <w:rFonts w:hint="eastAsia" w:ascii="宋体" w:hAnsi="宋体" w:eastAsia="宋体" w:cs="Times New Roman"/>
                <w:kern w:val="2"/>
                <w:sz w:val="28"/>
                <w:szCs w:val="28"/>
                <w:lang w:val="en-US" w:eastAsia="zh-CN"/>
              </w:rPr>
              <w:t>/</w:t>
            </w:r>
          </w:p>
        </w:tc>
        <w:tc>
          <w:tcPr>
            <w:tcW w:w="984" w:type="dxa"/>
            <w:tcBorders>
              <w:top w:val="single" w:color="auto" w:sz="4" w:space="0"/>
              <w:left w:val="single" w:color="auto" w:sz="4" w:space="0"/>
              <w:bottom w:val="single" w:color="auto" w:sz="4" w:space="0"/>
              <w:right w:val="single" w:color="auto" w:sz="4" w:space="0"/>
            </w:tcBorders>
            <w:noWrap w:val="0"/>
            <w:vAlign w:val="center"/>
          </w:tcPr>
          <w:p>
            <w:pPr>
              <w:pStyle w:val="11"/>
              <w:keepNext w:val="0"/>
              <w:keepLines w:val="0"/>
              <w:widowControl/>
              <w:suppressLineNumbers w:val="0"/>
              <w:kinsoku w:val="0"/>
              <w:overflowPunct w:val="0"/>
              <w:spacing w:before="0" w:beforeAutospacing="0" w:line="240" w:lineRule="auto"/>
              <w:ind w:left="0" w:right="0" w:firstLine="420"/>
              <w:rPr>
                <w:rFonts w:hint="eastAsia" w:ascii="宋体" w:hAnsi="宋体" w:eastAsia="宋体" w:cs="Times New Roman"/>
                <w:kern w:val="2"/>
                <w:sz w:val="28"/>
                <w:szCs w:val="28"/>
                <w:lang w:val="en-US" w:eastAsia="zh-CN"/>
              </w:rPr>
            </w:pPr>
            <w:r>
              <w:rPr>
                <w:rFonts w:hint="eastAsia" w:ascii="宋体" w:hAnsi="宋体" w:eastAsia="宋体" w:cs="Times New Roman"/>
                <w:kern w:val="2"/>
                <w:sz w:val="28"/>
                <w:szCs w:val="28"/>
                <w:lang w:val="en-US" w:eastAsia="zh-CN"/>
              </w:rPr>
              <w:t>/</w:t>
            </w:r>
          </w:p>
        </w:tc>
        <w:tc>
          <w:tcPr>
            <w:tcW w:w="911" w:type="dxa"/>
            <w:tcBorders>
              <w:top w:val="single" w:color="auto" w:sz="4" w:space="0"/>
              <w:left w:val="single" w:color="auto" w:sz="4" w:space="0"/>
              <w:bottom w:val="single" w:color="auto" w:sz="4" w:space="0"/>
              <w:right w:val="single" w:color="auto" w:sz="4" w:space="0"/>
            </w:tcBorders>
            <w:noWrap w:val="0"/>
            <w:vAlign w:val="center"/>
          </w:tcPr>
          <w:p>
            <w:pPr>
              <w:pStyle w:val="11"/>
              <w:keepNext w:val="0"/>
              <w:keepLines w:val="0"/>
              <w:widowControl/>
              <w:suppressLineNumbers w:val="0"/>
              <w:kinsoku w:val="0"/>
              <w:overflowPunct w:val="0"/>
              <w:spacing w:before="0" w:beforeAutospacing="0" w:line="240" w:lineRule="auto"/>
              <w:ind w:left="0" w:right="0" w:firstLine="420"/>
              <w:rPr>
                <w:rFonts w:hint="eastAsia" w:ascii="宋体" w:hAnsi="宋体" w:eastAsia="宋体" w:cs="Times New Roman"/>
                <w:kern w:val="2"/>
                <w:sz w:val="28"/>
                <w:szCs w:val="28"/>
                <w:lang w:val="en-US" w:eastAsia="zh-CN"/>
              </w:rPr>
            </w:pPr>
            <w:r>
              <w:rPr>
                <w:rFonts w:hint="eastAsia" w:ascii="宋体" w:hAnsi="宋体" w:eastAsia="宋体" w:cs="Times New Roman"/>
                <w:kern w:val="2"/>
                <w:sz w:val="28"/>
                <w:szCs w:val="28"/>
                <w:lang w:val="en-US" w:eastAsia="zh-CN"/>
              </w:rPr>
              <w:t>/</w:t>
            </w:r>
          </w:p>
        </w:tc>
        <w:tc>
          <w:tcPr>
            <w:tcW w:w="889" w:type="dxa"/>
            <w:tcBorders>
              <w:top w:val="single" w:color="auto" w:sz="4" w:space="0"/>
              <w:left w:val="single" w:color="auto" w:sz="4" w:space="0"/>
              <w:bottom w:val="single" w:color="auto" w:sz="4" w:space="0"/>
              <w:right w:val="single" w:color="auto" w:sz="4" w:space="0"/>
            </w:tcBorders>
            <w:noWrap w:val="0"/>
            <w:vAlign w:val="center"/>
          </w:tcPr>
          <w:p>
            <w:pPr>
              <w:pStyle w:val="11"/>
              <w:keepNext w:val="0"/>
              <w:keepLines w:val="0"/>
              <w:widowControl/>
              <w:suppressLineNumbers w:val="0"/>
              <w:kinsoku w:val="0"/>
              <w:overflowPunct w:val="0"/>
              <w:spacing w:before="0" w:beforeAutospacing="0" w:line="240" w:lineRule="auto"/>
              <w:ind w:left="0" w:right="0" w:firstLine="420"/>
              <w:rPr>
                <w:rFonts w:hint="eastAsia" w:ascii="宋体" w:hAnsi="宋体" w:eastAsia="宋体" w:cs="Times New Roman"/>
                <w:kern w:val="2"/>
                <w:sz w:val="28"/>
                <w:szCs w:val="28"/>
                <w:lang w:val="en-US" w:eastAsia="zh-CN"/>
              </w:rPr>
            </w:pPr>
            <w:r>
              <w:rPr>
                <w:rFonts w:hint="eastAsia" w:ascii="宋体" w:hAnsi="宋体" w:eastAsia="宋体" w:cs="Times New Roman"/>
                <w:kern w:val="2"/>
                <w:sz w:val="28"/>
                <w:szCs w:val="28"/>
                <w:lang w:val="en-US" w:eastAsia="zh-CN"/>
              </w:rPr>
              <w:t>/</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pStyle w:val="11"/>
              <w:keepNext w:val="0"/>
              <w:keepLines w:val="0"/>
              <w:widowControl/>
              <w:suppressLineNumbers w:val="0"/>
              <w:kinsoku w:val="0"/>
              <w:overflowPunct w:val="0"/>
              <w:spacing w:before="0" w:beforeAutospacing="0" w:line="240" w:lineRule="auto"/>
              <w:ind w:left="0" w:right="0" w:firstLine="420"/>
              <w:rPr>
                <w:rFonts w:hint="eastAsia" w:ascii="宋体" w:hAnsi="宋体" w:eastAsia="宋体" w:cs="Times New Roman"/>
                <w:kern w:val="2"/>
                <w:sz w:val="28"/>
                <w:szCs w:val="28"/>
                <w:lang w:val="en-US" w:eastAsia="zh-CN"/>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pStyle w:val="11"/>
              <w:keepNext w:val="0"/>
              <w:keepLines w:val="0"/>
              <w:widowControl/>
              <w:suppressLineNumbers w:val="0"/>
              <w:kinsoku w:val="0"/>
              <w:overflowPunct w:val="0"/>
              <w:spacing w:before="0" w:beforeAutospacing="0" w:line="240" w:lineRule="auto"/>
              <w:ind w:left="0" w:right="0" w:firstLine="420"/>
              <w:rPr>
                <w:rFonts w:hint="eastAsia" w:ascii="宋体" w:hAnsi="宋体" w:eastAsia="宋体" w:cs="Times New Roman"/>
                <w:kern w:val="2"/>
                <w:sz w:val="28"/>
                <w:szCs w:val="28"/>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pStyle w:val="11"/>
              <w:keepNext w:val="0"/>
              <w:keepLines w:val="0"/>
              <w:widowControl/>
              <w:suppressLineNumbers w:val="0"/>
              <w:kinsoku w:val="0"/>
              <w:overflowPunct w:val="0"/>
              <w:spacing w:before="0" w:beforeAutospacing="0" w:line="240" w:lineRule="auto"/>
              <w:ind w:left="0" w:right="0" w:firstLine="420"/>
              <w:rPr>
                <w:rFonts w:hint="eastAsia" w:ascii="宋体" w:hAnsi="宋体" w:eastAsia="宋体" w:cs="Times New Roman"/>
                <w:kern w:val="2"/>
                <w:sz w:val="28"/>
                <w:szCs w:val="28"/>
                <w:lang w:val="en-US" w:eastAsia="zh-CN"/>
              </w:rPr>
            </w:pPr>
            <w:r>
              <w:rPr>
                <w:rFonts w:hint="eastAsia" w:ascii="宋体" w:hAnsi="宋体" w:eastAsia="宋体" w:cs="Times New Roman"/>
                <w:kern w:val="2"/>
                <w:sz w:val="28"/>
                <w:szCs w:val="28"/>
                <w:lang w:val="en-US" w:eastAsia="zh-CN"/>
              </w:rPr>
              <w:t>/</w:t>
            </w:r>
          </w:p>
        </w:tc>
      </w:tr>
    </w:tbl>
    <w:p>
      <w:pPr>
        <w:pStyle w:val="11"/>
        <w:kinsoku w:val="0"/>
        <w:overflowPunct w:val="0"/>
        <w:spacing w:line="240" w:lineRule="auto"/>
        <w:ind w:firstLine="420"/>
        <w:rPr>
          <w:rFonts w:hint="eastAsia" w:ascii="宋体" w:hAnsi="宋体" w:eastAsia="宋体" w:cs="Times New Roman"/>
          <w:kern w:val="0"/>
          <w:sz w:val="28"/>
          <w:szCs w:val="28"/>
        </w:rPr>
      </w:pPr>
      <w:r>
        <w:rPr>
          <w:rFonts w:hint="eastAsia" w:ascii="宋体" w:hAnsi="宋体" w:eastAsia="宋体" w:cs="Times New Roman"/>
          <w:kern w:val="0"/>
          <w:sz w:val="28"/>
          <w:szCs w:val="28"/>
        </w:rPr>
        <w:t>本合同</w:t>
      </w:r>
      <w:r>
        <w:rPr>
          <w:rFonts w:hint="eastAsia" w:ascii="宋体" w:hAnsi="宋体" w:eastAsia="宋体" w:cs="Times New Roman"/>
          <w:kern w:val="0"/>
          <w:sz w:val="28"/>
          <w:szCs w:val="28"/>
          <w:lang w:eastAsia="zh-CN"/>
        </w:rPr>
        <w:t>不含税单</w:t>
      </w:r>
      <w:r>
        <w:rPr>
          <w:rFonts w:hint="eastAsia" w:ascii="宋体" w:hAnsi="宋体" w:eastAsia="宋体" w:cs="Times New Roman"/>
          <w:kern w:val="0"/>
          <w:sz w:val="28"/>
          <w:szCs w:val="28"/>
        </w:rPr>
        <w:t>价</w:t>
      </w:r>
      <w:r>
        <w:rPr>
          <w:rFonts w:hint="eastAsia" w:ascii="宋体" w:hAnsi="宋体" w:eastAsia="宋体" w:cs="Times New Roman"/>
          <w:kern w:val="0"/>
          <w:sz w:val="28"/>
          <w:szCs w:val="28"/>
          <w:lang w:eastAsia="zh-CN"/>
        </w:rPr>
        <w:t>为固定单价</w:t>
      </w:r>
      <w:r>
        <w:rPr>
          <w:rFonts w:hint="eastAsia" w:ascii="宋体" w:hAnsi="宋体" w:eastAsia="宋体" w:cs="Times New Roman"/>
          <w:kern w:val="0"/>
          <w:sz w:val="28"/>
          <w:szCs w:val="28"/>
        </w:rPr>
        <w:t>，包含</w:t>
      </w:r>
      <w:r>
        <w:rPr>
          <w:rFonts w:hint="eastAsia" w:ascii="宋体" w:hAnsi="宋体" w:eastAsia="宋体" w:cs="Times New Roman"/>
          <w:kern w:val="0"/>
          <w:sz w:val="28"/>
          <w:szCs w:val="28"/>
          <w:lang w:eastAsia="zh-CN"/>
        </w:rPr>
        <w:t>培训</w:t>
      </w:r>
      <w:r>
        <w:rPr>
          <w:rFonts w:hint="eastAsia" w:ascii="宋体" w:hAnsi="宋体" w:eastAsia="宋体" w:cs="Times New Roman"/>
          <w:kern w:val="0"/>
          <w:sz w:val="28"/>
          <w:szCs w:val="28"/>
        </w:rPr>
        <w:t>费、</w:t>
      </w:r>
      <w:r>
        <w:rPr>
          <w:rFonts w:hint="eastAsia" w:ascii="宋体" w:hAnsi="宋体" w:eastAsia="宋体" w:cs="Times New Roman"/>
          <w:kern w:val="0"/>
          <w:sz w:val="28"/>
          <w:szCs w:val="28"/>
          <w:lang w:eastAsia="zh-CN"/>
        </w:rPr>
        <w:t>人工</w:t>
      </w:r>
      <w:r>
        <w:rPr>
          <w:rFonts w:hint="eastAsia" w:ascii="宋体" w:hAnsi="宋体" w:eastAsia="宋体" w:cs="Times New Roman"/>
          <w:kern w:val="0"/>
          <w:sz w:val="28"/>
          <w:szCs w:val="28"/>
        </w:rPr>
        <w:t>工资、保险、差旅费、</w:t>
      </w:r>
      <w:r>
        <w:rPr>
          <w:rFonts w:hint="eastAsia" w:ascii="宋体" w:hAnsi="宋体" w:eastAsia="宋体" w:cs="Times New Roman"/>
          <w:kern w:val="0"/>
          <w:sz w:val="28"/>
          <w:szCs w:val="28"/>
          <w:lang w:eastAsia="zh-CN"/>
        </w:rPr>
        <w:t>交通费、利润、风险等</w:t>
      </w:r>
      <w:r>
        <w:rPr>
          <w:rFonts w:hint="eastAsia" w:ascii="宋体" w:hAnsi="宋体" w:eastAsia="宋体" w:cs="Times New Roman"/>
          <w:kern w:val="0"/>
          <w:sz w:val="28"/>
          <w:szCs w:val="28"/>
        </w:rPr>
        <w:t>除增值税外的一切费用。对于未填报的项目，均认为已包含在</w:t>
      </w:r>
      <w:r>
        <w:rPr>
          <w:rFonts w:hint="eastAsia" w:ascii="宋体" w:hAnsi="宋体" w:eastAsia="宋体" w:cs="Times New Roman"/>
          <w:kern w:val="0"/>
          <w:sz w:val="28"/>
          <w:szCs w:val="28"/>
          <w:lang w:eastAsia="zh-CN"/>
        </w:rPr>
        <w:t>不含税总价</w:t>
      </w:r>
      <w:r>
        <w:rPr>
          <w:rFonts w:hint="eastAsia" w:ascii="宋体" w:hAnsi="宋体" w:eastAsia="宋体" w:cs="Times New Roman"/>
          <w:kern w:val="0"/>
          <w:sz w:val="28"/>
          <w:szCs w:val="28"/>
        </w:rPr>
        <w:t>内。</w:t>
      </w:r>
    </w:p>
    <w:p>
      <w:pPr>
        <w:pStyle w:val="11"/>
        <w:kinsoku w:val="0"/>
        <w:overflowPunct w:val="0"/>
        <w:spacing w:line="240" w:lineRule="auto"/>
        <w:ind w:firstLine="420"/>
        <w:rPr>
          <w:rFonts w:hint="eastAsia" w:ascii="宋体" w:hAnsi="宋体" w:eastAsia="宋体" w:cs="Times New Roman"/>
          <w:kern w:val="0"/>
          <w:sz w:val="28"/>
          <w:szCs w:val="28"/>
        </w:rPr>
      </w:pPr>
      <w:r>
        <w:rPr>
          <w:rFonts w:hint="eastAsia" w:ascii="宋体" w:hAnsi="宋体" w:eastAsia="宋体" w:cs="Times New Roman"/>
          <w:kern w:val="0"/>
          <w:sz w:val="28"/>
          <w:szCs w:val="28"/>
          <w:lang w:eastAsia="zh-CN"/>
        </w:rPr>
        <w:t>在合同结算时，按双方确认的实际培训人数予以结算。</w:t>
      </w:r>
      <w:r>
        <w:rPr>
          <w:rFonts w:hint="eastAsia" w:ascii="宋体" w:hAnsi="宋体" w:eastAsia="宋体" w:cs="Times New Roman"/>
          <w:kern w:val="0"/>
          <w:sz w:val="28"/>
          <w:szCs w:val="28"/>
        </w:rPr>
        <w:t xml:space="preserve"> </w:t>
      </w:r>
    </w:p>
    <w:p>
      <w:pPr>
        <w:pStyle w:val="11"/>
        <w:kinsoku w:val="0"/>
        <w:overflowPunct w:val="0"/>
        <w:spacing w:line="240" w:lineRule="auto"/>
        <w:ind w:left="0" w:firstLine="0"/>
        <w:rPr>
          <w:rFonts w:hint="eastAsia" w:ascii="宋体" w:hAnsi="宋体" w:eastAsia="宋体" w:cs="Times New Roman"/>
          <w:kern w:val="0"/>
          <w:sz w:val="28"/>
          <w:szCs w:val="28"/>
          <w:lang w:eastAsia="zh-CN"/>
        </w:rPr>
      </w:pPr>
      <w:r>
        <w:rPr>
          <w:rFonts w:hint="eastAsia" w:ascii="宋体" w:hAnsi="宋体" w:eastAsia="宋体" w:cs="Times New Roman"/>
          <w:sz w:val="28"/>
          <w:szCs w:val="28"/>
        </w:rPr>
        <w:t>（</w:t>
      </w:r>
      <w:r>
        <w:rPr>
          <w:rFonts w:hint="eastAsia" w:ascii="宋体" w:hAnsi="宋体" w:cs="Times New Roman"/>
          <w:sz w:val="28"/>
          <w:szCs w:val="28"/>
          <w:lang w:eastAsia="zh-CN"/>
        </w:rPr>
        <w:t>二</w:t>
      </w:r>
      <w:r>
        <w:rPr>
          <w:rFonts w:hint="eastAsia" w:ascii="宋体" w:hAnsi="宋体" w:eastAsia="宋体" w:cs="Times New Roman"/>
          <w:sz w:val="28"/>
          <w:szCs w:val="28"/>
        </w:rPr>
        <w:t>）</w:t>
      </w:r>
      <w:r>
        <w:rPr>
          <w:rFonts w:hint="eastAsia" w:ascii="宋体" w:hAnsi="宋体" w:eastAsia="宋体" w:cs="Times New Roman"/>
          <w:kern w:val="0"/>
          <w:sz w:val="28"/>
          <w:szCs w:val="28"/>
        </w:rPr>
        <w:t>费用支付</w:t>
      </w:r>
      <w:r>
        <w:rPr>
          <w:rFonts w:hint="eastAsia" w:ascii="宋体" w:hAnsi="宋体" w:eastAsia="宋体" w:cs="Times New Roman"/>
          <w:kern w:val="0"/>
          <w:sz w:val="28"/>
          <w:szCs w:val="28"/>
          <w:lang w:eastAsia="zh-CN"/>
        </w:rPr>
        <w:t>：</w:t>
      </w:r>
    </w:p>
    <w:p>
      <w:pPr>
        <w:pStyle w:val="11"/>
        <w:kinsoku w:val="0"/>
        <w:overflowPunct w:val="0"/>
        <w:spacing w:line="240" w:lineRule="auto"/>
        <w:ind w:firstLine="420"/>
        <w:rPr>
          <w:rFonts w:hint="eastAsia" w:ascii="宋体" w:hAnsi="宋体" w:eastAsia="宋体" w:cs="Times New Roman"/>
          <w:kern w:val="0"/>
          <w:sz w:val="28"/>
          <w:szCs w:val="28"/>
        </w:rPr>
      </w:pPr>
      <w:r>
        <w:rPr>
          <w:rFonts w:hint="eastAsia" w:ascii="宋体" w:hAnsi="宋体" w:eastAsia="宋体" w:cs="Times New Roman"/>
          <w:kern w:val="0"/>
          <w:sz w:val="28"/>
          <w:szCs w:val="28"/>
        </w:rPr>
        <w:t>项目</w:t>
      </w:r>
      <w:r>
        <w:rPr>
          <w:rFonts w:hint="eastAsia" w:ascii="宋体" w:hAnsi="宋体" w:eastAsia="宋体" w:cs="Times New Roman"/>
          <w:kern w:val="0"/>
          <w:sz w:val="28"/>
          <w:szCs w:val="28"/>
          <w:lang w:eastAsia="zh-CN"/>
        </w:rPr>
        <w:t>培训</w:t>
      </w:r>
      <w:r>
        <w:rPr>
          <w:rFonts w:hint="eastAsia" w:ascii="宋体" w:hAnsi="宋体" w:eastAsia="宋体" w:cs="Times New Roman"/>
          <w:kern w:val="0"/>
          <w:sz w:val="28"/>
          <w:szCs w:val="28"/>
        </w:rPr>
        <w:t>完成</w:t>
      </w:r>
      <w:r>
        <w:rPr>
          <w:rFonts w:hint="eastAsia" w:ascii="宋体" w:hAnsi="宋体" w:cs="Times New Roman"/>
          <w:kern w:val="0"/>
          <w:sz w:val="28"/>
          <w:szCs w:val="28"/>
          <w:lang w:val="en-US" w:eastAsia="zh-CN"/>
        </w:rPr>
        <w:t>将证书交由甲方</w:t>
      </w:r>
      <w:r>
        <w:rPr>
          <w:rFonts w:hint="eastAsia" w:ascii="宋体" w:hAnsi="宋体" w:eastAsia="宋体" w:cs="Times New Roman"/>
          <w:kern w:val="0"/>
          <w:sz w:val="28"/>
          <w:szCs w:val="28"/>
        </w:rPr>
        <w:t>并通过甲方验收</w:t>
      </w:r>
      <w:r>
        <w:rPr>
          <w:rFonts w:hint="eastAsia" w:ascii="宋体" w:hAnsi="宋体" w:cs="Times New Roman"/>
          <w:kern w:val="0"/>
          <w:sz w:val="28"/>
          <w:szCs w:val="28"/>
          <w:lang w:val="en-US" w:eastAsia="zh-CN"/>
        </w:rPr>
        <w:t>后</w:t>
      </w:r>
      <w:r>
        <w:rPr>
          <w:rFonts w:hint="eastAsia" w:ascii="宋体" w:hAnsi="宋体" w:eastAsia="宋体" w:cs="Times New Roman"/>
          <w:kern w:val="0"/>
          <w:sz w:val="28"/>
          <w:szCs w:val="28"/>
        </w:rPr>
        <w:t>，乙方</w:t>
      </w:r>
      <w:r>
        <w:rPr>
          <w:rFonts w:hint="eastAsia" w:ascii="宋体" w:hAnsi="宋体" w:eastAsia="宋体" w:cs="Times New Roman"/>
          <w:kern w:val="0"/>
          <w:sz w:val="28"/>
          <w:szCs w:val="28"/>
          <w:lang w:eastAsia="zh-CN"/>
        </w:rPr>
        <w:t>提供相关材料</w:t>
      </w:r>
      <w:r>
        <w:rPr>
          <w:rFonts w:hint="eastAsia" w:ascii="宋体" w:hAnsi="宋体" w:eastAsia="宋体" w:cs="Times New Roman"/>
          <w:kern w:val="0"/>
          <w:sz w:val="28"/>
          <w:szCs w:val="28"/>
        </w:rPr>
        <w:t>，</w:t>
      </w:r>
      <w:r>
        <w:rPr>
          <w:rFonts w:hint="eastAsia" w:ascii="宋体" w:hAnsi="宋体" w:eastAsia="宋体" w:cs="Times New Roman"/>
          <w:kern w:val="0"/>
          <w:sz w:val="28"/>
          <w:szCs w:val="28"/>
          <w:lang w:eastAsia="zh-CN"/>
        </w:rPr>
        <w:t>并配合甲方完成结算后，</w:t>
      </w:r>
      <w:r>
        <w:rPr>
          <w:rFonts w:hint="eastAsia" w:ascii="宋体" w:hAnsi="宋体" w:eastAsia="宋体" w:cs="Times New Roman"/>
          <w:kern w:val="0"/>
          <w:sz w:val="28"/>
          <w:szCs w:val="28"/>
        </w:rPr>
        <w:t>甲方在收到由乙方提供的以下合格材料后45个工作日内支付</w:t>
      </w:r>
      <w:r>
        <w:rPr>
          <w:rFonts w:hint="eastAsia" w:ascii="宋体" w:hAnsi="宋体" w:eastAsia="宋体" w:cs="Times New Roman"/>
          <w:kern w:val="0"/>
          <w:sz w:val="28"/>
          <w:szCs w:val="28"/>
          <w:lang w:eastAsia="zh-CN"/>
        </w:rPr>
        <w:t>结算审定</w:t>
      </w:r>
      <w:r>
        <w:rPr>
          <w:rFonts w:hint="eastAsia" w:ascii="宋体" w:hAnsi="宋体" w:eastAsia="宋体" w:cs="Times New Roman"/>
          <w:kern w:val="0"/>
          <w:sz w:val="28"/>
          <w:szCs w:val="28"/>
        </w:rPr>
        <w:t>价款</w:t>
      </w:r>
      <w:r>
        <w:rPr>
          <w:rFonts w:hint="eastAsia" w:ascii="宋体" w:hAnsi="宋体" w:eastAsia="宋体" w:cs="Times New Roman"/>
          <w:kern w:val="0"/>
          <w:sz w:val="28"/>
          <w:szCs w:val="28"/>
          <w:lang w:eastAsia="zh-CN"/>
        </w:rPr>
        <w:t>的</w:t>
      </w:r>
      <w:r>
        <w:rPr>
          <w:rFonts w:hint="eastAsia" w:ascii="宋体" w:hAnsi="宋体" w:eastAsia="宋体" w:cs="Times New Roman"/>
          <w:kern w:val="0"/>
          <w:sz w:val="28"/>
          <w:szCs w:val="28"/>
          <w:lang w:val="en-US" w:eastAsia="zh-CN"/>
        </w:rPr>
        <w:t>100</w:t>
      </w:r>
      <w:r>
        <w:rPr>
          <w:rFonts w:hint="eastAsia" w:ascii="宋体" w:hAnsi="宋体" w:eastAsia="宋体" w:cs="Times New Roman"/>
          <w:kern w:val="0"/>
          <w:sz w:val="28"/>
          <w:szCs w:val="28"/>
        </w:rPr>
        <w:t>%。</w:t>
      </w:r>
    </w:p>
    <w:p>
      <w:pPr>
        <w:pStyle w:val="11"/>
        <w:kinsoku w:val="0"/>
        <w:overflowPunct w:val="0"/>
        <w:spacing w:line="240" w:lineRule="auto"/>
        <w:ind w:firstLine="420"/>
        <w:rPr>
          <w:rFonts w:hint="eastAsia" w:ascii="宋体" w:hAnsi="宋体" w:eastAsia="宋体" w:cs="Times New Roman"/>
          <w:kern w:val="0"/>
          <w:sz w:val="28"/>
          <w:szCs w:val="28"/>
        </w:rPr>
      </w:pPr>
      <w:r>
        <w:rPr>
          <w:rFonts w:hint="eastAsia" w:ascii="宋体" w:hAnsi="宋体" w:eastAsia="宋体" w:cs="Times New Roman"/>
          <w:kern w:val="0"/>
          <w:sz w:val="28"/>
          <w:szCs w:val="28"/>
        </w:rPr>
        <w:t>①乙方开具相应金额的增值税专用发票。</w:t>
      </w:r>
    </w:p>
    <w:p>
      <w:pPr>
        <w:pStyle w:val="11"/>
        <w:kinsoku w:val="0"/>
        <w:overflowPunct w:val="0"/>
        <w:spacing w:line="240" w:lineRule="auto"/>
        <w:ind w:firstLine="420"/>
        <w:rPr>
          <w:rFonts w:hint="eastAsia" w:ascii="宋体" w:hAnsi="宋体" w:eastAsia="宋体" w:cs="Times New Roman"/>
          <w:kern w:val="0"/>
          <w:sz w:val="28"/>
          <w:szCs w:val="28"/>
        </w:rPr>
      </w:pPr>
      <w:r>
        <w:rPr>
          <w:rFonts w:hint="eastAsia" w:ascii="宋体" w:hAnsi="宋体" w:eastAsia="宋体" w:cs="Times New Roman"/>
          <w:kern w:val="0"/>
          <w:sz w:val="28"/>
          <w:szCs w:val="28"/>
        </w:rPr>
        <w:t>②乙方出具的支付申请书。</w:t>
      </w:r>
    </w:p>
    <w:p>
      <w:pPr>
        <w:pStyle w:val="11"/>
        <w:kinsoku w:val="0"/>
        <w:overflowPunct w:val="0"/>
        <w:spacing w:line="240" w:lineRule="auto"/>
        <w:ind w:firstLine="420"/>
        <w:rPr>
          <w:rFonts w:hint="eastAsia" w:ascii="宋体" w:hAnsi="宋体" w:eastAsia="宋体" w:cs="Times New Roman"/>
          <w:kern w:val="0"/>
          <w:sz w:val="28"/>
          <w:szCs w:val="28"/>
        </w:rPr>
      </w:pPr>
      <w:r>
        <w:rPr>
          <w:rFonts w:hint="eastAsia" w:ascii="宋体" w:hAnsi="宋体" w:eastAsia="宋体" w:cs="Times New Roman"/>
          <w:kern w:val="0"/>
          <w:sz w:val="28"/>
          <w:szCs w:val="28"/>
        </w:rPr>
        <w:t>③乙方提交的关于</w:t>
      </w:r>
      <w:r>
        <w:rPr>
          <w:rFonts w:hint="eastAsia" w:ascii="宋体" w:hAnsi="宋体" w:eastAsia="宋体" w:cs="Times New Roman"/>
          <w:kern w:val="0"/>
          <w:sz w:val="28"/>
          <w:szCs w:val="28"/>
          <w:lang w:eastAsia="zh-CN"/>
        </w:rPr>
        <w:t>培训完成</w:t>
      </w:r>
      <w:r>
        <w:rPr>
          <w:rFonts w:hint="eastAsia" w:ascii="宋体" w:hAnsi="宋体" w:eastAsia="宋体" w:cs="Times New Roman"/>
          <w:kern w:val="0"/>
          <w:sz w:val="28"/>
          <w:szCs w:val="28"/>
        </w:rPr>
        <w:t>的文件及相关资料。</w:t>
      </w:r>
    </w:p>
    <w:p>
      <w:pPr>
        <w:pStyle w:val="11"/>
        <w:kinsoku w:val="0"/>
        <w:overflowPunct w:val="0"/>
        <w:spacing w:line="240" w:lineRule="auto"/>
        <w:ind w:firstLine="420"/>
        <w:rPr>
          <w:rFonts w:hint="eastAsia" w:ascii="宋体" w:hAnsi="宋体" w:eastAsia="宋体" w:cs="Times New Roman"/>
          <w:kern w:val="0"/>
          <w:sz w:val="28"/>
          <w:szCs w:val="28"/>
        </w:rPr>
      </w:pPr>
      <w:r>
        <w:rPr>
          <w:rFonts w:hint="eastAsia" w:ascii="宋体" w:hAnsi="宋体" w:eastAsia="宋体" w:cs="Times New Roman"/>
          <w:kern w:val="0"/>
          <w:sz w:val="28"/>
          <w:szCs w:val="28"/>
        </w:rPr>
        <w:t>乙方未按时提供计量支付、结算资料的，甲方有权暂停支付手续直至乙方递交齐全为止，因暂停支付所造成损失的由乙方承担。</w:t>
      </w:r>
    </w:p>
    <w:p>
      <w:pPr>
        <w:pStyle w:val="11"/>
        <w:kinsoku w:val="0"/>
        <w:overflowPunct w:val="0"/>
        <w:spacing w:line="240" w:lineRule="auto"/>
        <w:ind w:firstLine="420" w:firstLineChars="0"/>
        <w:rPr>
          <w:rFonts w:hint="eastAsia" w:ascii="宋体" w:hAnsi="宋体" w:eastAsia="宋体" w:cs="Times New Roman"/>
          <w:kern w:val="0"/>
          <w:sz w:val="28"/>
          <w:szCs w:val="28"/>
          <w:lang w:eastAsia="zh-CN"/>
        </w:rPr>
      </w:pPr>
      <w:r>
        <w:rPr>
          <w:rFonts w:hint="eastAsia" w:ascii="宋体" w:hAnsi="宋体" w:eastAsia="宋体" w:cs="Times New Roman"/>
          <w:i w:val="0"/>
          <w:iCs w:val="0"/>
          <w:caps w:val="0"/>
          <w:spacing w:val="0"/>
          <w:sz w:val="28"/>
          <w:szCs w:val="28"/>
          <w:shd w:val="clear"/>
        </w:rPr>
        <w:t>支付的货币应以人民币支付，但不限于银行转账、汇票、国内信用证、供应链金融产品等支付形式。</w:t>
      </w:r>
    </w:p>
    <w:p>
      <w:pPr>
        <w:numPr>
          <w:ilvl w:val="0"/>
          <w:numId w:val="4"/>
        </w:numPr>
        <w:spacing w:line="560" w:lineRule="exact"/>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知识产权</w:t>
      </w:r>
    </w:p>
    <w:p>
      <w:pPr>
        <w:keepNext w:val="0"/>
        <w:keepLines w:val="0"/>
        <w:pageBreakBefore w:val="0"/>
        <w:widowControl w:val="0"/>
        <w:numPr>
          <w:ilvl w:val="0"/>
          <w:numId w:val="5"/>
        </w:numPr>
        <w:kinsoku/>
        <w:wordWrap/>
        <w:overflowPunct/>
        <w:topLinePunct w:val="0"/>
        <w:autoSpaceDE/>
        <w:autoSpaceDN/>
        <w:bidi w:val="0"/>
        <w:adjustRightInd/>
        <w:snapToGrid/>
        <w:spacing w:before="0" w:after="0" w:afterAutospacing="0" w:line="240" w:lineRule="auto"/>
        <w:ind w:left="0" w:right="0" w:firstLine="0" w:firstLineChars="0"/>
        <w:textAlignment w:val="auto"/>
        <w:rPr>
          <w:rFonts w:hint="eastAsia" w:ascii="宋体" w:hAnsi="宋体" w:cs="Gulim"/>
          <w:kern w:val="2"/>
          <w:sz w:val="28"/>
          <w:szCs w:val="28"/>
          <w:lang w:bidi="en-US"/>
        </w:rPr>
      </w:pPr>
      <w:r>
        <w:rPr>
          <w:rFonts w:hint="eastAsia" w:ascii="宋体" w:hAnsi="宋体" w:cs="Gulim"/>
          <w:kern w:val="2"/>
          <w:sz w:val="28"/>
          <w:szCs w:val="28"/>
          <w:lang w:bidi="en-US"/>
        </w:rPr>
        <w:t>甲方不得利用本合同所定的培训进行牟利行为。</w:t>
      </w:r>
    </w:p>
    <w:p>
      <w:pPr>
        <w:keepNext w:val="0"/>
        <w:keepLines w:val="0"/>
        <w:pageBreakBefore w:val="0"/>
        <w:widowControl w:val="0"/>
        <w:numPr>
          <w:ilvl w:val="0"/>
          <w:numId w:val="5"/>
        </w:numPr>
        <w:kinsoku/>
        <w:wordWrap/>
        <w:overflowPunct/>
        <w:topLinePunct w:val="0"/>
        <w:autoSpaceDE/>
        <w:autoSpaceDN/>
        <w:bidi w:val="0"/>
        <w:adjustRightInd/>
        <w:snapToGrid/>
        <w:spacing w:before="0" w:after="0" w:afterAutospacing="0" w:line="240" w:lineRule="auto"/>
        <w:ind w:left="0" w:right="0" w:firstLine="0" w:firstLineChars="0"/>
        <w:textAlignment w:val="auto"/>
        <w:rPr>
          <w:rFonts w:hint="eastAsia" w:ascii="宋体" w:hAnsi="宋体" w:cs="Gulim"/>
          <w:kern w:val="2"/>
          <w:sz w:val="28"/>
          <w:szCs w:val="28"/>
          <w:lang w:bidi="en-US"/>
        </w:rPr>
      </w:pPr>
      <w:r>
        <w:rPr>
          <w:rFonts w:hint="eastAsia" w:ascii="宋体" w:hAnsi="宋体" w:cs="Gulim"/>
          <w:kern w:val="2"/>
          <w:sz w:val="28"/>
          <w:szCs w:val="28"/>
          <w:lang w:bidi="en-US"/>
        </w:rPr>
        <w:t>本合同所定的培训中使用的所有讲义、学习资料等文本均属于甲方版权所有，但仅限于甲方内部学习及课后复习使用，不得用于商业用途。</w:t>
      </w:r>
    </w:p>
    <w:p>
      <w:pPr>
        <w:keepNext w:val="0"/>
        <w:keepLines w:val="0"/>
        <w:pageBreakBefore w:val="0"/>
        <w:widowControl w:val="0"/>
        <w:numPr>
          <w:ilvl w:val="0"/>
          <w:numId w:val="5"/>
        </w:numPr>
        <w:kinsoku/>
        <w:wordWrap/>
        <w:overflowPunct/>
        <w:topLinePunct w:val="0"/>
        <w:autoSpaceDE/>
        <w:autoSpaceDN/>
        <w:bidi w:val="0"/>
        <w:adjustRightInd/>
        <w:snapToGrid/>
        <w:spacing w:before="0" w:after="0" w:afterAutospacing="0" w:line="240" w:lineRule="auto"/>
        <w:ind w:left="0" w:right="0" w:firstLine="0" w:firstLineChars="0"/>
        <w:textAlignment w:val="auto"/>
        <w:rPr>
          <w:rFonts w:hint="eastAsia" w:ascii="宋体" w:hAnsi="宋体" w:cs="Gulim"/>
          <w:kern w:val="2"/>
          <w:sz w:val="28"/>
          <w:szCs w:val="28"/>
          <w:lang w:bidi="en-US"/>
        </w:rPr>
      </w:pPr>
      <w:r>
        <w:rPr>
          <w:rFonts w:hint="eastAsia" w:ascii="宋体" w:hAnsi="宋体" w:cs="Gulim"/>
          <w:kern w:val="2"/>
          <w:sz w:val="28"/>
          <w:szCs w:val="28"/>
          <w:lang w:bidi="en-US"/>
        </w:rPr>
        <w:t>培训期间甲方可以在征得任课老师的同意下录音或录像，但影音资料仅限内部培训宣传使用，不可扩散，如有扩散或传播，将承担法律责任。</w:t>
      </w:r>
    </w:p>
    <w:p>
      <w:pPr>
        <w:keepNext w:val="0"/>
        <w:keepLines w:val="0"/>
        <w:pageBreakBefore w:val="0"/>
        <w:widowControl w:val="0"/>
        <w:numPr>
          <w:ilvl w:val="0"/>
          <w:numId w:val="5"/>
        </w:numPr>
        <w:kinsoku/>
        <w:wordWrap/>
        <w:overflowPunct/>
        <w:topLinePunct w:val="0"/>
        <w:autoSpaceDE/>
        <w:autoSpaceDN/>
        <w:bidi w:val="0"/>
        <w:adjustRightInd/>
        <w:snapToGrid/>
        <w:spacing w:before="0" w:after="0" w:afterAutospacing="0" w:line="240" w:lineRule="auto"/>
        <w:ind w:left="0" w:right="0" w:firstLine="0" w:firstLineChars="0"/>
        <w:textAlignment w:val="auto"/>
        <w:rPr>
          <w:rFonts w:hint="eastAsia"/>
          <w:sz w:val="28"/>
          <w:szCs w:val="28"/>
        </w:rPr>
      </w:pPr>
      <w:r>
        <w:rPr>
          <w:rFonts w:hint="eastAsia" w:ascii="宋体" w:hAnsi="宋体" w:cs="Gulim"/>
          <w:kern w:val="2"/>
          <w:sz w:val="28"/>
          <w:szCs w:val="28"/>
          <w:lang w:bidi="en-US"/>
        </w:rPr>
        <w:t>乙方应保证所提供的服务或其任何一部分均不会侵犯任何第三方的专利权、商标权和著作权。</w:t>
      </w:r>
    </w:p>
    <w:p>
      <w:pPr>
        <w:keepNext w:val="0"/>
        <w:keepLines w:val="0"/>
        <w:pageBreakBefore w:val="0"/>
        <w:widowControl w:val="0"/>
        <w:numPr>
          <w:ilvl w:val="0"/>
          <w:numId w:val="5"/>
        </w:numPr>
        <w:kinsoku/>
        <w:wordWrap/>
        <w:overflowPunct/>
        <w:topLinePunct w:val="0"/>
        <w:autoSpaceDE/>
        <w:autoSpaceDN/>
        <w:bidi w:val="0"/>
        <w:adjustRightInd/>
        <w:snapToGrid/>
        <w:spacing w:before="0" w:after="0" w:afterAutospacing="0" w:line="240" w:lineRule="auto"/>
        <w:ind w:left="0" w:right="0" w:firstLine="0" w:firstLineChars="0"/>
        <w:textAlignment w:val="auto"/>
        <w:rPr>
          <w:rFonts w:hint="eastAsia"/>
          <w:sz w:val="28"/>
          <w:szCs w:val="28"/>
        </w:rPr>
      </w:pPr>
      <w:r>
        <w:rPr>
          <w:rFonts w:hint="eastAsia" w:ascii="宋体" w:hAnsi="宋体" w:cs="Gulim"/>
          <w:kern w:val="2"/>
          <w:sz w:val="28"/>
          <w:szCs w:val="28"/>
          <w:lang w:bidi="en-US"/>
        </w:rPr>
        <w:t>甲、乙双方应严格保守对方商业秘密。未经双方书面同意不得将保密信息对外发布或披露、提供给任何第三方。</w:t>
      </w:r>
    </w:p>
    <w:p>
      <w:pPr>
        <w:spacing w:line="560" w:lineRule="exact"/>
        <w:ind w:left="279" w:leftChars="-1" w:hanging="281" w:hangingChars="1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十一、合同变更、终止和解除</w:t>
      </w:r>
    </w:p>
    <w:p>
      <w:pPr>
        <w:keepNext w:val="0"/>
        <w:keepLines w:val="0"/>
        <w:pageBreakBefore w:val="0"/>
        <w:widowControl w:val="0"/>
        <w:numPr>
          <w:ilvl w:val="0"/>
          <w:numId w:val="0"/>
        </w:numPr>
        <w:kinsoku/>
        <w:wordWrap/>
        <w:overflowPunct/>
        <w:topLinePunct w:val="0"/>
        <w:autoSpaceDE/>
        <w:autoSpaceDN/>
        <w:bidi w:val="0"/>
        <w:adjustRightInd/>
        <w:snapToGrid/>
        <w:spacing w:before="0" w:after="0" w:afterAutospacing="0" w:line="240" w:lineRule="auto"/>
        <w:ind w:leftChars="0" w:right="0" w:rightChars="0" w:firstLine="560" w:firstLineChars="200"/>
        <w:textAlignment w:val="auto"/>
        <w:rPr>
          <w:rFonts w:hint="eastAsia" w:ascii="宋体" w:hAnsi="宋体" w:cs="Gulim"/>
          <w:kern w:val="2"/>
          <w:sz w:val="28"/>
          <w:szCs w:val="28"/>
          <w:lang w:bidi="en-US"/>
        </w:rPr>
      </w:pPr>
      <w:r>
        <w:rPr>
          <w:rFonts w:hint="eastAsia" w:ascii="宋体" w:hAnsi="宋体" w:cs="Gulim"/>
          <w:kern w:val="2"/>
          <w:sz w:val="28"/>
          <w:szCs w:val="28"/>
          <w:lang w:bidi="en-US"/>
        </w:rPr>
        <w:t>若因任一方有特殊情况需要延期、变更、终止或取消本协议，必须提前10天以书面形式通知对方,且需双方协商达成一致的处理意见。</w:t>
      </w:r>
    </w:p>
    <w:p>
      <w:pPr>
        <w:spacing w:line="560" w:lineRule="exact"/>
        <w:ind w:leftChars="-1" w:hanging="2"/>
        <w:rPr>
          <w:rFonts w:hint="eastAsia"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b/>
          <w:color w:val="auto"/>
          <w:sz w:val="28"/>
          <w:szCs w:val="28"/>
          <w:highlight w:val="none"/>
        </w:rPr>
        <w:t>十二、违约责任</w:t>
      </w:r>
    </w:p>
    <w:p>
      <w:pPr>
        <w:widowControl w:val="0"/>
        <w:numPr>
          <w:ilvl w:val="0"/>
          <w:numId w:val="6"/>
        </w:numPr>
        <w:spacing w:before="0" w:after="0" w:afterAutospacing="0" w:line="240" w:lineRule="auto"/>
        <w:ind w:left="425" w:right="0" w:hanging="425" w:firstLineChars="0"/>
        <w:rPr>
          <w:rFonts w:ascii="宋体" w:hAnsi="宋体" w:cs="Gulim"/>
          <w:kern w:val="2"/>
          <w:sz w:val="28"/>
          <w:szCs w:val="28"/>
          <w:lang w:bidi="en-US"/>
        </w:rPr>
      </w:pPr>
      <w:r>
        <w:rPr>
          <w:rFonts w:hint="eastAsia" w:ascii="宋体" w:hAnsi="宋体" w:cs="Gulim"/>
          <w:kern w:val="2"/>
          <w:sz w:val="28"/>
          <w:szCs w:val="28"/>
          <w:lang w:bidi="en-US"/>
        </w:rPr>
        <w:t>本合同正式签订生效后，任何一方不履行或不完全履行本合同约定条款的，即构成违约。违约方应向守约方支付由于违约造成的一切损失。</w:t>
      </w:r>
    </w:p>
    <w:p>
      <w:pPr>
        <w:widowControl w:val="0"/>
        <w:numPr>
          <w:ilvl w:val="0"/>
          <w:numId w:val="6"/>
        </w:numPr>
        <w:spacing w:before="0" w:after="0" w:afterAutospacing="0" w:line="240" w:lineRule="auto"/>
        <w:ind w:left="425" w:right="0" w:hanging="425" w:firstLineChars="0"/>
        <w:rPr>
          <w:rFonts w:hint="eastAsia" w:asciiTheme="minorEastAsia" w:hAnsiTheme="minorEastAsia" w:eastAsiaTheme="minorEastAsia" w:cstheme="minorEastAsia"/>
          <w:sz w:val="28"/>
          <w:szCs w:val="28"/>
        </w:rPr>
      </w:pPr>
      <w:r>
        <w:rPr>
          <w:rFonts w:hint="eastAsia" w:ascii="宋体" w:hAnsi="宋体"/>
          <w:kern w:val="2"/>
          <w:sz w:val="28"/>
          <w:szCs w:val="28"/>
        </w:rPr>
        <w:t>乙方未能按工作计划及甲方批准的实施方案履行义务的，每迟延一天，甲方有权扣除该项服务费用</w:t>
      </w:r>
      <w:r>
        <w:rPr>
          <w:rFonts w:hint="eastAsia" w:ascii="宋体" w:hAnsi="宋体"/>
          <w:kern w:val="2"/>
          <w:sz w:val="28"/>
          <w:szCs w:val="28"/>
          <w:lang w:val="en-US" w:eastAsia="zh-CN"/>
        </w:rPr>
        <w:t>0.</w:t>
      </w:r>
      <w:r>
        <w:rPr>
          <w:rFonts w:hint="eastAsia" w:ascii="宋体" w:hAnsi="宋体"/>
          <w:kern w:val="2"/>
          <w:sz w:val="28"/>
          <w:szCs w:val="28"/>
        </w:rPr>
        <w:t>1%的违约金；逾期达到10天的，甲方有权解除合同且不支付乙方服务费用。</w:t>
      </w:r>
    </w:p>
    <w:p>
      <w:pPr>
        <w:numPr>
          <w:ilvl w:val="0"/>
          <w:numId w:val="6"/>
        </w:numPr>
        <w:spacing w:afterAutospacing="0" w:line="240" w:lineRule="auto"/>
        <w:ind w:left="425" w:right="0" w:hanging="425" w:firstLineChars="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甲乙双方共同遵守本合同,若未协商一致单方面擅自更改培训时间的违约行为，则赔偿对方违约金</w:t>
      </w: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000元；</w:t>
      </w:r>
    </w:p>
    <w:p>
      <w:pPr>
        <w:numPr>
          <w:ilvl w:val="0"/>
          <w:numId w:val="6"/>
        </w:numPr>
        <w:spacing w:afterAutospacing="0" w:line="240" w:lineRule="auto"/>
        <w:ind w:left="425" w:right="0" w:hanging="425" w:firstLineChars="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乙方在本合同生效后、未经甲方书面同意，单方面更改培训讲师，每出现一课次则赔偿对方违约金2000元：</w:t>
      </w:r>
    </w:p>
    <w:p>
      <w:pPr>
        <w:numPr>
          <w:ilvl w:val="0"/>
          <w:numId w:val="6"/>
        </w:numPr>
        <w:spacing w:afterAutospacing="0" w:line="240" w:lineRule="auto"/>
        <w:ind w:left="425" w:right="0" w:hanging="425" w:firstLineChars="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乙方在本合同生效后、未经甲方书面同意，单方面调整培训项目，每出现一次则赔偿对方违约金2000元。</w:t>
      </w:r>
    </w:p>
    <w:p>
      <w:pPr>
        <w:numPr>
          <w:ilvl w:val="0"/>
          <w:numId w:val="6"/>
        </w:numPr>
        <w:spacing w:afterAutospacing="0" w:line="240" w:lineRule="auto"/>
        <w:ind w:left="425" w:right="0" w:hanging="425" w:firstLineChars="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由于甲</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乙任何一方违约，造成本协议不能履行或不能完全履行时，守约方有权要求终止协议，并要求违约方赔偿全部经济损失；</w:t>
      </w:r>
    </w:p>
    <w:p>
      <w:pPr>
        <w:widowControl w:val="0"/>
        <w:numPr>
          <w:ilvl w:val="0"/>
          <w:numId w:val="6"/>
        </w:numPr>
        <w:spacing w:before="0" w:after="0" w:afterAutospacing="0" w:line="240" w:lineRule="auto"/>
        <w:ind w:left="425" w:right="0" w:hanging="425" w:firstLineChars="0"/>
        <w:rPr>
          <w:rFonts w:ascii="宋体" w:hAnsi="宋体"/>
          <w:bCs/>
          <w:kern w:val="2"/>
          <w:sz w:val="28"/>
          <w:szCs w:val="28"/>
        </w:rPr>
      </w:pPr>
      <w:r>
        <w:rPr>
          <w:rFonts w:hint="eastAsia" w:ascii="宋体" w:hAnsi="宋体"/>
          <w:bCs/>
          <w:kern w:val="2"/>
          <w:sz w:val="28"/>
          <w:szCs w:val="28"/>
        </w:rPr>
        <w:t>因乙方原因造成甲方重大损失的，甲方有权随时解除本合同并要求乙方承担相应的赔偿责任。</w:t>
      </w:r>
    </w:p>
    <w:p>
      <w:pPr>
        <w:widowControl w:val="0"/>
        <w:numPr>
          <w:ilvl w:val="0"/>
          <w:numId w:val="6"/>
        </w:numPr>
        <w:spacing w:before="0" w:after="0" w:afterAutospacing="0" w:line="240" w:lineRule="auto"/>
        <w:ind w:left="425" w:right="0" w:hanging="425" w:firstLineChars="0"/>
        <w:rPr>
          <w:rFonts w:ascii="宋体" w:hAnsi="宋体"/>
          <w:kern w:val="2"/>
          <w:sz w:val="28"/>
          <w:szCs w:val="28"/>
        </w:rPr>
      </w:pPr>
      <w:r>
        <w:rPr>
          <w:rFonts w:hint="eastAsia" w:ascii="宋体" w:hAnsi="宋体"/>
          <w:bCs/>
          <w:kern w:val="2"/>
          <w:sz w:val="28"/>
          <w:szCs w:val="28"/>
        </w:rPr>
        <w:t>因乙方未按合同约定按时按质完成工作内容，达不到甲方的要求，甲方有权要求解除本合同并要求乙方承担相应的赔偿责任。</w:t>
      </w:r>
    </w:p>
    <w:p>
      <w:pPr>
        <w:widowControl w:val="0"/>
        <w:numPr>
          <w:ilvl w:val="0"/>
          <w:numId w:val="6"/>
        </w:numPr>
        <w:spacing w:before="0" w:after="0" w:afterAutospacing="0" w:line="240" w:lineRule="auto"/>
        <w:ind w:left="425" w:right="0" w:hanging="425" w:firstLineChars="0"/>
        <w:rPr>
          <w:rFonts w:hint="eastAsia" w:asciiTheme="minorEastAsia" w:hAnsiTheme="minorEastAsia" w:eastAsiaTheme="minorEastAsia" w:cstheme="minorEastAsia"/>
          <w:sz w:val="28"/>
          <w:szCs w:val="28"/>
        </w:rPr>
      </w:pPr>
      <w:r>
        <w:rPr>
          <w:rFonts w:hint="eastAsia" w:ascii="宋体" w:hAnsi="宋体"/>
          <w:kern w:val="2"/>
          <w:sz w:val="28"/>
          <w:szCs w:val="28"/>
        </w:rPr>
        <w:t>因乙方原因导致知识产权或专利纠纷，从而导致甲方不能正常使用乙方提供的服务的,乙方须全额退还甲方已经支付的款项，因此给甲方造成损失的，由乙方承担全部赔偿责任。</w:t>
      </w:r>
    </w:p>
    <w:p>
      <w:pPr>
        <w:widowControl w:val="0"/>
        <w:spacing w:before="0" w:after="0" w:afterAutospacing="0" w:line="400" w:lineRule="exact"/>
        <w:ind w:left="0" w:right="0" w:firstLine="0"/>
        <w:rPr>
          <w:rFonts w:ascii="宋体" w:hAnsi="宋体"/>
          <w:b/>
          <w:kern w:val="2"/>
          <w:sz w:val="28"/>
          <w:szCs w:val="28"/>
        </w:rPr>
      </w:pPr>
      <w:r>
        <w:rPr>
          <w:rFonts w:hint="eastAsia" w:asciiTheme="minorEastAsia" w:hAnsiTheme="minorEastAsia" w:eastAsiaTheme="minorEastAsia" w:cstheme="minorEastAsia"/>
          <w:b/>
          <w:sz w:val="28"/>
          <w:szCs w:val="28"/>
        </w:rPr>
        <w:t>十三、</w:t>
      </w:r>
      <w:r>
        <w:rPr>
          <w:rFonts w:hint="eastAsia" w:ascii="宋体" w:hAnsi="宋体"/>
          <w:b/>
          <w:kern w:val="2"/>
          <w:sz w:val="28"/>
          <w:szCs w:val="28"/>
        </w:rPr>
        <w:t>不可抗力</w:t>
      </w:r>
    </w:p>
    <w:p>
      <w:pPr>
        <w:numPr>
          <w:ilvl w:val="0"/>
          <w:numId w:val="7"/>
        </w:numPr>
        <w:spacing w:afterAutospacing="0" w:line="240" w:lineRule="auto"/>
        <w:ind w:left="425" w:right="0" w:hanging="425" w:firstLineChars="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如果一方在履行本合同时直接受到某一不可抗力事实的影响、迟延或阻碍，该方应在不可抗力事件发生后立即通知对方，因不可抗力导致无法通知的，应当在不可抗力的影响消除后两天内书面通知另一方并提供有关的详细信息，否则由此造成的损失由迟延通知的一方承担。</w:t>
      </w:r>
    </w:p>
    <w:p>
      <w:pPr>
        <w:numPr>
          <w:ilvl w:val="0"/>
          <w:numId w:val="7"/>
        </w:numPr>
        <w:spacing w:afterAutospacing="0" w:line="240" w:lineRule="auto"/>
        <w:ind w:left="425" w:right="0" w:hanging="425" w:firstLineChars="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对不可抗力事件造成的未履行或延迟履行义务，任何一方均不承担责任。受不可抗力事件影响的一方须采取适当措施以减少或消除不可抗力的影响，并尽快恢复履行受不可抗力事件影响的义务。</w:t>
      </w:r>
    </w:p>
    <w:p>
      <w:pPr>
        <w:numPr>
          <w:ilvl w:val="0"/>
          <w:numId w:val="7"/>
        </w:numPr>
        <w:spacing w:afterAutospacing="0" w:line="240" w:lineRule="auto"/>
        <w:ind w:left="425" w:right="0" w:hanging="425" w:firstLineChars="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本合同所称不可抗力事件指无法克服、无法预见、超出一方或双方合理控制范围且妨碍双方完全履行合同义务的事件。不可抗力事件包括但不限于以下方面：自然灾害、暴动、战争、内乱、爆炸、火灾、洪水。</w:t>
      </w:r>
    </w:p>
    <w:p>
      <w:pPr>
        <w:spacing w:line="560" w:lineRule="exact"/>
        <w:ind w:left="0" w:leftChars="0" w:firstLine="0" w:firstLineChars="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十</w:t>
      </w:r>
      <w:r>
        <w:rPr>
          <w:rFonts w:hint="eastAsia" w:asciiTheme="minorEastAsia" w:hAnsiTheme="minorEastAsia" w:eastAsiaTheme="minorEastAsia" w:cstheme="minorEastAsia"/>
          <w:b/>
          <w:sz w:val="28"/>
          <w:szCs w:val="28"/>
          <w:lang w:eastAsia="zh-CN"/>
        </w:rPr>
        <w:t>四</w:t>
      </w:r>
      <w:r>
        <w:rPr>
          <w:rFonts w:hint="eastAsia" w:asciiTheme="minorEastAsia" w:hAnsiTheme="minorEastAsia" w:eastAsiaTheme="minorEastAsia" w:cstheme="minorEastAsia"/>
          <w:b/>
          <w:sz w:val="28"/>
          <w:szCs w:val="28"/>
        </w:rPr>
        <w:t>、争议解决方式</w:t>
      </w:r>
    </w:p>
    <w:p>
      <w:pPr>
        <w:numPr>
          <w:ilvl w:val="0"/>
          <w:numId w:val="0"/>
        </w:numPr>
        <w:spacing w:line="240" w:lineRule="auto"/>
        <w:ind w:left="0" w:leftChars="0" w:right="0" w:firstLine="560"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sz w:val="28"/>
          <w:szCs w:val="28"/>
        </w:rPr>
        <w:t>凡因本</w:t>
      </w:r>
      <w:r>
        <w:rPr>
          <w:rFonts w:hint="eastAsia" w:asciiTheme="minorEastAsia" w:hAnsiTheme="minorEastAsia" w:eastAsiaTheme="minorEastAsia" w:cstheme="minorEastAsia"/>
          <w:sz w:val="28"/>
          <w:szCs w:val="28"/>
          <w:lang w:eastAsia="zh-CN"/>
        </w:rPr>
        <w:t>合同</w:t>
      </w:r>
      <w:r>
        <w:rPr>
          <w:rFonts w:hint="eastAsia" w:asciiTheme="minorEastAsia" w:hAnsiTheme="minorEastAsia" w:eastAsiaTheme="minorEastAsia" w:cstheme="minorEastAsia"/>
          <w:sz w:val="28"/>
          <w:szCs w:val="28"/>
        </w:rPr>
        <w:t>引起的或与本</w:t>
      </w:r>
      <w:r>
        <w:rPr>
          <w:rFonts w:hint="eastAsia" w:asciiTheme="minorEastAsia" w:hAnsiTheme="minorEastAsia" w:eastAsiaTheme="minorEastAsia" w:cstheme="minorEastAsia"/>
          <w:sz w:val="28"/>
          <w:szCs w:val="28"/>
          <w:lang w:eastAsia="zh-CN"/>
        </w:rPr>
        <w:t>合同</w:t>
      </w:r>
      <w:r>
        <w:rPr>
          <w:rFonts w:hint="eastAsia" w:asciiTheme="minorEastAsia" w:hAnsiTheme="minorEastAsia" w:eastAsiaTheme="minorEastAsia" w:cstheme="minorEastAsia"/>
          <w:sz w:val="28"/>
          <w:szCs w:val="28"/>
        </w:rPr>
        <w:t>有关的任何争议，由双方友好协商解决。协商不成时，任一方有权向甲方所在地的人民法院提起诉讼。</w:t>
      </w:r>
    </w:p>
    <w:p>
      <w:pPr>
        <w:spacing w:line="560" w:lineRule="exact"/>
        <w:ind w:left="279" w:leftChars="-1" w:hanging="281" w:hangingChars="1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十</w:t>
      </w:r>
      <w:r>
        <w:rPr>
          <w:rFonts w:hint="eastAsia" w:asciiTheme="minorEastAsia" w:hAnsiTheme="minorEastAsia" w:eastAsiaTheme="minorEastAsia" w:cstheme="minorEastAsia"/>
          <w:b/>
          <w:sz w:val="28"/>
          <w:szCs w:val="28"/>
          <w:lang w:eastAsia="zh-CN"/>
        </w:rPr>
        <w:t>五</w:t>
      </w:r>
      <w:r>
        <w:rPr>
          <w:rFonts w:hint="eastAsia" w:asciiTheme="minorEastAsia" w:hAnsiTheme="minorEastAsia" w:eastAsiaTheme="minorEastAsia" w:cstheme="minorEastAsia"/>
          <w:b/>
          <w:sz w:val="28"/>
          <w:szCs w:val="28"/>
        </w:rPr>
        <w:t>、其他事宜</w:t>
      </w:r>
    </w:p>
    <w:p>
      <w:pPr>
        <w:widowControl w:val="0"/>
        <w:numPr>
          <w:ilvl w:val="0"/>
          <w:numId w:val="8"/>
        </w:numPr>
        <w:spacing w:before="0" w:after="0" w:afterAutospacing="0" w:line="240" w:lineRule="auto"/>
        <w:ind w:left="425" w:right="0" w:hanging="425" w:firstLineChars="0"/>
        <w:rPr>
          <w:rFonts w:hint="eastAsia" w:ascii="宋体" w:hAnsi="宋体"/>
          <w:bCs/>
          <w:kern w:val="2"/>
          <w:sz w:val="28"/>
          <w:szCs w:val="28"/>
        </w:rPr>
      </w:pPr>
      <w:r>
        <w:rPr>
          <w:rFonts w:hint="eastAsia" w:ascii="宋体" w:hAnsi="宋体"/>
          <w:bCs/>
          <w:kern w:val="2"/>
          <w:sz w:val="28"/>
          <w:szCs w:val="28"/>
        </w:rPr>
        <w:t>本</w:t>
      </w:r>
      <w:r>
        <w:rPr>
          <w:rFonts w:hint="eastAsia" w:ascii="宋体" w:hAnsi="宋体"/>
          <w:bCs/>
          <w:kern w:val="2"/>
          <w:sz w:val="28"/>
          <w:szCs w:val="28"/>
          <w:lang w:eastAsia="zh-CN"/>
        </w:rPr>
        <w:t>合同</w:t>
      </w:r>
      <w:r>
        <w:rPr>
          <w:rFonts w:hint="eastAsia" w:ascii="宋体" w:hAnsi="宋体"/>
          <w:bCs/>
          <w:kern w:val="2"/>
          <w:sz w:val="28"/>
          <w:szCs w:val="28"/>
        </w:rPr>
        <w:t>未尽事宜由双方协商</w:t>
      </w:r>
      <w:r>
        <w:rPr>
          <w:rFonts w:hint="eastAsia" w:ascii="宋体" w:hAnsi="宋体"/>
          <w:bCs/>
          <w:kern w:val="2"/>
          <w:sz w:val="28"/>
          <w:szCs w:val="28"/>
          <w:lang w:eastAsia="zh-CN"/>
        </w:rPr>
        <w:t>一致</w:t>
      </w:r>
      <w:r>
        <w:rPr>
          <w:rFonts w:hint="eastAsia" w:ascii="宋体" w:hAnsi="宋体"/>
          <w:bCs/>
          <w:kern w:val="2"/>
          <w:sz w:val="28"/>
          <w:szCs w:val="28"/>
        </w:rPr>
        <w:t>签订补充协议。</w:t>
      </w:r>
    </w:p>
    <w:p>
      <w:pPr>
        <w:widowControl w:val="0"/>
        <w:numPr>
          <w:ilvl w:val="0"/>
          <w:numId w:val="8"/>
        </w:numPr>
        <w:spacing w:before="0" w:after="0" w:afterAutospacing="0" w:line="240" w:lineRule="auto"/>
        <w:ind w:left="425" w:right="0" w:hanging="425" w:firstLineChars="0"/>
        <w:rPr>
          <w:rFonts w:hint="eastAsia" w:asciiTheme="minorEastAsia" w:hAnsiTheme="minorEastAsia" w:eastAsiaTheme="minorEastAsia" w:cstheme="minorEastAsia"/>
          <w:sz w:val="28"/>
          <w:szCs w:val="28"/>
        </w:rPr>
      </w:pPr>
      <w:r>
        <w:rPr>
          <w:rFonts w:hint="eastAsia" w:ascii="宋体" w:hAnsi="宋体"/>
          <w:bCs/>
          <w:kern w:val="2"/>
          <w:sz w:val="28"/>
          <w:szCs w:val="28"/>
        </w:rPr>
        <w:t>本</w:t>
      </w:r>
      <w:r>
        <w:rPr>
          <w:rFonts w:hint="eastAsia" w:ascii="宋体" w:hAnsi="宋体"/>
          <w:bCs/>
          <w:kern w:val="2"/>
          <w:sz w:val="28"/>
          <w:szCs w:val="28"/>
          <w:lang w:eastAsia="zh-CN"/>
        </w:rPr>
        <w:t>合同</w:t>
      </w:r>
      <w:r>
        <w:rPr>
          <w:rFonts w:hint="eastAsia" w:ascii="宋体" w:hAnsi="宋体"/>
          <w:bCs/>
          <w:kern w:val="2"/>
          <w:sz w:val="28"/>
          <w:szCs w:val="28"/>
        </w:rPr>
        <w:t>经双方签字</w:t>
      </w:r>
      <w:r>
        <w:rPr>
          <w:rFonts w:hint="eastAsia" w:ascii="宋体" w:hAnsi="宋体"/>
          <w:bCs/>
          <w:kern w:val="2"/>
          <w:sz w:val="28"/>
          <w:szCs w:val="28"/>
          <w:lang w:eastAsia="zh-CN"/>
        </w:rPr>
        <w:t>、</w:t>
      </w:r>
      <w:r>
        <w:rPr>
          <w:rFonts w:hint="eastAsia" w:ascii="宋体" w:hAnsi="宋体"/>
          <w:bCs/>
          <w:kern w:val="2"/>
          <w:sz w:val="28"/>
          <w:szCs w:val="28"/>
        </w:rPr>
        <w:t>盖章后生效</w:t>
      </w:r>
      <w:r>
        <w:rPr>
          <w:rFonts w:hint="eastAsia" w:ascii="宋体" w:hAnsi="宋体"/>
          <w:bCs/>
          <w:kern w:val="2"/>
          <w:sz w:val="28"/>
          <w:szCs w:val="28"/>
          <w:lang w:eastAsia="zh-CN"/>
        </w:rPr>
        <w:t>。本合同</w:t>
      </w:r>
      <w:r>
        <w:rPr>
          <w:rFonts w:hint="eastAsia" w:ascii="宋体" w:hAnsi="宋体"/>
          <w:bCs/>
          <w:kern w:val="2"/>
          <w:sz w:val="28"/>
          <w:szCs w:val="28"/>
        </w:rPr>
        <w:t>一式十份，甲方执八份，乙方执两份。</w:t>
      </w:r>
    </w:p>
    <w:p>
      <w:pPr>
        <w:pStyle w:val="2"/>
        <w:rPr>
          <w:rFonts w:hint="eastAsia" w:hAnsi="宋体"/>
          <w:bCs/>
          <w:kern w:val="2"/>
          <w:sz w:val="28"/>
          <w:szCs w:val="28"/>
          <w:lang w:eastAsia="zh-CN"/>
        </w:rPr>
      </w:pPr>
    </w:p>
    <w:p>
      <w:pPr>
        <w:spacing w:line="560" w:lineRule="exact"/>
        <w:ind w:left="0" w:leftChars="0" w:firstLine="0" w:firstLineChars="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 xml:space="preserve">甲方：（公章）                        </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乙方：（公章）</w:t>
      </w:r>
      <w:r>
        <w:rPr>
          <w:rFonts w:hint="eastAsia" w:asciiTheme="minorEastAsia" w:hAnsiTheme="minorEastAsia" w:eastAsiaTheme="minorEastAsia" w:cstheme="minorEastAsia"/>
          <w:sz w:val="28"/>
          <w:szCs w:val="28"/>
          <w:lang w:val="en-US" w:eastAsia="zh-CN"/>
        </w:rPr>
        <w:t xml:space="preserve">             </w:t>
      </w:r>
    </w:p>
    <w:p>
      <w:pPr>
        <w:spacing w:line="560" w:lineRule="exact"/>
        <w:ind w:left="0" w:leftChars="0" w:firstLine="0" w:firstLineChars="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法定代表人或授权代理人</w:t>
      </w:r>
      <w:r>
        <w:rPr>
          <w:rFonts w:hint="eastAsia" w:asciiTheme="minorEastAsia" w:hAnsiTheme="minorEastAsia" w:eastAsiaTheme="minorEastAsia" w:cstheme="minorEastAsia"/>
          <w:sz w:val="28"/>
          <w:szCs w:val="28"/>
        </w:rPr>
        <w:t xml:space="preserve">：（签字）   </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法定代表人或授权代理人</w:t>
      </w:r>
      <w:r>
        <w:rPr>
          <w:rFonts w:hint="eastAsia" w:asciiTheme="minorEastAsia" w:hAnsiTheme="minorEastAsia" w:eastAsiaTheme="minorEastAsia" w:cstheme="minorEastAsia"/>
          <w:sz w:val="28"/>
          <w:szCs w:val="28"/>
        </w:rPr>
        <w:t>：（签字）</w:t>
      </w:r>
    </w:p>
    <w:p>
      <w:pPr>
        <w:widowControl w:val="0"/>
        <w:spacing w:before="0" w:after="0" w:afterAutospacing="0" w:line="240" w:lineRule="auto"/>
        <w:ind w:left="0" w:right="560" w:firstLine="0"/>
        <w:jc w:val="left"/>
        <w:rPr>
          <w:kern w:val="2"/>
          <w:sz w:val="28"/>
          <w:szCs w:val="28"/>
        </w:rPr>
      </w:pPr>
      <w:r>
        <w:rPr>
          <w:rFonts w:hint="eastAsia" w:asciiTheme="minorEastAsia" w:hAnsiTheme="minorEastAsia" w:eastAsiaTheme="minorEastAsia" w:cstheme="minorEastAsia"/>
          <w:sz w:val="28"/>
          <w:szCs w:val="28"/>
        </w:rPr>
        <w:t>年    月    日</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年    月    日</w:t>
      </w:r>
      <w:r>
        <w:rPr>
          <w:rFonts w:hint="eastAsia" w:asciiTheme="minorEastAsia" w:hAnsiTheme="minorEastAsia" w:eastAsiaTheme="minorEastAsia" w:cstheme="minorEastAsia"/>
          <w:i/>
          <w:sz w:val="28"/>
          <w:szCs w:val="28"/>
        </w:rPr>
        <w:t>　　　　</w:t>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lang w:val="en-US" w:eastAsia="zh-CN"/>
        </w:rPr>
        <w:t xml:space="preserve">      </w:t>
      </w:r>
    </w:p>
    <w:p>
      <w:pPr>
        <w:jc w:val="center"/>
        <w:rPr>
          <w:rFonts w:ascii="宋体" w:hAnsi="宋体"/>
          <w:sz w:val="48"/>
          <w:szCs w:val="48"/>
          <w:u w:val="single"/>
        </w:rPr>
      </w:pPr>
    </w:p>
    <w:p>
      <w:pPr>
        <w:spacing w:before="0" w:after="0"/>
        <w:ind w:left="420" w:right="0" w:firstLine="0"/>
        <w:jc w:val="left"/>
      </w:pPr>
    </w:p>
    <w:sectPr>
      <w:pgSz w:w="11905" w:h="16838"/>
      <w:pgMar w:top="1418" w:right="1418" w:bottom="1304" w:left="1418" w:header="454" w:footer="567" w:gutter="0"/>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Gulim">
    <w:panose1 w:val="020B0600000101010101"/>
    <w:charset w:val="81"/>
    <w:family w:val="roman"/>
    <w:pitch w:val="default"/>
    <w:sig w:usb0="B00002AF" w:usb1="69D77CFB" w:usb2="00000030" w:usb3="00000000" w:csb0="4008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before="0"/>
      <w:ind w:right="-57" w:firstLine="0"/>
      <w:jc w:val="cente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33985" cy="483870"/>
              <wp:effectExtent l="0" t="0" r="0" b="0"/>
              <wp:wrapNone/>
              <wp:docPr id="172" name="文本框 6"/>
              <wp:cNvGraphicFramePr/>
              <a:graphic xmlns:a="http://schemas.openxmlformats.org/drawingml/2006/main">
                <a:graphicData uri="http://schemas.microsoft.com/office/word/2010/wordprocessingShape">
                  <wps:wsp>
                    <wps:cNvSpPr txBox="1"/>
                    <wps:spPr>
                      <a:xfrm>
                        <a:off x="0" y="0"/>
                        <a:ext cx="133985" cy="483870"/>
                      </a:xfrm>
                      <a:prstGeom prst="rect">
                        <a:avLst/>
                      </a:prstGeom>
                      <a:noFill/>
                      <a:ln w="6350" cap="flat">
                        <a:noFill/>
                      </a:ln>
                      <a:effectLst/>
                    </wps:spPr>
                    <wps:txbx>
                      <w:txbxContent>
                        <w:p>
                          <w:r>
                            <w:fldChar w:fldCharType="begin"/>
                          </w:r>
                          <w:r>
                            <w:instrText xml:space="preserve">PAGE  \* MERGEFORMAT</w:instrText>
                          </w:r>
                          <w:r>
                            <w:fldChar w:fldCharType="separate"/>
                          </w:r>
                          <w:r>
                            <w:t>57</w:t>
                          </w:r>
                          <w:r>
                            <w:fldChar w:fldCharType="end"/>
                          </w:r>
                        </w:p>
                      </w:txbxContent>
                    </wps:txbx>
                    <wps:bodyPr rot="0" spcFirstLastPara="0" vertOverflow="overflow" horzOverflow="overflow" vert="horz" wrap="none" lIns="0" tIns="0" rIns="0" bIns="0" numCol="1" spcCol="0" rtlCol="0" fromWordArt="0" anchor="t" anchorCtr="0" forceAA="0" compatLnSpc="0">
                      <a:spAutoFit/>
                    </wps:bodyPr>
                  </wps:wsp>
                </a:graphicData>
              </a:graphic>
            </wp:anchor>
          </w:drawing>
        </mc:Choice>
        <mc:Fallback>
          <w:pict>
            <v:shape id="文本框 6" o:spid="_x0000_s1026" o:spt="202" type="#_x0000_t202" style="position:absolute;left:0pt;margin-top:0pt;height:38.1pt;width:10.55pt;mso-position-horizontal:center;mso-position-horizontal-relative:margin;mso-wrap-style:none;z-index:251659264;mso-width-relative:page;mso-height-relative:page;" filled="f" stroked="f" coordsize="21600,21600" o:gfxdata="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djX569IAAAADAQAADwAAAAAAAAABACAAAAAiAAAAZHJzL2Rvd25y&#10;ZXYueG1sUEsBAhQAFAAAAAgAh07iQH1mOiw9AgAAbgQAAA4AAAAAAAAAAQAgAAAAIQEAAGRycy9l&#10;Mm9Eb2MueG1sUEsFBgAAAAAGAAYAWQEAANAFAAAAAA==&#10;">
              <v:fill on="f" focussize="0,0"/>
              <v:stroke on="f" weight="0.5pt"/>
              <v:imagedata o:title=""/>
              <o:lock v:ext="edit" aspectratio="f"/>
              <v:textbox inset="0mm,0mm,0mm,0mm" style="mso-fit-shape-to-text:t;">
                <w:txbxContent>
                  <w:p>
                    <w:r>
                      <w:fldChar w:fldCharType="begin"/>
                    </w:r>
                    <w:r>
                      <w:instrText xml:space="preserve">PAGE  \* MERGEFORMAT</w:instrText>
                    </w:r>
                    <w:r>
                      <w:fldChar w:fldCharType="separate"/>
                    </w:r>
                    <w:r>
                      <w:t>57</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pPr>
      <w:r>
        <w:separator/>
      </w:r>
    </w:p>
  </w:footnote>
  <w:footnote w:type="continuationSeparator" w:id="1">
    <w:p>
      <w:pPr>
        <w:spacing w:before="0" w:after="0"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ind w:right="-57"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02A936"/>
    <w:multiLevelType w:val="singleLevel"/>
    <w:tmpl w:val="8902A936"/>
    <w:lvl w:ilvl="0" w:tentative="0">
      <w:start w:val="2"/>
      <w:numFmt w:val="decimal"/>
      <w:lvlText w:val="%1."/>
      <w:lvlJc w:val="left"/>
      <w:pPr>
        <w:tabs>
          <w:tab w:val="left" w:pos="312"/>
        </w:tabs>
      </w:pPr>
    </w:lvl>
  </w:abstractNum>
  <w:abstractNum w:abstractNumId="1">
    <w:nsid w:val="DC8A5CA8"/>
    <w:multiLevelType w:val="singleLevel"/>
    <w:tmpl w:val="DC8A5CA8"/>
    <w:lvl w:ilvl="0" w:tentative="0">
      <w:start w:val="10"/>
      <w:numFmt w:val="chineseCounting"/>
      <w:suff w:val="nothing"/>
      <w:lvlText w:val="%1、"/>
      <w:lvlJc w:val="left"/>
      <w:rPr>
        <w:rFonts w:hint="eastAsia"/>
      </w:rPr>
    </w:lvl>
  </w:abstractNum>
  <w:abstractNum w:abstractNumId="2">
    <w:nsid w:val="FAB24CEF"/>
    <w:multiLevelType w:val="singleLevel"/>
    <w:tmpl w:val="FAB24CEF"/>
    <w:lvl w:ilvl="0" w:tentative="0">
      <w:start w:val="1"/>
      <w:numFmt w:val="decimal"/>
      <w:lvlText w:val="%1."/>
      <w:lvlJc w:val="left"/>
      <w:pPr>
        <w:ind w:left="425" w:hanging="425"/>
      </w:pPr>
      <w:rPr>
        <w:rFonts w:hint="default"/>
      </w:rPr>
    </w:lvl>
  </w:abstractNum>
  <w:abstractNum w:abstractNumId="3">
    <w:nsid w:val="1247A929"/>
    <w:multiLevelType w:val="singleLevel"/>
    <w:tmpl w:val="1247A929"/>
    <w:lvl w:ilvl="0" w:tentative="0">
      <w:start w:val="1"/>
      <w:numFmt w:val="decimal"/>
      <w:lvlText w:val="%1."/>
      <w:lvlJc w:val="left"/>
      <w:pPr>
        <w:ind w:left="425" w:hanging="425"/>
      </w:pPr>
      <w:rPr>
        <w:rFonts w:hint="default"/>
      </w:rPr>
    </w:lvl>
  </w:abstractNum>
  <w:abstractNum w:abstractNumId="4">
    <w:nsid w:val="19586DA6"/>
    <w:multiLevelType w:val="multilevel"/>
    <w:tmpl w:val="19586DA6"/>
    <w:lvl w:ilvl="0" w:tentative="0">
      <w:start w:val="1"/>
      <w:numFmt w:val="japaneseCounting"/>
      <w:lvlText w:val="%1、"/>
      <w:lvlJc w:val="left"/>
      <w:pPr>
        <w:ind w:left="720" w:hanging="720"/>
      </w:pPr>
      <w:rPr>
        <w:rFonts w:hint="default"/>
        <w:b/>
        <w:u w:val="none" w:color="auto"/>
      </w:rPr>
    </w:lvl>
    <w:lvl w:ilvl="1" w:tentative="0">
      <w:start w:val="1"/>
      <w:numFmt w:val="lowerLetter"/>
      <w:lvlText w:val="%2)"/>
      <w:lvlJc w:val="left"/>
      <w:pPr>
        <w:ind w:left="840" w:hanging="420"/>
      </w:pPr>
      <w:rPr>
        <w:rFonts w:hint="default"/>
        <w:u w:val="none" w:color="auto"/>
      </w:rPr>
    </w:lvl>
    <w:lvl w:ilvl="2" w:tentative="0">
      <w:start w:val="1"/>
      <w:numFmt w:val="lowerRoman"/>
      <w:lvlText w:val="%3."/>
      <w:lvlJc w:val="right"/>
      <w:pPr>
        <w:ind w:left="1260" w:hanging="420"/>
      </w:pPr>
      <w:rPr>
        <w:rFonts w:hint="default"/>
        <w:u w:val="none" w:color="auto"/>
      </w:rPr>
    </w:lvl>
    <w:lvl w:ilvl="3" w:tentative="0">
      <w:start w:val="1"/>
      <w:numFmt w:val="decimal"/>
      <w:lvlText w:val="%4."/>
      <w:lvlJc w:val="left"/>
      <w:pPr>
        <w:ind w:left="1680" w:hanging="420"/>
      </w:pPr>
      <w:rPr>
        <w:rFonts w:hint="default"/>
        <w:u w:val="none" w:color="auto"/>
      </w:rPr>
    </w:lvl>
    <w:lvl w:ilvl="4" w:tentative="0">
      <w:start w:val="1"/>
      <w:numFmt w:val="lowerLetter"/>
      <w:lvlText w:val="%5)"/>
      <w:lvlJc w:val="left"/>
      <w:pPr>
        <w:ind w:left="2100" w:hanging="420"/>
      </w:pPr>
      <w:rPr>
        <w:rFonts w:hint="default"/>
        <w:u w:val="none" w:color="auto"/>
      </w:rPr>
    </w:lvl>
    <w:lvl w:ilvl="5" w:tentative="0">
      <w:start w:val="1"/>
      <w:numFmt w:val="lowerRoman"/>
      <w:lvlText w:val="%6."/>
      <w:lvlJc w:val="right"/>
      <w:pPr>
        <w:ind w:left="2520" w:hanging="420"/>
      </w:pPr>
      <w:rPr>
        <w:rFonts w:hint="default"/>
        <w:u w:val="none" w:color="auto"/>
      </w:rPr>
    </w:lvl>
    <w:lvl w:ilvl="6" w:tentative="0">
      <w:start w:val="1"/>
      <w:numFmt w:val="decimal"/>
      <w:lvlText w:val="%7."/>
      <w:lvlJc w:val="left"/>
      <w:pPr>
        <w:ind w:left="2940" w:hanging="420"/>
      </w:pPr>
      <w:rPr>
        <w:rFonts w:hint="default"/>
        <w:u w:val="none" w:color="auto"/>
      </w:rPr>
    </w:lvl>
    <w:lvl w:ilvl="7" w:tentative="0">
      <w:start w:val="1"/>
      <w:numFmt w:val="lowerLetter"/>
      <w:lvlText w:val="%8)"/>
      <w:lvlJc w:val="left"/>
      <w:pPr>
        <w:ind w:left="3360" w:hanging="420"/>
      </w:pPr>
      <w:rPr>
        <w:rFonts w:hint="default"/>
        <w:u w:val="none" w:color="auto"/>
      </w:rPr>
    </w:lvl>
    <w:lvl w:ilvl="8" w:tentative="0">
      <w:start w:val="1"/>
      <w:numFmt w:val="lowerRoman"/>
      <w:lvlText w:val="%9."/>
      <w:lvlJc w:val="right"/>
      <w:pPr>
        <w:ind w:left="3780" w:hanging="420"/>
      </w:pPr>
      <w:rPr>
        <w:rFonts w:hint="default"/>
        <w:u w:val="none" w:color="auto"/>
      </w:rPr>
    </w:lvl>
  </w:abstractNum>
  <w:abstractNum w:abstractNumId="5">
    <w:nsid w:val="43E5DE2D"/>
    <w:multiLevelType w:val="singleLevel"/>
    <w:tmpl w:val="43E5DE2D"/>
    <w:lvl w:ilvl="0" w:tentative="0">
      <w:start w:val="1"/>
      <w:numFmt w:val="decimal"/>
      <w:lvlText w:val="%1."/>
      <w:lvlJc w:val="left"/>
      <w:pPr>
        <w:ind w:left="425" w:hanging="425"/>
      </w:pPr>
      <w:rPr>
        <w:rFonts w:hint="default"/>
      </w:rPr>
    </w:lvl>
  </w:abstractNum>
  <w:abstractNum w:abstractNumId="6">
    <w:nsid w:val="4D4BAAA9"/>
    <w:multiLevelType w:val="singleLevel"/>
    <w:tmpl w:val="4D4BAAA9"/>
    <w:lvl w:ilvl="0" w:tentative="0">
      <w:start w:val="1"/>
      <w:numFmt w:val="decimal"/>
      <w:lvlText w:val="%1."/>
      <w:lvlJc w:val="left"/>
      <w:pPr>
        <w:ind w:left="425" w:hanging="425"/>
      </w:pPr>
      <w:rPr>
        <w:rFonts w:hint="default"/>
      </w:rPr>
    </w:lvl>
  </w:abstractNum>
  <w:abstractNum w:abstractNumId="7">
    <w:nsid w:val="66766742"/>
    <w:multiLevelType w:val="singleLevel"/>
    <w:tmpl w:val="66766742"/>
    <w:lvl w:ilvl="0" w:tentative="0">
      <w:start w:val="1"/>
      <w:numFmt w:val="decimal"/>
      <w:lvlText w:val="%1."/>
      <w:lvlJc w:val="left"/>
      <w:pPr>
        <w:ind w:left="425" w:hanging="425"/>
      </w:pPr>
      <w:rPr>
        <w:rFonts w:hint="default"/>
      </w:rPr>
    </w:lvl>
  </w:abstractNum>
  <w:num w:numId="1">
    <w:abstractNumId w:val="4"/>
  </w:num>
  <w:num w:numId="2">
    <w:abstractNumId w:val="7"/>
  </w:num>
  <w:num w:numId="3">
    <w:abstractNumId w:val="0"/>
  </w:num>
  <w:num w:numId="4">
    <w:abstractNumId w:val="1"/>
  </w:num>
  <w:num w:numId="5">
    <w:abstractNumId w:val="3"/>
  </w:num>
  <w:num w:numId="6">
    <w:abstractNumId w:val="6"/>
  </w:num>
  <w:num w:numId="7">
    <w:abstractNumId w:val="5"/>
  </w:num>
  <w:num w:numId="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大鸣山">
    <w15:presenceInfo w15:providerId="WPS Office" w15:userId="41031939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trackRevisions w:val="1"/>
  <w:documentProtection w:enforcement="0"/>
  <w:defaultTabStop w:val="420"/>
  <w:drawingGridHorizontalSpacing w:val="105"/>
  <w:displayHorizontalDrawingGridEvery w:val="1"/>
  <w:displayVerticalDrawingGridEvery w:val="1"/>
  <w:noPunctuationKerning w:val="1"/>
  <w:characterSpacingControl w:val="compressPunctuation"/>
  <w:footnotePr>
    <w:footnote w:id="0"/>
    <w:footnote w:id="1"/>
  </w:footnotePr>
  <w:endnotePr>
    <w:endnote w:id="0"/>
    <w:endnote w:id="1"/>
  </w:endnotePr>
  <w:compat>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FkYzg3MWMyNmUzNTEzMmZjZjBiZTU0MTIxMjkxMTkifQ=="/>
  </w:docVars>
  <w:rsids>
    <w:rsidRoot w:val="00172A27"/>
    <w:rsid w:val="00000139"/>
    <w:rsid w:val="0000094A"/>
    <w:rsid w:val="000045EA"/>
    <w:rsid w:val="00012AEC"/>
    <w:rsid w:val="00012C25"/>
    <w:rsid w:val="000143B4"/>
    <w:rsid w:val="00020035"/>
    <w:rsid w:val="000210E0"/>
    <w:rsid w:val="00022F88"/>
    <w:rsid w:val="00023621"/>
    <w:rsid w:val="00023D36"/>
    <w:rsid w:val="0003101D"/>
    <w:rsid w:val="00033132"/>
    <w:rsid w:val="00034128"/>
    <w:rsid w:val="000371BB"/>
    <w:rsid w:val="00040BF4"/>
    <w:rsid w:val="00042A74"/>
    <w:rsid w:val="000437E6"/>
    <w:rsid w:val="00043E88"/>
    <w:rsid w:val="00053D38"/>
    <w:rsid w:val="00053F20"/>
    <w:rsid w:val="00054103"/>
    <w:rsid w:val="0005746B"/>
    <w:rsid w:val="00063325"/>
    <w:rsid w:val="000656CF"/>
    <w:rsid w:val="00070470"/>
    <w:rsid w:val="00072E66"/>
    <w:rsid w:val="00074337"/>
    <w:rsid w:val="00075C8A"/>
    <w:rsid w:val="00075F92"/>
    <w:rsid w:val="00076711"/>
    <w:rsid w:val="0008222E"/>
    <w:rsid w:val="0008473D"/>
    <w:rsid w:val="00084F1D"/>
    <w:rsid w:val="00087064"/>
    <w:rsid w:val="00092270"/>
    <w:rsid w:val="0009493E"/>
    <w:rsid w:val="00095EF2"/>
    <w:rsid w:val="00096990"/>
    <w:rsid w:val="000A0577"/>
    <w:rsid w:val="000A13B5"/>
    <w:rsid w:val="000A1767"/>
    <w:rsid w:val="000A1C58"/>
    <w:rsid w:val="000A30AB"/>
    <w:rsid w:val="000A68DB"/>
    <w:rsid w:val="000B339F"/>
    <w:rsid w:val="000B34C7"/>
    <w:rsid w:val="000B4486"/>
    <w:rsid w:val="000C1668"/>
    <w:rsid w:val="000C20C1"/>
    <w:rsid w:val="000C271F"/>
    <w:rsid w:val="000C53FF"/>
    <w:rsid w:val="000C56A1"/>
    <w:rsid w:val="000C68D6"/>
    <w:rsid w:val="000D2B9F"/>
    <w:rsid w:val="000D3045"/>
    <w:rsid w:val="000D311D"/>
    <w:rsid w:val="000D4130"/>
    <w:rsid w:val="000D4905"/>
    <w:rsid w:val="000E072A"/>
    <w:rsid w:val="000E0F81"/>
    <w:rsid w:val="000E268B"/>
    <w:rsid w:val="000E2CF2"/>
    <w:rsid w:val="000E3126"/>
    <w:rsid w:val="000E5469"/>
    <w:rsid w:val="000E732D"/>
    <w:rsid w:val="000E7DA5"/>
    <w:rsid w:val="000F251C"/>
    <w:rsid w:val="000F4CFD"/>
    <w:rsid w:val="000F6EB3"/>
    <w:rsid w:val="00102D53"/>
    <w:rsid w:val="001052CE"/>
    <w:rsid w:val="00110B51"/>
    <w:rsid w:val="0011106B"/>
    <w:rsid w:val="0011296C"/>
    <w:rsid w:val="001207B4"/>
    <w:rsid w:val="00121D99"/>
    <w:rsid w:val="001250E7"/>
    <w:rsid w:val="0012593E"/>
    <w:rsid w:val="00127490"/>
    <w:rsid w:val="001315CE"/>
    <w:rsid w:val="00135B62"/>
    <w:rsid w:val="00136FF6"/>
    <w:rsid w:val="00137296"/>
    <w:rsid w:val="00142D8B"/>
    <w:rsid w:val="0014430C"/>
    <w:rsid w:val="00145D71"/>
    <w:rsid w:val="001462EA"/>
    <w:rsid w:val="0014707F"/>
    <w:rsid w:val="00151E71"/>
    <w:rsid w:val="001520D4"/>
    <w:rsid w:val="001528F9"/>
    <w:rsid w:val="00154494"/>
    <w:rsid w:val="00155FD4"/>
    <w:rsid w:val="001564A5"/>
    <w:rsid w:val="00157570"/>
    <w:rsid w:val="00164141"/>
    <w:rsid w:val="00165AFA"/>
    <w:rsid w:val="00165FC8"/>
    <w:rsid w:val="00166AC6"/>
    <w:rsid w:val="001702CD"/>
    <w:rsid w:val="0017175E"/>
    <w:rsid w:val="00171C5C"/>
    <w:rsid w:val="00171F3D"/>
    <w:rsid w:val="00172A27"/>
    <w:rsid w:val="00176DD7"/>
    <w:rsid w:val="00180318"/>
    <w:rsid w:val="0018286A"/>
    <w:rsid w:val="00186A28"/>
    <w:rsid w:val="001924EF"/>
    <w:rsid w:val="00196E63"/>
    <w:rsid w:val="001A0962"/>
    <w:rsid w:val="001A1610"/>
    <w:rsid w:val="001A27E8"/>
    <w:rsid w:val="001A37D3"/>
    <w:rsid w:val="001A3FCA"/>
    <w:rsid w:val="001A5374"/>
    <w:rsid w:val="001A5C7B"/>
    <w:rsid w:val="001A5EC5"/>
    <w:rsid w:val="001B0893"/>
    <w:rsid w:val="001B0CA1"/>
    <w:rsid w:val="001B7F87"/>
    <w:rsid w:val="001C04AD"/>
    <w:rsid w:val="001C0C50"/>
    <w:rsid w:val="001C3628"/>
    <w:rsid w:val="001C373E"/>
    <w:rsid w:val="001D5202"/>
    <w:rsid w:val="001E048A"/>
    <w:rsid w:val="001E0D82"/>
    <w:rsid w:val="001E4669"/>
    <w:rsid w:val="001E5985"/>
    <w:rsid w:val="001E5F4A"/>
    <w:rsid w:val="001E7288"/>
    <w:rsid w:val="001F35BE"/>
    <w:rsid w:val="001F6F6B"/>
    <w:rsid w:val="002041A6"/>
    <w:rsid w:val="00206D2E"/>
    <w:rsid w:val="002215B5"/>
    <w:rsid w:val="00222615"/>
    <w:rsid w:val="00222958"/>
    <w:rsid w:val="00223FD2"/>
    <w:rsid w:val="00226768"/>
    <w:rsid w:val="00226771"/>
    <w:rsid w:val="00226B2E"/>
    <w:rsid w:val="00226D0E"/>
    <w:rsid w:val="002323E4"/>
    <w:rsid w:val="002328DE"/>
    <w:rsid w:val="00233794"/>
    <w:rsid w:val="002348AD"/>
    <w:rsid w:val="00234C0B"/>
    <w:rsid w:val="00237A98"/>
    <w:rsid w:val="00237C2A"/>
    <w:rsid w:val="0024287B"/>
    <w:rsid w:val="00242BEC"/>
    <w:rsid w:val="00246163"/>
    <w:rsid w:val="0024741B"/>
    <w:rsid w:val="002475FF"/>
    <w:rsid w:val="00254739"/>
    <w:rsid w:val="00257452"/>
    <w:rsid w:val="00261C93"/>
    <w:rsid w:val="0026515C"/>
    <w:rsid w:val="00265500"/>
    <w:rsid w:val="00266ED6"/>
    <w:rsid w:val="00270264"/>
    <w:rsid w:val="0027078B"/>
    <w:rsid w:val="002717D3"/>
    <w:rsid w:val="0027197D"/>
    <w:rsid w:val="00272F80"/>
    <w:rsid w:val="00273D5A"/>
    <w:rsid w:val="0027505C"/>
    <w:rsid w:val="0027764C"/>
    <w:rsid w:val="00285096"/>
    <w:rsid w:val="0029085E"/>
    <w:rsid w:val="0029271B"/>
    <w:rsid w:val="002928FB"/>
    <w:rsid w:val="00293D10"/>
    <w:rsid w:val="00294282"/>
    <w:rsid w:val="00296A75"/>
    <w:rsid w:val="002A3639"/>
    <w:rsid w:val="002A5354"/>
    <w:rsid w:val="002A64B1"/>
    <w:rsid w:val="002B1EE1"/>
    <w:rsid w:val="002B2853"/>
    <w:rsid w:val="002C0675"/>
    <w:rsid w:val="002C0DC1"/>
    <w:rsid w:val="002C556E"/>
    <w:rsid w:val="002C5B0F"/>
    <w:rsid w:val="002D23D9"/>
    <w:rsid w:val="002D2931"/>
    <w:rsid w:val="002D6D0E"/>
    <w:rsid w:val="002E0D2B"/>
    <w:rsid w:val="002E183A"/>
    <w:rsid w:val="002E190D"/>
    <w:rsid w:val="002E57F7"/>
    <w:rsid w:val="002E7417"/>
    <w:rsid w:val="002F0BAC"/>
    <w:rsid w:val="002F584B"/>
    <w:rsid w:val="002F6FB0"/>
    <w:rsid w:val="00302CB5"/>
    <w:rsid w:val="003062CE"/>
    <w:rsid w:val="00307005"/>
    <w:rsid w:val="0031302C"/>
    <w:rsid w:val="003134FD"/>
    <w:rsid w:val="00313C70"/>
    <w:rsid w:val="00315F06"/>
    <w:rsid w:val="003207F4"/>
    <w:rsid w:val="003213F5"/>
    <w:rsid w:val="00324AB3"/>
    <w:rsid w:val="00330D78"/>
    <w:rsid w:val="0033394A"/>
    <w:rsid w:val="00334066"/>
    <w:rsid w:val="003354EE"/>
    <w:rsid w:val="00337C6A"/>
    <w:rsid w:val="00340E1E"/>
    <w:rsid w:val="003464E7"/>
    <w:rsid w:val="00347499"/>
    <w:rsid w:val="00350038"/>
    <w:rsid w:val="00350570"/>
    <w:rsid w:val="00351AED"/>
    <w:rsid w:val="00354E36"/>
    <w:rsid w:val="003568E4"/>
    <w:rsid w:val="00363E22"/>
    <w:rsid w:val="0037023E"/>
    <w:rsid w:val="003706A5"/>
    <w:rsid w:val="00370A79"/>
    <w:rsid w:val="00370FFD"/>
    <w:rsid w:val="003712A4"/>
    <w:rsid w:val="00372D17"/>
    <w:rsid w:val="00374B79"/>
    <w:rsid w:val="00375804"/>
    <w:rsid w:val="00376E59"/>
    <w:rsid w:val="00376EC9"/>
    <w:rsid w:val="003774CA"/>
    <w:rsid w:val="003812E6"/>
    <w:rsid w:val="003923F1"/>
    <w:rsid w:val="00393ABA"/>
    <w:rsid w:val="00395A23"/>
    <w:rsid w:val="003A0C71"/>
    <w:rsid w:val="003A170B"/>
    <w:rsid w:val="003A1C48"/>
    <w:rsid w:val="003A7F1A"/>
    <w:rsid w:val="003B097F"/>
    <w:rsid w:val="003B2656"/>
    <w:rsid w:val="003B43D3"/>
    <w:rsid w:val="003B6BE9"/>
    <w:rsid w:val="003C05A1"/>
    <w:rsid w:val="003C312A"/>
    <w:rsid w:val="003C4653"/>
    <w:rsid w:val="003C4A2C"/>
    <w:rsid w:val="003C6BA1"/>
    <w:rsid w:val="003C74FC"/>
    <w:rsid w:val="003D0506"/>
    <w:rsid w:val="003D158E"/>
    <w:rsid w:val="003D1DC2"/>
    <w:rsid w:val="003D1EB8"/>
    <w:rsid w:val="003D344A"/>
    <w:rsid w:val="003D34EA"/>
    <w:rsid w:val="003D364D"/>
    <w:rsid w:val="003D3A75"/>
    <w:rsid w:val="003D4ED6"/>
    <w:rsid w:val="003D6118"/>
    <w:rsid w:val="003E4273"/>
    <w:rsid w:val="003E4F21"/>
    <w:rsid w:val="003E686E"/>
    <w:rsid w:val="003F0384"/>
    <w:rsid w:val="003F1621"/>
    <w:rsid w:val="003F2270"/>
    <w:rsid w:val="003F3490"/>
    <w:rsid w:val="003F391E"/>
    <w:rsid w:val="003F4243"/>
    <w:rsid w:val="003F53AE"/>
    <w:rsid w:val="003F69AC"/>
    <w:rsid w:val="003F70B8"/>
    <w:rsid w:val="003F7DB6"/>
    <w:rsid w:val="004043A2"/>
    <w:rsid w:val="0040609D"/>
    <w:rsid w:val="00412014"/>
    <w:rsid w:val="00412597"/>
    <w:rsid w:val="00412A48"/>
    <w:rsid w:val="00414B71"/>
    <w:rsid w:val="00414E30"/>
    <w:rsid w:val="004160F4"/>
    <w:rsid w:val="00416358"/>
    <w:rsid w:val="00416644"/>
    <w:rsid w:val="0041754E"/>
    <w:rsid w:val="00417574"/>
    <w:rsid w:val="004215F1"/>
    <w:rsid w:val="00421606"/>
    <w:rsid w:val="0042215D"/>
    <w:rsid w:val="00422F07"/>
    <w:rsid w:val="00422F5E"/>
    <w:rsid w:val="00423207"/>
    <w:rsid w:val="00424979"/>
    <w:rsid w:val="00424C8A"/>
    <w:rsid w:val="004254D6"/>
    <w:rsid w:val="00426ADC"/>
    <w:rsid w:val="004300F9"/>
    <w:rsid w:val="0043285C"/>
    <w:rsid w:val="00436C4B"/>
    <w:rsid w:val="00440F9A"/>
    <w:rsid w:val="00443ADE"/>
    <w:rsid w:val="00444598"/>
    <w:rsid w:val="00446108"/>
    <w:rsid w:val="00450007"/>
    <w:rsid w:val="00460FCA"/>
    <w:rsid w:val="00463ED0"/>
    <w:rsid w:val="00466D64"/>
    <w:rsid w:val="00471199"/>
    <w:rsid w:val="004722E6"/>
    <w:rsid w:val="00475310"/>
    <w:rsid w:val="00476FBE"/>
    <w:rsid w:val="00477BC5"/>
    <w:rsid w:val="0048190F"/>
    <w:rsid w:val="00483264"/>
    <w:rsid w:val="00483945"/>
    <w:rsid w:val="00485FE3"/>
    <w:rsid w:val="0048612F"/>
    <w:rsid w:val="00494D55"/>
    <w:rsid w:val="004963F9"/>
    <w:rsid w:val="004A0D30"/>
    <w:rsid w:val="004A47B3"/>
    <w:rsid w:val="004A76A3"/>
    <w:rsid w:val="004B1E96"/>
    <w:rsid w:val="004B508D"/>
    <w:rsid w:val="004B5A61"/>
    <w:rsid w:val="004B62C0"/>
    <w:rsid w:val="004B6DCC"/>
    <w:rsid w:val="004B7085"/>
    <w:rsid w:val="004C171F"/>
    <w:rsid w:val="004C7017"/>
    <w:rsid w:val="004D0306"/>
    <w:rsid w:val="004D1018"/>
    <w:rsid w:val="004D449E"/>
    <w:rsid w:val="004D6C38"/>
    <w:rsid w:val="004E12DE"/>
    <w:rsid w:val="004E3E54"/>
    <w:rsid w:val="004F1419"/>
    <w:rsid w:val="004F355C"/>
    <w:rsid w:val="004F5F00"/>
    <w:rsid w:val="004F6225"/>
    <w:rsid w:val="004F6E95"/>
    <w:rsid w:val="00500728"/>
    <w:rsid w:val="00500BE3"/>
    <w:rsid w:val="005039A4"/>
    <w:rsid w:val="00505261"/>
    <w:rsid w:val="00505BBB"/>
    <w:rsid w:val="00510E4D"/>
    <w:rsid w:val="00512A45"/>
    <w:rsid w:val="0051463A"/>
    <w:rsid w:val="00514EBE"/>
    <w:rsid w:val="00522711"/>
    <w:rsid w:val="00524D1C"/>
    <w:rsid w:val="0052634A"/>
    <w:rsid w:val="00531AE9"/>
    <w:rsid w:val="00533D12"/>
    <w:rsid w:val="00541401"/>
    <w:rsid w:val="00541508"/>
    <w:rsid w:val="0054250C"/>
    <w:rsid w:val="0054269C"/>
    <w:rsid w:val="005429ED"/>
    <w:rsid w:val="005430E3"/>
    <w:rsid w:val="00545844"/>
    <w:rsid w:val="005517C3"/>
    <w:rsid w:val="00553C6B"/>
    <w:rsid w:val="00556A6A"/>
    <w:rsid w:val="00556CD9"/>
    <w:rsid w:val="00557365"/>
    <w:rsid w:val="00557BD4"/>
    <w:rsid w:val="00562BBD"/>
    <w:rsid w:val="0056314A"/>
    <w:rsid w:val="0056450E"/>
    <w:rsid w:val="00564C20"/>
    <w:rsid w:val="0056775A"/>
    <w:rsid w:val="00567975"/>
    <w:rsid w:val="005728D0"/>
    <w:rsid w:val="005746F2"/>
    <w:rsid w:val="00574C3B"/>
    <w:rsid w:val="0057690D"/>
    <w:rsid w:val="00576CB2"/>
    <w:rsid w:val="00585C2E"/>
    <w:rsid w:val="00585D85"/>
    <w:rsid w:val="0059707C"/>
    <w:rsid w:val="005A2E67"/>
    <w:rsid w:val="005B1E88"/>
    <w:rsid w:val="005B206F"/>
    <w:rsid w:val="005B283E"/>
    <w:rsid w:val="005B5BAE"/>
    <w:rsid w:val="005C0795"/>
    <w:rsid w:val="005C1E78"/>
    <w:rsid w:val="005C25A7"/>
    <w:rsid w:val="005C5B0E"/>
    <w:rsid w:val="005C5FBB"/>
    <w:rsid w:val="005C717B"/>
    <w:rsid w:val="005C7ADF"/>
    <w:rsid w:val="005E3816"/>
    <w:rsid w:val="005E5912"/>
    <w:rsid w:val="005E692E"/>
    <w:rsid w:val="005E7797"/>
    <w:rsid w:val="005F2C46"/>
    <w:rsid w:val="005F32B1"/>
    <w:rsid w:val="005F3D87"/>
    <w:rsid w:val="005F3DE7"/>
    <w:rsid w:val="005F5B89"/>
    <w:rsid w:val="005F5D9C"/>
    <w:rsid w:val="006011A7"/>
    <w:rsid w:val="00603846"/>
    <w:rsid w:val="006069C9"/>
    <w:rsid w:val="006102A3"/>
    <w:rsid w:val="00611182"/>
    <w:rsid w:val="00617538"/>
    <w:rsid w:val="00622520"/>
    <w:rsid w:val="006226D3"/>
    <w:rsid w:val="006228D0"/>
    <w:rsid w:val="006279E7"/>
    <w:rsid w:val="006303CE"/>
    <w:rsid w:val="0063121D"/>
    <w:rsid w:val="006325C8"/>
    <w:rsid w:val="00634596"/>
    <w:rsid w:val="00636152"/>
    <w:rsid w:val="00642815"/>
    <w:rsid w:val="006428C6"/>
    <w:rsid w:val="00642B95"/>
    <w:rsid w:val="0064396B"/>
    <w:rsid w:val="00652F20"/>
    <w:rsid w:val="0065460D"/>
    <w:rsid w:val="00655A01"/>
    <w:rsid w:val="0066001D"/>
    <w:rsid w:val="006679DC"/>
    <w:rsid w:val="00670400"/>
    <w:rsid w:val="006724B7"/>
    <w:rsid w:val="00677925"/>
    <w:rsid w:val="00677A8A"/>
    <w:rsid w:val="00680106"/>
    <w:rsid w:val="00681212"/>
    <w:rsid w:val="00691486"/>
    <w:rsid w:val="006922EC"/>
    <w:rsid w:val="00695C49"/>
    <w:rsid w:val="00696D3F"/>
    <w:rsid w:val="006A0EE7"/>
    <w:rsid w:val="006A2F07"/>
    <w:rsid w:val="006A543A"/>
    <w:rsid w:val="006B46ED"/>
    <w:rsid w:val="006B6F3C"/>
    <w:rsid w:val="006C0CF4"/>
    <w:rsid w:val="006C1838"/>
    <w:rsid w:val="006C394B"/>
    <w:rsid w:val="006C626B"/>
    <w:rsid w:val="006C74E4"/>
    <w:rsid w:val="006D406D"/>
    <w:rsid w:val="006D5829"/>
    <w:rsid w:val="006E143F"/>
    <w:rsid w:val="006E59F5"/>
    <w:rsid w:val="006F48AD"/>
    <w:rsid w:val="006F5A00"/>
    <w:rsid w:val="006F629E"/>
    <w:rsid w:val="0070123B"/>
    <w:rsid w:val="00701B5D"/>
    <w:rsid w:val="00703487"/>
    <w:rsid w:val="007035EC"/>
    <w:rsid w:val="00703F0B"/>
    <w:rsid w:val="007076B1"/>
    <w:rsid w:val="00710636"/>
    <w:rsid w:val="007125AE"/>
    <w:rsid w:val="00713215"/>
    <w:rsid w:val="0071330B"/>
    <w:rsid w:val="007138D2"/>
    <w:rsid w:val="007163A9"/>
    <w:rsid w:val="00721E88"/>
    <w:rsid w:val="00722FCE"/>
    <w:rsid w:val="007253F5"/>
    <w:rsid w:val="007258A2"/>
    <w:rsid w:val="00732195"/>
    <w:rsid w:val="007322EC"/>
    <w:rsid w:val="007345D7"/>
    <w:rsid w:val="00734BE2"/>
    <w:rsid w:val="00735BD4"/>
    <w:rsid w:val="00735C55"/>
    <w:rsid w:val="00737A61"/>
    <w:rsid w:val="00741613"/>
    <w:rsid w:val="00746901"/>
    <w:rsid w:val="00746F1B"/>
    <w:rsid w:val="007538E4"/>
    <w:rsid w:val="007575EA"/>
    <w:rsid w:val="00773E85"/>
    <w:rsid w:val="00774A5D"/>
    <w:rsid w:val="0077661F"/>
    <w:rsid w:val="00783181"/>
    <w:rsid w:val="00785F88"/>
    <w:rsid w:val="00787B1C"/>
    <w:rsid w:val="00790D51"/>
    <w:rsid w:val="00791120"/>
    <w:rsid w:val="00792362"/>
    <w:rsid w:val="007A04DC"/>
    <w:rsid w:val="007A2EB0"/>
    <w:rsid w:val="007A63E1"/>
    <w:rsid w:val="007B04F2"/>
    <w:rsid w:val="007B1A05"/>
    <w:rsid w:val="007B2163"/>
    <w:rsid w:val="007B26FB"/>
    <w:rsid w:val="007B5BC3"/>
    <w:rsid w:val="007C15ED"/>
    <w:rsid w:val="007C2214"/>
    <w:rsid w:val="007C2CCC"/>
    <w:rsid w:val="007C3DF4"/>
    <w:rsid w:val="007C600C"/>
    <w:rsid w:val="007C63FF"/>
    <w:rsid w:val="007C69A9"/>
    <w:rsid w:val="007C7115"/>
    <w:rsid w:val="007D2FAE"/>
    <w:rsid w:val="007D2FBA"/>
    <w:rsid w:val="007D399D"/>
    <w:rsid w:val="007D59AF"/>
    <w:rsid w:val="007D5A76"/>
    <w:rsid w:val="007E56E3"/>
    <w:rsid w:val="007F0E80"/>
    <w:rsid w:val="007F3313"/>
    <w:rsid w:val="007F790A"/>
    <w:rsid w:val="00803C1E"/>
    <w:rsid w:val="00804881"/>
    <w:rsid w:val="0080693A"/>
    <w:rsid w:val="00810B98"/>
    <w:rsid w:val="00810E6A"/>
    <w:rsid w:val="0081164E"/>
    <w:rsid w:val="008140AC"/>
    <w:rsid w:val="008149BF"/>
    <w:rsid w:val="00816129"/>
    <w:rsid w:val="00816A6C"/>
    <w:rsid w:val="008177BD"/>
    <w:rsid w:val="00820362"/>
    <w:rsid w:val="00822F99"/>
    <w:rsid w:val="008246F1"/>
    <w:rsid w:val="00831704"/>
    <w:rsid w:val="008336DA"/>
    <w:rsid w:val="00834834"/>
    <w:rsid w:val="00834E9D"/>
    <w:rsid w:val="0083668C"/>
    <w:rsid w:val="008376B8"/>
    <w:rsid w:val="00840E0D"/>
    <w:rsid w:val="00851488"/>
    <w:rsid w:val="00865833"/>
    <w:rsid w:val="00865D41"/>
    <w:rsid w:val="0086730C"/>
    <w:rsid w:val="008708C9"/>
    <w:rsid w:val="0088026D"/>
    <w:rsid w:val="00881EB7"/>
    <w:rsid w:val="0088570D"/>
    <w:rsid w:val="00886C9F"/>
    <w:rsid w:val="00890E9D"/>
    <w:rsid w:val="00891317"/>
    <w:rsid w:val="00891420"/>
    <w:rsid w:val="00891F88"/>
    <w:rsid w:val="00895B80"/>
    <w:rsid w:val="008961B8"/>
    <w:rsid w:val="00897180"/>
    <w:rsid w:val="00897C0A"/>
    <w:rsid w:val="008A00F3"/>
    <w:rsid w:val="008A0C18"/>
    <w:rsid w:val="008B0302"/>
    <w:rsid w:val="008B224C"/>
    <w:rsid w:val="008B28AC"/>
    <w:rsid w:val="008B2A05"/>
    <w:rsid w:val="008B6AC6"/>
    <w:rsid w:val="008C37B8"/>
    <w:rsid w:val="008C49A9"/>
    <w:rsid w:val="008D0C7C"/>
    <w:rsid w:val="008D0E21"/>
    <w:rsid w:val="008D2976"/>
    <w:rsid w:val="008D38DD"/>
    <w:rsid w:val="008E045F"/>
    <w:rsid w:val="008E1143"/>
    <w:rsid w:val="008E1AD1"/>
    <w:rsid w:val="008E500C"/>
    <w:rsid w:val="008F2897"/>
    <w:rsid w:val="008F330D"/>
    <w:rsid w:val="008F3EFF"/>
    <w:rsid w:val="008F59BD"/>
    <w:rsid w:val="008F720F"/>
    <w:rsid w:val="00902CCB"/>
    <w:rsid w:val="00904592"/>
    <w:rsid w:val="00906D34"/>
    <w:rsid w:val="00907D05"/>
    <w:rsid w:val="009120C7"/>
    <w:rsid w:val="00916179"/>
    <w:rsid w:val="00922F99"/>
    <w:rsid w:val="00925337"/>
    <w:rsid w:val="0092598E"/>
    <w:rsid w:val="00931174"/>
    <w:rsid w:val="00931D7C"/>
    <w:rsid w:val="009369F0"/>
    <w:rsid w:val="0094110B"/>
    <w:rsid w:val="009446F6"/>
    <w:rsid w:val="00944B65"/>
    <w:rsid w:val="00944B82"/>
    <w:rsid w:val="00945E31"/>
    <w:rsid w:val="00955523"/>
    <w:rsid w:val="00956B31"/>
    <w:rsid w:val="00957AA0"/>
    <w:rsid w:val="009604CB"/>
    <w:rsid w:val="00960FCB"/>
    <w:rsid w:val="00961B59"/>
    <w:rsid w:val="0096310C"/>
    <w:rsid w:val="0096538A"/>
    <w:rsid w:val="0097092F"/>
    <w:rsid w:val="00970C5D"/>
    <w:rsid w:val="00973D89"/>
    <w:rsid w:val="00973F8F"/>
    <w:rsid w:val="0097464F"/>
    <w:rsid w:val="00974788"/>
    <w:rsid w:val="0097488C"/>
    <w:rsid w:val="00981B2F"/>
    <w:rsid w:val="00982805"/>
    <w:rsid w:val="00985757"/>
    <w:rsid w:val="00987A75"/>
    <w:rsid w:val="00990A49"/>
    <w:rsid w:val="0099691D"/>
    <w:rsid w:val="009A78F3"/>
    <w:rsid w:val="009A7B76"/>
    <w:rsid w:val="009B03B0"/>
    <w:rsid w:val="009B0988"/>
    <w:rsid w:val="009C0AC5"/>
    <w:rsid w:val="009C307D"/>
    <w:rsid w:val="009C3BF6"/>
    <w:rsid w:val="009C5CE8"/>
    <w:rsid w:val="009D149E"/>
    <w:rsid w:val="009D3453"/>
    <w:rsid w:val="009D4772"/>
    <w:rsid w:val="009E1329"/>
    <w:rsid w:val="009E1635"/>
    <w:rsid w:val="009E28E5"/>
    <w:rsid w:val="009F0D26"/>
    <w:rsid w:val="009F19B3"/>
    <w:rsid w:val="009F214A"/>
    <w:rsid w:val="009F374F"/>
    <w:rsid w:val="009F588C"/>
    <w:rsid w:val="009F6428"/>
    <w:rsid w:val="00A0045D"/>
    <w:rsid w:val="00A010D4"/>
    <w:rsid w:val="00A0278D"/>
    <w:rsid w:val="00A02C14"/>
    <w:rsid w:val="00A06EB2"/>
    <w:rsid w:val="00A11C51"/>
    <w:rsid w:val="00A1337E"/>
    <w:rsid w:val="00A15C4A"/>
    <w:rsid w:val="00A17F02"/>
    <w:rsid w:val="00A232F1"/>
    <w:rsid w:val="00A31F83"/>
    <w:rsid w:val="00A41ED3"/>
    <w:rsid w:val="00A4314B"/>
    <w:rsid w:val="00A433B8"/>
    <w:rsid w:val="00A54F86"/>
    <w:rsid w:val="00A5505A"/>
    <w:rsid w:val="00A560CC"/>
    <w:rsid w:val="00A568B7"/>
    <w:rsid w:val="00A5715C"/>
    <w:rsid w:val="00A65145"/>
    <w:rsid w:val="00A722C5"/>
    <w:rsid w:val="00A83034"/>
    <w:rsid w:val="00A859DC"/>
    <w:rsid w:val="00A913A7"/>
    <w:rsid w:val="00A91F36"/>
    <w:rsid w:val="00A93460"/>
    <w:rsid w:val="00A93A7F"/>
    <w:rsid w:val="00A94A31"/>
    <w:rsid w:val="00A9710F"/>
    <w:rsid w:val="00A97176"/>
    <w:rsid w:val="00AB17AE"/>
    <w:rsid w:val="00AB6B27"/>
    <w:rsid w:val="00AB752E"/>
    <w:rsid w:val="00AC366B"/>
    <w:rsid w:val="00AC5A70"/>
    <w:rsid w:val="00AD057B"/>
    <w:rsid w:val="00AD684B"/>
    <w:rsid w:val="00AE2C17"/>
    <w:rsid w:val="00AE5333"/>
    <w:rsid w:val="00AE60A5"/>
    <w:rsid w:val="00AF196A"/>
    <w:rsid w:val="00AF2A13"/>
    <w:rsid w:val="00AF2EBE"/>
    <w:rsid w:val="00AF54E1"/>
    <w:rsid w:val="00AF7A59"/>
    <w:rsid w:val="00B011B4"/>
    <w:rsid w:val="00B04E81"/>
    <w:rsid w:val="00B053DC"/>
    <w:rsid w:val="00B07F52"/>
    <w:rsid w:val="00B14165"/>
    <w:rsid w:val="00B142B4"/>
    <w:rsid w:val="00B14E6B"/>
    <w:rsid w:val="00B1764C"/>
    <w:rsid w:val="00B200FA"/>
    <w:rsid w:val="00B265F6"/>
    <w:rsid w:val="00B35D9F"/>
    <w:rsid w:val="00B3688C"/>
    <w:rsid w:val="00B3702B"/>
    <w:rsid w:val="00B37FC7"/>
    <w:rsid w:val="00B457D5"/>
    <w:rsid w:val="00B47764"/>
    <w:rsid w:val="00B4784E"/>
    <w:rsid w:val="00B52D63"/>
    <w:rsid w:val="00B538FB"/>
    <w:rsid w:val="00B539FE"/>
    <w:rsid w:val="00B55BDA"/>
    <w:rsid w:val="00B567A6"/>
    <w:rsid w:val="00B57BB7"/>
    <w:rsid w:val="00B6189B"/>
    <w:rsid w:val="00B630C5"/>
    <w:rsid w:val="00B651CB"/>
    <w:rsid w:val="00B65241"/>
    <w:rsid w:val="00B709F0"/>
    <w:rsid w:val="00B71B6B"/>
    <w:rsid w:val="00B7210B"/>
    <w:rsid w:val="00B728EC"/>
    <w:rsid w:val="00B74FC5"/>
    <w:rsid w:val="00B80D2F"/>
    <w:rsid w:val="00B817E2"/>
    <w:rsid w:val="00B82545"/>
    <w:rsid w:val="00B854F1"/>
    <w:rsid w:val="00B86C6C"/>
    <w:rsid w:val="00B90D8A"/>
    <w:rsid w:val="00B90EB4"/>
    <w:rsid w:val="00B910A3"/>
    <w:rsid w:val="00B91D55"/>
    <w:rsid w:val="00B930B9"/>
    <w:rsid w:val="00B93A31"/>
    <w:rsid w:val="00B95CAE"/>
    <w:rsid w:val="00B95DFD"/>
    <w:rsid w:val="00B9731F"/>
    <w:rsid w:val="00B97802"/>
    <w:rsid w:val="00BA1094"/>
    <w:rsid w:val="00BA1D4C"/>
    <w:rsid w:val="00BA2812"/>
    <w:rsid w:val="00BA3063"/>
    <w:rsid w:val="00BA3124"/>
    <w:rsid w:val="00BA37AA"/>
    <w:rsid w:val="00BA7C11"/>
    <w:rsid w:val="00BB2B84"/>
    <w:rsid w:val="00BB3622"/>
    <w:rsid w:val="00BB4760"/>
    <w:rsid w:val="00BC21F9"/>
    <w:rsid w:val="00BC3741"/>
    <w:rsid w:val="00BC7D6D"/>
    <w:rsid w:val="00BD389A"/>
    <w:rsid w:val="00BD4A9E"/>
    <w:rsid w:val="00BD6F0A"/>
    <w:rsid w:val="00BD707A"/>
    <w:rsid w:val="00BE2F9C"/>
    <w:rsid w:val="00BE3C13"/>
    <w:rsid w:val="00BE52F2"/>
    <w:rsid w:val="00BF1D4D"/>
    <w:rsid w:val="00BF36F6"/>
    <w:rsid w:val="00BF3812"/>
    <w:rsid w:val="00BF4099"/>
    <w:rsid w:val="00BF4185"/>
    <w:rsid w:val="00BF7E8A"/>
    <w:rsid w:val="00C027FB"/>
    <w:rsid w:val="00C03829"/>
    <w:rsid w:val="00C0447D"/>
    <w:rsid w:val="00C049BE"/>
    <w:rsid w:val="00C050F4"/>
    <w:rsid w:val="00C07A4F"/>
    <w:rsid w:val="00C12699"/>
    <w:rsid w:val="00C128A9"/>
    <w:rsid w:val="00C1297F"/>
    <w:rsid w:val="00C1603D"/>
    <w:rsid w:val="00C22261"/>
    <w:rsid w:val="00C22B0A"/>
    <w:rsid w:val="00C23262"/>
    <w:rsid w:val="00C244BA"/>
    <w:rsid w:val="00C254EC"/>
    <w:rsid w:val="00C256F7"/>
    <w:rsid w:val="00C25AD7"/>
    <w:rsid w:val="00C27367"/>
    <w:rsid w:val="00C31620"/>
    <w:rsid w:val="00C32071"/>
    <w:rsid w:val="00C3605A"/>
    <w:rsid w:val="00C4070E"/>
    <w:rsid w:val="00C43D17"/>
    <w:rsid w:val="00C45355"/>
    <w:rsid w:val="00C46568"/>
    <w:rsid w:val="00C51E2F"/>
    <w:rsid w:val="00C524FA"/>
    <w:rsid w:val="00C54176"/>
    <w:rsid w:val="00C543E8"/>
    <w:rsid w:val="00C557E5"/>
    <w:rsid w:val="00C6029F"/>
    <w:rsid w:val="00C606A8"/>
    <w:rsid w:val="00C6094E"/>
    <w:rsid w:val="00C636A8"/>
    <w:rsid w:val="00C63CF9"/>
    <w:rsid w:val="00C64C38"/>
    <w:rsid w:val="00C66805"/>
    <w:rsid w:val="00C71835"/>
    <w:rsid w:val="00C725C9"/>
    <w:rsid w:val="00C7432E"/>
    <w:rsid w:val="00C743FF"/>
    <w:rsid w:val="00C76FE6"/>
    <w:rsid w:val="00C776FA"/>
    <w:rsid w:val="00C80ED3"/>
    <w:rsid w:val="00C8124B"/>
    <w:rsid w:val="00C8249B"/>
    <w:rsid w:val="00C83408"/>
    <w:rsid w:val="00C91765"/>
    <w:rsid w:val="00C95CF3"/>
    <w:rsid w:val="00CA22C8"/>
    <w:rsid w:val="00CA3F44"/>
    <w:rsid w:val="00CA4DB7"/>
    <w:rsid w:val="00CA6CAC"/>
    <w:rsid w:val="00CB18D7"/>
    <w:rsid w:val="00CB2414"/>
    <w:rsid w:val="00CB3033"/>
    <w:rsid w:val="00CB359B"/>
    <w:rsid w:val="00CB3C9F"/>
    <w:rsid w:val="00CB4AEF"/>
    <w:rsid w:val="00CB5C29"/>
    <w:rsid w:val="00CB5F47"/>
    <w:rsid w:val="00CC18DB"/>
    <w:rsid w:val="00CC3350"/>
    <w:rsid w:val="00CC46A2"/>
    <w:rsid w:val="00CC4B1E"/>
    <w:rsid w:val="00CC6583"/>
    <w:rsid w:val="00CC6D92"/>
    <w:rsid w:val="00CE01EF"/>
    <w:rsid w:val="00CE1B38"/>
    <w:rsid w:val="00CE25D8"/>
    <w:rsid w:val="00CE4FD9"/>
    <w:rsid w:val="00CF001A"/>
    <w:rsid w:val="00CF2407"/>
    <w:rsid w:val="00CF355D"/>
    <w:rsid w:val="00CF3DD6"/>
    <w:rsid w:val="00D016A6"/>
    <w:rsid w:val="00D0202D"/>
    <w:rsid w:val="00D04ABE"/>
    <w:rsid w:val="00D05988"/>
    <w:rsid w:val="00D1571D"/>
    <w:rsid w:val="00D17101"/>
    <w:rsid w:val="00D17766"/>
    <w:rsid w:val="00D20736"/>
    <w:rsid w:val="00D21E36"/>
    <w:rsid w:val="00D2321E"/>
    <w:rsid w:val="00D23492"/>
    <w:rsid w:val="00D244BA"/>
    <w:rsid w:val="00D26385"/>
    <w:rsid w:val="00D26520"/>
    <w:rsid w:val="00D277F8"/>
    <w:rsid w:val="00D300DD"/>
    <w:rsid w:val="00D31288"/>
    <w:rsid w:val="00D33E56"/>
    <w:rsid w:val="00D35EFB"/>
    <w:rsid w:val="00D415ED"/>
    <w:rsid w:val="00D41A8D"/>
    <w:rsid w:val="00D42A30"/>
    <w:rsid w:val="00D42C25"/>
    <w:rsid w:val="00D43AC1"/>
    <w:rsid w:val="00D464BE"/>
    <w:rsid w:val="00D46FD1"/>
    <w:rsid w:val="00D479CD"/>
    <w:rsid w:val="00D60B0D"/>
    <w:rsid w:val="00D61B46"/>
    <w:rsid w:val="00D6473B"/>
    <w:rsid w:val="00D6584C"/>
    <w:rsid w:val="00D70AF6"/>
    <w:rsid w:val="00D73B53"/>
    <w:rsid w:val="00D746CE"/>
    <w:rsid w:val="00D75174"/>
    <w:rsid w:val="00D75FF4"/>
    <w:rsid w:val="00D80B04"/>
    <w:rsid w:val="00D80EBA"/>
    <w:rsid w:val="00D82179"/>
    <w:rsid w:val="00D829D0"/>
    <w:rsid w:val="00D83E90"/>
    <w:rsid w:val="00D841A1"/>
    <w:rsid w:val="00D84EA2"/>
    <w:rsid w:val="00D85D5D"/>
    <w:rsid w:val="00D86276"/>
    <w:rsid w:val="00D90455"/>
    <w:rsid w:val="00D92106"/>
    <w:rsid w:val="00D9225F"/>
    <w:rsid w:val="00D9293D"/>
    <w:rsid w:val="00D92C17"/>
    <w:rsid w:val="00D93056"/>
    <w:rsid w:val="00D930BB"/>
    <w:rsid w:val="00D93779"/>
    <w:rsid w:val="00D93BA8"/>
    <w:rsid w:val="00D95A4C"/>
    <w:rsid w:val="00D95DD8"/>
    <w:rsid w:val="00DA2939"/>
    <w:rsid w:val="00DA3D7F"/>
    <w:rsid w:val="00DA77E9"/>
    <w:rsid w:val="00DA79DB"/>
    <w:rsid w:val="00DB181C"/>
    <w:rsid w:val="00DB4E4F"/>
    <w:rsid w:val="00DC133B"/>
    <w:rsid w:val="00DC6AD7"/>
    <w:rsid w:val="00DD260F"/>
    <w:rsid w:val="00DD4A24"/>
    <w:rsid w:val="00DE249D"/>
    <w:rsid w:val="00DE2B01"/>
    <w:rsid w:val="00DF017E"/>
    <w:rsid w:val="00DF05AE"/>
    <w:rsid w:val="00E0572B"/>
    <w:rsid w:val="00E07C4B"/>
    <w:rsid w:val="00E105D8"/>
    <w:rsid w:val="00E1065C"/>
    <w:rsid w:val="00E13118"/>
    <w:rsid w:val="00E13774"/>
    <w:rsid w:val="00E16CE4"/>
    <w:rsid w:val="00E255AC"/>
    <w:rsid w:val="00E258BC"/>
    <w:rsid w:val="00E26053"/>
    <w:rsid w:val="00E312D2"/>
    <w:rsid w:val="00E3238B"/>
    <w:rsid w:val="00E3257A"/>
    <w:rsid w:val="00E33009"/>
    <w:rsid w:val="00E4426C"/>
    <w:rsid w:val="00E449D8"/>
    <w:rsid w:val="00E45D74"/>
    <w:rsid w:val="00E51238"/>
    <w:rsid w:val="00E51F99"/>
    <w:rsid w:val="00E52393"/>
    <w:rsid w:val="00E52414"/>
    <w:rsid w:val="00E5426B"/>
    <w:rsid w:val="00E5444E"/>
    <w:rsid w:val="00E55177"/>
    <w:rsid w:val="00E55D0A"/>
    <w:rsid w:val="00E55F9C"/>
    <w:rsid w:val="00E564B2"/>
    <w:rsid w:val="00E57591"/>
    <w:rsid w:val="00E57B2D"/>
    <w:rsid w:val="00E63C49"/>
    <w:rsid w:val="00E63D8A"/>
    <w:rsid w:val="00E6516D"/>
    <w:rsid w:val="00E653F5"/>
    <w:rsid w:val="00E72E02"/>
    <w:rsid w:val="00E72F1F"/>
    <w:rsid w:val="00E73D65"/>
    <w:rsid w:val="00E763ED"/>
    <w:rsid w:val="00E77486"/>
    <w:rsid w:val="00E77EA7"/>
    <w:rsid w:val="00E810EB"/>
    <w:rsid w:val="00E812AC"/>
    <w:rsid w:val="00E83293"/>
    <w:rsid w:val="00E85B85"/>
    <w:rsid w:val="00E8709E"/>
    <w:rsid w:val="00E93BCC"/>
    <w:rsid w:val="00E95796"/>
    <w:rsid w:val="00E96D63"/>
    <w:rsid w:val="00E96E54"/>
    <w:rsid w:val="00E971ED"/>
    <w:rsid w:val="00EA3069"/>
    <w:rsid w:val="00EA5256"/>
    <w:rsid w:val="00EA64FF"/>
    <w:rsid w:val="00EB2E00"/>
    <w:rsid w:val="00EB4040"/>
    <w:rsid w:val="00EB5C90"/>
    <w:rsid w:val="00EB6ED3"/>
    <w:rsid w:val="00EB7735"/>
    <w:rsid w:val="00EC2D7B"/>
    <w:rsid w:val="00EC47DD"/>
    <w:rsid w:val="00EC572E"/>
    <w:rsid w:val="00ED16D9"/>
    <w:rsid w:val="00ED3000"/>
    <w:rsid w:val="00ED339F"/>
    <w:rsid w:val="00ED5241"/>
    <w:rsid w:val="00ED7DBB"/>
    <w:rsid w:val="00EF20F4"/>
    <w:rsid w:val="00EF5BD9"/>
    <w:rsid w:val="00EF6456"/>
    <w:rsid w:val="00F0503C"/>
    <w:rsid w:val="00F115E5"/>
    <w:rsid w:val="00F13020"/>
    <w:rsid w:val="00F1492D"/>
    <w:rsid w:val="00F15FC2"/>
    <w:rsid w:val="00F16A0B"/>
    <w:rsid w:val="00F16ACA"/>
    <w:rsid w:val="00F2140E"/>
    <w:rsid w:val="00F21D2B"/>
    <w:rsid w:val="00F270C6"/>
    <w:rsid w:val="00F275D0"/>
    <w:rsid w:val="00F278C2"/>
    <w:rsid w:val="00F331FE"/>
    <w:rsid w:val="00F344D6"/>
    <w:rsid w:val="00F34619"/>
    <w:rsid w:val="00F37250"/>
    <w:rsid w:val="00F3752A"/>
    <w:rsid w:val="00F40FBF"/>
    <w:rsid w:val="00F41ABA"/>
    <w:rsid w:val="00F42BA8"/>
    <w:rsid w:val="00F4342E"/>
    <w:rsid w:val="00F43D41"/>
    <w:rsid w:val="00F45BC1"/>
    <w:rsid w:val="00F51306"/>
    <w:rsid w:val="00F52A40"/>
    <w:rsid w:val="00F5622F"/>
    <w:rsid w:val="00F564F4"/>
    <w:rsid w:val="00F603CC"/>
    <w:rsid w:val="00F61A45"/>
    <w:rsid w:val="00F70786"/>
    <w:rsid w:val="00F74EBD"/>
    <w:rsid w:val="00F80D70"/>
    <w:rsid w:val="00F830FD"/>
    <w:rsid w:val="00F831B3"/>
    <w:rsid w:val="00F8733F"/>
    <w:rsid w:val="00F94057"/>
    <w:rsid w:val="00F94AE2"/>
    <w:rsid w:val="00F95433"/>
    <w:rsid w:val="00FA1E34"/>
    <w:rsid w:val="00FB2290"/>
    <w:rsid w:val="00FB3AAB"/>
    <w:rsid w:val="00FB4898"/>
    <w:rsid w:val="00FC02B4"/>
    <w:rsid w:val="00FC064D"/>
    <w:rsid w:val="00FC1393"/>
    <w:rsid w:val="00FC590E"/>
    <w:rsid w:val="00FC729B"/>
    <w:rsid w:val="00FD1370"/>
    <w:rsid w:val="00FD36C0"/>
    <w:rsid w:val="00FD5F55"/>
    <w:rsid w:val="00FE231F"/>
    <w:rsid w:val="00FE2D8E"/>
    <w:rsid w:val="00FE3364"/>
    <w:rsid w:val="00FE3DFA"/>
    <w:rsid w:val="00FE6711"/>
    <w:rsid w:val="00FE7403"/>
    <w:rsid w:val="00FF12E0"/>
    <w:rsid w:val="00FF2D5E"/>
    <w:rsid w:val="00FF3FB5"/>
    <w:rsid w:val="00FF4145"/>
    <w:rsid w:val="00FF56ED"/>
    <w:rsid w:val="01155B34"/>
    <w:rsid w:val="013E1F3B"/>
    <w:rsid w:val="015C5E10"/>
    <w:rsid w:val="016951E8"/>
    <w:rsid w:val="0190499A"/>
    <w:rsid w:val="01966D00"/>
    <w:rsid w:val="019801E4"/>
    <w:rsid w:val="01D36985"/>
    <w:rsid w:val="01D5339A"/>
    <w:rsid w:val="01E025B2"/>
    <w:rsid w:val="02094922"/>
    <w:rsid w:val="023E53DB"/>
    <w:rsid w:val="02661243"/>
    <w:rsid w:val="02725F77"/>
    <w:rsid w:val="0280566A"/>
    <w:rsid w:val="02814C2A"/>
    <w:rsid w:val="02FC4CCA"/>
    <w:rsid w:val="0308570D"/>
    <w:rsid w:val="031243C3"/>
    <w:rsid w:val="0339119B"/>
    <w:rsid w:val="033944DC"/>
    <w:rsid w:val="0390747D"/>
    <w:rsid w:val="03942A94"/>
    <w:rsid w:val="03A72093"/>
    <w:rsid w:val="03D33E0D"/>
    <w:rsid w:val="03DB2ABF"/>
    <w:rsid w:val="03EA6B47"/>
    <w:rsid w:val="03F7028C"/>
    <w:rsid w:val="03F90D68"/>
    <w:rsid w:val="04007D6C"/>
    <w:rsid w:val="041D205A"/>
    <w:rsid w:val="0430007E"/>
    <w:rsid w:val="04353C7B"/>
    <w:rsid w:val="04395F8F"/>
    <w:rsid w:val="04597FC9"/>
    <w:rsid w:val="047719B9"/>
    <w:rsid w:val="047D52E7"/>
    <w:rsid w:val="04BD03C6"/>
    <w:rsid w:val="04BE1C7D"/>
    <w:rsid w:val="04DA6F41"/>
    <w:rsid w:val="04DF32DF"/>
    <w:rsid w:val="04E21297"/>
    <w:rsid w:val="052E5D11"/>
    <w:rsid w:val="05620120"/>
    <w:rsid w:val="05637BEF"/>
    <w:rsid w:val="056E0749"/>
    <w:rsid w:val="05721CC3"/>
    <w:rsid w:val="05F97634"/>
    <w:rsid w:val="061512C4"/>
    <w:rsid w:val="063A0AB8"/>
    <w:rsid w:val="06D65DBB"/>
    <w:rsid w:val="06DF799B"/>
    <w:rsid w:val="070E4BA9"/>
    <w:rsid w:val="072C1915"/>
    <w:rsid w:val="073565CC"/>
    <w:rsid w:val="073C5399"/>
    <w:rsid w:val="07632285"/>
    <w:rsid w:val="07B167B8"/>
    <w:rsid w:val="07CC23E7"/>
    <w:rsid w:val="07F27BB5"/>
    <w:rsid w:val="07FE5553"/>
    <w:rsid w:val="08052C09"/>
    <w:rsid w:val="081177ED"/>
    <w:rsid w:val="08262305"/>
    <w:rsid w:val="08314512"/>
    <w:rsid w:val="085E7E4D"/>
    <w:rsid w:val="086E21F8"/>
    <w:rsid w:val="0892696E"/>
    <w:rsid w:val="08B03A2D"/>
    <w:rsid w:val="08E819C9"/>
    <w:rsid w:val="09190CF0"/>
    <w:rsid w:val="093B7CD2"/>
    <w:rsid w:val="09786B16"/>
    <w:rsid w:val="09C14AD0"/>
    <w:rsid w:val="0A0C68B3"/>
    <w:rsid w:val="0A215B30"/>
    <w:rsid w:val="0A2A34E4"/>
    <w:rsid w:val="0A4118A6"/>
    <w:rsid w:val="0A9374C4"/>
    <w:rsid w:val="0A955FEB"/>
    <w:rsid w:val="0AD645EA"/>
    <w:rsid w:val="0AF77184"/>
    <w:rsid w:val="0AF81324"/>
    <w:rsid w:val="0B55432A"/>
    <w:rsid w:val="0B9B6E73"/>
    <w:rsid w:val="0BAE318A"/>
    <w:rsid w:val="0BC63D9C"/>
    <w:rsid w:val="0BD627F9"/>
    <w:rsid w:val="0BEC5336"/>
    <w:rsid w:val="0C1D360E"/>
    <w:rsid w:val="0C80659D"/>
    <w:rsid w:val="0CA83EBD"/>
    <w:rsid w:val="0CD37FF9"/>
    <w:rsid w:val="0CEF36B8"/>
    <w:rsid w:val="0D0F0CE5"/>
    <w:rsid w:val="0D117A76"/>
    <w:rsid w:val="0D1543BB"/>
    <w:rsid w:val="0D1A1EEE"/>
    <w:rsid w:val="0D250DC2"/>
    <w:rsid w:val="0D29021D"/>
    <w:rsid w:val="0D460BF6"/>
    <w:rsid w:val="0D50090C"/>
    <w:rsid w:val="0D756D62"/>
    <w:rsid w:val="0DB00C7D"/>
    <w:rsid w:val="0DC443B1"/>
    <w:rsid w:val="0DCC455D"/>
    <w:rsid w:val="0E234775"/>
    <w:rsid w:val="0E602C2B"/>
    <w:rsid w:val="0E70327D"/>
    <w:rsid w:val="0E9155EF"/>
    <w:rsid w:val="0EAC5492"/>
    <w:rsid w:val="0EB23FE0"/>
    <w:rsid w:val="0EC96D96"/>
    <w:rsid w:val="0EEC2243"/>
    <w:rsid w:val="0EF9704B"/>
    <w:rsid w:val="0F123524"/>
    <w:rsid w:val="0F5904EF"/>
    <w:rsid w:val="0F6110F8"/>
    <w:rsid w:val="0F822BD9"/>
    <w:rsid w:val="0FAF73A9"/>
    <w:rsid w:val="0FBF455A"/>
    <w:rsid w:val="0FBF7F0F"/>
    <w:rsid w:val="0FE30A25"/>
    <w:rsid w:val="0FEF0BBF"/>
    <w:rsid w:val="100E652B"/>
    <w:rsid w:val="1020565A"/>
    <w:rsid w:val="10273142"/>
    <w:rsid w:val="103516D0"/>
    <w:rsid w:val="10A24CE6"/>
    <w:rsid w:val="10A96A9E"/>
    <w:rsid w:val="10C51838"/>
    <w:rsid w:val="10E90DA6"/>
    <w:rsid w:val="10EB4A8C"/>
    <w:rsid w:val="10FF5A62"/>
    <w:rsid w:val="11091C7A"/>
    <w:rsid w:val="11502629"/>
    <w:rsid w:val="11526D68"/>
    <w:rsid w:val="11BC04A0"/>
    <w:rsid w:val="11DF6886"/>
    <w:rsid w:val="12171E64"/>
    <w:rsid w:val="12205131"/>
    <w:rsid w:val="123E10E2"/>
    <w:rsid w:val="12576160"/>
    <w:rsid w:val="12801584"/>
    <w:rsid w:val="129A56F8"/>
    <w:rsid w:val="12CE3CE0"/>
    <w:rsid w:val="12D45E6A"/>
    <w:rsid w:val="12F24AE9"/>
    <w:rsid w:val="13136F48"/>
    <w:rsid w:val="1335798F"/>
    <w:rsid w:val="13495031"/>
    <w:rsid w:val="13796D9A"/>
    <w:rsid w:val="13902E2D"/>
    <w:rsid w:val="13AD5E6A"/>
    <w:rsid w:val="13C17B3A"/>
    <w:rsid w:val="13CE1BCE"/>
    <w:rsid w:val="142C6016"/>
    <w:rsid w:val="142F2BAD"/>
    <w:rsid w:val="142F43C4"/>
    <w:rsid w:val="1434353B"/>
    <w:rsid w:val="14395A8D"/>
    <w:rsid w:val="146931C8"/>
    <w:rsid w:val="148D1C50"/>
    <w:rsid w:val="14AF0791"/>
    <w:rsid w:val="14C51D89"/>
    <w:rsid w:val="15144F9F"/>
    <w:rsid w:val="1525142D"/>
    <w:rsid w:val="154A4556"/>
    <w:rsid w:val="155D05D9"/>
    <w:rsid w:val="15833678"/>
    <w:rsid w:val="159B6684"/>
    <w:rsid w:val="15AC2CBD"/>
    <w:rsid w:val="15AF7B5C"/>
    <w:rsid w:val="15E233CB"/>
    <w:rsid w:val="15E830CE"/>
    <w:rsid w:val="15EB0083"/>
    <w:rsid w:val="162D2B78"/>
    <w:rsid w:val="16622C91"/>
    <w:rsid w:val="168F74E8"/>
    <w:rsid w:val="17111C2C"/>
    <w:rsid w:val="172E07E0"/>
    <w:rsid w:val="17413932"/>
    <w:rsid w:val="177C7B08"/>
    <w:rsid w:val="17D306F5"/>
    <w:rsid w:val="17E364BF"/>
    <w:rsid w:val="18273D23"/>
    <w:rsid w:val="183F6259"/>
    <w:rsid w:val="185D12D3"/>
    <w:rsid w:val="18936BDF"/>
    <w:rsid w:val="1898128F"/>
    <w:rsid w:val="18F37542"/>
    <w:rsid w:val="18F62D39"/>
    <w:rsid w:val="19637339"/>
    <w:rsid w:val="19897235"/>
    <w:rsid w:val="19923894"/>
    <w:rsid w:val="19CC552B"/>
    <w:rsid w:val="19F10924"/>
    <w:rsid w:val="19F332A4"/>
    <w:rsid w:val="1A1111CB"/>
    <w:rsid w:val="1A2B4EC7"/>
    <w:rsid w:val="1A9A18A0"/>
    <w:rsid w:val="1AB8199F"/>
    <w:rsid w:val="1AC454CE"/>
    <w:rsid w:val="1AD66C78"/>
    <w:rsid w:val="1AD744EA"/>
    <w:rsid w:val="1B043E14"/>
    <w:rsid w:val="1B171313"/>
    <w:rsid w:val="1B18721E"/>
    <w:rsid w:val="1B1B2E1C"/>
    <w:rsid w:val="1B214C2C"/>
    <w:rsid w:val="1B3F08EC"/>
    <w:rsid w:val="1B4012A7"/>
    <w:rsid w:val="1B4736BD"/>
    <w:rsid w:val="1B5A42CB"/>
    <w:rsid w:val="1B9A4DAB"/>
    <w:rsid w:val="1BE42383"/>
    <w:rsid w:val="1C0A75B8"/>
    <w:rsid w:val="1C4A335F"/>
    <w:rsid w:val="1C7521EC"/>
    <w:rsid w:val="1C8065D1"/>
    <w:rsid w:val="1C8934EB"/>
    <w:rsid w:val="1C935D63"/>
    <w:rsid w:val="1CA71530"/>
    <w:rsid w:val="1CAD1F36"/>
    <w:rsid w:val="1CE60476"/>
    <w:rsid w:val="1CF01EEE"/>
    <w:rsid w:val="1CF06829"/>
    <w:rsid w:val="1D0A7456"/>
    <w:rsid w:val="1D1B7142"/>
    <w:rsid w:val="1D3B0D62"/>
    <w:rsid w:val="1D4E4E5D"/>
    <w:rsid w:val="1D623F40"/>
    <w:rsid w:val="1DED1A0C"/>
    <w:rsid w:val="1E0916D6"/>
    <w:rsid w:val="1E2930AC"/>
    <w:rsid w:val="1E2B1AD7"/>
    <w:rsid w:val="1E307A64"/>
    <w:rsid w:val="1E3B37C0"/>
    <w:rsid w:val="1E3E6998"/>
    <w:rsid w:val="1E412D75"/>
    <w:rsid w:val="1E602CEF"/>
    <w:rsid w:val="1E6843DE"/>
    <w:rsid w:val="1E7D33F1"/>
    <w:rsid w:val="1EA60F88"/>
    <w:rsid w:val="1EAD1124"/>
    <w:rsid w:val="1EC85472"/>
    <w:rsid w:val="1EDE4461"/>
    <w:rsid w:val="1EFE7444"/>
    <w:rsid w:val="1F23286F"/>
    <w:rsid w:val="1F3B6F95"/>
    <w:rsid w:val="1F3E7301"/>
    <w:rsid w:val="1F48299E"/>
    <w:rsid w:val="1F70158C"/>
    <w:rsid w:val="1F7726F0"/>
    <w:rsid w:val="1F8D75D7"/>
    <w:rsid w:val="1F9D793A"/>
    <w:rsid w:val="1F9F2BA6"/>
    <w:rsid w:val="1FA212D3"/>
    <w:rsid w:val="1FBB163C"/>
    <w:rsid w:val="2000355B"/>
    <w:rsid w:val="20116C1C"/>
    <w:rsid w:val="201D6562"/>
    <w:rsid w:val="202F49FC"/>
    <w:rsid w:val="204602EC"/>
    <w:rsid w:val="2056551C"/>
    <w:rsid w:val="206431D6"/>
    <w:rsid w:val="20905A92"/>
    <w:rsid w:val="20AB0D4D"/>
    <w:rsid w:val="20AE50F8"/>
    <w:rsid w:val="20DB5111"/>
    <w:rsid w:val="20F621DA"/>
    <w:rsid w:val="212D553A"/>
    <w:rsid w:val="21460555"/>
    <w:rsid w:val="21746E62"/>
    <w:rsid w:val="218706F7"/>
    <w:rsid w:val="219A7AA9"/>
    <w:rsid w:val="21A826E1"/>
    <w:rsid w:val="21AA45E1"/>
    <w:rsid w:val="21D6062C"/>
    <w:rsid w:val="21DD35E2"/>
    <w:rsid w:val="22001FFC"/>
    <w:rsid w:val="22017E0C"/>
    <w:rsid w:val="223056FE"/>
    <w:rsid w:val="22440E8C"/>
    <w:rsid w:val="224D1072"/>
    <w:rsid w:val="227D3663"/>
    <w:rsid w:val="22E71987"/>
    <w:rsid w:val="22F67D83"/>
    <w:rsid w:val="22FE4892"/>
    <w:rsid w:val="23005379"/>
    <w:rsid w:val="230D50FD"/>
    <w:rsid w:val="235528D4"/>
    <w:rsid w:val="23624986"/>
    <w:rsid w:val="23813066"/>
    <w:rsid w:val="239435D1"/>
    <w:rsid w:val="23B16AE5"/>
    <w:rsid w:val="23DA5859"/>
    <w:rsid w:val="23F660D4"/>
    <w:rsid w:val="24007AEB"/>
    <w:rsid w:val="24C05F47"/>
    <w:rsid w:val="24C2228A"/>
    <w:rsid w:val="24E5313B"/>
    <w:rsid w:val="24F1415D"/>
    <w:rsid w:val="24FF1E26"/>
    <w:rsid w:val="25352CC4"/>
    <w:rsid w:val="25373912"/>
    <w:rsid w:val="255A1DD2"/>
    <w:rsid w:val="259D5B93"/>
    <w:rsid w:val="25C00586"/>
    <w:rsid w:val="25C773A9"/>
    <w:rsid w:val="260F0837"/>
    <w:rsid w:val="26247D7D"/>
    <w:rsid w:val="262D5D63"/>
    <w:rsid w:val="264A527B"/>
    <w:rsid w:val="267C1488"/>
    <w:rsid w:val="267F2D5C"/>
    <w:rsid w:val="26866A80"/>
    <w:rsid w:val="26926FE6"/>
    <w:rsid w:val="26E705DB"/>
    <w:rsid w:val="27086BD5"/>
    <w:rsid w:val="270E1EE4"/>
    <w:rsid w:val="271F4A74"/>
    <w:rsid w:val="272B0526"/>
    <w:rsid w:val="27726B2F"/>
    <w:rsid w:val="279F6934"/>
    <w:rsid w:val="27A9031D"/>
    <w:rsid w:val="27B03AC9"/>
    <w:rsid w:val="27DA1DB5"/>
    <w:rsid w:val="27E92C44"/>
    <w:rsid w:val="27F0287C"/>
    <w:rsid w:val="28176BDF"/>
    <w:rsid w:val="28195EE1"/>
    <w:rsid w:val="2822494A"/>
    <w:rsid w:val="28287DA9"/>
    <w:rsid w:val="283A45FF"/>
    <w:rsid w:val="284E5835"/>
    <w:rsid w:val="286032B3"/>
    <w:rsid w:val="288D0EBC"/>
    <w:rsid w:val="289D6333"/>
    <w:rsid w:val="28F3236C"/>
    <w:rsid w:val="290D077B"/>
    <w:rsid w:val="292B4ECB"/>
    <w:rsid w:val="293917EF"/>
    <w:rsid w:val="29624D8D"/>
    <w:rsid w:val="29661C2A"/>
    <w:rsid w:val="2A173B69"/>
    <w:rsid w:val="2A3038EB"/>
    <w:rsid w:val="2A31084E"/>
    <w:rsid w:val="2A4977F3"/>
    <w:rsid w:val="2A815A06"/>
    <w:rsid w:val="2A9C43F5"/>
    <w:rsid w:val="2AB625B8"/>
    <w:rsid w:val="2AB73B4C"/>
    <w:rsid w:val="2ABE59AB"/>
    <w:rsid w:val="2AD94A65"/>
    <w:rsid w:val="2AF43097"/>
    <w:rsid w:val="2AF653DE"/>
    <w:rsid w:val="2B0944C9"/>
    <w:rsid w:val="2B386200"/>
    <w:rsid w:val="2B404F39"/>
    <w:rsid w:val="2B41779F"/>
    <w:rsid w:val="2B607C62"/>
    <w:rsid w:val="2B674E31"/>
    <w:rsid w:val="2BC568CE"/>
    <w:rsid w:val="2BD0618E"/>
    <w:rsid w:val="2BE4233F"/>
    <w:rsid w:val="2C296585"/>
    <w:rsid w:val="2C323291"/>
    <w:rsid w:val="2C3A4F2D"/>
    <w:rsid w:val="2C485027"/>
    <w:rsid w:val="2C6619BD"/>
    <w:rsid w:val="2CAA388D"/>
    <w:rsid w:val="2CAE69CD"/>
    <w:rsid w:val="2CC45358"/>
    <w:rsid w:val="2CDB31DE"/>
    <w:rsid w:val="2CF842F2"/>
    <w:rsid w:val="2CFE7A97"/>
    <w:rsid w:val="2D0C3A20"/>
    <w:rsid w:val="2D203E67"/>
    <w:rsid w:val="2D33510B"/>
    <w:rsid w:val="2D4359BD"/>
    <w:rsid w:val="2D512A1A"/>
    <w:rsid w:val="2D6E7624"/>
    <w:rsid w:val="2D7A1A0E"/>
    <w:rsid w:val="2D833026"/>
    <w:rsid w:val="2DBE4EE9"/>
    <w:rsid w:val="2DFB1C91"/>
    <w:rsid w:val="2E4379ED"/>
    <w:rsid w:val="2E45600A"/>
    <w:rsid w:val="2E472D13"/>
    <w:rsid w:val="2E5E58B7"/>
    <w:rsid w:val="2E751729"/>
    <w:rsid w:val="2E8F70FB"/>
    <w:rsid w:val="2E950006"/>
    <w:rsid w:val="2E98096C"/>
    <w:rsid w:val="2EA14884"/>
    <w:rsid w:val="2EA3245E"/>
    <w:rsid w:val="2EF127EF"/>
    <w:rsid w:val="2EFF25E6"/>
    <w:rsid w:val="2F1971EC"/>
    <w:rsid w:val="2F1F5360"/>
    <w:rsid w:val="2F3A082D"/>
    <w:rsid w:val="2F3E4135"/>
    <w:rsid w:val="2F5128C6"/>
    <w:rsid w:val="2F90732D"/>
    <w:rsid w:val="2FA24349"/>
    <w:rsid w:val="2FCF1DCD"/>
    <w:rsid w:val="2FED5904"/>
    <w:rsid w:val="2FF65927"/>
    <w:rsid w:val="30291BA2"/>
    <w:rsid w:val="303257EB"/>
    <w:rsid w:val="303C51A2"/>
    <w:rsid w:val="30840D77"/>
    <w:rsid w:val="309A20F2"/>
    <w:rsid w:val="309D58FA"/>
    <w:rsid w:val="30AB3D91"/>
    <w:rsid w:val="30BE5311"/>
    <w:rsid w:val="30CF09B3"/>
    <w:rsid w:val="310A48AB"/>
    <w:rsid w:val="31157970"/>
    <w:rsid w:val="315A432C"/>
    <w:rsid w:val="31A353D0"/>
    <w:rsid w:val="31AC4D31"/>
    <w:rsid w:val="31B970BF"/>
    <w:rsid w:val="31D82752"/>
    <w:rsid w:val="321F7383"/>
    <w:rsid w:val="327C1F2A"/>
    <w:rsid w:val="329B2933"/>
    <w:rsid w:val="32CA716D"/>
    <w:rsid w:val="33003FC2"/>
    <w:rsid w:val="334E72E1"/>
    <w:rsid w:val="335524B0"/>
    <w:rsid w:val="33807A55"/>
    <w:rsid w:val="33B37CA9"/>
    <w:rsid w:val="33C736CB"/>
    <w:rsid w:val="33EE4F27"/>
    <w:rsid w:val="344032C6"/>
    <w:rsid w:val="344453DA"/>
    <w:rsid w:val="345F7E6A"/>
    <w:rsid w:val="346776FB"/>
    <w:rsid w:val="34750E44"/>
    <w:rsid w:val="347F7864"/>
    <w:rsid w:val="349577EB"/>
    <w:rsid w:val="34ED2D6D"/>
    <w:rsid w:val="350A5133"/>
    <w:rsid w:val="351118D1"/>
    <w:rsid w:val="35382156"/>
    <w:rsid w:val="353A6021"/>
    <w:rsid w:val="3551739A"/>
    <w:rsid w:val="355F1A9E"/>
    <w:rsid w:val="357F052A"/>
    <w:rsid w:val="35B7424D"/>
    <w:rsid w:val="35CA59BE"/>
    <w:rsid w:val="35FF54EC"/>
    <w:rsid w:val="360B4B18"/>
    <w:rsid w:val="36104EFA"/>
    <w:rsid w:val="36332BB6"/>
    <w:rsid w:val="365F7C09"/>
    <w:rsid w:val="3682014E"/>
    <w:rsid w:val="36ED3373"/>
    <w:rsid w:val="36FA5A6C"/>
    <w:rsid w:val="37236280"/>
    <w:rsid w:val="37271C88"/>
    <w:rsid w:val="372B276C"/>
    <w:rsid w:val="375B3AE7"/>
    <w:rsid w:val="3760708C"/>
    <w:rsid w:val="37905BEF"/>
    <w:rsid w:val="37A40778"/>
    <w:rsid w:val="37C947EF"/>
    <w:rsid w:val="37DF41F2"/>
    <w:rsid w:val="37E347EA"/>
    <w:rsid w:val="383302D3"/>
    <w:rsid w:val="3857263C"/>
    <w:rsid w:val="3869246D"/>
    <w:rsid w:val="38A42714"/>
    <w:rsid w:val="38AA26D2"/>
    <w:rsid w:val="38D75F74"/>
    <w:rsid w:val="38E33665"/>
    <w:rsid w:val="38F51754"/>
    <w:rsid w:val="390F1B48"/>
    <w:rsid w:val="391C48A6"/>
    <w:rsid w:val="39287929"/>
    <w:rsid w:val="39625535"/>
    <w:rsid w:val="396769C7"/>
    <w:rsid w:val="396771A5"/>
    <w:rsid w:val="39817CC3"/>
    <w:rsid w:val="398845E8"/>
    <w:rsid w:val="398A2CA2"/>
    <w:rsid w:val="39A97343"/>
    <w:rsid w:val="39B20E3B"/>
    <w:rsid w:val="39BE65D1"/>
    <w:rsid w:val="39CE55E2"/>
    <w:rsid w:val="3A303F74"/>
    <w:rsid w:val="3A696E5B"/>
    <w:rsid w:val="3AA13316"/>
    <w:rsid w:val="3ABC6DF4"/>
    <w:rsid w:val="3AEC50AC"/>
    <w:rsid w:val="3AEC5456"/>
    <w:rsid w:val="3B0D6504"/>
    <w:rsid w:val="3B572219"/>
    <w:rsid w:val="3B693041"/>
    <w:rsid w:val="3B7F4748"/>
    <w:rsid w:val="3B8B45E1"/>
    <w:rsid w:val="3B960371"/>
    <w:rsid w:val="3BBC32BD"/>
    <w:rsid w:val="3BDB3047"/>
    <w:rsid w:val="3BDE6F22"/>
    <w:rsid w:val="3C237B44"/>
    <w:rsid w:val="3C3B4CA8"/>
    <w:rsid w:val="3C574486"/>
    <w:rsid w:val="3C6207A2"/>
    <w:rsid w:val="3CB06833"/>
    <w:rsid w:val="3CCF0D49"/>
    <w:rsid w:val="3CF5744A"/>
    <w:rsid w:val="3D195135"/>
    <w:rsid w:val="3D273C96"/>
    <w:rsid w:val="3D4C15C7"/>
    <w:rsid w:val="3D5D3FF3"/>
    <w:rsid w:val="3D7E3800"/>
    <w:rsid w:val="3DCA2895"/>
    <w:rsid w:val="3DCF37C1"/>
    <w:rsid w:val="3DE40362"/>
    <w:rsid w:val="3E0457D1"/>
    <w:rsid w:val="3E264E4E"/>
    <w:rsid w:val="3E2661B3"/>
    <w:rsid w:val="3E3B4984"/>
    <w:rsid w:val="3E7F792C"/>
    <w:rsid w:val="3E955A62"/>
    <w:rsid w:val="3EC470B5"/>
    <w:rsid w:val="3EC5079E"/>
    <w:rsid w:val="3EC728F3"/>
    <w:rsid w:val="3EE92C64"/>
    <w:rsid w:val="3EF24D0C"/>
    <w:rsid w:val="3F096987"/>
    <w:rsid w:val="3F3264F3"/>
    <w:rsid w:val="3F3F4F31"/>
    <w:rsid w:val="3F4C3A3D"/>
    <w:rsid w:val="3FB07BA9"/>
    <w:rsid w:val="3FD3455E"/>
    <w:rsid w:val="3FFD6462"/>
    <w:rsid w:val="400D37BC"/>
    <w:rsid w:val="40445EFD"/>
    <w:rsid w:val="407524EF"/>
    <w:rsid w:val="40AD5FDC"/>
    <w:rsid w:val="40D57DED"/>
    <w:rsid w:val="40F51184"/>
    <w:rsid w:val="41200186"/>
    <w:rsid w:val="41447632"/>
    <w:rsid w:val="41625203"/>
    <w:rsid w:val="41B852F1"/>
    <w:rsid w:val="41C87996"/>
    <w:rsid w:val="42156863"/>
    <w:rsid w:val="423607B2"/>
    <w:rsid w:val="424B6C7F"/>
    <w:rsid w:val="426F7A8C"/>
    <w:rsid w:val="427A3DBC"/>
    <w:rsid w:val="429152D7"/>
    <w:rsid w:val="42940731"/>
    <w:rsid w:val="42A35CE2"/>
    <w:rsid w:val="42CC680F"/>
    <w:rsid w:val="42DD3AE3"/>
    <w:rsid w:val="42F24D7F"/>
    <w:rsid w:val="42FA49D0"/>
    <w:rsid w:val="43086803"/>
    <w:rsid w:val="432817BA"/>
    <w:rsid w:val="435D27D0"/>
    <w:rsid w:val="436252E2"/>
    <w:rsid w:val="438D373A"/>
    <w:rsid w:val="43C16661"/>
    <w:rsid w:val="43E11B60"/>
    <w:rsid w:val="43ED6504"/>
    <w:rsid w:val="443366E5"/>
    <w:rsid w:val="448F2C1E"/>
    <w:rsid w:val="44A743D3"/>
    <w:rsid w:val="45074FA4"/>
    <w:rsid w:val="45404571"/>
    <w:rsid w:val="4540773A"/>
    <w:rsid w:val="454D7940"/>
    <w:rsid w:val="455B572D"/>
    <w:rsid w:val="4564324C"/>
    <w:rsid w:val="45881381"/>
    <w:rsid w:val="45B63488"/>
    <w:rsid w:val="461F6C80"/>
    <w:rsid w:val="4656487A"/>
    <w:rsid w:val="465B2C79"/>
    <w:rsid w:val="46695910"/>
    <w:rsid w:val="467700D0"/>
    <w:rsid w:val="469B1171"/>
    <w:rsid w:val="46D44D26"/>
    <w:rsid w:val="470651C3"/>
    <w:rsid w:val="470878AD"/>
    <w:rsid w:val="471434C4"/>
    <w:rsid w:val="47843361"/>
    <w:rsid w:val="478C346A"/>
    <w:rsid w:val="47D37476"/>
    <w:rsid w:val="48454769"/>
    <w:rsid w:val="486E1B4D"/>
    <w:rsid w:val="487E2B52"/>
    <w:rsid w:val="48AC4EE2"/>
    <w:rsid w:val="48B8451A"/>
    <w:rsid w:val="48BF25B0"/>
    <w:rsid w:val="490A11CB"/>
    <w:rsid w:val="49182CE4"/>
    <w:rsid w:val="4933223F"/>
    <w:rsid w:val="4986553B"/>
    <w:rsid w:val="49A51191"/>
    <w:rsid w:val="4A0576E3"/>
    <w:rsid w:val="4A262042"/>
    <w:rsid w:val="4A2639CA"/>
    <w:rsid w:val="4A460337"/>
    <w:rsid w:val="4AA54B10"/>
    <w:rsid w:val="4AA8521D"/>
    <w:rsid w:val="4AC95E8B"/>
    <w:rsid w:val="4ACC3CB8"/>
    <w:rsid w:val="4AE36F2D"/>
    <w:rsid w:val="4AED3013"/>
    <w:rsid w:val="4B643A9E"/>
    <w:rsid w:val="4B853842"/>
    <w:rsid w:val="4B857311"/>
    <w:rsid w:val="4B8B45BB"/>
    <w:rsid w:val="4BA46CEB"/>
    <w:rsid w:val="4BC30E9B"/>
    <w:rsid w:val="4C2B3C7E"/>
    <w:rsid w:val="4C6C0C5D"/>
    <w:rsid w:val="4C8A1076"/>
    <w:rsid w:val="4D2764ED"/>
    <w:rsid w:val="4D636616"/>
    <w:rsid w:val="4DAF1737"/>
    <w:rsid w:val="4DC56E47"/>
    <w:rsid w:val="4E7608A6"/>
    <w:rsid w:val="4E8D1628"/>
    <w:rsid w:val="4EBF6C25"/>
    <w:rsid w:val="4EC2466E"/>
    <w:rsid w:val="4EF601C4"/>
    <w:rsid w:val="4F2D555F"/>
    <w:rsid w:val="4F94215D"/>
    <w:rsid w:val="4FB667DC"/>
    <w:rsid w:val="503E67D1"/>
    <w:rsid w:val="5041317D"/>
    <w:rsid w:val="504F0CB4"/>
    <w:rsid w:val="50690540"/>
    <w:rsid w:val="506A7E97"/>
    <w:rsid w:val="509344F3"/>
    <w:rsid w:val="50BA587F"/>
    <w:rsid w:val="50C37DD5"/>
    <w:rsid w:val="510D54BB"/>
    <w:rsid w:val="517F7569"/>
    <w:rsid w:val="51CB3449"/>
    <w:rsid w:val="51F31E0C"/>
    <w:rsid w:val="51F524C1"/>
    <w:rsid w:val="522F6241"/>
    <w:rsid w:val="52515B54"/>
    <w:rsid w:val="528F6508"/>
    <w:rsid w:val="5298212B"/>
    <w:rsid w:val="52982E01"/>
    <w:rsid w:val="52B51B01"/>
    <w:rsid w:val="52D152F2"/>
    <w:rsid w:val="52DF2B34"/>
    <w:rsid w:val="530A08B1"/>
    <w:rsid w:val="530A604C"/>
    <w:rsid w:val="5327509F"/>
    <w:rsid w:val="532B57E2"/>
    <w:rsid w:val="534262E1"/>
    <w:rsid w:val="53AB79FA"/>
    <w:rsid w:val="53AD52B0"/>
    <w:rsid w:val="53B11D33"/>
    <w:rsid w:val="54063544"/>
    <w:rsid w:val="54523AE8"/>
    <w:rsid w:val="547F7709"/>
    <w:rsid w:val="54953A1A"/>
    <w:rsid w:val="54AF4A69"/>
    <w:rsid w:val="54E0350B"/>
    <w:rsid w:val="54ED52CE"/>
    <w:rsid w:val="55104881"/>
    <w:rsid w:val="55124E82"/>
    <w:rsid w:val="55372D6B"/>
    <w:rsid w:val="55434211"/>
    <w:rsid w:val="554565A5"/>
    <w:rsid w:val="5554090E"/>
    <w:rsid w:val="55603D5A"/>
    <w:rsid w:val="557D7705"/>
    <w:rsid w:val="557F4EC6"/>
    <w:rsid w:val="55CF74C1"/>
    <w:rsid w:val="564625C3"/>
    <w:rsid w:val="569719A7"/>
    <w:rsid w:val="569E54C9"/>
    <w:rsid w:val="56BF1D00"/>
    <w:rsid w:val="56DA7E01"/>
    <w:rsid w:val="573E6132"/>
    <w:rsid w:val="5747016D"/>
    <w:rsid w:val="57AC6411"/>
    <w:rsid w:val="57AD5865"/>
    <w:rsid w:val="57AD6AE7"/>
    <w:rsid w:val="57DA00A5"/>
    <w:rsid w:val="57F76EEF"/>
    <w:rsid w:val="57FC6AD0"/>
    <w:rsid w:val="583B1DE5"/>
    <w:rsid w:val="58456F4B"/>
    <w:rsid w:val="585F03A9"/>
    <w:rsid w:val="586F46B4"/>
    <w:rsid w:val="587B7582"/>
    <w:rsid w:val="588C39EB"/>
    <w:rsid w:val="58A92AD7"/>
    <w:rsid w:val="58DD654C"/>
    <w:rsid w:val="58FE1D0C"/>
    <w:rsid w:val="590C3280"/>
    <w:rsid w:val="59316614"/>
    <w:rsid w:val="598330B5"/>
    <w:rsid w:val="59A5379F"/>
    <w:rsid w:val="59AC60E2"/>
    <w:rsid w:val="59B67FBD"/>
    <w:rsid w:val="59BE2B07"/>
    <w:rsid w:val="59DE7528"/>
    <w:rsid w:val="59EA75D1"/>
    <w:rsid w:val="59EE2DC6"/>
    <w:rsid w:val="59FA003B"/>
    <w:rsid w:val="59FB03A9"/>
    <w:rsid w:val="5A445D3E"/>
    <w:rsid w:val="5A5579A1"/>
    <w:rsid w:val="5AA7546E"/>
    <w:rsid w:val="5AE54489"/>
    <w:rsid w:val="5AE8592C"/>
    <w:rsid w:val="5AF11A09"/>
    <w:rsid w:val="5B096777"/>
    <w:rsid w:val="5B25636E"/>
    <w:rsid w:val="5B4854AD"/>
    <w:rsid w:val="5B6C231F"/>
    <w:rsid w:val="5B79215D"/>
    <w:rsid w:val="5B87441F"/>
    <w:rsid w:val="5B9C02C1"/>
    <w:rsid w:val="5BC41424"/>
    <w:rsid w:val="5BC67170"/>
    <w:rsid w:val="5BD26824"/>
    <w:rsid w:val="5BDF4044"/>
    <w:rsid w:val="5BF366D3"/>
    <w:rsid w:val="5C1A4401"/>
    <w:rsid w:val="5C3F49FB"/>
    <w:rsid w:val="5C590800"/>
    <w:rsid w:val="5C6761F0"/>
    <w:rsid w:val="5C806B3D"/>
    <w:rsid w:val="5C894874"/>
    <w:rsid w:val="5CA0613A"/>
    <w:rsid w:val="5CD360E6"/>
    <w:rsid w:val="5CE421FE"/>
    <w:rsid w:val="5D0A642B"/>
    <w:rsid w:val="5D272751"/>
    <w:rsid w:val="5D3D3174"/>
    <w:rsid w:val="5D6579E2"/>
    <w:rsid w:val="5D6B2CB2"/>
    <w:rsid w:val="5E235883"/>
    <w:rsid w:val="5E652089"/>
    <w:rsid w:val="5EDB6C9A"/>
    <w:rsid w:val="5F786B0B"/>
    <w:rsid w:val="5FD261F7"/>
    <w:rsid w:val="5FE411F1"/>
    <w:rsid w:val="6095651C"/>
    <w:rsid w:val="60A90318"/>
    <w:rsid w:val="60C34D55"/>
    <w:rsid w:val="6115792E"/>
    <w:rsid w:val="615B0085"/>
    <w:rsid w:val="617937C5"/>
    <w:rsid w:val="61C8408E"/>
    <w:rsid w:val="61F2426F"/>
    <w:rsid w:val="623122D6"/>
    <w:rsid w:val="6256296D"/>
    <w:rsid w:val="62740EC3"/>
    <w:rsid w:val="62892B80"/>
    <w:rsid w:val="62E05350"/>
    <w:rsid w:val="630B2973"/>
    <w:rsid w:val="632C2AAB"/>
    <w:rsid w:val="63503568"/>
    <w:rsid w:val="6350694D"/>
    <w:rsid w:val="63856EC4"/>
    <w:rsid w:val="639661AF"/>
    <w:rsid w:val="63AA249F"/>
    <w:rsid w:val="63C72B69"/>
    <w:rsid w:val="63FF6DAA"/>
    <w:rsid w:val="641370EA"/>
    <w:rsid w:val="644A3F87"/>
    <w:rsid w:val="646A3E8C"/>
    <w:rsid w:val="646C615C"/>
    <w:rsid w:val="64B80F47"/>
    <w:rsid w:val="64E91AB9"/>
    <w:rsid w:val="64ED21AF"/>
    <w:rsid w:val="65185630"/>
    <w:rsid w:val="652400A6"/>
    <w:rsid w:val="653E0850"/>
    <w:rsid w:val="65545D4A"/>
    <w:rsid w:val="655B5ED8"/>
    <w:rsid w:val="65726366"/>
    <w:rsid w:val="65734BED"/>
    <w:rsid w:val="65A32804"/>
    <w:rsid w:val="65AC2792"/>
    <w:rsid w:val="6616672A"/>
    <w:rsid w:val="66482232"/>
    <w:rsid w:val="667D2620"/>
    <w:rsid w:val="6687149D"/>
    <w:rsid w:val="668847FF"/>
    <w:rsid w:val="668D6998"/>
    <w:rsid w:val="66AA1609"/>
    <w:rsid w:val="66BB6C05"/>
    <w:rsid w:val="671465C0"/>
    <w:rsid w:val="671B5382"/>
    <w:rsid w:val="673C659E"/>
    <w:rsid w:val="67503B25"/>
    <w:rsid w:val="67BC6A58"/>
    <w:rsid w:val="67D36F9D"/>
    <w:rsid w:val="67E71DEB"/>
    <w:rsid w:val="67F02258"/>
    <w:rsid w:val="68020C78"/>
    <w:rsid w:val="683C7270"/>
    <w:rsid w:val="686A58BD"/>
    <w:rsid w:val="688B53B8"/>
    <w:rsid w:val="68A46AA2"/>
    <w:rsid w:val="69820480"/>
    <w:rsid w:val="698E7CDB"/>
    <w:rsid w:val="69A103AD"/>
    <w:rsid w:val="69D92D0C"/>
    <w:rsid w:val="69DF1659"/>
    <w:rsid w:val="69F53DA8"/>
    <w:rsid w:val="6A0E0121"/>
    <w:rsid w:val="6A1C4505"/>
    <w:rsid w:val="6A723945"/>
    <w:rsid w:val="6A7D2B42"/>
    <w:rsid w:val="6AA829C1"/>
    <w:rsid w:val="6AB72564"/>
    <w:rsid w:val="6AC85E61"/>
    <w:rsid w:val="6AE7490C"/>
    <w:rsid w:val="6AEC463A"/>
    <w:rsid w:val="6B486DB6"/>
    <w:rsid w:val="6B5F41A2"/>
    <w:rsid w:val="6BAF6D00"/>
    <w:rsid w:val="6BC375AA"/>
    <w:rsid w:val="6BD75D2F"/>
    <w:rsid w:val="6BD77F5F"/>
    <w:rsid w:val="6BF942B9"/>
    <w:rsid w:val="6C011F8E"/>
    <w:rsid w:val="6C1326B4"/>
    <w:rsid w:val="6C1B47DD"/>
    <w:rsid w:val="6C3257C4"/>
    <w:rsid w:val="6C5E5495"/>
    <w:rsid w:val="6C7F0C93"/>
    <w:rsid w:val="6C891CEB"/>
    <w:rsid w:val="6C8A696D"/>
    <w:rsid w:val="6D0C0317"/>
    <w:rsid w:val="6D0E3C07"/>
    <w:rsid w:val="6D1E4CCD"/>
    <w:rsid w:val="6D302185"/>
    <w:rsid w:val="6D5F5715"/>
    <w:rsid w:val="6D77431B"/>
    <w:rsid w:val="6D7C5B22"/>
    <w:rsid w:val="6DA46A5F"/>
    <w:rsid w:val="6DC0567F"/>
    <w:rsid w:val="6DC101BA"/>
    <w:rsid w:val="6DC14EB2"/>
    <w:rsid w:val="6E30416C"/>
    <w:rsid w:val="6E363F3E"/>
    <w:rsid w:val="6E583E63"/>
    <w:rsid w:val="6E5B7BC1"/>
    <w:rsid w:val="6E6071B8"/>
    <w:rsid w:val="6EFD265E"/>
    <w:rsid w:val="6F0D0A82"/>
    <w:rsid w:val="6F252AB1"/>
    <w:rsid w:val="6F410BA3"/>
    <w:rsid w:val="6F651EC5"/>
    <w:rsid w:val="6F7A655E"/>
    <w:rsid w:val="6F8A7505"/>
    <w:rsid w:val="6F9E5EC0"/>
    <w:rsid w:val="6FC66BCD"/>
    <w:rsid w:val="6FF36273"/>
    <w:rsid w:val="6FFA28F4"/>
    <w:rsid w:val="6FFD614F"/>
    <w:rsid w:val="701439AA"/>
    <w:rsid w:val="70153A4B"/>
    <w:rsid w:val="706103C5"/>
    <w:rsid w:val="70736A9B"/>
    <w:rsid w:val="70755C72"/>
    <w:rsid w:val="709070CD"/>
    <w:rsid w:val="709F5DB8"/>
    <w:rsid w:val="70C23562"/>
    <w:rsid w:val="710935B6"/>
    <w:rsid w:val="717E1F6C"/>
    <w:rsid w:val="718376B7"/>
    <w:rsid w:val="719827BC"/>
    <w:rsid w:val="71A1021A"/>
    <w:rsid w:val="71D26F8F"/>
    <w:rsid w:val="71F725DB"/>
    <w:rsid w:val="7246683B"/>
    <w:rsid w:val="725B1FB2"/>
    <w:rsid w:val="726B22B5"/>
    <w:rsid w:val="726D33C6"/>
    <w:rsid w:val="72700F0F"/>
    <w:rsid w:val="727336D4"/>
    <w:rsid w:val="7279157D"/>
    <w:rsid w:val="72934AF1"/>
    <w:rsid w:val="72BE7739"/>
    <w:rsid w:val="72E74576"/>
    <w:rsid w:val="734F1733"/>
    <w:rsid w:val="73705FF0"/>
    <w:rsid w:val="73825110"/>
    <w:rsid w:val="743249C6"/>
    <w:rsid w:val="74327E09"/>
    <w:rsid w:val="74BA51F8"/>
    <w:rsid w:val="74D520AF"/>
    <w:rsid w:val="7558612A"/>
    <w:rsid w:val="758E18AF"/>
    <w:rsid w:val="75D56F9C"/>
    <w:rsid w:val="75DE05FC"/>
    <w:rsid w:val="75DF5B16"/>
    <w:rsid w:val="75FF1536"/>
    <w:rsid w:val="7601602C"/>
    <w:rsid w:val="76306444"/>
    <w:rsid w:val="76393CBC"/>
    <w:rsid w:val="764B1960"/>
    <w:rsid w:val="765056B1"/>
    <w:rsid w:val="765204AA"/>
    <w:rsid w:val="765B72A8"/>
    <w:rsid w:val="765C6CE9"/>
    <w:rsid w:val="76867CA9"/>
    <w:rsid w:val="76B75AE9"/>
    <w:rsid w:val="76BB70FA"/>
    <w:rsid w:val="76BE1E47"/>
    <w:rsid w:val="76C25A82"/>
    <w:rsid w:val="76C83240"/>
    <w:rsid w:val="76DC19DF"/>
    <w:rsid w:val="770136C8"/>
    <w:rsid w:val="773244E6"/>
    <w:rsid w:val="774A06BE"/>
    <w:rsid w:val="776F06E5"/>
    <w:rsid w:val="77875B12"/>
    <w:rsid w:val="778B6960"/>
    <w:rsid w:val="77D31CA4"/>
    <w:rsid w:val="77D76D1B"/>
    <w:rsid w:val="77EF5B3D"/>
    <w:rsid w:val="780A1121"/>
    <w:rsid w:val="78280F7E"/>
    <w:rsid w:val="78352288"/>
    <w:rsid w:val="78366871"/>
    <w:rsid w:val="783C404A"/>
    <w:rsid w:val="784617C3"/>
    <w:rsid w:val="785115E4"/>
    <w:rsid w:val="78B60900"/>
    <w:rsid w:val="78DF5874"/>
    <w:rsid w:val="78EB0306"/>
    <w:rsid w:val="78EE53F9"/>
    <w:rsid w:val="79154DBC"/>
    <w:rsid w:val="79495D14"/>
    <w:rsid w:val="79510F93"/>
    <w:rsid w:val="79912E76"/>
    <w:rsid w:val="799E1B28"/>
    <w:rsid w:val="79A07761"/>
    <w:rsid w:val="79A13A72"/>
    <w:rsid w:val="79B5084F"/>
    <w:rsid w:val="79CE019D"/>
    <w:rsid w:val="79F24870"/>
    <w:rsid w:val="7A604F40"/>
    <w:rsid w:val="7A657744"/>
    <w:rsid w:val="7A6B4FBD"/>
    <w:rsid w:val="7A6C7A1E"/>
    <w:rsid w:val="7A7B51FE"/>
    <w:rsid w:val="7A7D3F12"/>
    <w:rsid w:val="7A7E2EB2"/>
    <w:rsid w:val="7A8021EB"/>
    <w:rsid w:val="7A942EB1"/>
    <w:rsid w:val="7A970587"/>
    <w:rsid w:val="7A983A05"/>
    <w:rsid w:val="7A9E31E1"/>
    <w:rsid w:val="7AC17E00"/>
    <w:rsid w:val="7ADC6884"/>
    <w:rsid w:val="7AFD213E"/>
    <w:rsid w:val="7BB35D52"/>
    <w:rsid w:val="7BC24CD8"/>
    <w:rsid w:val="7BCE68E4"/>
    <w:rsid w:val="7BDB5443"/>
    <w:rsid w:val="7BDE34A0"/>
    <w:rsid w:val="7C067514"/>
    <w:rsid w:val="7C5879D7"/>
    <w:rsid w:val="7C7A1F09"/>
    <w:rsid w:val="7C9B35A0"/>
    <w:rsid w:val="7CA45DEE"/>
    <w:rsid w:val="7CB44B89"/>
    <w:rsid w:val="7CBE50CD"/>
    <w:rsid w:val="7D5C4DEA"/>
    <w:rsid w:val="7D693E76"/>
    <w:rsid w:val="7D6957DE"/>
    <w:rsid w:val="7DDF0CF5"/>
    <w:rsid w:val="7DDF7A77"/>
    <w:rsid w:val="7E956537"/>
    <w:rsid w:val="7EBB78C5"/>
    <w:rsid w:val="7EC00D14"/>
    <w:rsid w:val="7EE014B2"/>
    <w:rsid w:val="7F460370"/>
    <w:rsid w:val="7F9A699F"/>
    <w:rsid w:val="7F9D0EBA"/>
    <w:rsid w:val="7FAF6DF1"/>
    <w:rsid w:val="7FB42BE8"/>
    <w:rsid w:val="7FBD50BF"/>
    <w:rsid w:val="7FC06D7B"/>
    <w:rsid w:val="7FCC526D"/>
  </w:rsids>
  <m:mathPr>
    <m:mathFont m:val="Cambria Math"/>
    <m:brkBin m:val="before"/>
    <m:brkBinSub m:val="--"/>
    <m:smallFrac m:val="1"/>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iPriority="0" w:semiHidden="0" w:name="Normal Indent"/>
    <w:lsdException w:qFormat="1" w:uiPriority="0" w:semiHidden="0" w:name="footnote text"/>
    <w:lsdException w:qFormat="1"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0" w:semiHidden="0"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0" w:semiHidden="0" w:name="Strong"/>
    <w:lsdException w:qFormat="1" w:unhideWhenUsed="0" w:uiPriority="20" w:semiHidden="0" w:name="Emphasis"/>
    <w:lsdException w:qFormat="1" w:uiPriority="0" w:name="Document Map"/>
    <w:lsdException w:qFormat="1"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spacing w:before="120" w:after="100" w:afterAutospacing="1" w:line="360" w:lineRule="auto"/>
      <w:ind w:left="709" w:right="-27" w:hanging="709"/>
      <w:jc w:val="both"/>
    </w:pPr>
    <w:rPr>
      <w:rFonts w:ascii="Times New Roman" w:hAnsi="Times New Roman" w:eastAsia="宋体" w:cs="Times New Roman"/>
      <w:sz w:val="21"/>
      <w:szCs w:val="21"/>
      <w:lang w:val="en-US" w:eastAsia="zh-CN" w:bidi="ar-SA"/>
    </w:rPr>
  </w:style>
  <w:style w:type="paragraph" w:styleId="3">
    <w:name w:val="heading 1"/>
    <w:basedOn w:val="4"/>
    <w:next w:val="1"/>
    <w:qFormat/>
    <w:uiPriority w:val="7"/>
    <w:pPr>
      <w:spacing w:before="0" w:after="330" w:line="576" w:lineRule="auto"/>
      <w:outlineLvl w:val="0"/>
    </w:pPr>
    <w:rPr>
      <w:b/>
      <w:sz w:val="44"/>
      <w:szCs w:val="44"/>
    </w:rPr>
  </w:style>
  <w:style w:type="paragraph" w:styleId="5">
    <w:name w:val="heading 2"/>
    <w:basedOn w:val="1"/>
    <w:next w:val="1"/>
    <w:qFormat/>
    <w:uiPriority w:val="8"/>
    <w:pPr>
      <w:spacing w:before="0" w:after="260" w:line="415" w:lineRule="auto"/>
      <w:outlineLvl w:val="1"/>
    </w:pPr>
    <w:rPr>
      <w:rFonts w:ascii="Arial" w:hAnsi="Arial" w:eastAsia="黑体"/>
      <w:b/>
      <w:sz w:val="32"/>
      <w:szCs w:val="32"/>
    </w:rPr>
  </w:style>
  <w:style w:type="paragraph" w:styleId="6">
    <w:name w:val="heading 3"/>
    <w:basedOn w:val="1"/>
    <w:next w:val="1"/>
    <w:qFormat/>
    <w:uiPriority w:val="9"/>
    <w:pPr>
      <w:outlineLvl w:val="2"/>
    </w:pPr>
    <w:rPr>
      <w:b/>
      <w:sz w:val="24"/>
      <w:szCs w:val="24"/>
    </w:rPr>
  </w:style>
  <w:style w:type="character" w:default="1" w:styleId="30">
    <w:name w:val="Default Paragraph Font"/>
    <w:semiHidden/>
    <w:unhideWhenUsed/>
    <w:qFormat/>
    <w:uiPriority w:val="1"/>
  </w:style>
  <w:style w:type="table" w:default="1" w:styleId="28">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CellMar>
        <w:top w:w="0" w:type="dxa"/>
        <w:left w:w="108" w:type="dxa"/>
        <w:bottom w:w="0" w:type="dxa"/>
        <w:right w:w="108" w:type="dxa"/>
      </w:tblCellMar>
    </w:tblPr>
  </w:style>
  <w:style w:type="paragraph" w:styleId="2">
    <w:name w:val="Plain Text"/>
    <w:basedOn w:val="1"/>
    <w:link w:val="49"/>
    <w:unhideWhenUsed/>
    <w:qFormat/>
    <w:uiPriority w:val="0"/>
    <w:rPr>
      <w:rFonts w:ascii="宋体" w:hAnsi="Courier New" w:cs="宋体"/>
      <w:sz w:val="20"/>
      <w:szCs w:val="20"/>
    </w:rPr>
  </w:style>
  <w:style w:type="paragraph" w:styleId="4">
    <w:name w:val="toa heading"/>
    <w:basedOn w:val="1"/>
    <w:next w:val="1"/>
    <w:qFormat/>
    <w:uiPriority w:val="0"/>
    <w:rPr>
      <w:rFonts w:ascii="Arial" w:hAnsi="Arial"/>
      <w:sz w:val="24"/>
    </w:rPr>
  </w:style>
  <w:style w:type="paragraph" w:styleId="7">
    <w:name w:val="toc 7"/>
    <w:basedOn w:val="1"/>
    <w:next w:val="1"/>
    <w:unhideWhenUsed/>
    <w:qFormat/>
    <w:uiPriority w:val="39"/>
    <w:pPr>
      <w:widowControl w:val="0"/>
      <w:spacing w:before="0" w:after="0" w:afterAutospacing="0" w:line="240" w:lineRule="auto"/>
      <w:ind w:left="2520" w:leftChars="1200" w:right="0" w:firstLine="0"/>
    </w:pPr>
    <w:rPr>
      <w:rFonts w:asciiTheme="minorHAnsi" w:hAnsiTheme="minorHAnsi" w:eastAsiaTheme="minorEastAsia" w:cstheme="minorBidi"/>
      <w:kern w:val="2"/>
      <w:szCs w:val="22"/>
    </w:rPr>
  </w:style>
  <w:style w:type="paragraph" w:styleId="8">
    <w:name w:val="Normal Indent"/>
    <w:basedOn w:val="1"/>
    <w:link w:val="55"/>
    <w:unhideWhenUsed/>
    <w:qFormat/>
    <w:uiPriority w:val="0"/>
    <w:pPr>
      <w:widowControl w:val="0"/>
      <w:adjustRightInd w:val="0"/>
      <w:spacing w:before="0" w:after="0" w:afterAutospacing="0" w:line="312" w:lineRule="atLeast"/>
      <w:ind w:left="0" w:right="0" w:firstLine="420"/>
    </w:pPr>
    <w:rPr>
      <w:sz w:val="32"/>
      <w:szCs w:val="20"/>
    </w:rPr>
  </w:style>
  <w:style w:type="paragraph" w:styleId="9">
    <w:name w:val="Document Map"/>
    <w:basedOn w:val="1"/>
    <w:semiHidden/>
    <w:unhideWhenUsed/>
    <w:qFormat/>
    <w:uiPriority w:val="0"/>
    <w:rPr>
      <w:rFonts w:ascii="宋体"/>
      <w:sz w:val="18"/>
      <w:szCs w:val="18"/>
    </w:rPr>
  </w:style>
  <w:style w:type="paragraph" w:styleId="10">
    <w:name w:val="annotation text"/>
    <w:basedOn w:val="1"/>
    <w:unhideWhenUsed/>
    <w:qFormat/>
    <w:uiPriority w:val="0"/>
    <w:pPr>
      <w:jc w:val="left"/>
    </w:pPr>
  </w:style>
  <w:style w:type="paragraph" w:styleId="11">
    <w:name w:val="Body Text"/>
    <w:basedOn w:val="1"/>
    <w:link w:val="52"/>
    <w:unhideWhenUsed/>
    <w:qFormat/>
    <w:uiPriority w:val="99"/>
    <w:pPr>
      <w:spacing w:after="120"/>
    </w:pPr>
  </w:style>
  <w:style w:type="paragraph" w:styleId="12">
    <w:name w:val="toc 5"/>
    <w:basedOn w:val="1"/>
    <w:next w:val="1"/>
    <w:unhideWhenUsed/>
    <w:qFormat/>
    <w:uiPriority w:val="39"/>
    <w:pPr>
      <w:widowControl w:val="0"/>
      <w:spacing w:before="0" w:after="0" w:afterAutospacing="0" w:line="240" w:lineRule="auto"/>
      <w:ind w:left="1680" w:leftChars="800" w:right="0" w:firstLine="0"/>
    </w:pPr>
    <w:rPr>
      <w:rFonts w:asciiTheme="minorHAnsi" w:hAnsiTheme="minorHAnsi" w:eastAsiaTheme="minorEastAsia" w:cstheme="minorBidi"/>
      <w:kern w:val="2"/>
      <w:szCs w:val="22"/>
    </w:rPr>
  </w:style>
  <w:style w:type="paragraph" w:styleId="13">
    <w:name w:val="toc 3"/>
    <w:basedOn w:val="1"/>
    <w:next w:val="1"/>
    <w:unhideWhenUsed/>
    <w:qFormat/>
    <w:uiPriority w:val="39"/>
    <w:pPr>
      <w:ind w:left="840" w:firstLine="0"/>
    </w:pPr>
  </w:style>
  <w:style w:type="paragraph" w:styleId="14">
    <w:name w:val="toc 8"/>
    <w:basedOn w:val="1"/>
    <w:next w:val="1"/>
    <w:unhideWhenUsed/>
    <w:qFormat/>
    <w:uiPriority w:val="39"/>
    <w:pPr>
      <w:widowControl w:val="0"/>
      <w:spacing w:before="0" w:after="0" w:afterAutospacing="0" w:line="240" w:lineRule="auto"/>
      <w:ind w:left="2940" w:leftChars="1400" w:right="0" w:firstLine="0"/>
    </w:pPr>
    <w:rPr>
      <w:rFonts w:asciiTheme="minorHAnsi" w:hAnsiTheme="minorHAnsi" w:eastAsiaTheme="minorEastAsia" w:cstheme="minorBidi"/>
      <w:kern w:val="2"/>
      <w:szCs w:val="22"/>
    </w:rPr>
  </w:style>
  <w:style w:type="paragraph" w:styleId="15">
    <w:name w:val="Balloon Text"/>
    <w:basedOn w:val="1"/>
    <w:semiHidden/>
    <w:unhideWhenUsed/>
    <w:qFormat/>
    <w:uiPriority w:val="0"/>
    <w:pPr>
      <w:spacing w:after="0" w:line="240" w:lineRule="auto"/>
    </w:pPr>
    <w:rPr>
      <w:sz w:val="18"/>
      <w:szCs w:val="18"/>
    </w:rPr>
  </w:style>
  <w:style w:type="paragraph" w:styleId="16">
    <w:name w:val="footer"/>
    <w:basedOn w:val="1"/>
    <w:qFormat/>
    <w:uiPriority w:val="99"/>
    <w:pPr>
      <w:tabs>
        <w:tab w:val="center" w:pos="4153"/>
        <w:tab w:val="right" w:pos="8306"/>
      </w:tabs>
      <w:snapToGrid w:val="0"/>
      <w:jc w:val="left"/>
    </w:pPr>
    <w:rPr>
      <w:sz w:val="18"/>
      <w:szCs w:val="18"/>
    </w:rPr>
  </w:style>
  <w:style w:type="paragraph" w:styleId="17">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8">
    <w:name w:val="toc 1"/>
    <w:basedOn w:val="1"/>
    <w:next w:val="1"/>
    <w:unhideWhenUsed/>
    <w:qFormat/>
    <w:uiPriority w:val="39"/>
  </w:style>
  <w:style w:type="paragraph" w:styleId="19">
    <w:name w:val="toc 4"/>
    <w:basedOn w:val="1"/>
    <w:next w:val="1"/>
    <w:unhideWhenUsed/>
    <w:qFormat/>
    <w:uiPriority w:val="39"/>
    <w:pPr>
      <w:widowControl w:val="0"/>
      <w:spacing w:before="0" w:after="0" w:afterAutospacing="0" w:line="240" w:lineRule="auto"/>
      <w:ind w:left="1260" w:leftChars="600" w:right="0" w:firstLine="0"/>
    </w:pPr>
    <w:rPr>
      <w:rFonts w:asciiTheme="minorHAnsi" w:hAnsiTheme="minorHAnsi" w:eastAsiaTheme="minorEastAsia" w:cstheme="minorBidi"/>
      <w:kern w:val="2"/>
      <w:szCs w:val="22"/>
    </w:rPr>
  </w:style>
  <w:style w:type="paragraph" w:styleId="20">
    <w:name w:val="footnote text"/>
    <w:basedOn w:val="1"/>
    <w:unhideWhenUsed/>
    <w:qFormat/>
    <w:uiPriority w:val="0"/>
    <w:pPr>
      <w:snapToGrid w:val="0"/>
      <w:jc w:val="left"/>
    </w:pPr>
    <w:rPr>
      <w:sz w:val="18"/>
      <w:szCs w:val="18"/>
    </w:rPr>
  </w:style>
  <w:style w:type="paragraph" w:styleId="21">
    <w:name w:val="toc 6"/>
    <w:basedOn w:val="1"/>
    <w:next w:val="1"/>
    <w:unhideWhenUsed/>
    <w:qFormat/>
    <w:uiPriority w:val="39"/>
    <w:pPr>
      <w:widowControl w:val="0"/>
      <w:spacing w:before="0" w:after="0" w:afterAutospacing="0" w:line="240" w:lineRule="auto"/>
      <w:ind w:left="2100" w:leftChars="1000" w:right="0" w:firstLine="0"/>
    </w:pPr>
    <w:rPr>
      <w:rFonts w:asciiTheme="minorHAnsi" w:hAnsiTheme="minorHAnsi" w:eastAsiaTheme="minorEastAsia" w:cstheme="minorBidi"/>
      <w:kern w:val="2"/>
      <w:szCs w:val="22"/>
    </w:rPr>
  </w:style>
  <w:style w:type="paragraph" w:styleId="22">
    <w:name w:val="Body Text Indent 3"/>
    <w:basedOn w:val="1"/>
    <w:qFormat/>
    <w:uiPriority w:val="0"/>
    <w:pPr>
      <w:spacing w:after="120"/>
      <w:ind w:left="420" w:firstLine="0"/>
    </w:pPr>
    <w:rPr>
      <w:sz w:val="16"/>
      <w:szCs w:val="16"/>
    </w:rPr>
  </w:style>
  <w:style w:type="paragraph" w:styleId="23">
    <w:name w:val="toc 2"/>
    <w:basedOn w:val="1"/>
    <w:next w:val="1"/>
    <w:unhideWhenUsed/>
    <w:qFormat/>
    <w:uiPriority w:val="39"/>
    <w:pPr>
      <w:ind w:left="420" w:firstLine="0"/>
    </w:pPr>
  </w:style>
  <w:style w:type="paragraph" w:styleId="24">
    <w:name w:val="toc 9"/>
    <w:basedOn w:val="1"/>
    <w:next w:val="1"/>
    <w:unhideWhenUsed/>
    <w:qFormat/>
    <w:uiPriority w:val="39"/>
    <w:pPr>
      <w:widowControl w:val="0"/>
      <w:spacing w:before="0" w:after="0" w:afterAutospacing="0" w:line="240" w:lineRule="auto"/>
      <w:ind w:left="3360" w:leftChars="1600" w:right="0" w:firstLine="0"/>
    </w:pPr>
    <w:rPr>
      <w:rFonts w:asciiTheme="minorHAnsi" w:hAnsiTheme="minorHAnsi" w:eastAsiaTheme="minorEastAsia" w:cstheme="minorBidi"/>
      <w:kern w:val="2"/>
      <w:szCs w:val="22"/>
    </w:rPr>
  </w:style>
  <w:style w:type="paragraph" w:styleId="25">
    <w:name w:val="Body Text 2"/>
    <w:basedOn w:val="1"/>
    <w:unhideWhenUsed/>
    <w:qFormat/>
    <w:uiPriority w:val="0"/>
    <w:pPr>
      <w:spacing w:after="120" w:line="480" w:lineRule="auto"/>
    </w:pPr>
  </w:style>
  <w:style w:type="paragraph" w:styleId="26">
    <w:name w:val="Normal (Web)"/>
    <w:basedOn w:val="1"/>
    <w:unhideWhenUsed/>
    <w:qFormat/>
    <w:uiPriority w:val="99"/>
    <w:rPr>
      <w:rFonts w:hint="default"/>
      <w:sz w:val="24"/>
    </w:rPr>
  </w:style>
  <w:style w:type="paragraph" w:styleId="27">
    <w:name w:val="annotation subject"/>
    <w:basedOn w:val="10"/>
    <w:next w:val="10"/>
    <w:semiHidden/>
    <w:unhideWhenUsed/>
    <w:qFormat/>
    <w:uiPriority w:val="0"/>
    <w:rPr>
      <w:b/>
    </w:rPr>
  </w:style>
  <w:style w:type="table" w:styleId="29">
    <w:name w:val="Table Grid"/>
    <w:basedOn w:val="2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1">
    <w:name w:val="Strong"/>
    <w:qFormat/>
    <w:uiPriority w:val="20"/>
    <w:rPr>
      <w:rFonts w:cs="Times New Roman"/>
      <w:b/>
    </w:rPr>
  </w:style>
  <w:style w:type="character" w:styleId="32">
    <w:name w:val="page number"/>
    <w:basedOn w:val="30"/>
    <w:qFormat/>
    <w:uiPriority w:val="0"/>
  </w:style>
  <w:style w:type="character" w:styleId="33">
    <w:name w:val="Hyperlink"/>
    <w:basedOn w:val="30"/>
    <w:unhideWhenUsed/>
    <w:qFormat/>
    <w:uiPriority w:val="99"/>
    <w:rPr>
      <w:color w:val="0000FF"/>
      <w:u w:val="single"/>
    </w:rPr>
  </w:style>
  <w:style w:type="character" w:styleId="34">
    <w:name w:val="annotation reference"/>
    <w:basedOn w:val="30"/>
    <w:unhideWhenUsed/>
    <w:qFormat/>
    <w:uiPriority w:val="99"/>
    <w:rPr>
      <w:sz w:val="21"/>
      <w:szCs w:val="21"/>
    </w:rPr>
  </w:style>
  <w:style w:type="character" w:styleId="35">
    <w:name w:val="footnote reference"/>
    <w:basedOn w:val="30"/>
    <w:semiHidden/>
    <w:unhideWhenUsed/>
    <w:qFormat/>
    <w:uiPriority w:val="0"/>
    <w:rPr>
      <w:vertAlign w:val="superscript"/>
    </w:rPr>
  </w:style>
  <w:style w:type="paragraph" w:styleId="36">
    <w:name w:val="List Paragraph"/>
    <w:basedOn w:val="1"/>
    <w:qFormat/>
    <w:uiPriority w:val="34"/>
    <w:pPr>
      <w:ind w:firstLine="200"/>
    </w:pPr>
    <w:rPr>
      <w:rFonts w:ascii="Calibri" w:hAnsi="Calibri"/>
    </w:rPr>
  </w:style>
  <w:style w:type="character" w:customStyle="1" w:styleId="37">
    <w:name w:val="正文文本 2 Char"/>
    <w:basedOn w:val="30"/>
    <w:qFormat/>
    <w:uiPriority w:val="0"/>
    <w:rPr>
      <w:rFonts w:ascii="Times New Roman" w:hAnsi="Times New Roman" w:eastAsia="宋体" w:cs="Times New Roman"/>
    </w:rPr>
  </w:style>
  <w:style w:type="character" w:customStyle="1" w:styleId="38">
    <w:name w:val="16"/>
    <w:basedOn w:val="30"/>
    <w:qFormat/>
    <w:uiPriority w:val="0"/>
    <w:rPr>
      <w:rFonts w:hint="default" w:ascii="Times New Roman" w:hAnsi="Times New Roman" w:cs="Times New Roman"/>
      <w:color w:val="0000FF"/>
      <w:u w:val="single"/>
    </w:rPr>
  </w:style>
  <w:style w:type="character" w:customStyle="1" w:styleId="39">
    <w:name w:val="15"/>
    <w:basedOn w:val="30"/>
    <w:qFormat/>
    <w:uiPriority w:val="0"/>
    <w:rPr>
      <w:rFonts w:hint="default" w:ascii="Times New Roman" w:hAnsi="Times New Roman" w:cs="Times New Roman"/>
      <w:color w:val="0000FF"/>
      <w:u w:val="single"/>
    </w:rPr>
  </w:style>
  <w:style w:type="character" w:customStyle="1" w:styleId="40">
    <w:name w:val="标题 3 Char"/>
    <w:qFormat/>
    <w:uiPriority w:val="9"/>
    <w:rPr>
      <w:b/>
      <w:sz w:val="24"/>
      <w:szCs w:val="24"/>
    </w:rPr>
  </w:style>
  <w:style w:type="character" w:customStyle="1" w:styleId="41">
    <w:name w:val="标题 2 Char"/>
    <w:qFormat/>
    <w:uiPriority w:val="0"/>
    <w:rPr>
      <w:rFonts w:ascii="Arial" w:hAnsi="Arial" w:eastAsia="黑体"/>
      <w:b/>
      <w:sz w:val="32"/>
      <w:szCs w:val="32"/>
    </w:rPr>
  </w:style>
  <w:style w:type="character" w:customStyle="1" w:styleId="42">
    <w:name w:val="批注框文本 Char"/>
    <w:basedOn w:val="30"/>
    <w:semiHidden/>
    <w:qFormat/>
    <w:uiPriority w:val="0"/>
    <w:rPr>
      <w:sz w:val="18"/>
      <w:szCs w:val="18"/>
    </w:rPr>
  </w:style>
  <w:style w:type="character" w:customStyle="1" w:styleId="43">
    <w:name w:val="批注文字 Char"/>
    <w:basedOn w:val="30"/>
    <w:qFormat/>
    <w:uiPriority w:val="0"/>
    <w:rPr>
      <w:sz w:val="21"/>
      <w:szCs w:val="21"/>
    </w:rPr>
  </w:style>
  <w:style w:type="character" w:customStyle="1" w:styleId="44">
    <w:name w:val="批注主题 Char"/>
    <w:basedOn w:val="43"/>
    <w:semiHidden/>
    <w:qFormat/>
    <w:uiPriority w:val="0"/>
    <w:rPr>
      <w:b/>
      <w:sz w:val="21"/>
      <w:szCs w:val="21"/>
    </w:rPr>
  </w:style>
  <w:style w:type="character" w:customStyle="1" w:styleId="45">
    <w:name w:val="文档结构图 Char"/>
    <w:basedOn w:val="30"/>
    <w:semiHidden/>
    <w:qFormat/>
    <w:uiPriority w:val="0"/>
    <w:rPr>
      <w:rFonts w:ascii="宋体"/>
      <w:sz w:val="18"/>
      <w:szCs w:val="18"/>
    </w:rPr>
  </w:style>
  <w:style w:type="character" w:customStyle="1" w:styleId="46">
    <w:name w:val="页脚 Char"/>
    <w:qFormat/>
    <w:uiPriority w:val="99"/>
    <w:rPr>
      <w:sz w:val="18"/>
      <w:szCs w:val="18"/>
    </w:rPr>
  </w:style>
  <w:style w:type="character" w:customStyle="1" w:styleId="47">
    <w:name w:val="脚注文本 Char"/>
    <w:basedOn w:val="30"/>
    <w:qFormat/>
    <w:uiPriority w:val="0"/>
    <w:rPr>
      <w:sz w:val="18"/>
      <w:szCs w:val="18"/>
    </w:rPr>
  </w:style>
  <w:style w:type="paragraph" w:customStyle="1" w:styleId="48">
    <w:name w:val="TOC 标题1"/>
    <w:basedOn w:val="3"/>
    <w:next w:val="1"/>
    <w:semiHidden/>
    <w:unhideWhenUsed/>
    <w:qFormat/>
    <w:uiPriority w:val="39"/>
    <w:pPr>
      <w:keepNext/>
      <w:keepLines/>
      <w:spacing w:before="480" w:after="0" w:afterAutospacing="0" w:line="276" w:lineRule="auto"/>
      <w:ind w:left="0" w:right="0" w:firstLine="0"/>
      <w:jc w:val="left"/>
      <w:outlineLvl w:val="9"/>
    </w:pPr>
    <w:rPr>
      <w:rFonts w:asciiTheme="majorHAnsi" w:hAnsiTheme="majorHAnsi" w:eastAsiaTheme="majorEastAsia" w:cstheme="majorBidi"/>
      <w:bCs/>
      <w:color w:val="376092" w:themeColor="accent1" w:themeShade="BF"/>
      <w:sz w:val="28"/>
      <w:szCs w:val="28"/>
    </w:rPr>
  </w:style>
  <w:style w:type="character" w:customStyle="1" w:styleId="49">
    <w:name w:val="纯文本 Char"/>
    <w:link w:val="2"/>
    <w:qFormat/>
    <w:locked/>
    <w:uiPriority w:val="0"/>
    <w:rPr>
      <w:rFonts w:ascii="宋体" w:hAnsi="Courier New" w:cs="宋体"/>
    </w:rPr>
  </w:style>
  <w:style w:type="paragraph" w:customStyle="1" w:styleId="50">
    <w:name w:val="修订1"/>
    <w:hidden/>
    <w:semiHidden/>
    <w:qFormat/>
    <w:uiPriority w:val="99"/>
    <w:rPr>
      <w:rFonts w:ascii="Times New Roman" w:hAnsi="Times New Roman" w:eastAsia="宋体" w:cs="Times New Roman"/>
      <w:sz w:val="21"/>
      <w:szCs w:val="21"/>
      <w:lang w:val="en-US" w:eastAsia="zh-CN" w:bidi="ar-SA"/>
    </w:rPr>
  </w:style>
  <w:style w:type="paragraph" w:customStyle="1" w:styleId="51">
    <w:name w:val="修订2"/>
    <w:hidden/>
    <w:unhideWhenUsed/>
    <w:qFormat/>
    <w:uiPriority w:val="99"/>
    <w:rPr>
      <w:rFonts w:ascii="Times New Roman" w:hAnsi="Times New Roman" w:eastAsia="宋体" w:cs="Times New Roman"/>
      <w:sz w:val="21"/>
      <w:szCs w:val="21"/>
      <w:lang w:val="en-US" w:eastAsia="zh-CN" w:bidi="ar-SA"/>
    </w:rPr>
  </w:style>
  <w:style w:type="character" w:customStyle="1" w:styleId="52">
    <w:name w:val="正文文本 Char"/>
    <w:basedOn w:val="30"/>
    <w:link w:val="11"/>
    <w:qFormat/>
    <w:uiPriority w:val="99"/>
    <w:rPr>
      <w:sz w:val="21"/>
      <w:szCs w:val="21"/>
    </w:rPr>
  </w:style>
  <w:style w:type="paragraph" w:customStyle="1" w:styleId="53">
    <w:name w:val="列出段落1"/>
    <w:basedOn w:val="1"/>
    <w:qFormat/>
    <w:uiPriority w:val="0"/>
    <w:pPr>
      <w:spacing w:before="0" w:after="0" w:afterAutospacing="0" w:line="240" w:lineRule="auto"/>
      <w:ind w:left="0" w:right="0" w:firstLine="420" w:firstLineChars="200"/>
      <w:jc w:val="left"/>
    </w:pPr>
    <w:rPr>
      <w:sz w:val="24"/>
      <w:szCs w:val="24"/>
    </w:rPr>
  </w:style>
  <w:style w:type="paragraph" w:customStyle="1" w:styleId="54">
    <w:name w:val="TOC 标题2"/>
    <w:basedOn w:val="3"/>
    <w:next w:val="1"/>
    <w:semiHidden/>
    <w:unhideWhenUsed/>
    <w:qFormat/>
    <w:uiPriority w:val="39"/>
    <w:pPr>
      <w:keepNext/>
      <w:keepLines/>
      <w:spacing w:before="480" w:after="0" w:afterAutospacing="0" w:line="276" w:lineRule="auto"/>
      <w:ind w:left="0" w:right="0" w:firstLine="0"/>
      <w:jc w:val="left"/>
      <w:outlineLvl w:val="9"/>
    </w:pPr>
    <w:rPr>
      <w:rFonts w:asciiTheme="majorHAnsi" w:hAnsiTheme="majorHAnsi" w:eastAsiaTheme="majorEastAsia" w:cstheme="majorBidi"/>
      <w:bCs/>
      <w:color w:val="376092" w:themeColor="accent1" w:themeShade="BF"/>
      <w:sz w:val="28"/>
      <w:szCs w:val="28"/>
    </w:rPr>
  </w:style>
  <w:style w:type="character" w:customStyle="1" w:styleId="55">
    <w:name w:val="正文缩进 Char"/>
    <w:link w:val="8"/>
    <w:qFormat/>
    <w:uiPriority w:val="0"/>
    <w:rPr>
      <w:sz w:val="32"/>
    </w:rPr>
  </w:style>
  <w:style w:type="table" w:customStyle="1" w:styleId="56">
    <w:name w:val="网格型1"/>
    <w:basedOn w:val="28"/>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7">
    <w:name w:val="网格型2"/>
    <w:basedOn w:val="28"/>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58">
    <w:name w:val="Table Paragraph"/>
    <w:basedOn w:val="1"/>
    <w:unhideWhenUsed/>
    <w:qFormat/>
    <w:uiPriority w:val="1"/>
    <w:rPr>
      <w:rFonts w:hint="default"/>
      <w:sz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6544CA-4E29-4F38-A471-F18B6782E58F}">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60</Pages>
  <Words>26600</Words>
  <Characters>27984</Characters>
  <Lines>1</Lines>
  <Paragraphs>1</Paragraphs>
  <TotalTime>20</TotalTime>
  <ScaleCrop>false</ScaleCrop>
  <LinksUpToDate>false</LinksUpToDate>
  <CharactersWithSpaces>28987</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2021-04-25T10:02:00Z</dcterms:created>
  <dc:creator>NTKO</dc:creator>
  <cp:lastModifiedBy>大鸣山</cp:lastModifiedBy>
  <cp:lastPrinted>2021-09-09T01:45:00Z</cp:lastPrinted>
  <dcterms:modified xsi:type="dcterms:W3CDTF">2022-10-19T02:58:39Z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734788450121498C9990A78357AB6557</vt:lpwstr>
  </property>
</Properties>
</file>