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4"/>
        <w:spacing w:before="0"/>
        <w:ind w:left="0" w:right="0" w:firstLine="420"/>
        <w:rPr>
          <w:rFonts w:ascii="黑体" w:eastAsia="黑体"/>
          <w:sz w:val="44"/>
          <w:szCs w:val="48"/>
          <w:highlight w:val="none"/>
          <w:u w:val="single"/>
        </w:rPr>
      </w:pPr>
    </w:p>
    <w:p>
      <w:pPr>
        <w:spacing w:before="0"/>
        <w:ind w:right="-57"/>
        <w:jc w:val="center"/>
        <w:rPr>
          <w:rFonts w:ascii="宋体" w:hAnsi="宋体"/>
          <w:sz w:val="72"/>
          <w:szCs w:val="72"/>
          <w:highlight w:val="none"/>
        </w:rPr>
      </w:pPr>
      <w:r>
        <w:rPr>
          <w:rFonts w:hint="eastAsia" w:ascii="方正小标宋简体" w:hAnsi="方正小标宋简体" w:eastAsia="方正小标宋简体" w:cs="方正小标宋简体"/>
          <w:bCs/>
          <w:spacing w:val="-4"/>
          <w:sz w:val="44"/>
          <w:szCs w:val="44"/>
          <w:highlight w:val="none"/>
        </w:rPr>
        <w:t>南宁轨道交通1号线麻村站至石埠站卫生间蹲便感应式冲洗阀设备技术改造项目</w:t>
      </w:r>
    </w:p>
    <w:p>
      <w:pPr>
        <w:spacing w:before="0"/>
        <w:ind w:right="-57"/>
        <w:jc w:val="center"/>
        <w:rPr>
          <w:rFonts w:ascii="宋体" w:hAnsi="宋体"/>
          <w:sz w:val="72"/>
          <w:szCs w:val="72"/>
          <w:highlight w:val="none"/>
        </w:rPr>
      </w:pPr>
    </w:p>
    <w:p>
      <w:pPr>
        <w:spacing w:before="0"/>
        <w:ind w:right="-57"/>
        <w:jc w:val="center"/>
        <w:rPr>
          <w:rFonts w:ascii="宋体" w:hAnsi="宋体"/>
          <w:sz w:val="32"/>
          <w:szCs w:val="32"/>
          <w:highlight w:val="none"/>
        </w:rPr>
      </w:pPr>
      <w:r>
        <w:rPr>
          <w:rFonts w:hint="eastAsia" w:ascii="宋体" w:hAnsi="宋体"/>
          <w:sz w:val="72"/>
          <w:szCs w:val="72"/>
          <w:highlight w:val="none"/>
        </w:rPr>
        <w:t>比选</w:t>
      </w:r>
      <w:r>
        <w:rPr>
          <w:rFonts w:ascii="宋体" w:hAnsi="宋体"/>
          <w:sz w:val="72"/>
          <w:szCs w:val="72"/>
          <w:highlight w:val="none"/>
        </w:rPr>
        <w:t>文件</w:t>
      </w:r>
    </w:p>
    <w:p>
      <w:pPr>
        <w:pStyle w:val="12"/>
        <w:ind w:left="0" w:firstLine="0"/>
        <w:rPr>
          <w:rFonts w:hAnsi="宋体"/>
          <w:b/>
          <w:sz w:val="32"/>
          <w:szCs w:val="32"/>
          <w:highlight w:val="none"/>
        </w:rPr>
      </w:pPr>
    </w:p>
    <w:p>
      <w:pPr>
        <w:spacing w:before="0"/>
        <w:ind w:left="1801" w:right="-57" w:hanging="180"/>
        <w:rPr>
          <w:rFonts w:ascii="宋体" w:hAnsi="宋体"/>
          <w:b/>
          <w:sz w:val="32"/>
          <w:szCs w:val="32"/>
          <w:highlight w:val="none"/>
          <w:u w:val="single"/>
        </w:rPr>
      </w:pPr>
      <w:r>
        <w:rPr>
          <w:rFonts w:hint="eastAsia" w:ascii="宋体" w:hAnsi="宋体"/>
          <w:b/>
          <w:sz w:val="32"/>
          <w:szCs w:val="32"/>
          <w:highlight w:val="none"/>
        </w:rPr>
        <w:t>项目编号：</w:t>
      </w:r>
      <w:r>
        <w:rPr>
          <w:rFonts w:hint="eastAsia" w:ascii="宋体" w:hAnsi="宋体"/>
          <w:b/>
          <w:sz w:val="32"/>
          <w:szCs w:val="32"/>
          <w:highlight w:val="none"/>
          <w:u w:val="single"/>
        </w:rPr>
        <w:t xml:space="preserve">    202204190008     </w:t>
      </w:r>
    </w:p>
    <w:p>
      <w:pPr>
        <w:spacing w:before="0"/>
        <w:ind w:left="1801" w:right="-57" w:hanging="180"/>
        <w:rPr>
          <w:rFonts w:ascii="宋体" w:hAnsi="宋体"/>
          <w:b/>
          <w:sz w:val="32"/>
          <w:szCs w:val="32"/>
          <w:highlight w:val="none"/>
          <w:u w:val="single"/>
        </w:rPr>
      </w:pPr>
      <w:r>
        <w:rPr>
          <w:rFonts w:hint="eastAsia" w:ascii="宋体" w:hAnsi="宋体"/>
          <w:b/>
          <w:sz w:val="32"/>
          <w:szCs w:val="32"/>
          <w:highlight w:val="none"/>
          <w:lang w:val="en-US" w:eastAsia="zh-CN"/>
        </w:rPr>
        <w:t>比选</w:t>
      </w:r>
      <w:r>
        <w:rPr>
          <w:rFonts w:hint="eastAsia" w:ascii="宋体" w:hAnsi="宋体"/>
          <w:b/>
          <w:sz w:val="32"/>
          <w:szCs w:val="32"/>
          <w:highlight w:val="none"/>
        </w:rPr>
        <w:t>人</w:t>
      </w:r>
      <w:r>
        <w:rPr>
          <w:rFonts w:ascii="宋体" w:hAnsi="宋体"/>
          <w:b/>
          <w:sz w:val="32"/>
          <w:szCs w:val="32"/>
          <w:highlight w:val="none"/>
        </w:rPr>
        <w:t>：</w:t>
      </w:r>
      <w:r>
        <w:rPr>
          <w:rFonts w:hint="eastAsia" w:ascii="宋体" w:hAnsi="宋体"/>
          <w:b/>
          <w:sz w:val="32"/>
          <w:szCs w:val="32"/>
          <w:highlight w:val="none"/>
          <w:u w:val="single"/>
        </w:rPr>
        <w:t>南宁轨道交通运营有限公司</w:t>
      </w:r>
    </w:p>
    <w:p>
      <w:pPr>
        <w:spacing w:before="0"/>
        <w:ind w:right="-57" w:firstLine="435"/>
        <w:jc w:val="center"/>
        <w:rPr>
          <w:rFonts w:ascii="宋体" w:hAnsi="宋体"/>
          <w:sz w:val="30"/>
          <w:szCs w:val="30"/>
          <w:highlight w:val="none"/>
        </w:rPr>
      </w:pPr>
    </w:p>
    <w:p>
      <w:pPr>
        <w:spacing w:before="0"/>
        <w:ind w:right="-57" w:firstLine="0"/>
        <w:jc w:val="center"/>
        <w:rPr>
          <w:rFonts w:ascii="宋体" w:hAnsi="宋体" w:cs="宋体"/>
          <w:b/>
          <w:sz w:val="36"/>
          <w:szCs w:val="36"/>
          <w:highlight w:val="none"/>
        </w:rPr>
        <w:sectPr>
          <w:headerReference r:id="rId3" w:type="default"/>
          <w:footerReference r:id="rId4" w:type="default"/>
          <w:pgSz w:w="11905" w:h="16838"/>
          <w:pgMar w:top="1417" w:right="1417" w:bottom="1417" w:left="1417" w:header="454" w:footer="567" w:gutter="0"/>
          <w:pgNumType w:start="1" w:chapStyle="1"/>
          <w:cols w:space="720" w:num="1"/>
          <w:docGrid w:linePitch="312" w:charSpace="0"/>
        </w:sectPr>
      </w:pPr>
      <w:r>
        <w:rPr>
          <w:rFonts w:hint="eastAsia" w:ascii="宋体" w:hAnsi="宋体"/>
          <w:b/>
          <w:sz w:val="36"/>
          <w:szCs w:val="36"/>
          <w:highlight w:val="none"/>
          <w:u w:val="none"/>
        </w:rPr>
        <w:t>2022</w:t>
      </w:r>
      <w:r>
        <w:rPr>
          <w:rFonts w:ascii="宋体" w:hAnsi="宋体"/>
          <w:b/>
          <w:sz w:val="36"/>
          <w:szCs w:val="36"/>
          <w:highlight w:val="none"/>
        </w:rPr>
        <w:t>年</w:t>
      </w:r>
      <w:r>
        <w:rPr>
          <w:rFonts w:hint="eastAsia" w:ascii="宋体" w:hAnsi="宋体"/>
          <w:b/>
          <w:sz w:val="36"/>
          <w:szCs w:val="36"/>
          <w:highlight w:val="none"/>
          <w:lang w:val="en-US" w:eastAsia="zh-CN"/>
        </w:rPr>
        <w:t>11</w:t>
      </w:r>
      <w:r>
        <w:rPr>
          <w:rFonts w:ascii="宋体" w:hAnsi="宋体"/>
          <w:b/>
          <w:sz w:val="36"/>
          <w:szCs w:val="36"/>
          <w:highlight w:val="none"/>
        </w:rPr>
        <w:t>月</w:t>
      </w:r>
      <w:r>
        <w:rPr>
          <w:rFonts w:hint="eastAsia" w:ascii="宋体" w:hAnsi="宋体"/>
          <w:b/>
          <w:sz w:val="36"/>
          <w:szCs w:val="36"/>
          <w:highlight w:val="none"/>
        </w:rPr>
        <w:t xml:space="preserve"> </w:t>
      </w:r>
    </w:p>
    <w:sdt>
      <w:sdtPr>
        <w:rPr>
          <w:rFonts w:ascii="宋体" w:hAnsi="宋体" w:cs="宋体"/>
          <w:b/>
          <w:bCs/>
          <w:sz w:val="28"/>
          <w:szCs w:val="28"/>
          <w:highlight w:val="none"/>
        </w:rPr>
        <w:id w:val="147455528"/>
        <w:docPartObj>
          <w:docPartGallery w:val="Table of Contents"/>
          <w:docPartUnique/>
        </w:docPartObj>
      </w:sdtPr>
      <w:sdtEndPr>
        <w:rPr>
          <w:rFonts w:ascii="宋体" w:hAnsi="宋体" w:cs="宋体"/>
          <w:b/>
          <w:bCs/>
          <w:sz w:val="20"/>
          <w:szCs w:val="20"/>
          <w:highlight w:val="none"/>
        </w:rPr>
      </w:sdtEndPr>
      <w:sdtContent>
        <w:p>
          <w:pPr>
            <w:spacing w:before="0" w:after="0" w:line="240" w:lineRule="auto"/>
            <w:ind w:left="0" w:right="0" w:firstLine="0"/>
            <w:jc w:val="center"/>
            <w:rPr>
              <w:b/>
              <w:bCs/>
              <w:sz w:val="28"/>
              <w:szCs w:val="28"/>
              <w:highlight w:val="none"/>
            </w:rPr>
          </w:pPr>
          <w:r>
            <w:rPr>
              <w:rFonts w:ascii="宋体" w:hAnsi="宋体"/>
              <w:b/>
              <w:bCs/>
              <w:sz w:val="28"/>
              <w:szCs w:val="28"/>
              <w:highlight w:val="none"/>
            </w:rPr>
            <w:t>目录</w:t>
          </w:r>
        </w:p>
        <w:p>
          <w:pPr>
            <w:pStyle w:val="17"/>
            <w:tabs>
              <w:tab w:val="right" w:leader="dot" w:pos="9071"/>
            </w:tabs>
            <w:rPr>
              <w:rFonts w:hint="eastAsia" w:ascii="宋体" w:hAnsi="宋体" w:eastAsia="宋体" w:cs="宋体"/>
              <w:sz w:val="21"/>
              <w:szCs w:val="21"/>
              <w:highlight w:val="none"/>
            </w:rPr>
          </w:pPr>
          <w:r>
            <w:rPr>
              <w:rFonts w:ascii="宋体" w:hAnsi="宋体"/>
              <w:b/>
              <w:bCs/>
              <w:highlight w:val="none"/>
            </w:rPr>
            <w:fldChar w:fldCharType="begin"/>
          </w:r>
          <w:r>
            <w:rPr>
              <w:rFonts w:ascii="宋体" w:hAnsi="宋体"/>
              <w:b/>
              <w:bCs/>
              <w:highlight w:val="none"/>
            </w:rPr>
            <w:instrText xml:space="preserve">TOC \o "1-2" \h \u </w:instrText>
          </w:r>
          <w:r>
            <w:rPr>
              <w:rFonts w:ascii="宋体" w:hAnsi="宋体"/>
              <w:b/>
              <w:bCs/>
              <w:highlight w:val="none"/>
            </w:rPr>
            <w:fldChar w:fldCharType="separate"/>
          </w: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_Toc28378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第一章比选公告</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_Toc28378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17"/>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_Toc6812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第二章比选申请须知</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_Toc6812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_Toc12737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一、说明</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_Toc12737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5</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_Toc26374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二、比选文件</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_Toc26374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6</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_Toc14670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三、比选申请文件的编制</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_Toc14670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7</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_Toc1438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四、比选申请文件的密封和递交</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_Toc1438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9</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_Toc19171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五、比选申请文件递交与评审</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_Toc19171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10</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_Toc24934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六、授予合同</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_Toc24934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12</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17"/>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_Toc31768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第三章合同条款及格式</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_Toc31768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_Toc7624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一、合同协议书</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_Toc7624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_Toc32273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二、合同条款</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_Toc32273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17"/>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_Toc32021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第四章比选申请文件格式</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_Toc32021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15</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_Toc4255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A  资格审查文件</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_Toc4255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15</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_Toc5040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B 价格文件</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_Toc5040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21</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_Toc30194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C技术文件</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_Toc30194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26</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_Toc6491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技术响应表（不论有无偏离，均须逐项填写偏离情况）</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_Toc6491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27</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17"/>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_Toc15815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第五章用户需求书</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_Toc15815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31</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_Toc7487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1 项目概述</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_Toc7487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31</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_Toc28304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2项目范围、内容及要求</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_Toc28304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31</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_Toc27039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3项目技术标准、规范</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_Toc27039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33</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_Toc12507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4项目管理</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_Toc12507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34</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_Toc24991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5作业要求</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_Toc24991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37</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_Toc27869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6考核条款</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_Toc27869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43</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_Toc8118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7验收要求</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_Toc8118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43</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_Toc16864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8质保要求</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_Toc16864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44</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_Toc16882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9其他附件</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_Toc16882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44</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17"/>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_Toc2561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第六章评分办法</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_Toc2561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58</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_Toc21743 </w:instrText>
          </w:r>
          <w:r>
            <w:rPr>
              <w:rFonts w:hint="eastAsia" w:ascii="宋体" w:hAnsi="宋体" w:eastAsia="宋体" w:cs="宋体"/>
              <w:bCs/>
              <w:sz w:val="21"/>
              <w:szCs w:val="21"/>
              <w:highlight w:val="none"/>
            </w:rPr>
            <w:fldChar w:fldCharType="separate"/>
          </w:r>
          <w:r>
            <w:rPr>
              <w:rFonts w:hint="eastAsia" w:ascii="宋体" w:hAnsi="宋体" w:eastAsia="宋体" w:cs="宋体"/>
              <w:bCs/>
              <w:sz w:val="21"/>
              <w:szCs w:val="21"/>
              <w:highlight w:val="none"/>
            </w:rPr>
            <w:t>一、评审原则</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_Toc21743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58</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rFonts w:hint="eastAsia" w:ascii="宋体" w:hAnsi="宋体" w:eastAsia="宋体" w:cs="宋体"/>
              <w:sz w:val="21"/>
              <w:szCs w:val="21"/>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_Toc28537 </w:instrText>
          </w:r>
          <w:r>
            <w:rPr>
              <w:rFonts w:hint="eastAsia" w:ascii="宋体" w:hAnsi="宋体" w:eastAsia="宋体" w:cs="宋体"/>
              <w:bCs/>
              <w:sz w:val="21"/>
              <w:szCs w:val="21"/>
              <w:highlight w:val="none"/>
            </w:rPr>
            <w:fldChar w:fldCharType="separate"/>
          </w:r>
          <w:r>
            <w:rPr>
              <w:rFonts w:hint="eastAsia" w:ascii="宋体" w:hAnsi="宋体" w:eastAsia="宋体" w:cs="宋体"/>
              <w:bCs/>
              <w:sz w:val="21"/>
              <w:szCs w:val="21"/>
              <w:highlight w:val="none"/>
            </w:rPr>
            <w:t>二、评定方法</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_Toc28537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58</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22"/>
            <w:tabs>
              <w:tab w:val="right" w:leader="dot" w:pos="9071"/>
            </w:tabs>
            <w:rPr>
              <w:highlight w:val="none"/>
            </w:rPr>
          </w:pPr>
          <w:r>
            <w:rPr>
              <w:rFonts w:hint="eastAsia" w:ascii="宋体" w:hAnsi="宋体" w:eastAsia="宋体" w:cs="宋体"/>
              <w:bCs/>
              <w:sz w:val="21"/>
              <w:szCs w:val="21"/>
              <w:highlight w:val="none"/>
            </w:rPr>
            <w:fldChar w:fldCharType="begin"/>
          </w:r>
          <w:r>
            <w:rPr>
              <w:rFonts w:hint="eastAsia" w:ascii="宋体" w:hAnsi="宋体" w:eastAsia="宋体" w:cs="宋体"/>
              <w:bCs/>
              <w:sz w:val="21"/>
              <w:szCs w:val="21"/>
              <w:highlight w:val="none"/>
            </w:rPr>
            <w:instrText xml:space="preserve"> HYPERLINK \l _Toc22921 </w:instrText>
          </w:r>
          <w:r>
            <w:rPr>
              <w:rFonts w:hint="eastAsia" w:ascii="宋体" w:hAnsi="宋体" w:eastAsia="宋体" w:cs="宋体"/>
              <w:bCs/>
              <w:sz w:val="21"/>
              <w:szCs w:val="21"/>
              <w:highlight w:val="none"/>
            </w:rPr>
            <w:fldChar w:fldCharType="separate"/>
          </w:r>
          <w:r>
            <w:rPr>
              <w:rFonts w:hint="eastAsia" w:ascii="宋体" w:hAnsi="宋体" w:eastAsia="宋体" w:cs="宋体"/>
              <w:bCs/>
              <w:sz w:val="21"/>
              <w:szCs w:val="21"/>
              <w:highlight w:val="none"/>
            </w:rPr>
            <w:t>三、评审流程</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_Toc22921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58</w:t>
          </w:r>
          <w:r>
            <w:rPr>
              <w:rFonts w:hint="eastAsia" w:ascii="宋体" w:hAnsi="宋体" w:eastAsia="宋体" w:cs="宋体"/>
              <w:sz w:val="21"/>
              <w:szCs w:val="21"/>
              <w:highlight w:val="none"/>
            </w:rPr>
            <w:fldChar w:fldCharType="end"/>
          </w:r>
          <w:r>
            <w:rPr>
              <w:rFonts w:hint="eastAsia" w:ascii="宋体" w:hAnsi="宋体" w:eastAsia="宋体" w:cs="宋体"/>
              <w:bCs/>
              <w:sz w:val="21"/>
              <w:szCs w:val="21"/>
              <w:highlight w:val="none"/>
            </w:rPr>
            <w:fldChar w:fldCharType="end"/>
          </w:r>
        </w:p>
        <w:p>
          <w:pPr>
            <w:pStyle w:val="12"/>
            <w:rPr>
              <w:rFonts w:hAnsi="宋体"/>
              <w:highlight w:val="none"/>
            </w:rPr>
            <w:sectPr>
              <w:footerReference r:id="rId5" w:type="default"/>
              <w:pgSz w:w="11905" w:h="16838"/>
              <w:pgMar w:top="1417" w:right="1417" w:bottom="1417" w:left="1417" w:header="454" w:footer="567" w:gutter="0"/>
              <w:cols w:space="720" w:num="1"/>
              <w:docGrid w:linePitch="312" w:charSpace="0"/>
            </w:sectPr>
          </w:pPr>
          <w:r>
            <w:rPr>
              <w:rFonts w:hAnsi="宋体"/>
              <w:bCs/>
              <w:highlight w:val="none"/>
            </w:rPr>
            <w:fldChar w:fldCharType="end"/>
          </w:r>
        </w:p>
      </w:sdtContent>
    </w:sdt>
    <w:p>
      <w:pPr>
        <w:pStyle w:val="12"/>
        <w:pageBreakBefore/>
        <w:ind w:right="-57" w:firstLine="0"/>
        <w:jc w:val="center"/>
        <w:outlineLvl w:val="0"/>
        <w:rPr>
          <w:rStyle w:val="41"/>
          <w:rFonts w:ascii="宋体" w:hAnsi="宋体" w:eastAsia="宋体"/>
          <w:color w:val="auto"/>
          <w:highlight w:val="none"/>
        </w:rPr>
      </w:pPr>
      <w:bookmarkStart w:id="0" w:name="_Toc375039061"/>
      <w:bookmarkStart w:id="1" w:name="_Toc15211"/>
      <w:bookmarkStart w:id="2" w:name="_Toc237"/>
      <w:bookmarkStart w:id="3" w:name="_Toc30647"/>
      <w:bookmarkStart w:id="4" w:name="_Toc14762"/>
      <w:bookmarkStart w:id="5" w:name="_Toc26620"/>
      <w:bookmarkStart w:id="6" w:name="_Toc25355"/>
      <w:bookmarkStart w:id="7" w:name="_Toc17906"/>
      <w:bookmarkStart w:id="8" w:name="_Toc26939"/>
      <w:bookmarkStart w:id="9" w:name="_Toc481"/>
      <w:bookmarkStart w:id="10" w:name="_Toc26192"/>
      <w:bookmarkStart w:id="11" w:name="_Toc1227"/>
      <w:bookmarkStart w:id="12" w:name="_Toc28378"/>
      <w:bookmarkStart w:id="13" w:name="_Toc492478714"/>
      <w:bookmarkStart w:id="14" w:name="_Toc23476"/>
      <w:bookmarkStart w:id="15" w:name="_Toc25750588"/>
      <w:bookmarkStart w:id="16" w:name="_Toc23367"/>
      <w:bookmarkStart w:id="17" w:name="_Toc5910"/>
      <w:bookmarkStart w:id="18" w:name="_Toc1363"/>
      <w:bookmarkStart w:id="19" w:name="_Toc3658"/>
      <w:bookmarkStart w:id="20" w:name="_Toc3400"/>
      <w:r>
        <w:rPr>
          <w:rStyle w:val="41"/>
          <w:rFonts w:hint="eastAsia" w:ascii="宋体" w:hAnsi="宋体" w:eastAsia="宋体"/>
          <w:color w:val="auto"/>
          <w:highlight w:val="none"/>
        </w:rPr>
        <w:t>第一章比选公告</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pPr>
        <w:spacing w:before="0" w:after="0" w:afterAutospacing="0"/>
        <w:ind w:right="-57"/>
        <w:jc w:val="center"/>
        <w:outlineLvl w:val="2"/>
        <w:rPr>
          <w:rFonts w:ascii="宋体" w:hAnsi="宋体"/>
          <w:b/>
          <w:color w:val="auto"/>
          <w:sz w:val="28"/>
          <w:szCs w:val="28"/>
          <w:highlight w:val="none"/>
          <w:u w:val="single"/>
        </w:rPr>
      </w:pPr>
      <w:bookmarkStart w:id="21" w:name="_Toc15834"/>
      <w:r>
        <w:rPr>
          <w:rFonts w:hint="eastAsia" w:ascii="宋体" w:hAnsi="宋体"/>
          <w:b/>
          <w:color w:val="auto"/>
          <w:sz w:val="28"/>
          <w:szCs w:val="28"/>
          <w:highlight w:val="none"/>
          <w:u w:val="single"/>
        </w:rPr>
        <w:t>南宁轨道交通1号线麻村站至石埠站</w:t>
      </w:r>
    </w:p>
    <w:p>
      <w:pPr>
        <w:spacing w:before="0" w:after="0" w:afterAutospacing="0"/>
        <w:ind w:right="-57"/>
        <w:jc w:val="center"/>
        <w:outlineLvl w:val="2"/>
        <w:rPr>
          <w:rFonts w:ascii="宋体" w:hAnsi="宋体"/>
          <w:b/>
          <w:color w:val="auto"/>
          <w:sz w:val="28"/>
          <w:szCs w:val="28"/>
          <w:highlight w:val="none"/>
        </w:rPr>
      </w:pPr>
      <w:r>
        <w:rPr>
          <w:rFonts w:hint="eastAsia" w:ascii="宋体" w:hAnsi="宋体"/>
          <w:b/>
          <w:color w:val="auto"/>
          <w:sz w:val="28"/>
          <w:szCs w:val="28"/>
          <w:highlight w:val="none"/>
          <w:u w:val="single"/>
        </w:rPr>
        <w:t>卫生间蹲便感应式冲洗阀设备技术改造项目</w:t>
      </w:r>
      <w:r>
        <w:rPr>
          <w:rFonts w:hint="eastAsia" w:ascii="宋体" w:hAnsi="宋体"/>
          <w:b/>
          <w:color w:val="auto"/>
          <w:sz w:val="28"/>
          <w:szCs w:val="28"/>
          <w:highlight w:val="none"/>
        </w:rPr>
        <w:t>比选公告</w:t>
      </w:r>
      <w:bookmarkEnd w:id="21"/>
    </w:p>
    <w:p>
      <w:pPr>
        <w:spacing w:before="0" w:after="0" w:afterAutospacing="0"/>
        <w:ind w:left="0" w:right="0" w:firstLine="422" w:firstLineChars="200"/>
        <w:outlineLvl w:val="2"/>
        <w:rPr>
          <w:rFonts w:ascii="宋体" w:hAnsi="宋体"/>
          <w:b/>
          <w:color w:val="auto"/>
          <w:highlight w:val="none"/>
        </w:rPr>
      </w:pPr>
      <w:bookmarkStart w:id="22" w:name="OLE_LINK4"/>
      <w:bookmarkEnd w:id="22"/>
      <w:bookmarkStart w:id="23" w:name="_Toc427"/>
      <w:r>
        <w:rPr>
          <w:rFonts w:hint="eastAsia" w:ascii="宋体" w:hAnsi="宋体"/>
          <w:b/>
          <w:color w:val="auto"/>
          <w:highlight w:val="none"/>
        </w:rPr>
        <w:t>1.比选条件</w:t>
      </w:r>
      <w:bookmarkEnd w:id="23"/>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本比选项目</w:t>
      </w:r>
      <w:r>
        <w:rPr>
          <w:rFonts w:hint="eastAsia" w:ascii="宋体" w:hAnsi="宋体"/>
          <w:color w:val="auto"/>
          <w:highlight w:val="none"/>
          <w:u w:val="single"/>
        </w:rPr>
        <w:t>南宁轨道交通1号线麻村站至石埠站卫生间蹲便感应式冲洗阀设备技术改造项目</w:t>
      </w:r>
      <w:r>
        <w:rPr>
          <w:rFonts w:hint="eastAsia" w:ascii="宋体" w:hAnsi="宋体"/>
          <w:color w:val="auto"/>
          <w:highlight w:val="none"/>
        </w:rPr>
        <w:t>比选人为</w:t>
      </w:r>
      <w:r>
        <w:rPr>
          <w:rFonts w:hint="eastAsia" w:ascii="宋体" w:hAnsi="宋体"/>
          <w:color w:val="auto"/>
          <w:highlight w:val="none"/>
          <w:u w:val="single"/>
        </w:rPr>
        <w:t>南宁轨道交通运营有限公司</w:t>
      </w:r>
      <w:r>
        <w:rPr>
          <w:rFonts w:hint="eastAsia" w:ascii="宋体" w:hAnsi="宋体"/>
          <w:color w:val="auto"/>
          <w:highlight w:val="none"/>
        </w:rPr>
        <w:t>，比选项目资金来源为企业自有资金。</w:t>
      </w:r>
    </w:p>
    <w:p>
      <w:pPr>
        <w:spacing w:before="0" w:after="0" w:afterAutospacing="0"/>
        <w:ind w:left="0" w:right="0" w:firstLine="422" w:firstLineChars="200"/>
        <w:outlineLvl w:val="2"/>
        <w:rPr>
          <w:rFonts w:hint="eastAsia" w:ascii="宋体" w:hAnsi="宋体" w:eastAsia="宋体"/>
          <w:b/>
          <w:color w:val="auto"/>
          <w:highlight w:val="none"/>
          <w:lang w:eastAsia="zh-CN"/>
        </w:rPr>
      </w:pPr>
      <w:bookmarkStart w:id="24" w:name="_Toc20471"/>
      <w:r>
        <w:rPr>
          <w:rFonts w:hint="eastAsia" w:ascii="宋体" w:hAnsi="宋体"/>
          <w:b/>
          <w:color w:val="auto"/>
          <w:highlight w:val="none"/>
        </w:rPr>
        <w:t>2.项目概况与比选范围</w:t>
      </w:r>
      <w:bookmarkEnd w:id="24"/>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项目编号：</w:t>
      </w:r>
      <w:r>
        <w:rPr>
          <w:rFonts w:hint="eastAsia" w:ascii="宋体" w:hAnsi="宋体"/>
          <w:color w:val="auto"/>
          <w:highlight w:val="none"/>
          <w:u w:val="single"/>
        </w:rPr>
        <w:t xml:space="preserve">  202204190008  </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项目名称：</w:t>
      </w:r>
      <w:r>
        <w:rPr>
          <w:rFonts w:hint="eastAsia" w:ascii="宋体" w:hAnsi="宋体"/>
          <w:color w:val="auto"/>
          <w:highlight w:val="none"/>
          <w:u w:val="single"/>
        </w:rPr>
        <w:t xml:space="preserve">  南宁轨道交通1号线麻村站至石埠站卫生间蹲便感应式冲洗阀设备技术改造项目   </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上限控制价：本项目不含税上限控制价</w:t>
      </w:r>
      <w:r>
        <w:rPr>
          <w:rFonts w:hint="eastAsia" w:ascii="宋体" w:hAnsi="宋体"/>
          <w:color w:val="auto"/>
          <w:highlight w:val="none"/>
          <w:lang w:eastAsia="zh-CN"/>
        </w:rPr>
        <w:t>为人民币贰拾壹万元整（￥2</w:t>
      </w:r>
      <w:r>
        <w:rPr>
          <w:rFonts w:hint="eastAsia" w:ascii="宋体" w:hAnsi="宋体"/>
          <w:color w:val="auto"/>
          <w:highlight w:val="none"/>
          <w:lang w:val="en-US" w:eastAsia="zh-CN"/>
        </w:rPr>
        <w:t>10</w:t>
      </w:r>
      <w:r>
        <w:rPr>
          <w:rFonts w:hint="eastAsia" w:ascii="宋体" w:hAnsi="宋体"/>
          <w:color w:val="auto"/>
          <w:highlight w:val="none"/>
          <w:lang w:eastAsia="zh-CN"/>
        </w:rPr>
        <w:t>000.00元）</w:t>
      </w:r>
      <w:r>
        <w:rPr>
          <w:rFonts w:hint="eastAsia" w:ascii="宋体" w:hAnsi="宋体"/>
          <w:color w:val="auto"/>
          <w:highlight w:val="none"/>
        </w:rPr>
        <w:t>。</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工期：</w:t>
      </w:r>
      <w:r>
        <w:rPr>
          <w:rFonts w:hint="eastAsia" w:ascii="宋体" w:hAnsi="宋体"/>
          <w:color w:val="auto"/>
          <w:highlight w:val="none"/>
          <w:u w:val="single"/>
        </w:rPr>
        <w:t>共90天，具体开工日期以比选人开工令发布时间为准</w:t>
      </w:r>
      <w:r>
        <w:rPr>
          <w:rFonts w:hint="eastAsia" w:ascii="宋体" w:hAnsi="宋体"/>
          <w:color w:val="auto"/>
          <w:highlight w:val="none"/>
        </w:rPr>
        <w:t>。</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项目地点：</w:t>
      </w:r>
      <w:r>
        <w:rPr>
          <w:rFonts w:hint="eastAsia" w:ascii="宋体" w:hAnsi="宋体" w:cs="宋体"/>
          <w:color w:val="auto"/>
          <w:highlight w:val="none"/>
        </w:rPr>
        <w:t>南宁轨道</w:t>
      </w:r>
      <w:r>
        <w:rPr>
          <w:rFonts w:hint="eastAsia" w:ascii="宋体" w:hAnsi="宋体"/>
          <w:color w:val="auto"/>
          <w:highlight w:val="none"/>
        </w:rPr>
        <w:t>交通</w:t>
      </w:r>
      <w:r>
        <w:rPr>
          <w:rFonts w:hint="eastAsia" w:ascii="宋体" w:hAnsi="宋体" w:cs="宋体"/>
          <w:color w:val="auto"/>
          <w:highlight w:val="none"/>
        </w:rPr>
        <w:t>1号线石埠站、鹏飞路站、西乡塘客运站、清川站、动物园站、鲁班路站、广西大学站、火车站、朝阳广场站、民族广场站、麻村站共计11个站点公共区、设备区卫生间</w:t>
      </w:r>
      <w:r>
        <w:rPr>
          <w:rFonts w:hint="eastAsia" w:ascii="宋体" w:hAnsi="宋体"/>
          <w:color w:val="auto"/>
          <w:highlight w:val="none"/>
        </w:rPr>
        <w:t>。</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比选范围：</w:t>
      </w:r>
      <w:r>
        <w:rPr>
          <w:rFonts w:hint="eastAsia" w:ascii="宋体" w:hAnsi="宋体"/>
          <w:color w:val="auto"/>
          <w:highlight w:val="none"/>
          <w:u w:val="single"/>
        </w:rPr>
        <w:t xml:space="preserve"> 南宁轨道交通1号线麻村站至石埠站卫生间蹲便感应式冲洗阀设备技术改造项目 </w:t>
      </w:r>
      <w:r>
        <w:rPr>
          <w:rFonts w:hint="eastAsia" w:ascii="宋体" w:hAnsi="宋体"/>
          <w:color w:val="auto"/>
          <w:highlight w:val="none"/>
        </w:rPr>
        <w:t>,具体详见用户需求书。</w:t>
      </w:r>
    </w:p>
    <w:p>
      <w:pPr>
        <w:spacing w:before="0" w:after="0" w:afterAutospacing="0"/>
        <w:ind w:left="0" w:right="0" w:firstLine="422" w:firstLineChars="200"/>
        <w:outlineLvl w:val="2"/>
        <w:rPr>
          <w:rFonts w:ascii="宋体" w:hAnsi="宋体"/>
          <w:highlight w:val="none"/>
        </w:rPr>
      </w:pPr>
      <w:bookmarkStart w:id="25" w:name="_Toc25479"/>
      <w:r>
        <w:rPr>
          <w:rFonts w:hint="eastAsia" w:ascii="宋体" w:hAnsi="宋体"/>
          <w:b/>
          <w:highlight w:val="none"/>
        </w:rPr>
        <w:t>3.比选申请人资格要求</w:t>
      </w:r>
      <w:bookmarkEnd w:id="25"/>
    </w:p>
    <w:p>
      <w:pPr>
        <w:spacing w:before="0" w:after="0" w:afterAutospacing="0"/>
        <w:ind w:left="0" w:right="0" w:firstLine="420" w:firstLineChars="200"/>
        <w:rPr>
          <w:rFonts w:ascii="宋体" w:hAnsi="宋体"/>
          <w:highlight w:val="none"/>
        </w:rPr>
      </w:pPr>
      <w:r>
        <w:rPr>
          <w:rFonts w:hint="eastAsia" w:ascii="宋体" w:hAnsi="宋体"/>
          <w:highlight w:val="none"/>
        </w:rPr>
        <w:t>3.1比选申请人为中华人民共和国境内依法设立的法人或其他组织。</w:t>
      </w:r>
    </w:p>
    <w:p>
      <w:pPr>
        <w:spacing w:before="0" w:after="0" w:afterAutospacing="0"/>
        <w:ind w:left="0" w:right="0" w:firstLine="420" w:firstLineChars="200"/>
        <w:rPr>
          <w:rFonts w:hint="eastAsia" w:ascii="宋体" w:hAnsi="宋体"/>
          <w:color w:val="auto"/>
          <w:highlight w:val="none"/>
        </w:rPr>
      </w:pPr>
      <w:r>
        <w:rPr>
          <w:rFonts w:hint="eastAsia" w:ascii="宋体" w:hAnsi="宋体"/>
          <w:color w:val="auto"/>
          <w:highlight w:val="none"/>
        </w:rPr>
        <w:t>3.2资质条件：</w:t>
      </w:r>
    </w:p>
    <w:p>
      <w:pPr>
        <w:spacing w:before="0" w:after="0" w:afterAutospacing="0"/>
        <w:ind w:left="0" w:right="0" w:firstLine="420" w:firstLineChars="200"/>
        <w:rPr>
          <w:rFonts w:hint="eastAsia" w:ascii="宋体" w:hAnsi="宋体"/>
          <w:color w:val="auto"/>
          <w:highlight w:val="none"/>
        </w:rPr>
      </w:pPr>
      <w:r>
        <w:rPr>
          <w:rFonts w:hint="eastAsia" w:ascii="宋体" w:hAnsi="宋体"/>
          <w:color w:val="auto"/>
          <w:highlight w:val="none"/>
          <w:lang w:val="en-US" w:eastAsia="zh-CN"/>
        </w:rPr>
        <w:t>3.</w:t>
      </w:r>
      <w:r>
        <w:rPr>
          <w:rFonts w:hint="eastAsia" w:ascii="宋体" w:hAnsi="宋体"/>
          <w:color w:val="auto"/>
          <w:highlight w:val="none"/>
        </w:rPr>
        <w:t>2.</w:t>
      </w:r>
      <w:r>
        <w:rPr>
          <w:rFonts w:hint="eastAsia" w:ascii="宋体" w:hAnsi="宋体"/>
          <w:color w:val="auto"/>
          <w:highlight w:val="none"/>
          <w:lang w:val="en-US" w:eastAsia="zh-CN"/>
        </w:rPr>
        <w:t>1</w:t>
      </w:r>
      <w:r>
        <w:rPr>
          <w:rFonts w:hint="eastAsia" w:ascii="宋体" w:hAnsi="宋体"/>
          <w:color w:val="auto"/>
          <w:highlight w:val="none"/>
        </w:rPr>
        <w:t>比选申请截止时间前3年内没有骗取中标、严重违约或重大质量安全责任事故的情况；</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w:t>
      </w:r>
      <w:r>
        <w:rPr>
          <w:rFonts w:hint="eastAsia" w:ascii="宋体" w:hAnsi="宋体"/>
          <w:color w:val="auto"/>
          <w:highlight w:val="none"/>
          <w:lang w:val="en-US" w:eastAsia="zh-CN"/>
        </w:rPr>
        <w:t>2.2</w:t>
      </w:r>
      <w:r>
        <w:rPr>
          <w:rFonts w:hint="eastAsia" w:ascii="宋体" w:hAnsi="宋体"/>
          <w:color w:val="auto"/>
          <w:highlight w:val="none"/>
        </w:rPr>
        <w:t>业绩条件：比选申请人自2017年1月1日（备注：近5年）至比选申请截止时间前至少承接过1项合同金额不少于10万元的生活给水设备安装项目或参与</w:t>
      </w:r>
      <w:r>
        <w:rPr>
          <w:rFonts w:hint="eastAsia" w:ascii="宋体" w:hAnsi="宋体"/>
          <w:color w:val="auto"/>
          <w:highlight w:val="none"/>
          <w:lang w:eastAsia="zh-CN"/>
        </w:rPr>
        <w:t>1项轨道交通（车站数量不少于10座或者线路长度不少于12公里）综合机电设备（至少包含给排水专业）维修保养项目业绩</w:t>
      </w:r>
      <w:r>
        <w:rPr>
          <w:rFonts w:hint="eastAsia" w:ascii="宋体" w:hAnsi="宋体"/>
          <w:color w:val="auto"/>
          <w:highlight w:val="none"/>
        </w:rPr>
        <w:t>。</w:t>
      </w:r>
    </w:p>
    <w:p>
      <w:pPr>
        <w:spacing w:before="0" w:after="0" w:afterAutospacing="0"/>
        <w:ind w:left="0" w:right="0" w:firstLine="420" w:firstLineChars="200"/>
        <w:rPr>
          <w:rFonts w:ascii="宋体" w:hAnsi="宋体"/>
          <w:highlight w:val="none"/>
        </w:rPr>
      </w:pPr>
      <w:r>
        <w:rPr>
          <w:rFonts w:hint="eastAsia" w:ascii="宋体" w:hAnsi="宋体"/>
          <w:highlight w:val="none"/>
        </w:rPr>
        <w:t>3.</w:t>
      </w:r>
      <w:r>
        <w:rPr>
          <w:rFonts w:hint="eastAsia" w:ascii="宋体" w:hAnsi="宋体"/>
          <w:highlight w:val="none"/>
          <w:lang w:val="en-US" w:eastAsia="zh-CN"/>
        </w:rPr>
        <w:t>3</w:t>
      </w:r>
      <w:r>
        <w:rPr>
          <w:rFonts w:hint="eastAsia" w:ascii="宋体" w:hAnsi="宋体"/>
          <w:highlight w:val="none"/>
        </w:rPr>
        <w:t>比选申请人没有处于被责令停业，或比选申请资格被住建部、国家安监总局、广西区或南宁市建设行政主管部门取消，或财产被接管、破产状态；在比选申请截止时间前3年内没有骗取中选、严重违约或重大质量安全责任事故。我方与其他比选申请人之间不存在单位负责人为同一人或者控股、管理关系的情况；未列入比选人不良信用名单。</w:t>
      </w:r>
    </w:p>
    <w:p>
      <w:pPr>
        <w:spacing w:before="0" w:after="0" w:afterAutospacing="0"/>
        <w:ind w:left="0" w:right="0" w:firstLine="420" w:firstLineChars="200"/>
        <w:rPr>
          <w:rFonts w:ascii="宋体" w:hAnsi="宋体"/>
          <w:highlight w:val="none"/>
        </w:rPr>
      </w:pPr>
      <w:r>
        <w:rPr>
          <w:rFonts w:hint="eastAsia" w:ascii="宋体" w:hAnsi="宋体"/>
          <w:highlight w:val="none"/>
        </w:rPr>
        <w:t>3.</w:t>
      </w:r>
      <w:r>
        <w:rPr>
          <w:rFonts w:hint="eastAsia" w:ascii="宋体" w:hAnsi="宋体"/>
          <w:highlight w:val="none"/>
          <w:lang w:val="en-US" w:eastAsia="zh-CN"/>
        </w:rPr>
        <w:t>4</w:t>
      </w:r>
      <w:r>
        <w:rPr>
          <w:rFonts w:hint="eastAsia" w:ascii="宋体" w:hAnsi="宋体"/>
          <w:highlight w:val="none"/>
        </w:rPr>
        <w:t>单位负责人为同一人或者存在控股、管理关系的不同单位，不得参加同一标段比选申请或者未划分标段的同一比选项目比选申请。</w:t>
      </w:r>
    </w:p>
    <w:p>
      <w:pPr>
        <w:spacing w:before="0" w:after="0" w:afterAutospacing="0"/>
        <w:ind w:left="0" w:right="0" w:firstLine="420" w:firstLineChars="200"/>
        <w:rPr>
          <w:rFonts w:ascii="宋体" w:hAnsi="宋体"/>
          <w:highlight w:val="none"/>
        </w:rPr>
      </w:pPr>
      <w:r>
        <w:rPr>
          <w:rFonts w:hint="eastAsia" w:ascii="宋体" w:hAnsi="宋体"/>
          <w:highlight w:val="none"/>
        </w:rPr>
        <w:t>3.6本项目不接受联合体比选申请，比选申请人未列入招标人不良信用名单的。</w:t>
      </w:r>
    </w:p>
    <w:p>
      <w:pPr>
        <w:spacing w:before="0" w:after="0" w:afterAutospacing="0"/>
        <w:ind w:left="0" w:right="0" w:firstLine="422" w:firstLineChars="200"/>
        <w:outlineLvl w:val="2"/>
        <w:rPr>
          <w:rFonts w:ascii="宋体" w:hAnsi="宋体"/>
          <w:b/>
          <w:highlight w:val="none"/>
        </w:rPr>
      </w:pPr>
      <w:bookmarkStart w:id="26" w:name="_Toc2672"/>
      <w:r>
        <w:rPr>
          <w:rFonts w:hint="eastAsia" w:ascii="宋体" w:hAnsi="宋体"/>
          <w:b/>
          <w:highlight w:val="none"/>
        </w:rPr>
        <w:t>4.资格审查方式</w:t>
      </w:r>
      <w:bookmarkEnd w:id="26"/>
    </w:p>
    <w:p>
      <w:pPr>
        <w:spacing w:before="0" w:after="0" w:afterAutospacing="0"/>
        <w:ind w:left="0" w:right="0" w:firstLine="420" w:firstLineChars="200"/>
        <w:rPr>
          <w:rFonts w:ascii="宋体" w:hAnsi="宋体"/>
          <w:highlight w:val="none"/>
        </w:rPr>
      </w:pPr>
      <w:r>
        <w:rPr>
          <w:rFonts w:hint="eastAsia" w:ascii="宋体" w:hAnsi="宋体"/>
          <w:highlight w:val="none"/>
        </w:rPr>
        <w:t>本项目对比选申请人的资格审查采用资格后审方式，只有资格审查合格的比选申请人才有可能被授予合同。</w:t>
      </w:r>
    </w:p>
    <w:p>
      <w:pPr>
        <w:spacing w:before="0" w:after="0" w:afterAutospacing="0"/>
        <w:ind w:left="0" w:right="0" w:firstLine="422" w:firstLineChars="200"/>
        <w:outlineLvl w:val="2"/>
        <w:rPr>
          <w:rFonts w:ascii="宋体" w:hAnsi="宋体"/>
          <w:b/>
          <w:color w:val="auto"/>
          <w:highlight w:val="none"/>
        </w:rPr>
      </w:pPr>
      <w:bookmarkStart w:id="27" w:name="_Toc6681"/>
      <w:r>
        <w:rPr>
          <w:rFonts w:hint="eastAsia" w:ascii="宋体" w:hAnsi="宋体"/>
          <w:b/>
          <w:color w:val="auto"/>
          <w:highlight w:val="none"/>
        </w:rPr>
        <w:t>5.比选文件的获取</w:t>
      </w:r>
      <w:bookmarkEnd w:id="27"/>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5.1比选文件获取：</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本项目不发放纸质文件，请各比选申请人自行网上下载。下载网址：南宁轨道交通集团有限责任公司官网(http://www.nngdjt.com)、中国e车网(http://www.ecrrc.com)。</w:t>
      </w:r>
    </w:p>
    <w:p>
      <w:pPr>
        <w:spacing w:before="0" w:after="0" w:afterAutospacing="0"/>
        <w:ind w:left="0" w:right="0" w:firstLine="422" w:firstLineChars="200"/>
        <w:rPr>
          <w:rFonts w:ascii="宋体" w:hAnsi="宋体"/>
          <w:b/>
          <w:highlight w:val="none"/>
        </w:rPr>
      </w:pPr>
      <w:r>
        <w:rPr>
          <w:rFonts w:hint="eastAsia" w:ascii="宋体" w:hAnsi="宋体"/>
          <w:b/>
          <w:highlight w:val="none"/>
        </w:rPr>
        <w:t xml:space="preserve">注：比选申请人如未完整下载相关文件，或由于未及时关注比选文件补充通知（补遗）、答疑等相关项目信息而影响比选申请的，其责任由比选申请人自行承担。 </w:t>
      </w:r>
    </w:p>
    <w:p>
      <w:pPr>
        <w:spacing w:before="0" w:after="0" w:afterAutospacing="0"/>
        <w:ind w:left="0" w:right="0" w:firstLine="422" w:firstLineChars="200"/>
        <w:outlineLvl w:val="2"/>
        <w:rPr>
          <w:rFonts w:ascii="宋体" w:hAnsi="宋体"/>
          <w:b/>
          <w:highlight w:val="none"/>
        </w:rPr>
      </w:pPr>
      <w:bookmarkStart w:id="28" w:name="_Toc8795"/>
      <w:r>
        <w:rPr>
          <w:rFonts w:hint="eastAsia" w:ascii="宋体" w:hAnsi="宋体"/>
          <w:b/>
          <w:highlight w:val="none"/>
        </w:rPr>
        <w:t>6.</w:t>
      </w:r>
      <w:r>
        <w:rPr>
          <w:rFonts w:ascii="宋体" w:hAnsi="宋体"/>
          <w:b/>
          <w:highlight w:val="none"/>
        </w:rPr>
        <w:t>比选申请截止时间</w:t>
      </w:r>
      <w:r>
        <w:rPr>
          <w:rFonts w:hint="eastAsia" w:ascii="宋体" w:hAnsi="宋体"/>
          <w:b/>
          <w:highlight w:val="none"/>
        </w:rPr>
        <w:t>和</w:t>
      </w:r>
      <w:r>
        <w:rPr>
          <w:rFonts w:ascii="宋体" w:hAnsi="宋体"/>
          <w:b/>
          <w:highlight w:val="none"/>
        </w:rPr>
        <w:t>地点</w:t>
      </w:r>
      <w:bookmarkEnd w:id="28"/>
    </w:p>
    <w:p>
      <w:pPr>
        <w:spacing w:before="0" w:after="0" w:afterAutospacing="0"/>
        <w:ind w:left="0" w:right="0" w:firstLine="420" w:firstLineChars="200"/>
        <w:rPr>
          <w:rFonts w:ascii="宋体" w:hAnsi="宋体"/>
          <w:highlight w:val="none"/>
        </w:rPr>
      </w:pPr>
      <w:r>
        <w:rPr>
          <w:rFonts w:hint="eastAsia" w:ascii="宋体" w:hAnsi="宋体"/>
          <w:highlight w:val="none"/>
        </w:rPr>
        <w:t>6.1比选申请文件须密封后于</w:t>
      </w:r>
      <w:r>
        <w:rPr>
          <w:rFonts w:hint="eastAsia" w:ascii="宋体" w:hAnsi="宋体"/>
          <w:highlight w:val="none"/>
          <w:u w:val="single"/>
          <w:lang w:val="en-US" w:eastAsia="zh-CN"/>
        </w:rPr>
        <w:t>2022</w:t>
      </w:r>
      <w:r>
        <w:rPr>
          <w:rFonts w:hint="eastAsia" w:ascii="宋体" w:hAnsi="宋体"/>
          <w:highlight w:val="none"/>
        </w:rPr>
        <w:t>年</w:t>
      </w:r>
      <w:r>
        <w:rPr>
          <w:rFonts w:hint="eastAsia" w:ascii="宋体" w:hAnsi="宋体"/>
          <w:highlight w:val="none"/>
          <w:u w:val="single"/>
          <w:lang w:val="en-US" w:eastAsia="zh-CN"/>
        </w:rPr>
        <w:t>12</w:t>
      </w:r>
      <w:r>
        <w:rPr>
          <w:rFonts w:hint="eastAsia" w:ascii="宋体" w:hAnsi="宋体"/>
          <w:highlight w:val="none"/>
        </w:rPr>
        <w:t>月</w:t>
      </w:r>
      <w:r>
        <w:rPr>
          <w:rFonts w:hint="eastAsia" w:ascii="宋体" w:hAnsi="宋体"/>
          <w:highlight w:val="none"/>
          <w:u w:val="single"/>
          <w:lang w:val="en-US" w:eastAsia="zh-CN"/>
        </w:rPr>
        <w:t>14</w:t>
      </w:r>
      <w:r>
        <w:rPr>
          <w:rFonts w:hint="eastAsia" w:ascii="宋体" w:hAnsi="宋体"/>
          <w:highlight w:val="none"/>
        </w:rPr>
        <w:t>日</w:t>
      </w:r>
      <w:r>
        <w:rPr>
          <w:rFonts w:hint="eastAsia" w:ascii="宋体" w:hAnsi="宋体"/>
          <w:highlight w:val="none"/>
          <w:u w:val="single"/>
          <w:lang w:val="en-US" w:eastAsia="zh-CN"/>
        </w:rPr>
        <w:t>8</w:t>
      </w:r>
      <w:r>
        <w:rPr>
          <w:rFonts w:hint="eastAsia" w:ascii="宋体" w:hAnsi="宋体"/>
          <w:highlight w:val="none"/>
        </w:rPr>
        <w:t>时</w:t>
      </w:r>
      <w:r>
        <w:rPr>
          <w:rFonts w:hint="eastAsia" w:ascii="宋体" w:hAnsi="宋体"/>
          <w:highlight w:val="none"/>
          <w:u w:val="single"/>
          <w:lang w:val="en-US" w:eastAsia="zh-CN"/>
        </w:rPr>
        <w:t>30</w:t>
      </w:r>
      <w:r>
        <w:rPr>
          <w:rFonts w:hint="eastAsia" w:ascii="宋体" w:hAnsi="宋体"/>
          <w:highlight w:val="none"/>
        </w:rPr>
        <w:t>分</w:t>
      </w:r>
      <w:r>
        <w:rPr>
          <w:rFonts w:hint="eastAsia" w:ascii="宋体" w:hAnsi="宋体"/>
          <w:highlight w:val="none"/>
          <w:lang w:val="en-US" w:eastAsia="zh-CN"/>
        </w:rPr>
        <w:t>至</w:t>
      </w:r>
      <w:r>
        <w:rPr>
          <w:rFonts w:hint="eastAsia" w:ascii="宋体" w:hAnsi="宋体"/>
          <w:highlight w:val="none"/>
          <w:u w:val="single"/>
          <w:lang w:val="en-US" w:eastAsia="zh-CN"/>
        </w:rPr>
        <w:t>9</w:t>
      </w:r>
      <w:r>
        <w:rPr>
          <w:rFonts w:hint="eastAsia" w:ascii="宋体" w:hAnsi="宋体"/>
          <w:highlight w:val="none"/>
          <w:lang w:val="en-US" w:eastAsia="zh-CN"/>
        </w:rPr>
        <w:t>时</w:t>
      </w:r>
      <w:r>
        <w:rPr>
          <w:rFonts w:hint="eastAsia" w:ascii="宋体" w:hAnsi="宋体"/>
          <w:highlight w:val="none"/>
          <w:u w:val="single"/>
          <w:lang w:val="en-US" w:eastAsia="zh-CN"/>
        </w:rPr>
        <w:t>00</w:t>
      </w:r>
      <w:r>
        <w:rPr>
          <w:rFonts w:hint="eastAsia" w:ascii="宋体" w:hAnsi="宋体"/>
          <w:highlight w:val="none"/>
          <w:lang w:val="en-US" w:eastAsia="zh-CN"/>
        </w:rPr>
        <w:t>分</w:t>
      </w:r>
      <w:r>
        <w:rPr>
          <w:rFonts w:hint="eastAsia" w:ascii="宋体" w:hAnsi="宋体"/>
          <w:highlight w:val="none"/>
        </w:rPr>
        <w:t>递交，递交地点在</w:t>
      </w:r>
      <w:r>
        <w:rPr>
          <w:rFonts w:hint="eastAsia" w:ascii="宋体" w:hAnsi="宋体"/>
          <w:highlight w:val="none"/>
          <w:u w:val="single"/>
        </w:rPr>
        <w:t>广</w:t>
      </w:r>
      <w:r>
        <w:rPr>
          <w:rFonts w:hint="eastAsia" w:ascii="宋体" w:hAnsi="宋体"/>
          <w:color w:val="auto"/>
          <w:highlight w:val="none"/>
          <w:u w:val="single"/>
        </w:rPr>
        <w:t>西南宁市青秀区云景路83号屯里车辆段</w:t>
      </w:r>
      <w:r>
        <w:rPr>
          <w:rFonts w:hint="eastAsia" w:ascii="宋体" w:hAnsi="宋体"/>
          <w:color w:val="auto"/>
          <w:highlight w:val="none"/>
          <w:u w:val="single"/>
          <w:lang w:val="en-US" w:eastAsia="zh-CN"/>
        </w:rPr>
        <w:t>综合楼205会议</w:t>
      </w:r>
      <w:r>
        <w:rPr>
          <w:rFonts w:hint="eastAsia" w:ascii="宋体" w:hAnsi="宋体"/>
          <w:color w:val="auto"/>
          <w:highlight w:val="none"/>
          <w:u w:val="single"/>
        </w:rPr>
        <w:t>室</w:t>
      </w:r>
      <w:r>
        <w:rPr>
          <w:rFonts w:hint="eastAsia" w:ascii="宋体" w:hAnsi="宋体"/>
          <w:color w:val="auto"/>
          <w:highlight w:val="none"/>
        </w:rPr>
        <w:t>；</w:t>
      </w:r>
    </w:p>
    <w:p>
      <w:pPr>
        <w:spacing w:before="0" w:after="0" w:afterAutospacing="0"/>
        <w:ind w:left="0" w:right="0" w:firstLine="420" w:firstLineChars="200"/>
        <w:rPr>
          <w:rFonts w:ascii="宋体" w:hAnsi="宋体"/>
          <w:highlight w:val="none"/>
        </w:rPr>
      </w:pPr>
      <w:r>
        <w:rPr>
          <w:rFonts w:hint="eastAsia" w:ascii="宋体" w:hAnsi="宋体"/>
          <w:highlight w:val="none"/>
        </w:rPr>
        <w:t>6.2</w:t>
      </w:r>
      <w:r>
        <w:rPr>
          <w:rFonts w:ascii="宋体" w:hAnsi="宋体"/>
          <w:highlight w:val="none"/>
        </w:rPr>
        <w:t>逾期送达的或者未送达指定地点</w:t>
      </w:r>
      <w:r>
        <w:rPr>
          <w:rFonts w:hint="eastAsia" w:ascii="宋体" w:hAnsi="宋体"/>
          <w:highlight w:val="none"/>
        </w:rPr>
        <w:t>或者</w:t>
      </w:r>
      <w:r>
        <w:rPr>
          <w:rFonts w:ascii="宋体" w:hAnsi="宋体"/>
          <w:highlight w:val="none"/>
        </w:rPr>
        <w:t>未按</w:t>
      </w:r>
      <w:r>
        <w:rPr>
          <w:rFonts w:hint="eastAsia" w:ascii="宋体" w:hAnsi="宋体"/>
          <w:highlight w:val="none"/>
        </w:rPr>
        <w:t>比选</w:t>
      </w:r>
      <w:r>
        <w:rPr>
          <w:rFonts w:ascii="宋体" w:hAnsi="宋体"/>
          <w:highlight w:val="none"/>
        </w:rPr>
        <w:t>文件要求密封的</w:t>
      </w:r>
      <w:r>
        <w:rPr>
          <w:rFonts w:hint="eastAsia" w:ascii="宋体" w:hAnsi="宋体"/>
          <w:highlight w:val="none"/>
        </w:rPr>
        <w:t>比选申请</w:t>
      </w:r>
      <w:r>
        <w:rPr>
          <w:rFonts w:ascii="宋体" w:hAnsi="宋体"/>
          <w:highlight w:val="none"/>
        </w:rPr>
        <w:t>文件将被拒绝</w:t>
      </w:r>
      <w:r>
        <w:rPr>
          <w:rFonts w:hint="eastAsia" w:ascii="宋体" w:hAnsi="宋体"/>
          <w:highlight w:val="none"/>
        </w:rPr>
        <w:t>。</w:t>
      </w:r>
    </w:p>
    <w:p>
      <w:pPr>
        <w:spacing w:before="0" w:after="0" w:afterAutospacing="0"/>
        <w:ind w:left="0" w:right="0" w:firstLine="420" w:firstLineChars="200"/>
        <w:rPr>
          <w:rFonts w:ascii="宋体" w:hAnsi="宋体"/>
          <w:highlight w:val="none"/>
        </w:rPr>
      </w:pPr>
      <w:r>
        <w:rPr>
          <w:rFonts w:hint="eastAsia" w:ascii="宋体" w:hAnsi="宋体"/>
          <w:highlight w:val="none"/>
        </w:rPr>
        <w:t>6.3请比选申请人法定代表人或被授权人携法人委托书原件准时参加。</w:t>
      </w:r>
      <w:r>
        <w:rPr>
          <w:rFonts w:ascii="宋体" w:hAnsi="宋体"/>
          <w:highlight w:val="none"/>
        </w:rPr>
        <w:t>比选申请文件必须由</w:t>
      </w:r>
      <w:r>
        <w:rPr>
          <w:rFonts w:hint="eastAsia" w:ascii="宋体" w:hAnsi="宋体"/>
          <w:highlight w:val="none"/>
        </w:rPr>
        <w:t>比选申请人法定代表人或被授权人</w:t>
      </w:r>
      <w:r>
        <w:rPr>
          <w:rFonts w:ascii="宋体" w:hAnsi="宋体"/>
          <w:highlight w:val="none"/>
        </w:rPr>
        <w:t>递交，否则</w:t>
      </w:r>
      <w:r>
        <w:rPr>
          <w:rFonts w:hint="eastAsia" w:ascii="宋体" w:hAnsi="宋体"/>
          <w:highlight w:val="none"/>
        </w:rPr>
        <w:t>比选人</w:t>
      </w:r>
      <w:r>
        <w:rPr>
          <w:rFonts w:ascii="宋体" w:hAnsi="宋体"/>
          <w:highlight w:val="none"/>
        </w:rPr>
        <w:t>不予受理。</w:t>
      </w:r>
    </w:p>
    <w:p>
      <w:pPr>
        <w:spacing w:before="0" w:after="0" w:afterAutospacing="0"/>
        <w:ind w:left="0" w:right="0" w:firstLine="422" w:firstLineChars="200"/>
        <w:outlineLvl w:val="2"/>
        <w:rPr>
          <w:rFonts w:ascii="宋体" w:hAnsi="宋体"/>
          <w:b/>
          <w:highlight w:val="none"/>
        </w:rPr>
      </w:pPr>
      <w:bookmarkStart w:id="29" w:name="_Toc22158"/>
      <w:r>
        <w:rPr>
          <w:rFonts w:hint="eastAsia" w:ascii="宋体" w:hAnsi="宋体"/>
          <w:b/>
          <w:highlight w:val="none"/>
        </w:rPr>
        <w:t>7.发布公告的媒介</w:t>
      </w:r>
      <w:bookmarkEnd w:id="29"/>
    </w:p>
    <w:p>
      <w:pPr>
        <w:spacing w:before="0" w:after="0" w:afterAutospacing="0"/>
        <w:ind w:left="0" w:right="0" w:firstLine="420" w:firstLineChars="200"/>
        <w:rPr>
          <w:rFonts w:ascii="宋体" w:hAnsi="宋体"/>
          <w:color w:val="auto"/>
          <w:highlight w:val="none"/>
        </w:rPr>
      </w:pPr>
      <w:r>
        <w:rPr>
          <w:rFonts w:hint="eastAsia" w:ascii="宋体" w:hAnsi="宋体"/>
          <w:highlight w:val="none"/>
        </w:rPr>
        <w:t>本次比选公告同时</w:t>
      </w:r>
      <w:r>
        <w:rPr>
          <w:rFonts w:hint="eastAsia" w:ascii="宋体" w:hAnsi="宋体"/>
          <w:color w:val="auto"/>
          <w:highlight w:val="none"/>
        </w:rPr>
        <w:t>在南宁轨道交通集团有限责任公司官网(http://www.nngdjt.com)、中国e车网(http://www.ecrrc.com)发布。</w:t>
      </w:r>
    </w:p>
    <w:p>
      <w:pPr>
        <w:spacing w:before="0" w:after="0" w:afterAutospacing="0"/>
        <w:ind w:left="0" w:right="0" w:firstLine="422" w:firstLineChars="200"/>
        <w:outlineLvl w:val="2"/>
        <w:rPr>
          <w:rFonts w:ascii="宋体" w:hAnsi="宋体"/>
          <w:b/>
          <w:color w:val="auto"/>
          <w:highlight w:val="none"/>
        </w:rPr>
      </w:pPr>
      <w:bookmarkStart w:id="30" w:name="_Toc15098"/>
      <w:r>
        <w:rPr>
          <w:rFonts w:hint="eastAsia" w:ascii="宋体" w:hAnsi="宋体"/>
          <w:b/>
          <w:color w:val="auto"/>
          <w:highlight w:val="none"/>
        </w:rPr>
        <w:t>8.联系方式</w:t>
      </w:r>
      <w:bookmarkEnd w:id="30"/>
    </w:p>
    <w:p>
      <w:pPr>
        <w:spacing w:before="0" w:after="0" w:afterAutospacing="0"/>
        <w:ind w:left="0" w:right="0" w:firstLine="420" w:firstLineChars="200"/>
        <w:rPr>
          <w:rFonts w:ascii="宋体" w:hAnsi="宋体"/>
          <w:highlight w:val="none"/>
          <w:u w:val="single"/>
        </w:rPr>
      </w:pPr>
      <w:r>
        <w:rPr>
          <w:rFonts w:hint="eastAsia" w:ascii="宋体" w:hAnsi="宋体"/>
          <w:highlight w:val="none"/>
        </w:rPr>
        <w:t xml:space="preserve">比 选 人：南宁轨道交通运营有限公司    </w:t>
      </w:r>
    </w:p>
    <w:p>
      <w:pPr>
        <w:spacing w:before="0" w:after="0" w:afterAutospacing="0"/>
        <w:ind w:left="0" w:right="0" w:firstLine="420" w:firstLineChars="200"/>
        <w:rPr>
          <w:rFonts w:ascii="宋体" w:hAnsi="宋体"/>
          <w:highlight w:val="none"/>
          <w:u w:val="single"/>
        </w:rPr>
      </w:pPr>
      <w:r>
        <w:rPr>
          <w:rFonts w:hint="eastAsia" w:ascii="宋体" w:hAnsi="宋体"/>
          <w:highlight w:val="none"/>
        </w:rPr>
        <w:t xml:space="preserve">地    址：南宁市青秀区云景路83号         </w:t>
      </w:r>
    </w:p>
    <w:p>
      <w:pPr>
        <w:spacing w:before="0" w:after="0" w:afterAutospacing="0"/>
        <w:ind w:left="0" w:right="0" w:firstLine="420" w:firstLineChars="200"/>
        <w:rPr>
          <w:rFonts w:hint="eastAsia" w:ascii="宋体" w:hAnsi="宋体"/>
          <w:highlight w:val="none"/>
        </w:rPr>
      </w:pPr>
      <w:r>
        <w:rPr>
          <w:rFonts w:hint="eastAsia" w:ascii="宋体" w:hAnsi="宋体"/>
          <w:highlight w:val="none"/>
        </w:rPr>
        <w:t xml:space="preserve">邮    编：530022                         </w:t>
      </w:r>
    </w:p>
    <w:p>
      <w:pPr>
        <w:spacing w:before="0" w:after="0" w:afterAutospacing="0"/>
        <w:ind w:left="0" w:right="0" w:firstLine="420" w:firstLineChars="200"/>
        <w:rPr>
          <w:rFonts w:hint="eastAsia" w:ascii="宋体" w:hAnsi="宋体"/>
          <w:highlight w:val="none"/>
        </w:rPr>
      </w:pPr>
      <w:r>
        <w:rPr>
          <w:rFonts w:hint="eastAsia" w:ascii="宋体" w:hAnsi="宋体"/>
          <w:highlight w:val="none"/>
        </w:rPr>
        <w:t>联 系 人：李工</w:t>
      </w:r>
      <w:r>
        <w:rPr>
          <w:rFonts w:hint="eastAsia" w:ascii="宋体" w:hAnsi="宋体"/>
          <w:highlight w:val="none"/>
          <w:lang w:val="en-US" w:eastAsia="zh-CN"/>
        </w:rPr>
        <w:t>/</w:t>
      </w:r>
      <w:r>
        <w:rPr>
          <w:rFonts w:hint="eastAsia" w:ascii="宋体" w:hAnsi="宋体"/>
          <w:highlight w:val="none"/>
          <w:lang w:eastAsia="zh-CN"/>
        </w:rPr>
        <w:t>陈工</w:t>
      </w:r>
      <w:r>
        <w:rPr>
          <w:rFonts w:hint="eastAsia" w:ascii="宋体" w:hAnsi="宋体"/>
          <w:highlight w:val="none"/>
          <w:lang w:val="en-US" w:eastAsia="zh-CN"/>
        </w:rPr>
        <w:t xml:space="preserve">  </w:t>
      </w:r>
    </w:p>
    <w:p>
      <w:pPr>
        <w:spacing w:before="0" w:after="0" w:afterAutospacing="0"/>
        <w:ind w:left="0" w:right="0" w:firstLine="420" w:firstLineChars="200"/>
        <w:rPr>
          <w:rFonts w:hint="eastAsia" w:ascii="宋体" w:hAnsi="宋体"/>
          <w:highlight w:val="none"/>
          <w:lang w:val="en-US" w:eastAsia="zh-CN"/>
        </w:rPr>
      </w:pPr>
      <w:r>
        <w:rPr>
          <w:rFonts w:hint="eastAsia" w:ascii="宋体" w:hAnsi="宋体"/>
          <w:highlight w:val="none"/>
        </w:rPr>
        <w:t>电    话：0771-2779268</w:t>
      </w:r>
      <w:r>
        <w:rPr>
          <w:rFonts w:hint="eastAsia" w:ascii="宋体" w:hAnsi="宋体"/>
          <w:highlight w:val="none"/>
          <w:lang w:val="en-US" w:eastAsia="zh-CN"/>
        </w:rPr>
        <w:t>/0771-2778979</w:t>
      </w:r>
    </w:p>
    <w:p>
      <w:pPr>
        <w:spacing w:before="0" w:after="0" w:afterAutospacing="0"/>
        <w:ind w:left="0" w:right="0" w:firstLine="420" w:firstLineChars="200"/>
        <w:rPr>
          <w:rFonts w:hint="eastAsia" w:ascii="宋体" w:hAnsi="宋体"/>
          <w:highlight w:val="none"/>
          <w:lang w:val="en-US" w:eastAsia="zh-CN"/>
        </w:rPr>
      </w:pPr>
      <w:r>
        <w:rPr>
          <w:rFonts w:hint="eastAsia" w:ascii="宋体" w:hAnsi="宋体"/>
          <w:highlight w:val="none"/>
        </w:rPr>
        <w:t>纪检监察室举报电话</w:t>
      </w:r>
      <w:r>
        <w:rPr>
          <w:rFonts w:hint="eastAsia" w:ascii="宋体" w:hAnsi="宋体"/>
          <w:highlight w:val="none"/>
          <w:lang w:eastAsia="zh-CN"/>
        </w:rPr>
        <w:t>：</w:t>
      </w:r>
      <w:r>
        <w:rPr>
          <w:rFonts w:hint="eastAsia" w:ascii="宋体" w:hAnsi="宋体"/>
          <w:highlight w:val="none"/>
        </w:rPr>
        <w:t>0771-2778084</w:t>
      </w:r>
    </w:p>
    <w:p>
      <w:pPr>
        <w:spacing w:before="0" w:after="0" w:afterAutospacing="0"/>
        <w:ind w:left="0" w:right="0" w:firstLine="420" w:firstLineChars="200"/>
        <w:rPr>
          <w:rFonts w:ascii="宋体" w:hAnsi="宋体"/>
          <w:highlight w:val="none"/>
          <w:u w:val="single"/>
        </w:rPr>
      </w:pPr>
      <w:r>
        <w:rPr>
          <w:rFonts w:hint="eastAsia" w:ascii="宋体" w:hAnsi="宋体"/>
          <w:highlight w:val="none"/>
        </w:rPr>
        <w:t>传    真：</w:t>
      </w:r>
    </w:p>
    <w:p>
      <w:pPr>
        <w:spacing w:before="0" w:after="0" w:afterAutospacing="0"/>
        <w:ind w:left="0" w:right="0" w:firstLine="420" w:firstLineChars="200"/>
        <w:rPr>
          <w:rFonts w:ascii="宋体" w:hAnsi="宋体"/>
          <w:highlight w:val="none"/>
          <w:u w:val="single"/>
        </w:rPr>
      </w:pPr>
      <w:r>
        <w:rPr>
          <w:rFonts w:hint="eastAsia" w:ascii="宋体" w:hAnsi="宋体"/>
          <w:highlight w:val="none"/>
        </w:rPr>
        <w:t>电子邮件：</w:t>
      </w:r>
    </w:p>
    <w:p>
      <w:pPr>
        <w:spacing w:before="0" w:after="120" w:line="380" w:lineRule="exact"/>
        <w:ind w:left="430" w:right="-57" w:firstLine="200"/>
        <w:rPr>
          <w:rFonts w:ascii="宋体" w:hAnsi="宋体"/>
          <w:highlight w:val="none"/>
        </w:rPr>
      </w:pPr>
    </w:p>
    <w:p>
      <w:pPr>
        <w:pStyle w:val="12"/>
        <w:pageBreakBefore/>
        <w:ind w:right="-57" w:firstLine="0"/>
        <w:jc w:val="center"/>
        <w:outlineLvl w:val="1"/>
        <w:rPr>
          <w:rStyle w:val="41"/>
          <w:rFonts w:hint="eastAsia" w:ascii="宋体" w:hAnsi="宋体" w:eastAsia="宋体"/>
          <w:highlight w:val="none"/>
        </w:rPr>
        <w:sectPr>
          <w:footerReference r:id="rId6" w:type="default"/>
          <w:pgSz w:w="11905" w:h="16838"/>
          <w:pgMar w:top="1417" w:right="1417" w:bottom="1417" w:left="1417" w:header="454" w:footer="567" w:gutter="0"/>
          <w:pgNumType w:start="1"/>
          <w:cols w:space="720" w:num="1"/>
          <w:docGrid w:linePitch="312" w:charSpace="0"/>
        </w:sectPr>
      </w:pPr>
      <w:bookmarkStart w:id="31" w:name="_Toc322528192"/>
      <w:bookmarkEnd w:id="31"/>
      <w:bookmarkStart w:id="32" w:name="_Toc512357502"/>
      <w:bookmarkStart w:id="33" w:name="_Toc30725"/>
      <w:bookmarkStart w:id="34" w:name="_Toc3495"/>
      <w:bookmarkStart w:id="35" w:name="_Toc30883"/>
      <w:bookmarkStart w:id="36" w:name="_Toc20201"/>
      <w:bookmarkStart w:id="37" w:name="_Toc17735"/>
      <w:bookmarkStart w:id="38" w:name="_Toc18454"/>
      <w:bookmarkStart w:id="39" w:name="_Toc24390"/>
      <w:bookmarkStart w:id="40" w:name="_Toc21830"/>
      <w:bookmarkStart w:id="41" w:name="_Toc15976"/>
      <w:bookmarkStart w:id="42" w:name="_Toc25750589"/>
      <w:bookmarkStart w:id="43" w:name="_Toc17594"/>
      <w:bookmarkStart w:id="44" w:name="_Toc30950"/>
      <w:bookmarkStart w:id="45" w:name="_Toc24972"/>
      <w:bookmarkStart w:id="46" w:name="_Toc12635"/>
      <w:bookmarkStart w:id="47" w:name="_Toc22273"/>
      <w:bookmarkStart w:id="48" w:name="_Toc29836"/>
      <w:bookmarkStart w:id="49" w:name="_Toc1230"/>
      <w:bookmarkStart w:id="50" w:name="_Toc17240"/>
    </w:p>
    <w:p>
      <w:pPr>
        <w:pStyle w:val="12"/>
        <w:pageBreakBefore/>
        <w:ind w:right="-57" w:firstLine="0"/>
        <w:jc w:val="center"/>
        <w:outlineLvl w:val="0"/>
        <w:rPr>
          <w:rStyle w:val="41"/>
          <w:rFonts w:ascii="宋体" w:hAnsi="宋体" w:eastAsia="宋体"/>
          <w:highlight w:val="none"/>
        </w:rPr>
      </w:pPr>
      <w:bookmarkStart w:id="51" w:name="_Toc6812"/>
      <w:r>
        <w:rPr>
          <w:rStyle w:val="41"/>
          <w:rFonts w:hint="eastAsia" w:ascii="宋体" w:hAnsi="宋体" w:eastAsia="宋体"/>
          <w:highlight w:val="none"/>
        </w:rPr>
        <w:t>第二章</w:t>
      </w:r>
      <w:bookmarkEnd w:id="32"/>
      <w:r>
        <w:rPr>
          <w:rStyle w:val="41"/>
          <w:rFonts w:hint="eastAsia" w:ascii="宋体" w:hAnsi="宋体" w:eastAsia="宋体"/>
          <w:highlight w:val="none"/>
        </w:rPr>
        <w:t>比选申请须知</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pPr>
        <w:pStyle w:val="12"/>
        <w:spacing w:before="0" w:after="0"/>
        <w:ind w:right="0" w:firstLine="0"/>
        <w:jc w:val="center"/>
        <w:outlineLvl w:val="2"/>
        <w:rPr>
          <w:rFonts w:hAnsi="宋体"/>
          <w:b/>
          <w:sz w:val="30"/>
          <w:szCs w:val="30"/>
          <w:highlight w:val="none"/>
        </w:rPr>
      </w:pPr>
      <w:bookmarkStart w:id="52" w:name="_Toc9022"/>
      <w:r>
        <w:rPr>
          <w:rFonts w:hint="eastAsia" w:hAnsi="宋体"/>
          <w:b/>
          <w:sz w:val="30"/>
          <w:szCs w:val="30"/>
          <w:highlight w:val="none"/>
        </w:rPr>
        <w:t>比选申请须知前附表</w:t>
      </w:r>
      <w:bookmarkEnd w:id="52"/>
    </w:p>
    <w:tbl>
      <w:tblPr>
        <w:tblStyle w:val="27"/>
        <w:tblW w:w="9117" w:type="dxa"/>
        <w:tblInd w:w="112" w:type="dxa"/>
        <w:tblLayout w:type="fixed"/>
        <w:tblCellMar>
          <w:top w:w="0" w:type="dxa"/>
          <w:left w:w="108" w:type="dxa"/>
          <w:bottom w:w="0" w:type="dxa"/>
          <w:right w:w="108" w:type="dxa"/>
        </w:tblCellMar>
      </w:tblPr>
      <w:tblGrid>
        <w:gridCol w:w="847"/>
        <w:gridCol w:w="1843"/>
        <w:gridCol w:w="6427"/>
      </w:tblGrid>
      <w:tr>
        <w:tblPrEx>
          <w:tblCellMar>
            <w:top w:w="0" w:type="dxa"/>
            <w:left w:w="108" w:type="dxa"/>
            <w:bottom w:w="0" w:type="dxa"/>
            <w:right w:w="108" w:type="dxa"/>
          </w:tblCellMar>
        </w:tblPrEx>
        <w:trPr>
          <w:trHeight w:val="273"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jc w:val="center"/>
              <w:rPr>
                <w:rFonts w:ascii="宋体" w:hAnsi="宋体"/>
                <w:highlight w:val="none"/>
              </w:rPr>
            </w:pPr>
            <w:r>
              <w:rPr>
                <w:rFonts w:hint="eastAsia" w:ascii="宋体" w:hAnsi="宋体"/>
                <w:highlight w:val="none"/>
              </w:rPr>
              <w:t>条款号</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center"/>
              <w:rPr>
                <w:rFonts w:ascii="宋体" w:hAnsi="宋体"/>
                <w:highlight w:val="none"/>
              </w:rPr>
            </w:pPr>
            <w:r>
              <w:rPr>
                <w:rFonts w:hint="eastAsia" w:ascii="宋体" w:hAnsi="宋体"/>
                <w:highlight w:val="none"/>
              </w:rPr>
              <w:t>条款名称</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center"/>
              <w:rPr>
                <w:rFonts w:ascii="宋体" w:hAnsi="宋体"/>
                <w:highlight w:val="none"/>
              </w:rPr>
            </w:pPr>
            <w:r>
              <w:rPr>
                <w:rFonts w:hint="eastAsia" w:ascii="宋体" w:hAnsi="宋体"/>
                <w:highlight w:val="none"/>
              </w:rPr>
              <w:t>详细内容</w:t>
            </w:r>
          </w:p>
        </w:tc>
      </w:tr>
      <w:tr>
        <w:tblPrEx>
          <w:tblCellMar>
            <w:top w:w="0" w:type="dxa"/>
            <w:left w:w="108" w:type="dxa"/>
            <w:bottom w:w="0" w:type="dxa"/>
            <w:right w:w="108" w:type="dxa"/>
          </w:tblCellMar>
        </w:tblPrEx>
        <w:trPr>
          <w:trHeight w:val="1197"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1.1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比选人</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名称：南宁轨道交通运营有限公司</w:t>
            </w:r>
          </w:p>
          <w:p>
            <w:pPr>
              <w:spacing w:before="0" w:after="0" w:afterAutospacing="0"/>
              <w:ind w:left="0" w:right="0" w:firstLine="0"/>
              <w:rPr>
                <w:rFonts w:ascii="宋体" w:hAnsi="宋体"/>
                <w:highlight w:val="none"/>
              </w:rPr>
            </w:pPr>
            <w:r>
              <w:rPr>
                <w:rFonts w:hint="eastAsia" w:ascii="宋体" w:hAnsi="宋体"/>
                <w:highlight w:val="none"/>
              </w:rPr>
              <w:t>地址：南宁市青秀区云景路</w:t>
            </w:r>
            <w:r>
              <w:rPr>
                <w:rFonts w:ascii="宋体" w:hAnsi="宋体"/>
                <w:highlight w:val="none"/>
              </w:rPr>
              <w:t>83</w:t>
            </w:r>
            <w:r>
              <w:rPr>
                <w:rFonts w:hint="eastAsia" w:ascii="宋体" w:hAnsi="宋体"/>
                <w:highlight w:val="none"/>
              </w:rPr>
              <w:t>号</w:t>
            </w:r>
          </w:p>
          <w:p>
            <w:pPr>
              <w:spacing w:before="0" w:after="0" w:afterAutospacing="0"/>
              <w:ind w:left="0" w:right="0" w:firstLine="0"/>
              <w:rPr>
                <w:rFonts w:ascii="宋体" w:hAnsi="宋体"/>
                <w:highlight w:val="none"/>
              </w:rPr>
            </w:pPr>
            <w:r>
              <w:rPr>
                <w:rFonts w:hint="eastAsia" w:ascii="宋体" w:hAnsi="宋体"/>
                <w:highlight w:val="none"/>
              </w:rPr>
              <w:t>联系人：李工</w:t>
            </w:r>
            <w:r>
              <w:rPr>
                <w:rFonts w:hint="eastAsia" w:ascii="宋体" w:hAnsi="宋体"/>
                <w:highlight w:val="none"/>
                <w:lang w:val="en-US" w:eastAsia="zh-CN"/>
              </w:rPr>
              <w:t>/</w:t>
            </w:r>
            <w:r>
              <w:rPr>
                <w:rFonts w:hint="eastAsia" w:ascii="宋体" w:hAnsi="宋体"/>
                <w:highlight w:val="none"/>
                <w:lang w:eastAsia="zh-CN"/>
              </w:rPr>
              <w:t>陈工</w:t>
            </w:r>
          </w:p>
          <w:p>
            <w:pPr>
              <w:spacing w:before="0" w:after="0" w:afterAutospacing="0"/>
              <w:ind w:left="0" w:right="0" w:firstLine="0"/>
              <w:rPr>
                <w:rFonts w:ascii="宋体" w:hAnsi="宋体"/>
                <w:highlight w:val="none"/>
              </w:rPr>
            </w:pPr>
            <w:r>
              <w:rPr>
                <w:rFonts w:hint="eastAsia" w:ascii="宋体" w:hAnsi="宋体"/>
                <w:highlight w:val="none"/>
              </w:rPr>
              <w:t>联系电话：0771-2779268</w:t>
            </w:r>
            <w:r>
              <w:rPr>
                <w:rFonts w:hint="eastAsia" w:ascii="宋体" w:hAnsi="宋体"/>
                <w:highlight w:val="none"/>
                <w:lang w:val="en-US" w:eastAsia="zh-CN"/>
              </w:rPr>
              <w:t>/0771-2778979</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1.2</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项目名称</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南宁轨道交通1号线麻村站至石埠站卫生间蹲便感应式冲洗阀设备技术改造项目</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1.3</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项目编号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202204190008</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1.4</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比选</w:t>
            </w:r>
            <w:r>
              <w:rPr>
                <w:rFonts w:ascii="宋体" w:hAnsi="宋体"/>
                <w:color w:val="auto"/>
                <w:highlight w:val="none"/>
              </w:rPr>
              <w:t>范围</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u w:val="single"/>
              </w:rPr>
              <w:t xml:space="preserve"> 南宁轨道交通1号线麻村站至石埠站卫生间蹲便感应式冲洗阀设备技术改造项目</w:t>
            </w:r>
            <w:r>
              <w:rPr>
                <w:rFonts w:ascii="宋体" w:hAnsi="宋体"/>
                <w:color w:val="auto"/>
                <w:highlight w:val="none"/>
              </w:rPr>
              <w:t>,</w:t>
            </w:r>
            <w:r>
              <w:rPr>
                <w:rFonts w:hint="eastAsia" w:ascii="宋体" w:hAnsi="宋体"/>
                <w:color w:val="auto"/>
                <w:highlight w:val="none"/>
              </w:rPr>
              <w:t>具体详见用户需求书。</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1.5</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工期</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u w:val="single"/>
              </w:rPr>
              <w:t xml:space="preserve"> 合同签订之日起共90天，具体开工日期以比选人开工令发布时间为准</w:t>
            </w:r>
            <w:r>
              <w:rPr>
                <w:rFonts w:hint="eastAsia" w:ascii="宋体" w:hAnsi="宋体"/>
                <w:color w:val="auto"/>
                <w:highlight w:val="none"/>
              </w:rPr>
              <w:t xml:space="preserve">。 </w:t>
            </w:r>
          </w:p>
        </w:tc>
      </w:tr>
      <w:tr>
        <w:tblPrEx>
          <w:tblCellMar>
            <w:top w:w="0" w:type="dxa"/>
            <w:left w:w="108" w:type="dxa"/>
            <w:bottom w:w="0" w:type="dxa"/>
            <w:right w:w="108" w:type="dxa"/>
          </w:tblCellMar>
        </w:tblPrEx>
        <w:trPr>
          <w:trHeight w:val="9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1.6</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资金来源</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企业自有资金</w:t>
            </w:r>
          </w:p>
        </w:tc>
      </w:tr>
      <w:tr>
        <w:tblPrEx>
          <w:tblCellMar>
            <w:top w:w="0" w:type="dxa"/>
            <w:left w:w="108" w:type="dxa"/>
            <w:bottom w:w="0" w:type="dxa"/>
            <w:right w:w="108" w:type="dxa"/>
          </w:tblCellMar>
        </w:tblPrEx>
        <w:trPr>
          <w:trHeight w:val="664"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1.7</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上限控制价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上限控制价：本项目不含税上限控制价为人民币</w:t>
            </w:r>
            <w:r>
              <w:rPr>
                <w:rFonts w:hint="eastAsia" w:ascii="宋体" w:hAnsi="宋体"/>
                <w:color w:val="auto"/>
                <w:highlight w:val="none"/>
                <w:lang w:eastAsia="zh-CN"/>
              </w:rPr>
              <w:t>贰拾壹万元整</w:t>
            </w:r>
            <w:r>
              <w:rPr>
                <w:rFonts w:hint="eastAsia" w:ascii="宋体" w:hAnsi="宋体"/>
                <w:color w:val="auto"/>
                <w:highlight w:val="none"/>
              </w:rPr>
              <w:t>（￥</w:t>
            </w:r>
            <w:r>
              <w:rPr>
                <w:rFonts w:hint="eastAsia" w:ascii="宋体" w:hAnsi="宋体"/>
                <w:color w:val="auto"/>
                <w:highlight w:val="none"/>
                <w:lang w:eastAsia="zh-CN"/>
              </w:rPr>
              <w:t>210000</w:t>
            </w:r>
            <w:r>
              <w:rPr>
                <w:rFonts w:hint="eastAsia" w:ascii="宋体" w:hAnsi="宋体"/>
                <w:color w:val="auto"/>
                <w:highlight w:val="none"/>
              </w:rPr>
              <w:t>.00元）。比选申请不含税报价高于上限控制价的比选申请文件将按否决比选申请处理。</w:t>
            </w:r>
          </w:p>
        </w:tc>
      </w:tr>
      <w:tr>
        <w:tblPrEx>
          <w:tblCellMar>
            <w:top w:w="0" w:type="dxa"/>
            <w:left w:w="108" w:type="dxa"/>
            <w:bottom w:w="0" w:type="dxa"/>
            <w:right w:w="108" w:type="dxa"/>
          </w:tblCellMar>
        </w:tblPrEx>
        <w:trPr>
          <w:trHeight w:val="737"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3</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比选申请人应具备的资格条件</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leftChars="0" w:right="0" w:firstLine="0" w:firstLineChars="0"/>
              <w:rPr>
                <w:rFonts w:hint="eastAsia" w:ascii="宋体" w:hAnsi="宋体" w:eastAsia="宋体"/>
                <w:highlight w:val="none"/>
                <w:lang w:eastAsia="zh-CN"/>
              </w:rPr>
            </w:pPr>
            <w:r>
              <w:rPr>
                <w:rFonts w:hint="eastAsia" w:ascii="宋体" w:hAnsi="宋体"/>
                <w:color w:val="auto"/>
                <w:highlight w:val="none"/>
              </w:rPr>
              <w:t>（1</w:t>
            </w:r>
            <w:r>
              <w:rPr>
                <w:rFonts w:hint="eastAsia" w:ascii="宋体" w:hAnsi="宋体"/>
                <w:color w:val="auto"/>
                <w:highlight w:val="none"/>
                <w:lang w:eastAsia="zh-CN"/>
              </w:rPr>
              <w:t>）</w:t>
            </w:r>
            <w:r>
              <w:rPr>
                <w:rFonts w:hint="eastAsia" w:ascii="宋体" w:hAnsi="宋体"/>
                <w:highlight w:val="none"/>
              </w:rPr>
              <w:t>比选申请人为中华人民共和国境内依法设立的法人或其他组织</w:t>
            </w:r>
            <w:r>
              <w:rPr>
                <w:rFonts w:hint="eastAsia" w:ascii="宋体" w:hAnsi="宋体"/>
                <w:highlight w:val="none"/>
                <w:lang w:eastAsia="zh-CN"/>
              </w:rPr>
              <w:t>；</w:t>
            </w:r>
          </w:p>
          <w:p>
            <w:pPr>
              <w:spacing w:before="0" w:after="0" w:afterAutospacing="0"/>
              <w:ind w:left="0" w:leftChars="0" w:right="0" w:firstLine="0" w:firstLineChars="0"/>
              <w:rPr>
                <w:rFonts w:hint="eastAsia" w:ascii="宋体" w:hAnsi="宋体"/>
                <w:color w:val="auto"/>
                <w:highlight w:val="none"/>
              </w:rPr>
            </w:pPr>
            <w:r>
              <w:rPr>
                <w:rFonts w:hint="eastAsia" w:ascii="宋体" w:hAnsi="宋体"/>
                <w:color w:val="auto"/>
                <w:highlight w:val="none"/>
                <w:lang w:val="en-US" w:eastAsia="zh-CN"/>
              </w:rPr>
              <w:t>（2）</w:t>
            </w:r>
            <w:r>
              <w:rPr>
                <w:rFonts w:hint="eastAsia" w:ascii="宋体" w:hAnsi="宋体"/>
                <w:color w:val="auto"/>
                <w:highlight w:val="none"/>
              </w:rPr>
              <w:t>比选申请人没有处于被责令停业，或比选申请资格被住建部、国家安监总局、广西区或南宁市建设行政主管部门取消，或财产被接管、破产状态；在比选申请截止时间前3年内没有骗取中选、严重违约或重大质量安全责任事故。我方与其他比选申请人之间不存在单位负责人为同一人或者控股、管理关系的情况；未列入比选人不良信用名单；</w:t>
            </w:r>
          </w:p>
          <w:p>
            <w:pPr>
              <w:spacing w:before="0" w:after="0" w:afterAutospacing="0"/>
              <w:ind w:left="0" w:leftChars="0" w:right="0" w:firstLine="0" w:firstLineChars="0"/>
              <w:rPr>
                <w:rFonts w:hint="eastAsia" w:ascii="宋体" w:hAnsi="宋体" w:eastAsia="宋体"/>
                <w:color w:val="auto"/>
                <w:highlight w:val="none"/>
                <w:lang w:eastAsia="zh-CN"/>
              </w:rPr>
            </w:pPr>
            <w:r>
              <w:rPr>
                <w:rFonts w:hint="eastAsia" w:ascii="宋体" w:hAnsi="宋体"/>
                <w:color w:val="auto"/>
                <w:highlight w:val="none"/>
                <w:lang w:val="en-US" w:eastAsia="zh-CN"/>
              </w:rPr>
              <w:t>（3）</w:t>
            </w:r>
            <w:r>
              <w:rPr>
                <w:rFonts w:hint="eastAsia" w:ascii="宋体" w:hAnsi="宋体"/>
                <w:color w:val="auto"/>
                <w:highlight w:val="none"/>
              </w:rPr>
              <w:t>比选申请人自2017年1月1日（备注：近5年）至比选申请截止时间前至少承接过1项合同金额不少于10万元的生活给水设备安装项目或参与</w:t>
            </w:r>
            <w:r>
              <w:rPr>
                <w:rFonts w:hint="eastAsia" w:ascii="宋体" w:hAnsi="宋体"/>
                <w:color w:val="auto"/>
                <w:highlight w:val="none"/>
                <w:lang w:eastAsia="zh-CN"/>
              </w:rPr>
              <w:t>1项轨道交通（车站数量不少于10座或者线路长度不少于12公里）综合机电设备（至少包含给排水专业）维修保养项目业绩；</w:t>
            </w:r>
          </w:p>
          <w:p>
            <w:pPr>
              <w:spacing w:before="0" w:after="0" w:afterAutospacing="0"/>
              <w:ind w:left="0" w:leftChars="0" w:right="0" w:firstLine="0" w:firstLineChars="0"/>
              <w:rPr>
                <w:rFonts w:hint="eastAsia" w:ascii="宋体" w:hAnsi="宋体" w:eastAsia="宋体"/>
                <w:highlight w:val="none"/>
                <w:lang w:eastAsia="zh-CN"/>
              </w:rPr>
            </w:pPr>
            <w:r>
              <w:rPr>
                <w:rFonts w:hint="eastAsia" w:ascii="宋体" w:hAnsi="宋体"/>
                <w:highlight w:val="none"/>
                <w:lang w:val="en-US" w:eastAsia="zh-CN"/>
              </w:rPr>
              <w:t>（4）</w:t>
            </w:r>
            <w:r>
              <w:rPr>
                <w:rFonts w:hint="eastAsia" w:ascii="宋体" w:hAnsi="宋体"/>
                <w:highlight w:val="none"/>
              </w:rPr>
              <w:t>比选申请人没有处于被行政主管部门或业主取消投标资格的处罚期内，且没有处于被责令停业，财产被接管、破产状态</w:t>
            </w:r>
            <w:r>
              <w:rPr>
                <w:rFonts w:hint="eastAsia" w:ascii="宋体" w:hAnsi="宋体"/>
                <w:highlight w:val="none"/>
                <w:lang w:eastAsia="zh-CN"/>
              </w:rPr>
              <w:t>；</w:t>
            </w:r>
          </w:p>
          <w:p>
            <w:pPr>
              <w:spacing w:before="0" w:after="0" w:afterAutospacing="0"/>
              <w:ind w:left="0" w:leftChars="0" w:right="0" w:firstLine="0" w:firstLineChars="0"/>
              <w:rPr>
                <w:rFonts w:hint="eastAsia" w:ascii="宋体" w:hAnsi="宋体" w:eastAsia="宋体"/>
                <w:color w:val="auto"/>
                <w:highlight w:val="none"/>
                <w:lang w:eastAsia="zh-CN"/>
              </w:rPr>
            </w:pPr>
            <w:r>
              <w:rPr>
                <w:rFonts w:hint="eastAsia" w:ascii="宋体" w:hAnsi="宋体"/>
                <w:highlight w:val="none"/>
                <w:lang w:eastAsia="zh-CN"/>
              </w:rPr>
              <w:t>（</w:t>
            </w:r>
            <w:r>
              <w:rPr>
                <w:rFonts w:hint="eastAsia" w:ascii="宋体" w:hAnsi="宋体"/>
                <w:highlight w:val="none"/>
                <w:lang w:val="en-US" w:eastAsia="zh-CN"/>
              </w:rPr>
              <w:t>5</w:t>
            </w:r>
            <w:r>
              <w:rPr>
                <w:rFonts w:hint="eastAsia" w:ascii="宋体" w:hAnsi="宋体"/>
                <w:highlight w:val="none"/>
                <w:lang w:eastAsia="zh-CN"/>
              </w:rPr>
              <w:t>）</w:t>
            </w:r>
            <w:r>
              <w:rPr>
                <w:rFonts w:hint="eastAsia" w:ascii="宋体" w:hAnsi="宋体"/>
                <w:highlight w:val="none"/>
              </w:rPr>
              <w:t>单位负责人为同一人或者存在控股、管理关系的不同单位，不得参加同一标段比选申请或者未划分标段的同一比选项目比选申请</w:t>
            </w:r>
            <w:r>
              <w:rPr>
                <w:rFonts w:hint="eastAsia" w:ascii="宋体" w:hAnsi="宋体"/>
                <w:highlight w:val="none"/>
                <w:lang w:eastAsia="zh-CN"/>
              </w:rPr>
              <w:t>；</w:t>
            </w:r>
          </w:p>
          <w:p>
            <w:pPr>
              <w:spacing w:before="0" w:after="0" w:afterAutospacing="0"/>
              <w:ind w:left="0" w:right="0" w:firstLine="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6</w:t>
            </w:r>
            <w:r>
              <w:rPr>
                <w:rFonts w:hint="eastAsia" w:ascii="宋体" w:hAnsi="宋体"/>
                <w:color w:val="auto"/>
                <w:highlight w:val="none"/>
              </w:rPr>
              <w:t>）</w:t>
            </w:r>
            <w:r>
              <w:rPr>
                <w:rFonts w:hint="eastAsia" w:ascii="宋体" w:hAnsi="宋体"/>
                <w:highlight w:val="none"/>
              </w:rPr>
              <w:t>本项目不接受联合体比选申请，比选申请人未列入招标人不良信用名单的</w:t>
            </w:r>
            <w:r>
              <w:rPr>
                <w:rFonts w:hint="eastAsia" w:ascii="宋体" w:hAnsi="宋体"/>
                <w:color w:val="auto"/>
                <w:highlight w:val="none"/>
              </w:rPr>
              <w:t>。</w:t>
            </w:r>
          </w:p>
        </w:tc>
      </w:tr>
      <w:tr>
        <w:tblPrEx>
          <w:tblCellMar>
            <w:top w:w="0" w:type="dxa"/>
            <w:left w:w="108" w:type="dxa"/>
            <w:bottom w:w="0" w:type="dxa"/>
            <w:right w:w="108" w:type="dxa"/>
          </w:tblCellMar>
        </w:tblPrEx>
        <w:trPr>
          <w:trHeight w:val="241" w:hRule="atLeast"/>
        </w:trPr>
        <w:tc>
          <w:tcPr>
            <w:tcW w:w="847" w:type="dxa"/>
            <w:vMerge w:val="restart"/>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6.1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比选申请人要求澄清比选文件</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对比选文件提出疑问的截止时间：</w:t>
            </w:r>
            <w:r>
              <w:rPr>
                <w:rFonts w:hint="eastAsia" w:ascii="宋体" w:hAnsi="宋体"/>
                <w:color w:val="auto"/>
                <w:highlight w:val="none"/>
                <w:lang w:val="en-US" w:eastAsia="zh-CN"/>
              </w:rPr>
              <w:t>2022</w:t>
            </w:r>
            <w:r>
              <w:rPr>
                <w:rFonts w:hint="eastAsia" w:ascii="宋体" w:hAnsi="宋体"/>
                <w:color w:val="auto"/>
                <w:highlight w:val="none"/>
              </w:rPr>
              <w:t>年</w:t>
            </w:r>
            <w:r>
              <w:rPr>
                <w:rFonts w:hint="eastAsia" w:ascii="宋体" w:hAnsi="宋体"/>
                <w:color w:val="auto"/>
                <w:highlight w:val="none"/>
                <w:lang w:val="en-US" w:eastAsia="zh-CN"/>
              </w:rPr>
              <w:t>12</w:t>
            </w:r>
            <w:r>
              <w:rPr>
                <w:rFonts w:hint="eastAsia" w:ascii="宋体" w:hAnsi="宋体"/>
                <w:color w:val="auto"/>
                <w:highlight w:val="none"/>
              </w:rPr>
              <w:t>月</w:t>
            </w:r>
            <w:r>
              <w:rPr>
                <w:rFonts w:hint="eastAsia" w:ascii="宋体" w:hAnsi="宋体"/>
                <w:color w:val="auto"/>
                <w:highlight w:val="none"/>
                <w:lang w:val="en-US" w:eastAsia="zh-CN"/>
              </w:rPr>
              <w:t>6</w:t>
            </w:r>
            <w:r>
              <w:rPr>
                <w:rFonts w:hint="eastAsia" w:ascii="宋体" w:hAnsi="宋体"/>
                <w:color w:val="auto"/>
                <w:highlight w:val="none"/>
              </w:rPr>
              <w:t>日前。比选申请人不在规定期限内提出，比选人有权不予答复，或答复后比选申请截止时间由比选人确定是否顺延。</w:t>
            </w:r>
          </w:p>
          <w:p>
            <w:pPr>
              <w:spacing w:before="0" w:after="0" w:afterAutospacing="0"/>
              <w:ind w:left="0" w:right="0" w:firstLine="0"/>
              <w:rPr>
                <w:rFonts w:ascii="宋体" w:hAnsi="宋体"/>
                <w:color w:val="auto"/>
                <w:highlight w:val="none"/>
                <w:u w:val="single"/>
              </w:rPr>
            </w:pPr>
            <w:r>
              <w:rPr>
                <w:rFonts w:hint="eastAsia" w:ascii="宋体" w:hAnsi="宋体"/>
                <w:color w:val="auto"/>
                <w:highlight w:val="none"/>
              </w:rPr>
              <w:t>形式：书面为准（加盖法人单位公章，电子扫描件有效）</w:t>
            </w:r>
          </w:p>
        </w:tc>
      </w:tr>
      <w:tr>
        <w:tblPrEx>
          <w:tblCellMar>
            <w:top w:w="0" w:type="dxa"/>
            <w:left w:w="108" w:type="dxa"/>
            <w:bottom w:w="0" w:type="dxa"/>
            <w:right w:w="108" w:type="dxa"/>
          </w:tblCellMar>
        </w:tblPrEx>
        <w:trPr>
          <w:trHeight w:val="241"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比选文件澄清发布方式</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left"/>
              <w:rPr>
                <w:rFonts w:ascii="宋体" w:hAnsi="宋体"/>
                <w:color w:val="auto"/>
                <w:highlight w:val="none"/>
              </w:rPr>
            </w:pPr>
            <w:r>
              <w:rPr>
                <w:rFonts w:hint="eastAsia" w:ascii="宋体" w:hAnsi="宋体"/>
                <w:color w:val="auto"/>
                <w:kern w:val="2"/>
                <w:highlight w:val="none"/>
              </w:rPr>
              <w:t>南宁轨道交通集团有限责任公司官网(http://www.nngdjt.com</w:t>
            </w:r>
            <w:r>
              <w:rPr>
                <w:rFonts w:hint="eastAsia" w:ascii="宋体" w:hAnsi="宋体"/>
                <w:color w:val="auto"/>
                <w:highlight w:val="none"/>
              </w:rPr>
              <w:t>)、中国e车网(http://www.ecrrc.com)</w:t>
            </w:r>
          </w:p>
        </w:tc>
      </w:tr>
      <w:tr>
        <w:tblPrEx>
          <w:tblCellMar>
            <w:top w:w="0" w:type="dxa"/>
            <w:left w:w="108" w:type="dxa"/>
            <w:bottom w:w="0" w:type="dxa"/>
            <w:right w:w="108" w:type="dxa"/>
          </w:tblCellMar>
        </w:tblPrEx>
        <w:trPr>
          <w:trHeight w:val="241"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比选申请人确认收到澄清的方式</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不需要确认。澄清文件在发布公告的网站上发布之日起，视为比选申请人已收到该澄清。比选申请人未及时关注比选人在网站上发布的澄清文件造成的损失，由比选申请人自行负责。</w:t>
            </w:r>
          </w:p>
        </w:tc>
      </w:tr>
      <w:tr>
        <w:tblPrEx>
          <w:tblCellMar>
            <w:top w:w="0" w:type="dxa"/>
            <w:left w:w="108" w:type="dxa"/>
            <w:bottom w:w="0" w:type="dxa"/>
            <w:right w:w="108" w:type="dxa"/>
          </w:tblCellMar>
        </w:tblPrEx>
        <w:trPr>
          <w:trHeight w:val="1378"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10.1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构成比选申请文件的组成</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highlight w:val="none"/>
              </w:rPr>
            </w:pPr>
            <w:r>
              <w:rPr>
                <w:rFonts w:hint="eastAsia"/>
                <w:highlight w:val="none"/>
              </w:rPr>
              <w:t>比选申请文件组成部分：资格审查文件、价格文件、技术文件</w:t>
            </w:r>
          </w:p>
          <w:p>
            <w:pPr>
              <w:spacing w:before="0" w:after="0" w:afterAutospacing="0" w:line="276" w:lineRule="auto"/>
              <w:ind w:left="0" w:right="0" w:firstLine="0"/>
              <w:rPr>
                <w:highlight w:val="none"/>
              </w:rPr>
            </w:pPr>
            <w:r>
              <w:rPr>
                <w:rFonts w:hint="eastAsia"/>
                <w:highlight w:val="none"/>
              </w:rPr>
              <w:t>资格审查文件</w:t>
            </w:r>
          </w:p>
          <w:p>
            <w:pPr>
              <w:spacing w:before="0" w:after="0" w:afterAutospacing="0" w:line="276" w:lineRule="auto"/>
              <w:ind w:left="0" w:right="0" w:firstLine="0"/>
              <w:rPr>
                <w:highlight w:val="none"/>
              </w:rPr>
            </w:pPr>
            <w:r>
              <w:rPr>
                <w:rFonts w:hint="eastAsia"/>
                <w:highlight w:val="none"/>
              </w:rPr>
              <w:t>（</w:t>
            </w:r>
            <w:r>
              <w:rPr>
                <w:highlight w:val="none"/>
              </w:rPr>
              <w:t>1</w:t>
            </w:r>
            <w:r>
              <w:rPr>
                <w:rFonts w:hint="eastAsia"/>
                <w:highlight w:val="none"/>
              </w:rPr>
              <w:t>）法定代表人授权书（格式见A1）及法定代表人资格证明书（如无授权时，只需提供法定代表人资格证明书，格式见A2），法定代表人及被授权人身份证复印件；</w:t>
            </w:r>
          </w:p>
          <w:p>
            <w:pPr>
              <w:spacing w:before="0" w:after="0" w:afterAutospacing="0" w:line="276" w:lineRule="auto"/>
              <w:ind w:left="0" w:right="0" w:firstLine="0"/>
              <w:rPr>
                <w:highlight w:val="none"/>
              </w:rPr>
            </w:pPr>
            <w:r>
              <w:rPr>
                <w:rFonts w:hint="eastAsia"/>
                <w:highlight w:val="none"/>
              </w:rPr>
              <w:t>（2）比选申请人有效的营业执照副本复印件或事业单位法人证书复印件等证明文件；</w:t>
            </w:r>
          </w:p>
          <w:p>
            <w:pPr>
              <w:spacing w:before="0" w:after="0" w:afterAutospacing="0" w:line="276" w:lineRule="auto"/>
              <w:ind w:left="0" w:right="0" w:firstLine="0"/>
              <w:rPr>
                <w:color w:val="auto"/>
                <w:highlight w:val="none"/>
              </w:rPr>
            </w:pPr>
            <w:r>
              <w:rPr>
                <w:rFonts w:hint="eastAsia"/>
                <w:color w:val="auto"/>
                <w:highlight w:val="none"/>
              </w:rPr>
              <w:t>（3）承诺书（格式见A3）；</w:t>
            </w:r>
          </w:p>
          <w:p>
            <w:pPr>
              <w:spacing w:before="0" w:after="0" w:afterAutospacing="0"/>
              <w:ind w:left="0" w:right="0" w:firstLine="0"/>
              <w:rPr>
                <w:rFonts w:ascii="宋体" w:hAnsi="宋体"/>
                <w:color w:val="auto"/>
                <w:highlight w:val="none"/>
              </w:rPr>
            </w:pPr>
            <w:r>
              <w:rPr>
                <w:rFonts w:hint="eastAsia" w:ascii="宋体" w:hAnsi="宋体"/>
                <w:color w:val="auto"/>
                <w:highlight w:val="none"/>
              </w:rPr>
              <w:t>（4）</w:t>
            </w:r>
            <w:r>
              <w:rPr>
                <w:rFonts w:hint="eastAsia" w:hAnsi="宋体"/>
                <w:color w:val="auto"/>
                <w:highlight w:val="none"/>
              </w:rPr>
              <w:t>类似项目业绩表（A4）</w:t>
            </w:r>
            <w:r>
              <w:rPr>
                <w:rFonts w:hint="eastAsia"/>
                <w:color w:val="auto"/>
                <w:highlight w:val="none"/>
              </w:rPr>
              <w:t>[</w:t>
            </w:r>
            <w:r>
              <w:rPr>
                <w:rFonts w:hint="eastAsia" w:ascii="宋体" w:hAnsi="宋体"/>
                <w:color w:val="auto"/>
                <w:highlight w:val="none"/>
              </w:rPr>
              <w:t>比选申请人业绩[比选申请人自2017年1月1日（备注：近5年）至比选申请截止时间前至少承接过1项合同金额不少于10万元的生活给水设备安装项目或参与</w:t>
            </w:r>
            <w:r>
              <w:rPr>
                <w:rFonts w:hint="eastAsia" w:ascii="宋体" w:hAnsi="宋体"/>
                <w:color w:val="auto"/>
                <w:highlight w:val="none"/>
                <w:lang w:eastAsia="zh-CN"/>
              </w:rPr>
              <w:t>1项轨道交通（车站数量不少于10座或者线路长度不少于12公里）综合机电设备（至少包含给排水专业）维修保养项目业绩</w:t>
            </w:r>
            <w:r>
              <w:rPr>
                <w:rFonts w:hint="eastAsia" w:ascii="宋体" w:hAnsi="宋体"/>
                <w:color w:val="auto"/>
                <w:highlight w:val="none"/>
              </w:rPr>
              <w:t>。业绩证明文件：合同或业主证明，合同或业主证明文件中须体现出合同双方、合同签订时间、合同服务、承接线路车站座数或线路长度等内容，否则视为无效证明文件。上述业绩可以是投标人自身的，也可以是其母公司的业绩，若为其母公司业绩时，须提供其母公司全额出资的证明材料，证明材料是指《国家企业信用信息公示系统》截图或公司章程关键页，同时按格式提供《业绩承诺函》，否则不予认可。不接受分包或转包的合同业绩。]；</w:t>
            </w:r>
          </w:p>
          <w:p>
            <w:pPr>
              <w:spacing w:before="0" w:after="0" w:afterAutospacing="0" w:line="276" w:lineRule="auto"/>
              <w:ind w:left="0" w:right="0" w:firstLine="0"/>
              <w:rPr>
                <w:highlight w:val="none"/>
              </w:rPr>
            </w:pPr>
            <w:r>
              <w:rPr>
                <w:rFonts w:hint="eastAsia" w:ascii="宋体" w:hAnsi="宋体"/>
                <w:color w:val="auto"/>
                <w:highlight w:val="none"/>
              </w:rPr>
              <w:t>（</w:t>
            </w:r>
            <w:r>
              <w:rPr>
                <w:rFonts w:hint="eastAsia" w:ascii="宋体" w:hAnsi="宋体"/>
                <w:color w:val="auto"/>
                <w:highlight w:val="none"/>
                <w:lang w:val="en-US" w:eastAsia="zh-CN"/>
              </w:rPr>
              <w:t>5</w:t>
            </w:r>
            <w:r>
              <w:rPr>
                <w:rFonts w:hint="eastAsia" w:ascii="宋体" w:hAnsi="宋体"/>
                <w:color w:val="auto"/>
                <w:highlight w:val="none"/>
              </w:rPr>
              <w:t>）</w:t>
            </w:r>
            <w:r>
              <w:rPr>
                <w:rFonts w:hint="eastAsia"/>
                <w:color w:val="auto"/>
                <w:highlight w:val="none"/>
              </w:rPr>
              <w:t>比选申请人认为应提交的其他</w:t>
            </w:r>
            <w:r>
              <w:rPr>
                <w:rFonts w:hint="eastAsia"/>
                <w:highlight w:val="none"/>
              </w:rPr>
              <w:t>比选申请资料（如有）。</w:t>
            </w:r>
          </w:p>
          <w:p>
            <w:pPr>
              <w:spacing w:before="0" w:after="0" w:afterAutospacing="0" w:line="276" w:lineRule="auto"/>
              <w:ind w:left="0" w:right="0" w:firstLine="0"/>
              <w:rPr>
                <w:b/>
                <w:bCs/>
                <w:highlight w:val="none"/>
              </w:rPr>
            </w:pPr>
            <w:r>
              <w:rPr>
                <w:rFonts w:hint="eastAsia"/>
                <w:b/>
                <w:bCs/>
                <w:highlight w:val="none"/>
              </w:rPr>
              <w:t>价格文件</w:t>
            </w:r>
          </w:p>
          <w:p>
            <w:pPr>
              <w:spacing w:before="0" w:after="0" w:afterAutospacing="0" w:line="276" w:lineRule="auto"/>
              <w:ind w:left="0" w:right="0" w:firstLine="0"/>
              <w:rPr>
                <w:highlight w:val="none"/>
              </w:rPr>
            </w:pPr>
            <w:r>
              <w:rPr>
                <w:rFonts w:hint="eastAsia" w:ascii="宋体" w:hAnsi="宋体"/>
                <w:highlight w:val="none"/>
              </w:rPr>
              <w:t>（1）</w:t>
            </w:r>
            <w:r>
              <w:rPr>
                <w:rFonts w:hint="eastAsia"/>
                <w:highlight w:val="none"/>
              </w:rPr>
              <w:t>比选申请报价一览表（格式见B1）；</w:t>
            </w:r>
          </w:p>
          <w:p>
            <w:pPr>
              <w:spacing w:before="0" w:after="0" w:afterAutospacing="0" w:line="276" w:lineRule="auto"/>
              <w:ind w:left="0" w:right="0" w:firstLine="0"/>
              <w:rPr>
                <w:highlight w:val="none"/>
              </w:rPr>
            </w:pPr>
            <w:r>
              <w:rPr>
                <w:rFonts w:hint="eastAsia" w:ascii="宋体" w:hAnsi="宋体"/>
                <w:highlight w:val="none"/>
              </w:rPr>
              <w:t>（2）</w:t>
            </w:r>
            <w:r>
              <w:rPr>
                <w:rFonts w:hint="eastAsia"/>
                <w:highlight w:val="none"/>
              </w:rPr>
              <w:t>比选申请函（格式见B2）；</w:t>
            </w:r>
          </w:p>
          <w:p>
            <w:pPr>
              <w:spacing w:before="0" w:after="0" w:afterAutospacing="0" w:line="276" w:lineRule="auto"/>
              <w:ind w:left="0" w:right="0" w:firstLine="0"/>
              <w:rPr>
                <w:highlight w:val="none"/>
              </w:rPr>
            </w:pPr>
            <w:r>
              <w:rPr>
                <w:rFonts w:hint="eastAsia" w:ascii="宋体" w:hAnsi="宋体"/>
                <w:highlight w:val="none"/>
              </w:rPr>
              <w:t>（3）</w:t>
            </w:r>
            <w:r>
              <w:rPr>
                <w:rFonts w:hint="eastAsia"/>
                <w:highlight w:val="none"/>
              </w:rPr>
              <w:t>比选申请报价表（格式见B3）；</w:t>
            </w:r>
          </w:p>
          <w:p>
            <w:pPr>
              <w:spacing w:before="0" w:after="0" w:afterAutospacing="0"/>
              <w:ind w:left="0" w:right="0" w:firstLine="0"/>
              <w:rPr>
                <w:highlight w:val="none"/>
              </w:rPr>
            </w:pPr>
            <w:r>
              <w:rPr>
                <w:rFonts w:hint="eastAsia" w:ascii="宋体" w:hAnsi="宋体"/>
                <w:highlight w:val="none"/>
              </w:rPr>
              <w:t>（4）</w:t>
            </w:r>
            <w:r>
              <w:rPr>
                <w:rFonts w:hint="eastAsia"/>
                <w:highlight w:val="none"/>
              </w:rPr>
              <w:t>比选申请人认为应提交的其他比选申请资料（如有）。</w:t>
            </w:r>
          </w:p>
          <w:p>
            <w:pPr>
              <w:spacing w:before="0" w:after="0" w:afterAutospacing="0" w:line="276" w:lineRule="auto"/>
              <w:ind w:left="0" w:right="0" w:firstLine="0"/>
              <w:rPr>
                <w:b/>
                <w:bCs/>
                <w:highlight w:val="none"/>
              </w:rPr>
            </w:pPr>
            <w:r>
              <w:rPr>
                <w:rFonts w:hint="eastAsia"/>
                <w:b/>
                <w:bCs/>
                <w:highlight w:val="none"/>
              </w:rPr>
              <w:t>技术文件</w:t>
            </w:r>
          </w:p>
          <w:p>
            <w:pPr>
              <w:numPr>
                <w:ilvl w:val="255"/>
                <w:numId w:val="0"/>
              </w:numPr>
              <w:spacing w:before="0" w:after="0" w:afterAutospacing="0" w:line="276" w:lineRule="auto"/>
              <w:ind w:right="0"/>
              <w:rPr>
                <w:highlight w:val="none"/>
              </w:rPr>
            </w:pPr>
            <w:r>
              <w:rPr>
                <w:rFonts w:hint="eastAsia" w:ascii="宋体" w:hAnsi="宋体"/>
                <w:highlight w:val="none"/>
              </w:rPr>
              <w:t>（1）</w:t>
            </w:r>
            <w:r>
              <w:rPr>
                <w:rFonts w:hint="eastAsia"/>
                <w:highlight w:val="none"/>
              </w:rPr>
              <w:t>施工方案；</w:t>
            </w:r>
          </w:p>
          <w:p>
            <w:pPr>
              <w:spacing w:before="0" w:after="0" w:afterAutospacing="0" w:line="276" w:lineRule="auto"/>
              <w:ind w:left="0" w:right="0" w:firstLine="0"/>
              <w:rPr>
                <w:highlight w:val="none"/>
              </w:rPr>
            </w:pPr>
            <w:r>
              <w:rPr>
                <w:rFonts w:hint="eastAsia" w:ascii="宋体" w:hAnsi="宋体"/>
                <w:highlight w:val="none"/>
              </w:rPr>
              <w:t>（2）</w:t>
            </w:r>
            <w:r>
              <w:rPr>
                <w:rFonts w:hint="eastAsia"/>
                <w:highlight w:val="none"/>
              </w:rPr>
              <w:t>质保方案（如何进行</w:t>
            </w:r>
            <w:r>
              <w:rPr>
                <w:highlight w:val="none"/>
              </w:rPr>
              <w:t>质保服务</w:t>
            </w:r>
            <w:r>
              <w:rPr>
                <w:rFonts w:hint="eastAsia"/>
                <w:highlight w:val="none"/>
              </w:rPr>
              <w:t>保障等）；</w:t>
            </w:r>
          </w:p>
          <w:p>
            <w:pPr>
              <w:spacing w:before="0" w:after="0" w:afterAutospacing="0" w:line="276" w:lineRule="auto"/>
              <w:ind w:left="0" w:right="0" w:firstLine="0"/>
              <w:rPr>
                <w:highlight w:val="none"/>
              </w:rPr>
            </w:pPr>
            <w:r>
              <w:rPr>
                <w:rFonts w:hint="eastAsia"/>
                <w:highlight w:val="none"/>
              </w:rPr>
              <w:t>（3）技术需求偏离表（格式见C1）；</w:t>
            </w:r>
          </w:p>
          <w:p>
            <w:pPr>
              <w:spacing w:before="0" w:after="0" w:afterAutospacing="0" w:line="276" w:lineRule="auto"/>
              <w:ind w:left="0" w:right="0" w:firstLine="0"/>
              <w:rPr>
                <w:highlight w:val="none"/>
              </w:rPr>
            </w:pPr>
            <w:r>
              <w:rPr>
                <w:rFonts w:hint="eastAsia"/>
                <w:highlight w:val="none"/>
              </w:rPr>
              <w:t>（4）商务响应表（格式见C2）；</w:t>
            </w:r>
          </w:p>
          <w:p>
            <w:pPr>
              <w:spacing w:before="0" w:after="0" w:afterAutospacing="0"/>
              <w:ind w:left="0" w:right="0" w:firstLine="0"/>
              <w:rPr>
                <w:highlight w:val="none"/>
              </w:rPr>
            </w:pPr>
            <w:r>
              <w:rPr>
                <w:rFonts w:hint="eastAsia"/>
                <w:highlight w:val="none"/>
              </w:rPr>
              <w:t>（5）比选申请人认为应提交的其他比选申请资料（如有）。</w:t>
            </w:r>
          </w:p>
        </w:tc>
      </w:tr>
      <w:tr>
        <w:tblPrEx>
          <w:tblCellMar>
            <w:top w:w="0" w:type="dxa"/>
            <w:left w:w="108" w:type="dxa"/>
            <w:bottom w:w="0" w:type="dxa"/>
            <w:right w:w="108" w:type="dxa"/>
          </w:tblCellMar>
        </w:tblPrEx>
        <w:trPr>
          <w:trHeight w:val="1113"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12.1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比选申请报价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w:t>
            </w:r>
            <w:r>
              <w:rPr>
                <w:rFonts w:ascii="宋体" w:hAnsi="宋体"/>
                <w:highlight w:val="none"/>
              </w:rPr>
              <w:t>1</w:t>
            </w:r>
            <w:r>
              <w:rPr>
                <w:rFonts w:hint="eastAsia" w:ascii="宋体" w:hAnsi="宋体"/>
                <w:highlight w:val="none"/>
              </w:rPr>
              <w:t>）</w:t>
            </w:r>
            <w:r>
              <w:rPr>
                <w:rFonts w:ascii="宋体" w:hAnsi="宋体"/>
                <w:b/>
                <w:highlight w:val="none"/>
              </w:rPr>
              <w:t>本项目采用</w:t>
            </w:r>
            <w:r>
              <w:rPr>
                <w:rFonts w:hint="eastAsia" w:ascii="宋体" w:hAnsi="宋体"/>
                <w:b/>
                <w:highlight w:val="none"/>
              </w:rPr>
              <w:t>不</w:t>
            </w:r>
            <w:r>
              <w:rPr>
                <w:rFonts w:ascii="宋体" w:hAnsi="宋体"/>
                <w:b/>
                <w:highlight w:val="none"/>
              </w:rPr>
              <w:t>含税报价，</w:t>
            </w:r>
            <w:r>
              <w:rPr>
                <w:rFonts w:hint="eastAsia" w:ascii="宋体" w:hAnsi="宋体"/>
                <w:b/>
                <w:highlight w:val="none"/>
              </w:rPr>
              <w:t>在签订本项目合同时，遵循国家现行税法的相关规定在中标人不含税单价和合价的基础上逐项增加税费，并明确相应税率和税金。含税价格计算保留小数点后两位，含税合价为含税单价与数量的乘积，项目总价为分项合价之和。本合同最终税金在结算阶段，按实际产生的税金进行核算，但合同不含税价格不因国家税率调整而调整。</w:t>
            </w:r>
          </w:p>
          <w:p>
            <w:pPr>
              <w:spacing w:before="0" w:after="0" w:afterAutospacing="0"/>
              <w:ind w:left="0" w:right="0" w:firstLine="0"/>
              <w:rPr>
                <w:rFonts w:ascii="宋体" w:hAnsi="宋体"/>
                <w:highlight w:val="none"/>
              </w:rPr>
            </w:pPr>
            <w:r>
              <w:rPr>
                <w:rFonts w:hint="eastAsia" w:ascii="宋体" w:hAnsi="宋体"/>
                <w:highlight w:val="none"/>
              </w:rPr>
              <w:t>（</w:t>
            </w:r>
            <w:r>
              <w:rPr>
                <w:rFonts w:ascii="宋体" w:hAnsi="宋体"/>
                <w:highlight w:val="none"/>
              </w:rPr>
              <w:t>2</w:t>
            </w:r>
            <w:r>
              <w:rPr>
                <w:rFonts w:hint="eastAsia" w:ascii="宋体" w:hAnsi="宋体"/>
                <w:highlight w:val="none"/>
              </w:rPr>
              <w:t>）比选申请人须按第五章《用户需求书》中的技术需求及工程量清单的顺序填报比选申请报价表，不允许打乱顺序。</w:t>
            </w:r>
          </w:p>
        </w:tc>
      </w:tr>
      <w:tr>
        <w:tblPrEx>
          <w:tblCellMar>
            <w:top w:w="0" w:type="dxa"/>
            <w:left w:w="108" w:type="dxa"/>
            <w:bottom w:w="0" w:type="dxa"/>
            <w:right w:w="108" w:type="dxa"/>
          </w:tblCellMar>
        </w:tblPrEx>
        <w:trPr>
          <w:trHeight w:val="549"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14</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比选申请保证金</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不要求递交比选申请保证金</w:t>
            </w:r>
          </w:p>
        </w:tc>
      </w:tr>
      <w:tr>
        <w:tblPrEx>
          <w:tblCellMar>
            <w:top w:w="0" w:type="dxa"/>
            <w:left w:w="108" w:type="dxa"/>
            <w:bottom w:w="0" w:type="dxa"/>
            <w:right w:w="108" w:type="dxa"/>
          </w:tblCellMar>
        </w:tblPrEx>
        <w:trPr>
          <w:trHeight w:val="551" w:hRule="atLeast"/>
        </w:trPr>
        <w:tc>
          <w:tcPr>
            <w:tcW w:w="847" w:type="dxa"/>
            <w:tcBorders>
              <w:top w:val="single" w:color="auto" w:sz="4" w:space="0"/>
              <w:left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15.1</w:t>
            </w:r>
          </w:p>
        </w:tc>
        <w:tc>
          <w:tcPr>
            <w:tcW w:w="1843" w:type="dxa"/>
            <w:tcBorders>
              <w:top w:val="single" w:color="auto" w:sz="4" w:space="0"/>
              <w:left w:val="nil"/>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比选申请有效期</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自比选申请截止时间起90天</w:t>
            </w:r>
          </w:p>
        </w:tc>
      </w:tr>
      <w:tr>
        <w:tblPrEx>
          <w:tblCellMar>
            <w:top w:w="0" w:type="dxa"/>
            <w:left w:w="108" w:type="dxa"/>
            <w:bottom w:w="0" w:type="dxa"/>
            <w:right w:w="108" w:type="dxa"/>
          </w:tblCellMar>
        </w:tblPrEx>
        <w:trPr>
          <w:trHeight w:val="241"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16.1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比选申请文件副本份数</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正本1份，副本4份。</w:t>
            </w:r>
          </w:p>
        </w:tc>
      </w:tr>
      <w:tr>
        <w:tblPrEx>
          <w:tblCellMar>
            <w:top w:w="0" w:type="dxa"/>
            <w:left w:w="108" w:type="dxa"/>
            <w:bottom w:w="0" w:type="dxa"/>
            <w:right w:w="108" w:type="dxa"/>
          </w:tblCellMar>
        </w:tblPrEx>
        <w:trPr>
          <w:trHeight w:val="140" w:hRule="atLeast"/>
        </w:trPr>
        <w:tc>
          <w:tcPr>
            <w:tcW w:w="847" w:type="dxa"/>
            <w:vMerge w:val="restart"/>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28.1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比选申请截止时间</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630" w:firstLineChars="300"/>
              <w:rPr>
                <w:rFonts w:ascii="宋体" w:hAnsi="宋体"/>
                <w:highlight w:val="none"/>
              </w:rPr>
            </w:pPr>
            <w:bookmarkStart w:id="53" w:name="CgwjmbEntity：KBSJ3_0"/>
            <w:r>
              <w:rPr>
                <w:rFonts w:hint="eastAsia" w:ascii="宋体" w:hAnsi="宋体"/>
                <w:highlight w:val="none"/>
                <w:lang w:val="en-US" w:eastAsia="zh-CN"/>
              </w:rPr>
              <w:t>2022</w:t>
            </w:r>
            <w:r>
              <w:rPr>
                <w:rFonts w:hint="eastAsia" w:ascii="宋体" w:hAnsi="宋体"/>
                <w:highlight w:val="none"/>
              </w:rPr>
              <w:t>年</w:t>
            </w:r>
            <w:bookmarkEnd w:id="53"/>
            <w:r>
              <w:rPr>
                <w:rFonts w:hint="eastAsia" w:ascii="宋体" w:hAnsi="宋体"/>
                <w:highlight w:val="none"/>
                <w:lang w:val="en-US" w:eastAsia="zh-CN"/>
              </w:rPr>
              <w:t>12</w:t>
            </w:r>
            <w:r>
              <w:rPr>
                <w:rFonts w:hint="eastAsia" w:ascii="宋体" w:hAnsi="宋体"/>
                <w:highlight w:val="none"/>
              </w:rPr>
              <w:t>月</w:t>
            </w:r>
            <w:r>
              <w:rPr>
                <w:rFonts w:hint="eastAsia" w:ascii="宋体" w:hAnsi="宋体"/>
                <w:highlight w:val="none"/>
                <w:lang w:val="en-US" w:eastAsia="zh-CN"/>
              </w:rPr>
              <w:t>14</w:t>
            </w:r>
            <w:r>
              <w:rPr>
                <w:rFonts w:hint="eastAsia" w:ascii="宋体" w:hAnsi="宋体"/>
                <w:highlight w:val="none"/>
              </w:rPr>
              <w:t>日</w:t>
            </w:r>
            <w:r>
              <w:rPr>
                <w:rFonts w:hint="eastAsia" w:ascii="宋体" w:hAnsi="宋体"/>
                <w:highlight w:val="none"/>
                <w:lang w:val="en-US" w:eastAsia="zh-CN"/>
              </w:rPr>
              <w:t>9</w:t>
            </w:r>
            <w:r>
              <w:rPr>
                <w:rFonts w:hint="eastAsia" w:ascii="宋体" w:hAnsi="宋体"/>
                <w:highlight w:val="none"/>
              </w:rPr>
              <w:t>时</w:t>
            </w:r>
            <w:r>
              <w:rPr>
                <w:rFonts w:hint="eastAsia" w:ascii="宋体" w:hAnsi="宋体"/>
                <w:highlight w:val="none"/>
                <w:lang w:val="en-US" w:eastAsia="zh-CN"/>
              </w:rPr>
              <w:t>00</w:t>
            </w:r>
            <w:r>
              <w:rPr>
                <w:rFonts w:hint="eastAsia" w:ascii="宋体" w:hAnsi="宋体"/>
                <w:highlight w:val="none"/>
              </w:rPr>
              <w:t>分</w:t>
            </w:r>
          </w:p>
        </w:tc>
      </w:tr>
      <w:tr>
        <w:tblPrEx>
          <w:tblCellMar>
            <w:top w:w="0" w:type="dxa"/>
            <w:left w:w="108" w:type="dxa"/>
            <w:bottom w:w="0" w:type="dxa"/>
            <w:right w:w="108" w:type="dxa"/>
          </w:tblCellMar>
        </w:tblPrEx>
        <w:trPr>
          <w:trHeight w:val="797"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递交比选申请文件地点</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单位：南宁轨道交通运营有限公司</w:t>
            </w:r>
          </w:p>
          <w:p>
            <w:pPr>
              <w:spacing w:before="0" w:after="0" w:afterAutospacing="0"/>
              <w:ind w:left="0" w:right="0" w:firstLine="0"/>
              <w:rPr>
                <w:rFonts w:ascii="宋体" w:hAnsi="宋体"/>
                <w:color w:val="auto"/>
                <w:highlight w:val="none"/>
                <w:u w:val="single"/>
              </w:rPr>
            </w:pPr>
            <w:r>
              <w:rPr>
                <w:rFonts w:hint="eastAsia" w:ascii="宋体" w:hAnsi="宋体"/>
                <w:color w:val="auto"/>
                <w:highlight w:val="none"/>
              </w:rPr>
              <w:t>地址：</w:t>
            </w:r>
            <w:r>
              <w:rPr>
                <w:rFonts w:ascii="宋体" w:hAnsi="宋体"/>
                <w:color w:val="auto"/>
                <w:highlight w:val="none"/>
              </w:rPr>
              <w:t>南宁市青秀区云景路</w:t>
            </w:r>
            <w:r>
              <w:rPr>
                <w:rFonts w:hint="eastAsia" w:ascii="宋体" w:hAnsi="宋体"/>
                <w:color w:val="auto"/>
                <w:highlight w:val="none"/>
              </w:rPr>
              <w:t>83号</w:t>
            </w:r>
            <w:r>
              <w:rPr>
                <w:rFonts w:hint="eastAsia" w:ascii="宋体" w:hAnsi="宋体"/>
                <w:color w:val="auto"/>
                <w:highlight w:val="none"/>
                <w:u w:val="none"/>
              </w:rPr>
              <w:t>屯里车辆段</w:t>
            </w:r>
            <w:r>
              <w:rPr>
                <w:rFonts w:hint="eastAsia" w:ascii="宋体" w:hAnsi="宋体"/>
                <w:color w:val="auto"/>
                <w:highlight w:val="none"/>
                <w:u w:val="single"/>
                <w:lang w:val="en-US" w:eastAsia="zh-CN"/>
              </w:rPr>
              <w:t>综合楼205</w:t>
            </w:r>
            <w:r>
              <w:rPr>
                <w:rFonts w:hint="eastAsia" w:ascii="宋体" w:hAnsi="宋体"/>
                <w:color w:val="auto"/>
                <w:highlight w:val="none"/>
                <w:u w:val="none"/>
              </w:rPr>
              <w:t xml:space="preserve">室 </w:t>
            </w:r>
          </w:p>
          <w:p>
            <w:pPr>
              <w:spacing w:before="0" w:after="0" w:afterAutospacing="0"/>
              <w:ind w:right="0"/>
              <w:rPr>
                <w:rFonts w:ascii="宋体" w:hAnsi="宋体"/>
                <w:color w:val="auto"/>
                <w:highlight w:val="none"/>
                <w:u w:val="single"/>
              </w:rPr>
            </w:pPr>
            <w:r>
              <w:rPr>
                <w:rFonts w:hint="eastAsia" w:ascii="宋体" w:hAnsi="宋体"/>
                <w:color w:val="auto"/>
                <w:highlight w:val="none"/>
              </w:rPr>
              <w:t>递交现场联系人：李工17776655479；</w:t>
            </w:r>
            <w:bookmarkStart w:id="1697" w:name="_GoBack"/>
            <w:bookmarkEnd w:id="1697"/>
          </w:p>
        </w:tc>
      </w:tr>
      <w:tr>
        <w:tblPrEx>
          <w:tblCellMar>
            <w:top w:w="0" w:type="dxa"/>
            <w:left w:w="108" w:type="dxa"/>
            <w:bottom w:w="0" w:type="dxa"/>
            <w:right w:w="108" w:type="dxa"/>
          </w:tblCellMar>
        </w:tblPrEx>
        <w:trPr>
          <w:trHeight w:val="242"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22</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评审方法</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综合评分法（评审价以不含税总报价为基准）</w:t>
            </w:r>
          </w:p>
        </w:tc>
      </w:tr>
      <w:tr>
        <w:tblPrEx>
          <w:tblCellMar>
            <w:top w:w="0" w:type="dxa"/>
            <w:left w:w="108" w:type="dxa"/>
            <w:bottom w:w="0" w:type="dxa"/>
            <w:right w:w="108" w:type="dxa"/>
          </w:tblCellMar>
        </w:tblPrEx>
        <w:trPr>
          <w:trHeight w:val="242"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34.4</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放弃中选人资格</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中选人如放弃中选资格，则纳入比选人的不良信用名单名库，并禁止1年内不得投属于比选人的项目。</w:t>
            </w:r>
          </w:p>
        </w:tc>
      </w:tr>
      <w:tr>
        <w:tblPrEx>
          <w:tblCellMar>
            <w:top w:w="0" w:type="dxa"/>
            <w:left w:w="108" w:type="dxa"/>
            <w:bottom w:w="0" w:type="dxa"/>
            <w:right w:w="108" w:type="dxa"/>
          </w:tblCellMar>
        </w:tblPrEx>
        <w:trPr>
          <w:trHeight w:val="39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36.1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履约担保</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无</w:t>
            </w:r>
          </w:p>
        </w:tc>
      </w:tr>
      <w:tr>
        <w:tblPrEx>
          <w:tblCellMar>
            <w:top w:w="0" w:type="dxa"/>
            <w:left w:w="108" w:type="dxa"/>
            <w:bottom w:w="0" w:type="dxa"/>
            <w:right w:w="108" w:type="dxa"/>
          </w:tblCellMar>
        </w:tblPrEx>
        <w:trPr>
          <w:trHeight w:val="242" w:hRule="atLeast"/>
        </w:trPr>
        <w:tc>
          <w:tcPr>
            <w:tcW w:w="847" w:type="dxa"/>
            <w:vMerge w:val="restart"/>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36.5</w:t>
            </w:r>
          </w:p>
        </w:tc>
        <w:tc>
          <w:tcPr>
            <w:tcW w:w="1843" w:type="dxa"/>
            <w:vMerge w:val="restart"/>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需要补充的其他内容</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1.比选申请人在递交比选申请文件时，同时递交比选申请文件电子版。</w:t>
            </w:r>
          </w:p>
          <w:p>
            <w:pPr>
              <w:spacing w:before="0" w:after="0" w:afterAutospacing="0"/>
              <w:ind w:left="0" w:right="0" w:firstLine="0"/>
              <w:rPr>
                <w:rFonts w:ascii="宋体" w:hAnsi="宋体"/>
                <w:highlight w:val="none"/>
              </w:rPr>
            </w:pPr>
            <w:r>
              <w:rPr>
                <w:rFonts w:hint="eastAsia" w:ascii="宋体" w:hAnsi="宋体"/>
                <w:highlight w:val="none"/>
              </w:rPr>
              <w:t>2.比选申请文件电子版内容：</w:t>
            </w:r>
            <w:r>
              <w:rPr>
                <w:rFonts w:hint="eastAsia" w:ascii="宋体" w:hAnsi="宋体" w:cs="Arial"/>
                <w:highlight w:val="none"/>
              </w:rPr>
              <w:t>资格审查文件、价格文件和技术文件</w:t>
            </w:r>
          </w:p>
          <w:p>
            <w:pPr>
              <w:spacing w:before="0" w:after="0" w:afterAutospacing="0"/>
              <w:ind w:left="0" w:right="0" w:firstLine="0"/>
              <w:rPr>
                <w:rFonts w:ascii="宋体" w:hAnsi="宋体"/>
                <w:highlight w:val="none"/>
              </w:rPr>
            </w:pPr>
            <w:r>
              <w:rPr>
                <w:rFonts w:ascii="宋体" w:hAnsi="宋体"/>
                <w:highlight w:val="none"/>
              </w:rPr>
              <w:t>3.</w:t>
            </w:r>
            <w:r>
              <w:rPr>
                <w:rFonts w:hint="eastAsia" w:ascii="宋体" w:hAnsi="宋体"/>
                <w:highlight w:val="none"/>
              </w:rPr>
              <w:t>比选申请文件电子版份数：1份。</w:t>
            </w:r>
          </w:p>
          <w:p>
            <w:pPr>
              <w:spacing w:before="0" w:after="0" w:afterAutospacing="0"/>
              <w:ind w:left="0" w:right="0" w:firstLine="0"/>
              <w:rPr>
                <w:rFonts w:ascii="宋体" w:hAnsi="宋体"/>
                <w:highlight w:val="none"/>
              </w:rPr>
            </w:pPr>
            <w:r>
              <w:rPr>
                <w:rFonts w:ascii="宋体" w:hAnsi="宋体"/>
                <w:highlight w:val="none"/>
              </w:rPr>
              <w:t>4.</w:t>
            </w:r>
            <w:r>
              <w:rPr>
                <w:rFonts w:hint="eastAsia" w:ascii="宋体" w:hAnsi="宋体"/>
                <w:color w:val="auto"/>
                <w:highlight w:val="none"/>
              </w:rPr>
              <w:t>比选申请文件电子版形式：每份包括</w:t>
            </w:r>
            <w:r>
              <w:rPr>
                <w:rFonts w:ascii="宋体" w:hAnsi="宋体"/>
                <w:color w:val="auto"/>
                <w:highlight w:val="none"/>
              </w:rPr>
              <w:t>office</w:t>
            </w:r>
            <w:r>
              <w:rPr>
                <w:rFonts w:hint="eastAsia" w:ascii="宋体" w:hAnsi="宋体"/>
                <w:color w:val="auto"/>
                <w:highlight w:val="none"/>
              </w:rPr>
              <w:t>版本（文本内容为</w:t>
            </w:r>
            <w:r>
              <w:rPr>
                <w:rFonts w:ascii="宋体" w:hAnsi="宋体"/>
                <w:color w:val="auto"/>
                <w:highlight w:val="none"/>
              </w:rPr>
              <w:t>Word</w:t>
            </w:r>
            <w:r>
              <w:rPr>
                <w:rFonts w:hint="eastAsia" w:ascii="宋体" w:hAnsi="宋体"/>
                <w:color w:val="auto"/>
                <w:highlight w:val="none"/>
              </w:rPr>
              <w:t>格式，项目工程量清单为</w:t>
            </w:r>
            <w:r>
              <w:rPr>
                <w:rFonts w:ascii="宋体" w:hAnsi="宋体"/>
                <w:color w:val="auto"/>
                <w:highlight w:val="none"/>
              </w:rPr>
              <w:t>w</w:t>
            </w:r>
            <w:r>
              <w:rPr>
                <w:rFonts w:ascii="宋体" w:hAnsi="宋体"/>
                <w:highlight w:val="none"/>
              </w:rPr>
              <w:t>ord</w:t>
            </w:r>
            <w:r>
              <w:rPr>
                <w:rFonts w:hint="eastAsia" w:ascii="宋体" w:hAnsi="宋体"/>
                <w:highlight w:val="none"/>
              </w:rPr>
              <w:t>或</w:t>
            </w:r>
            <w:r>
              <w:rPr>
                <w:rFonts w:ascii="宋体" w:hAnsi="宋体"/>
                <w:highlight w:val="none"/>
              </w:rPr>
              <w:t>Excel</w:t>
            </w:r>
            <w:r>
              <w:rPr>
                <w:rFonts w:hint="eastAsia" w:ascii="宋体" w:hAnsi="宋体"/>
                <w:highlight w:val="none"/>
              </w:rPr>
              <w:t>格式）的全套比选申请文件</w:t>
            </w:r>
            <w:r>
              <w:rPr>
                <w:rFonts w:ascii="宋体" w:hAnsi="宋体"/>
                <w:highlight w:val="none"/>
              </w:rPr>
              <w:t>(</w:t>
            </w:r>
            <w:r>
              <w:rPr>
                <w:rFonts w:hint="eastAsia" w:ascii="宋体" w:hAnsi="宋体" w:cs="Arial"/>
                <w:highlight w:val="none"/>
              </w:rPr>
              <w:t>资格审查文件、价格文件和技术文件</w:t>
            </w:r>
            <w:r>
              <w:rPr>
                <w:rFonts w:ascii="宋体" w:hAnsi="宋体"/>
                <w:highlight w:val="none"/>
              </w:rPr>
              <w:t>)</w:t>
            </w:r>
            <w:r>
              <w:rPr>
                <w:rFonts w:hint="eastAsia" w:ascii="宋体" w:hAnsi="宋体"/>
                <w:highlight w:val="none"/>
              </w:rPr>
              <w:t>和盖章后的全套比选申请文件</w:t>
            </w:r>
            <w:r>
              <w:rPr>
                <w:rFonts w:ascii="宋体" w:hAnsi="宋体"/>
                <w:highlight w:val="none"/>
              </w:rPr>
              <w:t>(</w:t>
            </w:r>
            <w:r>
              <w:rPr>
                <w:rFonts w:hint="eastAsia" w:ascii="宋体" w:hAnsi="宋体" w:cs="Arial"/>
                <w:highlight w:val="none"/>
              </w:rPr>
              <w:t>资格审查文件、价格文件和技术文件</w:t>
            </w:r>
            <w:r>
              <w:rPr>
                <w:rFonts w:ascii="宋体" w:hAnsi="宋体"/>
                <w:highlight w:val="none"/>
              </w:rPr>
              <w:t>)</w:t>
            </w:r>
            <w:r>
              <w:rPr>
                <w:rFonts w:hint="eastAsia" w:ascii="宋体" w:hAnsi="宋体"/>
                <w:highlight w:val="none"/>
              </w:rPr>
              <w:t>正本的</w:t>
            </w:r>
            <w:r>
              <w:rPr>
                <w:rFonts w:ascii="宋体" w:hAnsi="宋体"/>
                <w:highlight w:val="none"/>
              </w:rPr>
              <w:t>PDF</w:t>
            </w:r>
            <w:r>
              <w:rPr>
                <w:rFonts w:hint="eastAsia" w:ascii="宋体" w:hAnsi="宋体"/>
                <w:highlight w:val="none"/>
              </w:rPr>
              <w:t>版本扫描件。</w:t>
            </w:r>
          </w:p>
          <w:p>
            <w:pPr>
              <w:spacing w:before="0" w:after="0" w:afterAutospacing="0"/>
              <w:ind w:left="0" w:right="0" w:firstLine="0"/>
              <w:rPr>
                <w:rFonts w:ascii="宋体" w:hAnsi="宋体"/>
                <w:highlight w:val="none"/>
              </w:rPr>
            </w:pPr>
            <w:r>
              <w:rPr>
                <w:rFonts w:hint="eastAsia" w:ascii="宋体" w:hAnsi="宋体"/>
                <w:highlight w:val="none"/>
              </w:rPr>
              <w:t>保存介质：</w:t>
            </w:r>
            <w:r>
              <w:rPr>
                <w:rFonts w:ascii="宋体" w:hAnsi="宋体"/>
                <w:highlight w:val="none"/>
              </w:rPr>
              <w:t>U</w:t>
            </w:r>
            <w:r>
              <w:rPr>
                <w:rFonts w:hint="eastAsia" w:ascii="宋体" w:hAnsi="宋体"/>
                <w:highlight w:val="none"/>
              </w:rPr>
              <w:t>盘。</w:t>
            </w:r>
          </w:p>
          <w:p>
            <w:pPr>
              <w:spacing w:before="0" w:after="0" w:afterAutospacing="0"/>
              <w:ind w:left="0" w:right="0" w:firstLine="0"/>
              <w:rPr>
                <w:rFonts w:ascii="宋体" w:hAnsi="宋体"/>
                <w:highlight w:val="none"/>
              </w:rPr>
            </w:pPr>
            <w:r>
              <w:rPr>
                <w:rFonts w:ascii="宋体" w:hAnsi="宋体"/>
                <w:highlight w:val="none"/>
              </w:rPr>
              <w:t>5</w:t>
            </w:r>
            <w:r>
              <w:rPr>
                <w:rFonts w:hint="eastAsia" w:ascii="宋体" w:hAnsi="宋体"/>
                <w:highlight w:val="none"/>
              </w:rPr>
              <w:t>.</w:t>
            </w:r>
            <w:r>
              <w:rPr>
                <w:rFonts w:ascii="宋体" w:hAnsi="宋体"/>
                <w:highlight w:val="none"/>
              </w:rPr>
              <w:t>比选申请文件电子版密封方式：比选申请文件电子版与纸质版比选申请文件一并装入比选申请文件袋中。</w:t>
            </w:r>
          </w:p>
        </w:tc>
      </w:tr>
      <w:tr>
        <w:tblPrEx>
          <w:tblCellMar>
            <w:top w:w="0" w:type="dxa"/>
            <w:left w:w="108" w:type="dxa"/>
            <w:bottom w:w="0" w:type="dxa"/>
            <w:right w:w="108" w:type="dxa"/>
          </w:tblCellMar>
        </w:tblPrEx>
        <w:trPr>
          <w:trHeight w:val="242"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p>
        </w:tc>
        <w:tc>
          <w:tcPr>
            <w:tcW w:w="1843" w:type="dxa"/>
            <w:vMerge w:val="continue"/>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r>
              <w:rPr>
                <w:rFonts w:hint="eastAsia" w:ascii="宋体" w:hAnsi="宋体"/>
                <w:highlight w:val="none"/>
              </w:rPr>
              <w:t>1.本比选文件中描述比选申请人的</w:t>
            </w:r>
            <w:r>
              <w:rPr>
                <w:rFonts w:ascii="宋体" w:hAnsi="宋体"/>
                <w:highlight w:val="none"/>
              </w:rPr>
              <w:t>“</w:t>
            </w:r>
            <w:r>
              <w:rPr>
                <w:rFonts w:hint="eastAsia" w:ascii="宋体" w:hAnsi="宋体"/>
                <w:highlight w:val="none"/>
              </w:rPr>
              <w:t>公章</w:t>
            </w:r>
            <w:r>
              <w:rPr>
                <w:rFonts w:ascii="宋体" w:hAnsi="宋体"/>
                <w:highlight w:val="none"/>
              </w:rPr>
              <w:t>”</w:t>
            </w:r>
            <w:r>
              <w:rPr>
                <w:rFonts w:hint="eastAsia" w:ascii="宋体" w:hAnsi="宋体"/>
                <w:highlight w:val="none"/>
              </w:rPr>
              <w:t>是指根据我国对公章的管理规定，用比选申请人法定主体行为名称制作的印章，除本比选文件有特殊规定外，比选申请人的财务章、部门章、分公司章、工会章、合同章、比选申请专用章、业务专用章等其它形式印章均不能代替公章。</w:t>
            </w:r>
          </w:p>
          <w:p>
            <w:pPr>
              <w:spacing w:before="0" w:after="0" w:afterAutospacing="0"/>
              <w:ind w:left="0" w:right="0" w:firstLine="0"/>
              <w:rPr>
                <w:rFonts w:ascii="宋体" w:hAnsi="宋体"/>
                <w:highlight w:val="none"/>
              </w:rPr>
            </w:pPr>
            <w:r>
              <w:rPr>
                <w:rFonts w:hint="eastAsia" w:ascii="宋体" w:hAnsi="宋体"/>
                <w:highlight w:val="none"/>
              </w:rPr>
              <w:t>2.本比选文件中描述比选申请人的</w:t>
            </w:r>
            <w:r>
              <w:rPr>
                <w:rFonts w:ascii="宋体" w:hAnsi="宋体"/>
                <w:highlight w:val="none"/>
              </w:rPr>
              <w:t>“</w:t>
            </w:r>
            <w:r>
              <w:rPr>
                <w:rFonts w:hint="eastAsia" w:ascii="宋体" w:hAnsi="宋体"/>
                <w:highlight w:val="none"/>
              </w:rPr>
              <w:t>签字</w:t>
            </w:r>
            <w:r>
              <w:rPr>
                <w:rFonts w:ascii="宋体" w:hAnsi="宋体"/>
                <w:highlight w:val="none"/>
              </w:rPr>
              <w:t>”</w:t>
            </w:r>
            <w:r>
              <w:rPr>
                <w:rFonts w:hint="eastAsia" w:ascii="宋体" w:hAnsi="宋体"/>
                <w:highlight w:val="none"/>
              </w:rPr>
              <w:t>是指比选申请人的法定代表人或被授权人亲自在比选文件规定签署处亲笔写上个人的名字的行为，私章、签字章、印鉴、影印等其它形式均不能代替亲笔签字。</w:t>
            </w:r>
          </w:p>
        </w:tc>
      </w:tr>
      <w:tr>
        <w:tblPrEx>
          <w:tblCellMar>
            <w:top w:w="0" w:type="dxa"/>
            <w:left w:w="108" w:type="dxa"/>
            <w:bottom w:w="0" w:type="dxa"/>
            <w:right w:w="108" w:type="dxa"/>
          </w:tblCellMar>
        </w:tblPrEx>
        <w:trPr>
          <w:trHeight w:val="242"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highlight w:val="none"/>
              </w:rPr>
            </w:pPr>
          </w:p>
        </w:tc>
        <w:tc>
          <w:tcPr>
            <w:tcW w:w="1843" w:type="dxa"/>
            <w:vMerge w:val="continue"/>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highlight w:val="none"/>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highlight w:val="none"/>
              </w:rPr>
            </w:pPr>
            <w:r>
              <w:rPr>
                <w:rFonts w:hint="eastAsia"/>
                <w:highlight w:val="none"/>
              </w:rPr>
              <w:t>本项目比选文件的最终解释权归比选人。</w:t>
            </w:r>
          </w:p>
        </w:tc>
      </w:tr>
    </w:tbl>
    <w:p>
      <w:pPr>
        <w:pStyle w:val="5"/>
        <w:spacing w:after="0" w:afterAutospacing="0" w:line="360" w:lineRule="auto"/>
        <w:ind w:left="484" w:leftChars="200" w:right="0" w:hanging="64" w:hangingChars="20"/>
        <w:rPr>
          <w:rFonts w:ascii="宋体" w:hAnsi="宋体" w:eastAsia="宋体"/>
          <w:sz w:val="24"/>
          <w:szCs w:val="24"/>
          <w:highlight w:val="none"/>
        </w:rPr>
      </w:pPr>
      <w:r>
        <w:rPr>
          <w:rFonts w:ascii="宋体" w:hAnsi="宋体" w:eastAsia="宋体"/>
          <w:highlight w:val="none"/>
        </w:rPr>
        <w:br w:type="page"/>
      </w:r>
      <w:bookmarkStart w:id="54" w:name="_Toc322528193"/>
      <w:bookmarkEnd w:id="54"/>
      <w:bookmarkStart w:id="55" w:name="_Toc25750590"/>
      <w:bookmarkStart w:id="56" w:name="_Toc12737"/>
      <w:r>
        <w:rPr>
          <w:rFonts w:hint="eastAsia" w:ascii="宋体" w:hAnsi="宋体" w:eastAsia="宋体"/>
          <w:sz w:val="24"/>
          <w:szCs w:val="24"/>
          <w:highlight w:val="none"/>
        </w:rPr>
        <w:t>一、</w:t>
      </w:r>
      <w:r>
        <w:rPr>
          <w:rFonts w:ascii="宋体" w:hAnsi="宋体" w:eastAsia="宋体"/>
          <w:sz w:val="24"/>
          <w:szCs w:val="24"/>
          <w:highlight w:val="none"/>
        </w:rPr>
        <w:t>说明</w:t>
      </w:r>
      <w:bookmarkEnd w:id="55"/>
      <w:bookmarkEnd w:id="56"/>
    </w:p>
    <w:p>
      <w:pPr>
        <w:pStyle w:val="6"/>
        <w:spacing w:before="0" w:after="0" w:afterAutospacing="0"/>
        <w:ind w:left="0" w:right="0" w:firstLine="422" w:firstLineChars="200"/>
        <w:rPr>
          <w:rFonts w:ascii="宋体" w:hAnsi="宋体"/>
          <w:sz w:val="21"/>
          <w:szCs w:val="21"/>
          <w:highlight w:val="none"/>
        </w:rPr>
      </w:pPr>
      <w:bookmarkStart w:id="57" w:name="_Toc12526"/>
      <w:bookmarkStart w:id="58" w:name="_Toc383891168"/>
      <w:bookmarkStart w:id="59" w:name="_Toc5495"/>
      <w:bookmarkStart w:id="60" w:name="_Toc3364"/>
      <w:bookmarkStart w:id="61" w:name="_Toc463"/>
      <w:bookmarkStart w:id="62" w:name="_Toc492478718"/>
      <w:bookmarkStart w:id="63" w:name="_Toc31563"/>
      <w:bookmarkStart w:id="64" w:name="_Toc30570"/>
      <w:bookmarkStart w:id="65" w:name="_Toc25750591"/>
      <w:bookmarkStart w:id="66" w:name="_Toc6861"/>
      <w:bookmarkStart w:id="67" w:name="_Toc21139"/>
      <w:bookmarkStart w:id="68" w:name="_Toc385427793"/>
      <w:bookmarkStart w:id="69" w:name="_Toc27079"/>
      <w:bookmarkStart w:id="70" w:name="_Toc12983505"/>
      <w:bookmarkStart w:id="71" w:name="_Toc14066"/>
      <w:bookmarkStart w:id="72" w:name="_Toc3804"/>
      <w:bookmarkStart w:id="73" w:name="_Toc9366"/>
      <w:bookmarkStart w:id="74" w:name="_Toc17845"/>
      <w:bookmarkStart w:id="75" w:name="_Toc7778"/>
      <w:bookmarkStart w:id="76" w:name="_Toc11224"/>
      <w:bookmarkStart w:id="77" w:name="_Toc375039064"/>
      <w:bookmarkStart w:id="78" w:name="_Toc28326"/>
      <w:bookmarkStart w:id="79" w:name="_Toc8166"/>
      <w:bookmarkStart w:id="80" w:name="_Toc390098419"/>
      <w:r>
        <w:rPr>
          <w:rFonts w:hint="eastAsia" w:ascii="宋体" w:hAnsi="宋体"/>
          <w:sz w:val="21"/>
          <w:szCs w:val="21"/>
          <w:highlight w:val="none"/>
        </w:rPr>
        <w:t xml:space="preserve">1. </w:t>
      </w:r>
      <w:r>
        <w:rPr>
          <w:rFonts w:ascii="宋体" w:hAnsi="宋体"/>
          <w:sz w:val="21"/>
          <w:szCs w:val="21"/>
          <w:highlight w:val="none"/>
        </w:rPr>
        <w:t>项目说明</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pPr>
        <w:spacing w:before="0" w:after="0" w:afterAutospacing="0"/>
        <w:ind w:left="0" w:right="0" w:firstLine="420" w:firstLineChars="200"/>
        <w:rPr>
          <w:rFonts w:ascii="宋体" w:hAnsi="宋体"/>
          <w:highlight w:val="none"/>
        </w:rPr>
      </w:pPr>
      <w:r>
        <w:rPr>
          <w:rFonts w:hint="eastAsia" w:ascii="宋体" w:hAnsi="宋体"/>
          <w:highlight w:val="none"/>
        </w:rPr>
        <w:t>1.1 比选人</w:t>
      </w:r>
      <w:r>
        <w:rPr>
          <w:rFonts w:ascii="宋体" w:hAnsi="宋体"/>
          <w:highlight w:val="none"/>
        </w:rPr>
        <w:t>：详见比选申请须知前附表。</w:t>
      </w:r>
    </w:p>
    <w:p>
      <w:pPr>
        <w:spacing w:before="0" w:after="0" w:afterAutospacing="0"/>
        <w:ind w:left="0" w:right="0" w:firstLine="420" w:firstLineChars="200"/>
        <w:rPr>
          <w:rFonts w:ascii="宋体" w:hAnsi="宋体"/>
          <w:highlight w:val="none"/>
        </w:rPr>
      </w:pPr>
      <w:r>
        <w:rPr>
          <w:rFonts w:hint="eastAsia" w:ascii="宋体" w:hAnsi="宋体"/>
          <w:highlight w:val="none"/>
        </w:rPr>
        <w:t>1.2 项目名称</w:t>
      </w:r>
      <w:r>
        <w:rPr>
          <w:rFonts w:ascii="宋体" w:hAnsi="宋体"/>
          <w:highlight w:val="none"/>
        </w:rPr>
        <w:t>：详见比选申请须知前附表。</w:t>
      </w:r>
    </w:p>
    <w:p>
      <w:pPr>
        <w:spacing w:before="0" w:after="0" w:afterAutospacing="0"/>
        <w:ind w:left="0" w:right="0" w:firstLine="420" w:firstLineChars="200"/>
        <w:rPr>
          <w:rFonts w:ascii="宋体" w:hAnsi="宋体"/>
          <w:highlight w:val="none"/>
        </w:rPr>
      </w:pPr>
      <w:r>
        <w:rPr>
          <w:rFonts w:hint="eastAsia" w:ascii="宋体" w:hAnsi="宋体"/>
          <w:highlight w:val="none"/>
        </w:rPr>
        <w:t>1.3 项目编号</w:t>
      </w:r>
      <w:r>
        <w:rPr>
          <w:rFonts w:ascii="宋体" w:hAnsi="宋体"/>
          <w:highlight w:val="none"/>
        </w:rPr>
        <w:t>：详见比选申请须知前附表。</w:t>
      </w:r>
    </w:p>
    <w:p>
      <w:pPr>
        <w:spacing w:before="0" w:after="0" w:afterAutospacing="0"/>
        <w:ind w:left="0" w:right="0" w:firstLine="420" w:firstLineChars="200"/>
        <w:rPr>
          <w:rFonts w:ascii="宋体" w:hAnsi="宋体"/>
          <w:highlight w:val="none"/>
        </w:rPr>
      </w:pPr>
      <w:r>
        <w:rPr>
          <w:rFonts w:hint="eastAsia" w:ascii="宋体" w:hAnsi="宋体"/>
          <w:highlight w:val="none"/>
        </w:rPr>
        <w:t>1.4 比选范围：</w:t>
      </w:r>
      <w:r>
        <w:rPr>
          <w:rFonts w:ascii="宋体" w:hAnsi="宋体"/>
          <w:highlight w:val="none"/>
        </w:rPr>
        <w:t>详见比选申请须知前附表。</w:t>
      </w:r>
    </w:p>
    <w:p>
      <w:pPr>
        <w:spacing w:before="0" w:after="0" w:afterAutospacing="0"/>
        <w:ind w:left="0" w:right="0" w:firstLine="420" w:firstLineChars="200"/>
        <w:rPr>
          <w:rFonts w:ascii="宋体" w:hAnsi="宋体"/>
          <w:highlight w:val="none"/>
        </w:rPr>
      </w:pPr>
      <w:r>
        <w:rPr>
          <w:rFonts w:hint="eastAsia" w:ascii="宋体" w:hAnsi="宋体"/>
          <w:highlight w:val="none"/>
        </w:rPr>
        <w:t>1.5工期：</w:t>
      </w:r>
      <w:r>
        <w:rPr>
          <w:rFonts w:ascii="宋体" w:hAnsi="宋体"/>
          <w:highlight w:val="none"/>
        </w:rPr>
        <w:t>详见比选申请须知前附表。</w:t>
      </w:r>
    </w:p>
    <w:p>
      <w:pPr>
        <w:spacing w:before="0" w:after="0" w:afterAutospacing="0"/>
        <w:ind w:left="0" w:right="0" w:firstLine="420" w:firstLineChars="200"/>
        <w:rPr>
          <w:rFonts w:ascii="宋体" w:hAnsi="宋体"/>
          <w:highlight w:val="none"/>
        </w:rPr>
      </w:pPr>
      <w:r>
        <w:rPr>
          <w:rFonts w:hint="eastAsia" w:ascii="宋体" w:hAnsi="宋体"/>
          <w:highlight w:val="none"/>
        </w:rPr>
        <w:t>1.6 资金来源情况：</w:t>
      </w:r>
      <w:r>
        <w:rPr>
          <w:rFonts w:ascii="宋体" w:hAnsi="宋体"/>
          <w:highlight w:val="none"/>
        </w:rPr>
        <w:t>详见比选申请须知前附表。</w:t>
      </w:r>
    </w:p>
    <w:p>
      <w:pPr>
        <w:spacing w:before="0" w:after="0" w:afterAutospacing="0"/>
        <w:ind w:left="0" w:right="0" w:firstLine="420" w:firstLineChars="200"/>
        <w:rPr>
          <w:rFonts w:ascii="宋体" w:hAnsi="宋体"/>
          <w:highlight w:val="none"/>
        </w:rPr>
      </w:pPr>
      <w:r>
        <w:rPr>
          <w:rFonts w:hint="eastAsia" w:ascii="宋体" w:hAnsi="宋体"/>
          <w:highlight w:val="none"/>
        </w:rPr>
        <w:t>1.7 上限控制价</w:t>
      </w:r>
      <w:r>
        <w:rPr>
          <w:rFonts w:ascii="宋体" w:hAnsi="宋体"/>
          <w:highlight w:val="none"/>
        </w:rPr>
        <w:t>：详见比选申请须知前附表。</w:t>
      </w:r>
    </w:p>
    <w:p>
      <w:pPr>
        <w:pStyle w:val="6"/>
        <w:spacing w:before="0" w:after="0" w:afterAutospacing="0"/>
        <w:ind w:left="0" w:right="0" w:firstLine="422" w:firstLineChars="200"/>
        <w:rPr>
          <w:rFonts w:ascii="宋体" w:hAnsi="宋体"/>
          <w:sz w:val="21"/>
          <w:szCs w:val="21"/>
          <w:highlight w:val="none"/>
        </w:rPr>
      </w:pPr>
      <w:bookmarkStart w:id="81" w:name="_Toc16860"/>
      <w:bookmarkStart w:id="82" w:name="_Toc385427794"/>
      <w:bookmarkStart w:id="83" w:name="_Toc383891169"/>
      <w:bookmarkStart w:id="84" w:name="_Toc27845"/>
      <w:bookmarkStart w:id="85" w:name="_Toc4780"/>
      <w:bookmarkStart w:id="86" w:name="_Toc12983506"/>
      <w:bookmarkStart w:id="87" w:name="_Toc375039065"/>
      <w:bookmarkStart w:id="88" w:name="_Toc25750592"/>
      <w:bookmarkStart w:id="89" w:name="_Toc24429"/>
      <w:bookmarkStart w:id="90" w:name="_Toc10907"/>
      <w:bookmarkStart w:id="91" w:name="_Toc22987"/>
      <w:bookmarkStart w:id="92" w:name="_Toc8052"/>
      <w:bookmarkStart w:id="93" w:name="_Toc31314"/>
      <w:bookmarkStart w:id="94" w:name="_Toc6038"/>
      <w:bookmarkStart w:id="95" w:name="_Toc27847"/>
      <w:bookmarkStart w:id="96" w:name="_Toc6985"/>
      <w:bookmarkStart w:id="97" w:name="_Toc492478719"/>
      <w:bookmarkStart w:id="98" w:name="_Toc390098420"/>
      <w:bookmarkStart w:id="99" w:name="_Toc1552"/>
      <w:bookmarkStart w:id="100" w:name="_Toc21874"/>
      <w:r>
        <w:rPr>
          <w:rFonts w:hint="eastAsia" w:ascii="宋体" w:hAnsi="宋体"/>
          <w:sz w:val="21"/>
          <w:szCs w:val="21"/>
          <w:highlight w:val="none"/>
        </w:rPr>
        <w:t>2. 定义</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pPr>
        <w:spacing w:before="0" w:after="0" w:afterAutospacing="0"/>
        <w:ind w:left="0" w:right="0" w:firstLine="420" w:firstLineChars="200"/>
        <w:rPr>
          <w:rFonts w:ascii="宋体" w:hAnsi="宋体"/>
          <w:highlight w:val="none"/>
        </w:rPr>
      </w:pPr>
      <w:r>
        <w:rPr>
          <w:rFonts w:ascii="宋体" w:hAnsi="宋体"/>
          <w:highlight w:val="none"/>
        </w:rPr>
        <w:t>本比选文件使用的下列词汇具有如下规定的意义。</w:t>
      </w:r>
    </w:p>
    <w:p>
      <w:pP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2.1 </w:t>
      </w:r>
      <w:r>
        <w:rPr>
          <w:rFonts w:ascii="宋体" w:hAnsi="宋体"/>
          <w:highlight w:val="none"/>
        </w:rPr>
        <w:t>“</w:t>
      </w:r>
      <w:r>
        <w:rPr>
          <w:rFonts w:hint="eastAsia" w:ascii="宋体" w:hAnsi="宋体"/>
          <w:highlight w:val="none"/>
        </w:rPr>
        <w:t>比选人</w:t>
      </w:r>
      <w:r>
        <w:rPr>
          <w:rFonts w:ascii="宋体" w:hAnsi="宋体"/>
          <w:highlight w:val="none"/>
        </w:rPr>
        <w:t>”系指提出</w:t>
      </w:r>
      <w:r>
        <w:rPr>
          <w:rFonts w:hint="eastAsia" w:ascii="宋体" w:hAnsi="宋体"/>
          <w:highlight w:val="none"/>
        </w:rPr>
        <w:t>比选</w:t>
      </w:r>
      <w:r>
        <w:rPr>
          <w:rFonts w:ascii="宋体" w:hAnsi="宋体"/>
          <w:highlight w:val="none"/>
        </w:rPr>
        <w:t>采购</w:t>
      </w:r>
      <w:r>
        <w:rPr>
          <w:rFonts w:hint="eastAsia" w:ascii="宋体" w:hAnsi="宋体"/>
          <w:highlight w:val="none"/>
        </w:rPr>
        <w:t>服务</w:t>
      </w:r>
      <w:r>
        <w:rPr>
          <w:rFonts w:ascii="宋体" w:hAnsi="宋体"/>
          <w:highlight w:val="none"/>
        </w:rPr>
        <w:t>的国家机关、企业、事业单位或其它组织。本比选文件中</w:t>
      </w:r>
      <w:r>
        <w:rPr>
          <w:rFonts w:hint="eastAsia" w:ascii="宋体" w:hAnsi="宋体"/>
          <w:highlight w:val="none"/>
        </w:rPr>
        <w:t>比选人</w:t>
      </w:r>
      <w:r>
        <w:rPr>
          <w:rFonts w:ascii="宋体" w:hAnsi="宋体"/>
          <w:highlight w:val="none"/>
        </w:rPr>
        <w:t>是指</w:t>
      </w:r>
      <w:r>
        <w:rPr>
          <w:rFonts w:hint="eastAsia" w:ascii="宋体" w:hAnsi="宋体"/>
          <w:highlight w:val="none"/>
        </w:rPr>
        <w:t>南宁轨道交通运营有限公司</w:t>
      </w:r>
      <w:r>
        <w:rPr>
          <w:rFonts w:ascii="宋体" w:hAnsi="宋体"/>
          <w:highlight w:val="none"/>
        </w:rPr>
        <w:t>。如无特别说明本比选文件中的“发包人、业主、甲方和</w:t>
      </w:r>
      <w:r>
        <w:rPr>
          <w:rFonts w:hint="eastAsia" w:ascii="宋体" w:hAnsi="宋体"/>
          <w:highlight w:val="none"/>
        </w:rPr>
        <w:t>比选人</w:t>
      </w:r>
      <w:r>
        <w:rPr>
          <w:rFonts w:ascii="宋体" w:hAnsi="宋体"/>
          <w:highlight w:val="none"/>
        </w:rPr>
        <w:t>”均指：</w:t>
      </w:r>
      <w:r>
        <w:rPr>
          <w:rFonts w:hint="eastAsia" w:ascii="宋体" w:hAnsi="宋体"/>
          <w:highlight w:val="none"/>
        </w:rPr>
        <w:t>南宁轨道交通运营有限公司</w:t>
      </w:r>
      <w:r>
        <w:rPr>
          <w:rFonts w:ascii="宋体" w:hAnsi="宋体"/>
          <w:highlight w:val="none"/>
        </w:rPr>
        <w:t>。</w:t>
      </w:r>
    </w:p>
    <w:p>
      <w:pPr>
        <w:tabs>
          <w:tab w:val="left" w:pos="8364"/>
        </w:tabs>
        <w:spacing w:before="0" w:after="0" w:afterAutospacing="0"/>
        <w:ind w:left="0" w:right="0" w:firstLine="420" w:firstLineChars="200"/>
        <w:rPr>
          <w:rFonts w:ascii="宋体" w:hAnsi="宋体"/>
          <w:highlight w:val="none"/>
        </w:rPr>
      </w:pPr>
      <w:r>
        <w:rPr>
          <w:rFonts w:ascii="宋体" w:hAnsi="宋体"/>
          <w:highlight w:val="none"/>
        </w:rPr>
        <w:t>2.</w:t>
      </w:r>
      <w:r>
        <w:rPr>
          <w:rFonts w:hint="eastAsia" w:ascii="宋体" w:hAnsi="宋体"/>
          <w:highlight w:val="none"/>
        </w:rPr>
        <w:t>2</w:t>
      </w:r>
      <w:r>
        <w:rPr>
          <w:rFonts w:ascii="宋体" w:hAnsi="宋体"/>
          <w:highlight w:val="none"/>
        </w:rPr>
        <w:t xml:space="preserve"> “比选申请人”</w:t>
      </w:r>
      <w:r>
        <w:rPr>
          <w:rFonts w:hint="eastAsia" w:ascii="宋体" w:hAnsi="宋体"/>
          <w:highlight w:val="none"/>
        </w:rPr>
        <w:t>系指响应比选、参加比选申请竞争的法人</w:t>
      </w:r>
      <w:r>
        <w:rPr>
          <w:rFonts w:ascii="宋体" w:hAnsi="宋体"/>
          <w:highlight w:val="none"/>
        </w:rPr>
        <w:t>。</w:t>
      </w:r>
    </w:p>
    <w:p>
      <w:pP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2.6  </w:t>
      </w:r>
      <w:r>
        <w:rPr>
          <w:rFonts w:ascii="宋体" w:hAnsi="宋体"/>
          <w:highlight w:val="none"/>
        </w:rPr>
        <w:t>“</w:t>
      </w:r>
      <w:r>
        <w:rPr>
          <w:rFonts w:hint="eastAsia" w:ascii="宋体" w:hAnsi="宋体"/>
          <w:highlight w:val="none"/>
        </w:rPr>
        <w:t>服务</w:t>
      </w:r>
      <w:r>
        <w:rPr>
          <w:rFonts w:ascii="宋体" w:hAnsi="宋体"/>
          <w:highlight w:val="none"/>
        </w:rPr>
        <w:t>”</w:t>
      </w:r>
      <w:r>
        <w:rPr>
          <w:rFonts w:hint="eastAsia" w:ascii="宋体" w:hAnsi="宋体"/>
          <w:highlight w:val="none"/>
        </w:rPr>
        <w:t>系指招标文件规定比选申请人须承担的一切合同标的内容及配套工作。</w:t>
      </w:r>
    </w:p>
    <w:p>
      <w:pP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2.7 </w:t>
      </w:r>
      <w:r>
        <w:rPr>
          <w:rFonts w:ascii="宋体" w:hAnsi="宋体"/>
          <w:highlight w:val="none"/>
        </w:rPr>
        <w:t>“电子文件”系指将比选申请文件全部内容以</w:t>
      </w:r>
      <w:r>
        <w:rPr>
          <w:rFonts w:hint="eastAsia" w:ascii="宋体" w:hAnsi="宋体"/>
          <w:highlight w:val="none"/>
        </w:rPr>
        <w:t>O</w:t>
      </w:r>
      <w:r>
        <w:rPr>
          <w:rFonts w:ascii="宋体" w:hAnsi="宋体"/>
          <w:highlight w:val="none"/>
        </w:rPr>
        <w:t>ffice的W</w:t>
      </w:r>
      <w:r>
        <w:rPr>
          <w:rFonts w:hint="eastAsia" w:ascii="宋体" w:hAnsi="宋体"/>
          <w:highlight w:val="none"/>
        </w:rPr>
        <w:t>ord</w:t>
      </w:r>
      <w:r>
        <w:rPr>
          <w:rFonts w:ascii="宋体" w:hAnsi="宋体"/>
          <w:highlight w:val="none"/>
        </w:rPr>
        <w:t>、P</w:t>
      </w:r>
      <w:r>
        <w:rPr>
          <w:rFonts w:hint="eastAsia" w:ascii="宋体" w:hAnsi="宋体"/>
          <w:highlight w:val="none"/>
        </w:rPr>
        <w:t>roject</w:t>
      </w:r>
      <w:r>
        <w:rPr>
          <w:rFonts w:ascii="宋体" w:hAnsi="宋体"/>
          <w:highlight w:val="none"/>
        </w:rPr>
        <w:t>、E</w:t>
      </w:r>
      <w:r>
        <w:rPr>
          <w:rFonts w:hint="eastAsia" w:ascii="宋体" w:hAnsi="宋体"/>
          <w:highlight w:val="none"/>
        </w:rPr>
        <w:t>xcel</w:t>
      </w:r>
      <w:r>
        <w:rPr>
          <w:rFonts w:ascii="宋体" w:hAnsi="宋体"/>
          <w:highlight w:val="none"/>
        </w:rPr>
        <w:t>等格式书写的可读电子介质</w:t>
      </w:r>
      <w:r>
        <w:rPr>
          <w:rFonts w:hint="eastAsia" w:ascii="宋体" w:hAnsi="宋体"/>
          <w:highlight w:val="none"/>
        </w:rPr>
        <w:t>及PDF扫描版本（盖章版）</w:t>
      </w:r>
      <w:r>
        <w:rPr>
          <w:rFonts w:ascii="宋体" w:hAnsi="宋体"/>
          <w:highlight w:val="none"/>
        </w:rPr>
        <w:t>。</w:t>
      </w:r>
    </w:p>
    <w:p>
      <w:pP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2.8 </w:t>
      </w:r>
      <w:r>
        <w:rPr>
          <w:rFonts w:ascii="宋体" w:hAnsi="宋体"/>
          <w:highlight w:val="none"/>
        </w:rPr>
        <w:t>“书面形式”系指打字或印刷的函件，包括传真、电报等。</w:t>
      </w:r>
    </w:p>
    <w:p>
      <w:pP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2.9 </w:t>
      </w:r>
      <w:r>
        <w:rPr>
          <w:rFonts w:ascii="宋体" w:hAnsi="宋体"/>
          <w:highlight w:val="none"/>
        </w:rPr>
        <w:t>“日”、“天”系指日历天。</w:t>
      </w:r>
    </w:p>
    <w:p>
      <w:pP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2.10“保质期”系指质量三包的期限。</w:t>
      </w:r>
    </w:p>
    <w:p>
      <w:pPr>
        <w:pStyle w:val="6"/>
        <w:spacing w:before="0" w:after="0" w:afterAutospacing="0"/>
        <w:ind w:left="0" w:right="0" w:firstLine="422" w:firstLineChars="200"/>
        <w:rPr>
          <w:rFonts w:ascii="宋体" w:hAnsi="宋体"/>
          <w:sz w:val="21"/>
          <w:szCs w:val="21"/>
          <w:highlight w:val="none"/>
        </w:rPr>
      </w:pPr>
      <w:bookmarkStart w:id="101" w:name="_Toc383891170"/>
      <w:bookmarkStart w:id="102" w:name="_Toc492478720"/>
      <w:bookmarkStart w:id="103" w:name="_Toc390098421"/>
      <w:bookmarkStart w:id="104" w:name="_Toc385427795"/>
      <w:bookmarkStart w:id="105" w:name="_Toc375039066"/>
      <w:bookmarkStart w:id="106" w:name="_Toc17568"/>
      <w:bookmarkStart w:id="107" w:name="_Toc22115"/>
      <w:bookmarkStart w:id="108" w:name="_Toc25786"/>
      <w:bookmarkStart w:id="109" w:name="_Toc10653"/>
      <w:bookmarkStart w:id="110" w:name="_Toc8288"/>
      <w:bookmarkStart w:id="111" w:name="_Toc307"/>
      <w:bookmarkStart w:id="112" w:name="_Toc12983507"/>
      <w:bookmarkStart w:id="113" w:name="_Toc7797"/>
      <w:bookmarkStart w:id="114" w:name="_Toc30498"/>
      <w:bookmarkStart w:id="115" w:name="_Toc31477"/>
      <w:bookmarkStart w:id="116" w:name="_Toc29859"/>
      <w:bookmarkStart w:id="117" w:name="_Toc22845"/>
      <w:bookmarkStart w:id="118" w:name="_Toc25750593"/>
      <w:bookmarkStart w:id="119" w:name="_Toc29401"/>
      <w:bookmarkStart w:id="120" w:name="_Toc9929"/>
      <w:bookmarkStart w:id="121" w:name="_Toc12940"/>
      <w:bookmarkStart w:id="122" w:name="_Toc7306"/>
      <w:bookmarkStart w:id="123" w:name="_Toc24844"/>
      <w:bookmarkStart w:id="124" w:name="_Toc17075"/>
      <w:r>
        <w:rPr>
          <w:rFonts w:ascii="宋体" w:hAnsi="宋体"/>
          <w:sz w:val="21"/>
          <w:szCs w:val="21"/>
          <w:highlight w:val="none"/>
        </w:rPr>
        <w:t>3. 比选申请人</w:t>
      </w:r>
      <w:bookmarkEnd w:id="101"/>
      <w:bookmarkEnd w:id="102"/>
      <w:bookmarkEnd w:id="103"/>
      <w:bookmarkEnd w:id="104"/>
      <w:bookmarkEnd w:id="105"/>
      <w:r>
        <w:rPr>
          <w:rFonts w:hint="eastAsia" w:ascii="宋体" w:hAnsi="宋体"/>
          <w:sz w:val="21"/>
          <w:szCs w:val="21"/>
          <w:highlight w:val="none"/>
        </w:rPr>
        <w:t>应具备的资格条件</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pP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3.1 </w:t>
      </w:r>
      <w:r>
        <w:rPr>
          <w:rFonts w:ascii="宋体" w:hAnsi="宋体"/>
          <w:highlight w:val="none"/>
        </w:rPr>
        <w:t>详见比选申请须知前附表。</w:t>
      </w:r>
    </w:p>
    <w:p>
      <w:pPr>
        <w:spacing w:before="0" w:after="0" w:afterAutospacing="0"/>
        <w:ind w:left="0" w:right="0" w:firstLine="420" w:firstLineChars="200"/>
        <w:rPr>
          <w:rFonts w:ascii="宋体" w:hAnsi="宋体"/>
          <w:highlight w:val="none"/>
        </w:rPr>
      </w:pPr>
      <w:r>
        <w:rPr>
          <w:rFonts w:ascii="宋体" w:hAnsi="宋体"/>
          <w:highlight w:val="none"/>
        </w:rPr>
        <w:t xml:space="preserve">3.2 </w:t>
      </w:r>
      <w:r>
        <w:rPr>
          <w:rFonts w:hint="eastAsia" w:ascii="宋体" w:hAnsi="宋体"/>
          <w:highlight w:val="none"/>
        </w:rPr>
        <w:t>比选申请人不得存在以下情况之一，否则其比选申请将被否决：</w:t>
      </w:r>
    </w:p>
    <w:p>
      <w:pPr>
        <w:spacing w:before="0" w:after="0" w:afterAutospacing="0"/>
        <w:ind w:left="0" w:right="0" w:firstLine="420" w:firstLineChars="200"/>
        <w:rPr>
          <w:rFonts w:ascii="宋体" w:hAnsi="宋体"/>
          <w:highlight w:val="none"/>
        </w:rPr>
      </w:pPr>
      <w:r>
        <w:rPr>
          <w:rFonts w:hint="eastAsia" w:ascii="宋体" w:hAnsi="宋体"/>
          <w:highlight w:val="none"/>
        </w:rPr>
        <w:t>（</w:t>
      </w:r>
      <w:r>
        <w:rPr>
          <w:rFonts w:ascii="宋体" w:hAnsi="宋体"/>
          <w:highlight w:val="none"/>
        </w:rPr>
        <w:t>1</w:t>
      </w:r>
      <w:r>
        <w:rPr>
          <w:rFonts w:hint="eastAsia" w:ascii="宋体" w:hAnsi="宋体"/>
          <w:highlight w:val="none"/>
        </w:rPr>
        <w:t>）为比选人不具有独立法人资格的附属机构（单位）；</w:t>
      </w:r>
    </w:p>
    <w:p>
      <w:pPr>
        <w:spacing w:before="0" w:after="0" w:afterAutospacing="0"/>
        <w:ind w:left="0" w:right="0" w:firstLine="420" w:firstLineChars="200"/>
        <w:rPr>
          <w:rFonts w:ascii="宋体" w:hAnsi="宋体"/>
          <w:highlight w:val="none"/>
        </w:rPr>
      </w:pPr>
      <w:r>
        <w:rPr>
          <w:rFonts w:hint="eastAsia" w:ascii="宋体" w:hAnsi="宋体"/>
          <w:highlight w:val="none"/>
        </w:rPr>
        <w:t>（2）处于被责令停业，或比选申请资格被住建部、国家安监总局、广西区或南宁市建设行政主管部门取消，或财产被接管、破产状态；</w:t>
      </w:r>
    </w:p>
    <w:p>
      <w:pPr>
        <w:spacing w:before="0" w:after="0" w:afterAutospacing="0"/>
        <w:ind w:left="0" w:right="0" w:firstLine="420" w:firstLineChars="200"/>
        <w:rPr>
          <w:rFonts w:ascii="宋体" w:hAnsi="宋体"/>
          <w:highlight w:val="none"/>
        </w:rPr>
      </w:pPr>
      <w:r>
        <w:rPr>
          <w:rFonts w:hint="eastAsia" w:ascii="宋体" w:hAnsi="宋体"/>
          <w:highlight w:val="none"/>
        </w:rPr>
        <w:t>（3）有骗取中选、严重违约或重大质量安全责任事故；</w:t>
      </w:r>
    </w:p>
    <w:p>
      <w:pPr>
        <w:spacing w:before="0" w:after="0" w:afterAutospacing="0"/>
        <w:ind w:left="0" w:right="0" w:firstLine="420" w:firstLineChars="200"/>
        <w:rPr>
          <w:rFonts w:ascii="宋体" w:hAnsi="宋体"/>
          <w:highlight w:val="none"/>
        </w:rPr>
      </w:pPr>
      <w:r>
        <w:rPr>
          <w:rFonts w:hint="eastAsia" w:ascii="宋体" w:hAnsi="宋体"/>
          <w:highlight w:val="none"/>
        </w:rPr>
        <w:t>（4）单位负责人为同一人或者存在控股、管理关系的不同单位，不得同时参加同一标段比选申请或者未划分标段的同一比选项目比选申请；</w:t>
      </w:r>
    </w:p>
    <w:p>
      <w:pPr>
        <w:spacing w:before="0" w:after="0" w:afterAutospacing="0"/>
        <w:ind w:left="0" w:right="0" w:firstLine="420" w:firstLineChars="200"/>
        <w:rPr>
          <w:rFonts w:ascii="宋体" w:hAnsi="宋体"/>
          <w:highlight w:val="none"/>
        </w:rPr>
      </w:pPr>
      <w:r>
        <w:rPr>
          <w:rFonts w:hint="eastAsia" w:ascii="宋体" w:hAnsi="宋体"/>
          <w:highlight w:val="none"/>
        </w:rPr>
        <w:t>（5）比选申请人向比选人或评审委员会成员以行贿的手段谋取中选的；</w:t>
      </w:r>
    </w:p>
    <w:p>
      <w:pPr>
        <w:spacing w:before="0" w:after="0" w:afterAutospacing="0"/>
        <w:ind w:left="0" w:right="0" w:firstLine="420" w:firstLineChars="200"/>
        <w:rPr>
          <w:rFonts w:ascii="宋体" w:hAnsi="宋体"/>
          <w:highlight w:val="none"/>
        </w:rPr>
      </w:pPr>
      <w:r>
        <w:rPr>
          <w:rFonts w:hint="eastAsia" w:ascii="宋体" w:hAnsi="宋体"/>
          <w:highlight w:val="none"/>
        </w:rPr>
        <w:t>（6）串通比选申请或弄虚作假或有其他违法行为的；</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（7）在比选申请文件中提供虚假文件和</w:t>
      </w:r>
      <w:r>
        <w:rPr>
          <w:rFonts w:ascii="宋体" w:hAnsi="宋体"/>
          <w:highlight w:val="none"/>
        </w:rPr>
        <w:t>/</w:t>
      </w:r>
      <w:r>
        <w:rPr>
          <w:rFonts w:hint="eastAsia" w:ascii="宋体" w:hAnsi="宋体"/>
          <w:highlight w:val="none"/>
        </w:rPr>
        <w:t>或资料的。</w:t>
      </w:r>
    </w:p>
    <w:p>
      <w:pPr>
        <w:pStyle w:val="6"/>
        <w:spacing w:before="0" w:after="0" w:afterAutospacing="0"/>
        <w:ind w:left="0" w:right="0" w:firstLine="422" w:firstLineChars="200"/>
        <w:rPr>
          <w:rFonts w:ascii="宋体" w:hAnsi="宋体"/>
          <w:sz w:val="21"/>
          <w:szCs w:val="21"/>
          <w:highlight w:val="none"/>
        </w:rPr>
      </w:pPr>
      <w:bookmarkStart w:id="125" w:name="_Toc7103"/>
      <w:bookmarkStart w:id="126" w:name="_Toc375039067"/>
      <w:bookmarkStart w:id="127" w:name="_Toc390098422"/>
      <w:bookmarkStart w:id="128" w:name="_Toc25914"/>
      <w:bookmarkStart w:id="129" w:name="_Toc616"/>
      <w:bookmarkStart w:id="130" w:name="_Toc21602"/>
      <w:bookmarkStart w:id="131" w:name="_Toc30752"/>
      <w:bookmarkStart w:id="132" w:name="_Toc18668"/>
      <w:bookmarkStart w:id="133" w:name="_Toc3292"/>
      <w:bookmarkStart w:id="134" w:name="_Toc31789"/>
      <w:bookmarkStart w:id="135" w:name="_Toc492478721"/>
      <w:bookmarkStart w:id="136" w:name="_Toc385427796"/>
      <w:bookmarkStart w:id="137" w:name="_Toc25750594"/>
      <w:bookmarkStart w:id="138" w:name="_Toc1125"/>
      <w:bookmarkStart w:id="139" w:name="_Toc7832"/>
      <w:bookmarkStart w:id="140" w:name="_Toc21215"/>
      <w:bookmarkStart w:id="141" w:name="_Toc19081"/>
      <w:bookmarkStart w:id="142" w:name="_Toc24103"/>
      <w:bookmarkStart w:id="143" w:name="_Toc19709"/>
      <w:bookmarkStart w:id="144" w:name="_Toc23146"/>
      <w:bookmarkStart w:id="145" w:name="_Toc383891171"/>
      <w:bookmarkStart w:id="146" w:name="_Toc1737"/>
      <w:bookmarkStart w:id="147" w:name="_Toc12983508"/>
      <w:bookmarkStart w:id="148" w:name="_Toc4438"/>
      <w:r>
        <w:rPr>
          <w:rFonts w:hint="eastAsia" w:ascii="宋体" w:hAnsi="宋体"/>
          <w:sz w:val="21"/>
          <w:szCs w:val="21"/>
          <w:highlight w:val="none"/>
        </w:rPr>
        <w:t xml:space="preserve">4. </w:t>
      </w:r>
      <w:r>
        <w:rPr>
          <w:rFonts w:ascii="宋体" w:hAnsi="宋体"/>
          <w:sz w:val="21"/>
          <w:szCs w:val="21"/>
          <w:highlight w:val="none"/>
        </w:rPr>
        <w:t>比选申请费用</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比选申请人准备和参加比选申请活动发生的费用自理</w:t>
      </w:r>
      <w:r>
        <w:rPr>
          <w:rFonts w:ascii="宋体" w:hAnsi="宋体"/>
          <w:highlight w:val="none"/>
        </w:rPr>
        <w:t>。</w:t>
      </w:r>
    </w:p>
    <w:p>
      <w:pPr>
        <w:pStyle w:val="5"/>
        <w:spacing w:after="0" w:afterAutospacing="0" w:line="360" w:lineRule="auto"/>
        <w:ind w:left="0" w:right="0" w:firstLine="482" w:firstLineChars="200"/>
        <w:rPr>
          <w:rFonts w:ascii="宋体" w:hAnsi="宋体" w:eastAsia="宋体"/>
          <w:sz w:val="24"/>
          <w:szCs w:val="24"/>
          <w:highlight w:val="none"/>
        </w:rPr>
      </w:pPr>
      <w:bookmarkStart w:id="149" w:name="_Toc5487"/>
      <w:bookmarkStart w:id="150" w:name="_Toc2986"/>
      <w:bookmarkStart w:id="151" w:name="_Toc25750595"/>
      <w:bookmarkStart w:id="152" w:name="_Toc3854"/>
      <w:bookmarkStart w:id="153" w:name="_Toc9677"/>
      <w:bookmarkStart w:id="154" w:name="_Toc16131"/>
      <w:bookmarkStart w:id="155" w:name="_Toc375039068"/>
      <w:bookmarkStart w:id="156" w:name="_Toc390098423"/>
      <w:bookmarkStart w:id="157" w:name="_Toc26374"/>
      <w:bookmarkStart w:id="158" w:name="_Toc16530"/>
      <w:bookmarkStart w:id="159" w:name="_Toc29160"/>
      <w:bookmarkStart w:id="160" w:name="_Toc8562"/>
      <w:bookmarkStart w:id="161" w:name="_Toc12983509"/>
      <w:bookmarkStart w:id="162" w:name="_Toc492478722"/>
      <w:bookmarkStart w:id="163" w:name="_Toc19617"/>
      <w:bookmarkStart w:id="164" w:name="_Toc383891172"/>
      <w:bookmarkStart w:id="165" w:name="_Toc5160"/>
      <w:bookmarkStart w:id="166" w:name="_Toc7339"/>
      <w:bookmarkStart w:id="167" w:name="_Toc6528"/>
      <w:bookmarkStart w:id="168" w:name="_Toc15763"/>
      <w:bookmarkStart w:id="169" w:name="_Toc2609"/>
      <w:bookmarkStart w:id="170" w:name="_Toc16608"/>
      <w:bookmarkStart w:id="171" w:name="_Toc18528"/>
      <w:bookmarkStart w:id="172" w:name="_Toc28220"/>
      <w:bookmarkStart w:id="173" w:name="_Toc385427797"/>
      <w:r>
        <w:rPr>
          <w:rFonts w:hint="eastAsia" w:ascii="宋体" w:hAnsi="宋体" w:eastAsia="宋体"/>
          <w:sz w:val="24"/>
          <w:szCs w:val="24"/>
          <w:highlight w:val="none"/>
        </w:rPr>
        <w:t>二、</w:t>
      </w:r>
      <w:r>
        <w:rPr>
          <w:rFonts w:ascii="宋体" w:hAnsi="宋体" w:eastAsia="宋体"/>
          <w:sz w:val="24"/>
          <w:szCs w:val="24"/>
          <w:highlight w:val="none"/>
        </w:rPr>
        <w:t>比选文件</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pPr>
        <w:pStyle w:val="6"/>
        <w:spacing w:before="0" w:after="0" w:afterAutospacing="0"/>
        <w:ind w:left="0" w:right="0" w:firstLine="422" w:firstLineChars="200"/>
        <w:rPr>
          <w:rFonts w:ascii="宋体" w:hAnsi="宋体"/>
          <w:sz w:val="21"/>
          <w:szCs w:val="21"/>
          <w:highlight w:val="none"/>
        </w:rPr>
      </w:pPr>
      <w:bookmarkStart w:id="174" w:name="_Toc383891173"/>
      <w:bookmarkStart w:id="175" w:name="_Toc390098424"/>
      <w:bookmarkStart w:id="176" w:name="_Toc18436"/>
      <w:bookmarkStart w:id="177" w:name="_Toc6637"/>
      <w:bookmarkStart w:id="178" w:name="_Toc27870"/>
      <w:bookmarkStart w:id="179" w:name="_Toc19561"/>
      <w:bookmarkStart w:id="180" w:name="_Toc12983510"/>
      <w:bookmarkStart w:id="181" w:name="_Toc13114"/>
      <w:bookmarkStart w:id="182" w:name="_Toc5877"/>
      <w:bookmarkStart w:id="183" w:name="_Toc9756"/>
      <w:bookmarkStart w:id="184" w:name="_Toc385427798"/>
      <w:bookmarkStart w:id="185" w:name="_Toc4157"/>
      <w:bookmarkStart w:id="186" w:name="_Toc6764"/>
      <w:bookmarkStart w:id="187" w:name="_Toc839"/>
      <w:bookmarkStart w:id="188" w:name="_Toc25378"/>
      <w:bookmarkStart w:id="189" w:name="_Toc32710"/>
      <w:bookmarkStart w:id="190" w:name="_Toc30401"/>
      <w:bookmarkStart w:id="191" w:name="_Toc29472"/>
      <w:bookmarkStart w:id="192" w:name="_Toc375039069"/>
      <w:bookmarkStart w:id="193" w:name="_Toc25750596"/>
      <w:bookmarkStart w:id="194" w:name="_Toc29225"/>
      <w:bookmarkStart w:id="195" w:name="_Toc492478723"/>
      <w:bookmarkStart w:id="196" w:name="_Toc26333"/>
      <w:bookmarkStart w:id="197" w:name="_Toc21811"/>
      <w:r>
        <w:rPr>
          <w:rFonts w:hint="eastAsia" w:ascii="宋体" w:hAnsi="宋体"/>
          <w:sz w:val="21"/>
          <w:szCs w:val="21"/>
          <w:highlight w:val="none"/>
        </w:rPr>
        <w:t>5.</w:t>
      </w:r>
      <w:r>
        <w:rPr>
          <w:rFonts w:ascii="宋体" w:hAnsi="宋体"/>
          <w:sz w:val="21"/>
          <w:szCs w:val="21"/>
          <w:highlight w:val="none"/>
        </w:rPr>
        <w:t>比选文件构成</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pPr>
        <w:spacing w:before="0" w:after="0" w:afterAutospacing="0"/>
        <w:ind w:left="0" w:right="0" w:firstLine="420" w:firstLineChars="200"/>
        <w:rPr>
          <w:rFonts w:ascii="宋体" w:hAnsi="宋体"/>
          <w:highlight w:val="none"/>
        </w:rPr>
      </w:pPr>
      <w:r>
        <w:rPr>
          <w:rFonts w:hint="eastAsia" w:ascii="宋体" w:hAnsi="宋体"/>
          <w:highlight w:val="none"/>
        </w:rPr>
        <w:t xml:space="preserve">5.1 </w:t>
      </w:r>
      <w:r>
        <w:rPr>
          <w:rFonts w:ascii="宋体" w:hAnsi="宋体"/>
          <w:highlight w:val="none"/>
        </w:rPr>
        <w:t>比选文件包括下列内容：</w:t>
      </w:r>
    </w:p>
    <w:p>
      <w:pPr>
        <w:numPr>
          <w:ilvl w:val="0"/>
          <w:numId w:val="1"/>
        </w:numPr>
        <w:spacing w:before="0"/>
        <w:ind w:right="0" w:firstLine="200"/>
        <w:rPr>
          <w:rFonts w:ascii="宋体" w:hAnsi="宋体"/>
          <w:highlight w:val="none"/>
        </w:rPr>
      </w:pPr>
      <w:r>
        <w:rPr>
          <w:rFonts w:ascii="宋体" w:hAnsi="宋体"/>
          <w:highlight w:val="none"/>
        </w:rPr>
        <w:t>比选公告</w:t>
      </w:r>
    </w:p>
    <w:p>
      <w:pPr>
        <w:numPr>
          <w:ilvl w:val="0"/>
          <w:numId w:val="1"/>
        </w:numPr>
        <w:spacing w:before="0"/>
        <w:ind w:right="0" w:firstLine="200"/>
        <w:rPr>
          <w:rFonts w:ascii="宋体" w:hAnsi="宋体"/>
          <w:highlight w:val="none"/>
        </w:rPr>
      </w:pPr>
      <w:r>
        <w:rPr>
          <w:rFonts w:ascii="宋体" w:hAnsi="宋体"/>
          <w:highlight w:val="none"/>
        </w:rPr>
        <w:t>比选申请人须知</w:t>
      </w:r>
    </w:p>
    <w:p>
      <w:pPr>
        <w:numPr>
          <w:ilvl w:val="0"/>
          <w:numId w:val="1"/>
        </w:numPr>
        <w:spacing w:before="0"/>
        <w:ind w:right="0" w:firstLine="200"/>
        <w:rPr>
          <w:rFonts w:ascii="宋体" w:hAnsi="宋体"/>
          <w:highlight w:val="none"/>
        </w:rPr>
      </w:pPr>
      <w:r>
        <w:rPr>
          <w:rFonts w:ascii="宋体" w:hAnsi="宋体"/>
          <w:highlight w:val="none"/>
        </w:rPr>
        <w:t>合同条款</w:t>
      </w:r>
      <w:r>
        <w:rPr>
          <w:rFonts w:hint="eastAsia" w:ascii="宋体" w:hAnsi="宋体"/>
          <w:highlight w:val="none"/>
        </w:rPr>
        <w:t>及格式</w:t>
      </w:r>
    </w:p>
    <w:p>
      <w:pPr>
        <w:numPr>
          <w:ilvl w:val="0"/>
          <w:numId w:val="1"/>
        </w:numPr>
        <w:spacing w:before="0"/>
        <w:ind w:right="0" w:firstLine="200"/>
        <w:rPr>
          <w:rFonts w:ascii="宋体" w:hAnsi="宋体"/>
          <w:highlight w:val="none"/>
        </w:rPr>
      </w:pPr>
      <w:r>
        <w:rPr>
          <w:rFonts w:ascii="宋体" w:hAnsi="宋体"/>
          <w:highlight w:val="none"/>
        </w:rPr>
        <w:t>比选申请文件格式</w:t>
      </w:r>
    </w:p>
    <w:p>
      <w:pPr>
        <w:numPr>
          <w:ilvl w:val="0"/>
          <w:numId w:val="1"/>
        </w:numPr>
        <w:spacing w:before="0"/>
        <w:ind w:right="0" w:firstLine="200"/>
        <w:rPr>
          <w:rFonts w:ascii="宋体" w:hAnsi="宋体"/>
          <w:highlight w:val="none"/>
        </w:rPr>
      </w:pPr>
      <w:r>
        <w:rPr>
          <w:rFonts w:ascii="宋体" w:hAnsi="宋体"/>
          <w:highlight w:val="none"/>
        </w:rPr>
        <w:t>用户需求书</w:t>
      </w:r>
    </w:p>
    <w:p>
      <w:pPr>
        <w:numPr>
          <w:ilvl w:val="0"/>
          <w:numId w:val="1"/>
        </w:numPr>
        <w:spacing w:before="0" w:after="0" w:afterAutospacing="0"/>
        <w:ind w:right="0" w:firstLine="198"/>
        <w:rPr>
          <w:rFonts w:ascii="宋体" w:hAnsi="宋体"/>
          <w:highlight w:val="none"/>
        </w:rPr>
      </w:pPr>
      <w:r>
        <w:rPr>
          <w:rFonts w:ascii="宋体" w:hAnsi="宋体"/>
          <w:highlight w:val="none"/>
        </w:rPr>
        <w:t>评</w:t>
      </w:r>
      <w:r>
        <w:rPr>
          <w:rFonts w:hint="eastAsia" w:ascii="宋体" w:hAnsi="宋体"/>
          <w:highlight w:val="none"/>
        </w:rPr>
        <w:t>分</w:t>
      </w:r>
      <w:r>
        <w:rPr>
          <w:rFonts w:ascii="宋体" w:hAnsi="宋体"/>
          <w:highlight w:val="none"/>
        </w:rPr>
        <w:t>办法</w:t>
      </w:r>
    </w:p>
    <w:p>
      <w:pPr>
        <w:spacing w:before="0" w:after="0" w:afterAutospacing="0"/>
        <w:ind w:left="0" w:right="0" w:firstLine="420" w:firstLineChars="200"/>
        <w:rPr>
          <w:rFonts w:ascii="宋体" w:hAnsi="宋体"/>
          <w:highlight w:val="none"/>
        </w:rPr>
      </w:pPr>
      <w:r>
        <w:rPr>
          <w:rFonts w:hint="eastAsia" w:ascii="宋体" w:hAnsi="宋体"/>
          <w:highlight w:val="none"/>
        </w:rPr>
        <w:t xml:space="preserve">5.2 </w:t>
      </w:r>
      <w:r>
        <w:rPr>
          <w:rFonts w:ascii="宋体" w:hAnsi="宋体"/>
          <w:highlight w:val="none"/>
        </w:rPr>
        <w:t>比选申请人应认真检阅比选文件中所有的章节、条款、格式、图纸、附表和附件等。如果在收到比选文件后发现有缺页、印刷不清楚或对其中内容不理解而未向</w:t>
      </w:r>
      <w:r>
        <w:rPr>
          <w:rFonts w:hint="eastAsia" w:ascii="宋体" w:hAnsi="宋体"/>
          <w:highlight w:val="none"/>
        </w:rPr>
        <w:t>比选人</w:t>
      </w:r>
      <w:r>
        <w:rPr>
          <w:rFonts w:ascii="宋体" w:hAnsi="宋体"/>
          <w:highlight w:val="none"/>
        </w:rPr>
        <w:t>提出，由此导致的比选申请失误，其责任由比选申请人自负。</w:t>
      </w:r>
    </w:p>
    <w:p>
      <w:pPr>
        <w:spacing w:before="0" w:after="0" w:afterAutospacing="0"/>
        <w:ind w:left="0" w:right="0" w:firstLine="420" w:firstLineChars="200"/>
        <w:rPr>
          <w:rFonts w:ascii="宋体" w:hAnsi="宋体"/>
          <w:highlight w:val="none"/>
        </w:rPr>
      </w:pPr>
      <w:r>
        <w:rPr>
          <w:rFonts w:hint="eastAsia" w:ascii="宋体" w:hAnsi="宋体"/>
          <w:highlight w:val="none"/>
        </w:rPr>
        <w:t xml:space="preserve">5.3 </w:t>
      </w:r>
      <w:r>
        <w:rPr>
          <w:rFonts w:ascii="宋体" w:hAnsi="宋体"/>
          <w:highlight w:val="none"/>
        </w:rPr>
        <w:t>比选申请人没有按照比选文件要求提交全部资料，或者没有对比选文件在各方面都作出实质性响应是比选申请人的风险，并可能导致其比选申请被否决。比选申请人在比选申请文件中提出的对比选文件的要求带有限制性的理解或注释将被视为没有全面响应比选文件的要求。</w:t>
      </w:r>
    </w:p>
    <w:p>
      <w:pPr>
        <w:pStyle w:val="6"/>
        <w:spacing w:before="0" w:after="0" w:afterAutospacing="0"/>
        <w:ind w:left="0" w:right="0" w:firstLine="422" w:firstLineChars="200"/>
        <w:rPr>
          <w:rFonts w:ascii="宋体" w:hAnsi="宋体"/>
          <w:sz w:val="21"/>
          <w:szCs w:val="21"/>
          <w:highlight w:val="none"/>
        </w:rPr>
      </w:pPr>
      <w:bookmarkStart w:id="198" w:name="_Toc31848"/>
      <w:bookmarkStart w:id="199" w:name="_Toc383891174"/>
      <w:bookmarkStart w:id="200" w:name="_Toc2789"/>
      <w:bookmarkStart w:id="201" w:name="_Toc18631"/>
      <w:bookmarkStart w:id="202" w:name="_Toc28270"/>
      <w:bookmarkStart w:id="203" w:name="_Toc20903"/>
      <w:bookmarkStart w:id="204" w:name="_Toc21365"/>
      <w:bookmarkStart w:id="205" w:name="_Toc2489"/>
      <w:bookmarkStart w:id="206" w:name="_Toc11896"/>
      <w:bookmarkStart w:id="207" w:name="_Toc29001"/>
      <w:bookmarkStart w:id="208" w:name="_Toc10162"/>
      <w:bookmarkStart w:id="209" w:name="_Toc25750597"/>
      <w:bookmarkStart w:id="210" w:name="_Toc14426"/>
      <w:bookmarkStart w:id="211" w:name="_Toc385427799"/>
      <w:bookmarkStart w:id="212" w:name="_Toc26909"/>
      <w:bookmarkStart w:id="213" w:name="_Toc26811"/>
      <w:bookmarkStart w:id="214" w:name="_Toc2664"/>
      <w:bookmarkStart w:id="215" w:name="_Toc390098425"/>
      <w:bookmarkStart w:id="216" w:name="_Toc15154"/>
      <w:bookmarkStart w:id="217" w:name="_Toc492478724"/>
      <w:bookmarkStart w:id="218" w:name="_Toc31386"/>
      <w:bookmarkStart w:id="219" w:name="_Toc12983511"/>
      <w:bookmarkStart w:id="220" w:name="_Toc375039070"/>
      <w:bookmarkStart w:id="221" w:name="_Toc17279"/>
      <w:r>
        <w:rPr>
          <w:rFonts w:hint="eastAsia" w:ascii="宋体" w:hAnsi="宋体"/>
          <w:sz w:val="21"/>
          <w:szCs w:val="21"/>
          <w:highlight w:val="none"/>
        </w:rPr>
        <w:t>6.</w:t>
      </w:r>
      <w:r>
        <w:rPr>
          <w:rFonts w:ascii="宋体" w:hAnsi="宋体"/>
          <w:sz w:val="21"/>
          <w:szCs w:val="21"/>
          <w:highlight w:val="none"/>
        </w:rPr>
        <w:t>比选文件的澄清</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pPr>
        <w:spacing w:before="0" w:after="0" w:afterAutospacing="0"/>
        <w:ind w:left="0" w:right="0" w:firstLine="420" w:firstLineChars="200"/>
        <w:rPr>
          <w:rFonts w:ascii="宋体" w:hAnsi="宋体"/>
          <w:highlight w:val="none"/>
        </w:rPr>
      </w:pPr>
      <w:r>
        <w:rPr>
          <w:rFonts w:hint="eastAsia" w:ascii="宋体" w:hAnsi="宋体"/>
          <w:highlight w:val="none"/>
        </w:rPr>
        <w:t xml:space="preserve">6.1 </w:t>
      </w:r>
      <w:r>
        <w:rPr>
          <w:rFonts w:ascii="宋体" w:hAnsi="宋体"/>
          <w:highlight w:val="none"/>
        </w:rPr>
        <w:t>任何要求对比选文件进行澄清的比选申请人，应在比选申请须知前附表所规定的时间</w:t>
      </w:r>
      <w:r>
        <w:rPr>
          <w:rFonts w:hint="eastAsia" w:ascii="宋体" w:hAnsi="宋体"/>
          <w:highlight w:val="none"/>
        </w:rPr>
        <w:t>及形式向比选人提出。</w:t>
      </w:r>
    </w:p>
    <w:p>
      <w:pPr>
        <w:spacing w:before="0" w:after="0" w:afterAutospacing="0"/>
        <w:ind w:left="0" w:right="0" w:firstLine="420" w:firstLineChars="200"/>
        <w:rPr>
          <w:rFonts w:ascii="宋体" w:hAnsi="宋体"/>
          <w:highlight w:val="none"/>
        </w:rPr>
      </w:pPr>
      <w:r>
        <w:rPr>
          <w:rFonts w:hint="eastAsia" w:ascii="宋体" w:hAnsi="宋体"/>
          <w:highlight w:val="none"/>
        </w:rPr>
        <w:t>6.2 比选人</w:t>
      </w:r>
      <w:r>
        <w:rPr>
          <w:rFonts w:ascii="宋体" w:hAnsi="宋体"/>
          <w:highlight w:val="none"/>
        </w:rPr>
        <w:t>将根据比选申请人的</w:t>
      </w:r>
      <w:r>
        <w:rPr>
          <w:rFonts w:hint="eastAsia" w:ascii="宋体" w:hAnsi="宋体"/>
          <w:highlight w:val="none"/>
        </w:rPr>
        <w:t>书面</w:t>
      </w:r>
      <w:r>
        <w:rPr>
          <w:rFonts w:ascii="宋体" w:hAnsi="宋体"/>
          <w:highlight w:val="none"/>
        </w:rPr>
        <w:t>澄清要求</w:t>
      </w:r>
      <w:r>
        <w:rPr>
          <w:rFonts w:hint="eastAsia" w:ascii="宋体" w:hAnsi="宋体"/>
          <w:highlight w:val="none"/>
        </w:rPr>
        <w:t>进行澄清答复，答复的方式及比选申请人确认的方式详见比选申请须知前附表，比选人</w:t>
      </w:r>
      <w:r>
        <w:rPr>
          <w:rFonts w:ascii="宋体" w:hAnsi="宋体"/>
          <w:highlight w:val="none"/>
        </w:rPr>
        <w:t>只答复与比选文件内容有关的问题，并有权对任何与比选文件无关的问题不作回答。</w:t>
      </w:r>
    </w:p>
    <w:p>
      <w:pPr>
        <w:pStyle w:val="6"/>
        <w:spacing w:before="0" w:after="0" w:afterAutospacing="0"/>
        <w:ind w:left="0" w:right="0" w:firstLine="422" w:firstLineChars="200"/>
        <w:rPr>
          <w:rFonts w:ascii="宋体" w:hAnsi="宋体"/>
          <w:sz w:val="21"/>
          <w:szCs w:val="21"/>
          <w:highlight w:val="none"/>
        </w:rPr>
      </w:pPr>
      <w:bookmarkStart w:id="222" w:name="_Toc22529"/>
      <w:bookmarkStart w:id="223" w:name="_Toc14181"/>
      <w:bookmarkStart w:id="224" w:name="_Toc24583"/>
      <w:bookmarkStart w:id="225" w:name="_Toc25750598"/>
      <w:bookmarkStart w:id="226" w:name="_Toc385427800"/>
      <w:bookmarkStart w:id="227" w:name="_Toc2072"/>
      <w:bookmarkStart w:id="228" w:name="_Toc27124"/>
      <w:bookmarkStart w:id="229" w:name="_Toc15498"/>
      <w:bookmarkStart w:id="230" w:name="_Toc7063"/>
      <w:bookmarkStart w:id="231" w:name="_Toc375039071"/>
      <w:bookmarkStart w:id="232" w:name="_Toc24191"/>
      <w:bookmarkStart w:id="233" w:name="_Toc24128"/>
      <w:bookmarkStart w:id="234" w:name="_Toc15674"/>
      <w:bookmarkStart w:id="235" w:name="_Toc5364"/>
      <w:bookmarkStart w:id="236" w:name="_Toc390098426"/>
      <w:bookmarkStart w:id="237" w:name="_Toc12983512"/>
      <w:bookmarkStart w:id="238" w:name="_Toc492478725"/>
      <w:bookmarkStart w:id="239" w:name="_Toc29795"/>
      <w:bookmarkStart w:id="240" w:name="_Toc383891175"/>
      <w:bookmarkStart w:id="241" w:name="_Toc30378"/>
      <w:bookmarkStart w:id="242" w:name="_Toc2976"/>
      <w:bookmarkStart w:id="243" w:name="_Toc19345"/>
      <w:bookmarkStart w:id="244" w:name="_Toc26952"/>
      <w:bookmarkStart w:id="245" w:name="_Toc15137"/>
      <w:r>
        <w:rPr>
          <w:rFonts w:hint="eastAsia" w:ascii="宋体" w:hAnsi="宋体"/>
          <w:sz w:val="21"/>
          <w:szCs w:val="21"/>
          <w:highlight w:val="none"/>
        </w:rPr>
        <w:t>7.</w:t>
      </w:r>
      <w:r>
        <w:rPr>
          <w:rFonts w:ascii="宋体" w:hAnsi="宋体"/>
          <w:sz w:val="21"/>
          <w:szCs w:val="21"/>
          <w:highlight w:val="none"/>
        </w:rPr>
        <w:t>比选文件的补遗或修改</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pPr>
        <w:spacing w:before="0" w:after="0" w:afterAutospacing="0"/>
        <w:ind w:left="0" w:right="0" w:firstLine="420" w:firstLineChars="200"/>
        <w:rPr>
          <w:rFonts w:ascii="宋体" w:hAnsi="宋体"/>
          <w:highlight w:val="none"/>
        </w:rPr>
      </w:pPr>
      <w:r>
        <w:rPr>
          <w:rFonts w:hint="eastAsia" w:ascii="宋体" w:hAnsi="宋体"/>
          <w:highlight w:val="none"/>
        </w:rPr>
        <w:t xml:space="preserve">7.1 </w:t>
      </w:r>
      <w:r>
        <w:rPr>
          <w:rFonts w:ascii="宋体" w:hAnsi="宋体"/>
          <w:highlight w:val="none"/>
        </w:rPr>
        <w:t>在比选申请截止期前，无论出于何种原因，</w:t>
      </w:r>
      <w:r>
        <w:rPr>
          <w:rFonts w:hint="eastAsia" w:ascii="宋体" w:hAnsi="宋体"/>
          <w:highlight w:val="none"/>
        </w:rPr>
        <w:t>比选人</w:t>
      </w:r>
      <w:r>
        <w:rPr>
          <w:rFonts w:ascii="宋体" w:hAnsi="宋体"/>
          <w:highlight w:val="none"/>
        </w:rPr>
        <w:t>可以主动或应比选申请人澄清要求对比选文件进行必要的补遗或修改。</w:t>
      </w:r>
    </w:p>
    <w:p>
      <w:pPr>
        <w:spacing w:before="0" w:after="0" w:afterAutospacing="0"/>
        <w:ind w:left="0" w:right="0" w:firstLine="420" w:firstLineChars="200"/>
        <w:rPr>
          <w:rFonts w:ascii="宋体" w:hAnsi="宋体"/>
          <w:highlight w:val="none"/>
        </w:rPr>
      </w:pPr>
      <w:r>
        <w:rPr>
          <w:rFonts w:hint="eastAsia" w:ascii="宋体" w:hAnsi="宋体"/>
          <w:highlight w:val="none"/>
        </w:rPr>
        <w:t>7.2 比选文件的补遗或修改通知是比选文件的组成部分，补充比选文件在南宁轨道交通运营有限公司官网上发布之日起，视为比选申请人已收到该补充比选文件。比选申请人未及时关注南宁轨道交通运营有限公司官网上发布的补充比选文件造成的损失，由比选申请人自行负责</w:t>
      </w:r>
      <w:r>
        <w:rPr>
          <w:rFonts w:ascii="宋体" w:hAnsi="宋体"/>
          <w:highlight w:val="none"/>
        </w:rPr>
        <w:t>。</w:t>
      </w:r>
    </w:p>
    <w:p>
      <w:pPr>
        <w:spacing w:before="0" w:after="0" w:afterAutospacing="0"/>
        <w:ind w:left="0" w:right="0" w:firstLine="420" w:firstLineChars="200"/>
        <w:rPr>
          <w:rFonts w:ascii="宋体" w:hAnsi="宋体"/>
          <w:highlight w:val="none"/>
        </w:rPr>
      </w:pPr>
      <w:r>
        <w:rPr>
          <w:rFonts w:hint="eastAsia" w:ascii="宋体" w:hAnsi="宋体"/>
          <w:highlight w:val="none"/>
        </w:rPr>
        <w:t xml:space="preserve">7.3 </w:t>
      </w:r>
      <w:r>
        <w:rPr>
          <w:rFonts w:ascii="宋体" w:hAnsi="宋体"/>
          <w:highlight w:val="none"/>
        </w:rPr>
        <w:t>当后发的补遗或修改通知与原比选文件或此前发出的补遗或修改通知之间存有不一致时，应以后发的补遗或修改通知为准。</w:t>
      </w:r>
    </w:p>
    <w:p>
      <w:pPr>
        <w:spacing w:before="0" w:after="0" w:afterAutospacing="0"/>
        <w:ind w:left="0" w:right="0" w:firstLine="420" w:firstLineChars="200"/>
        <w:rPr>
          <w:rFonts w:ascii="宋体" w:hAnsi="宋体"/>
          <w:highlight w:val="none"/>
        </w:rPr>
      </w:pPr>
      <w:r>
        <w:rPr>
          <w:rFonts w:hint="eastAsia" w:ascii="宋体" w:hAnsi="宋体"/>
          <w:highlight w:val="none"/>
        </w:rPr>
        <w:t xml:space="preserve">7.4 </w:t>
      </w:r>
      <w:r>
        <w:rPr>
          <w:rFonts w:ascii="宋体" w:hAnsi="宋体"/>
          <w:highlight w:val="none"/>
        </w:rPr>
        <w:t>为使比选申请人准备比选申请时有充分时间对比选文件的补遗或修改部分进行研究，</w:t>
      </w:r>
      <w:r>
        <w:rPr>
          <w:rFonts w:hint="eastAsia" w:ascii="宋体" w:hAnsi="宋体"/>
          <w:highlight w:val="none"/>
        </w:rPr>
        <w:t>比选人</w:t>
      </w:r>
      <w:r>
        <w:rPr>
          <w:rFonts w:ascii="宋体" w:hAnsi="宋体"/>
          <w:highlight w:val="none"/>
        </w:rPr>
        <w:t>可适当推迟比选申请截止</w:t>
      </w:r>
      <w:r>
        <w:rPr>
          <w:rFonts w:hint="eastAsia" w:ascii="宋体" w:hAnsi="宋体"/>
          <w:highlight w:val="none"/>
        </w:rPr>
        <w:t>时间</w:t>
      </w:r>
      <w:r>
        <w:rPr>
          <w:rFonts w:ascii="宋体" w:hAnsi="宋体"/>
          <w:highlight w:val="none"/>
        </w:rPr>
        <w:t>。</w:t>
      </w:r>
    </w:p>
    <w:p>
      <w:pPr>
        <w:pStyle w:val="5"/>
        <w:spacing w:after="0" w:afterAutospacing="0" w:line="360" w:lineRule="auto"/>
        <w:ind w:left="0" w:right="0" w:firstLine="482" w:firstLineChars="200"/>
        <w:rPr>
          <w:rFonts w:ascii="宋体" w:hAnsi="宋体" w:eastAsia="宋体"/>
          <w:sz w:val="24"/>
          <w:szCs w:val="24"/>
          <w:highlight w:val="none"/>
        </w:rPr>
      </w:pPr>
      <w:bookmarkStart w:id="246" w:name="_Toc385427801"/>
      <w:bookmarkStart w:id="247" w:name="_Toc17335"/>
      <w:bookmarkStart w:id="248" w:name="_Toc24557"/>
      <w:bookmarkStart w:id="249" w:name="_Toc28044"/>
      <w:bookmarkStart w:id="250" w:name="_Toc17692"/>
      <w:bookmarkStart w:id="251" w:name="_Toc16406"/>
      <w:bookmarkStart w:id="252" w:name="_Toc95"/>
      <w:bookmarkStart w:id="253" w:name="_Toc18679"/>
      <w:bookmarkStart w:id="254" w:name="_Toc7604"/>
      <w:bookmarkStart w:id="255" w:name="_Toc24759"/>
      <w:bookmarkStart w:id="256" w:name="_Toc10869"/>
      <w:bookmarkStart w:id="257" w:name="_Toc14670"/>
      <w:bookmarkStart w:id="258" w:name="_Toc492478726"/>
      <w:bookmarkStart w:id="259" w:name="_Toc27913"/>
      <w:bookmarkStart w:id="260" w:name="_Toc4718"/>
      <w:bookmarkStart w:id="261" w:name="_Toc375039072"/>
      <w:bookmarkStart w:id="262" w:name="_Toc390098427"/>
      <w:bookmarkStart w:id="263" w:name="_Toc14185"/>
      <w:bookmarkStart w:id="264" w:name="_Toc12983513"/>
      <w:bookmarkStart w:id="265" w:name="_Toc25750599"/>
      <w:bookmarkStart w:id="266" w:name="_Toc25361"/>
      <w:bookmarkStart w:id="267" w:name="_Toc383891176"/>
      <w:bookmarkStart w:id="268" w:name="_Toc30363"/>
      <w:bookmarkStart w:id="269" w:name="_Toc2902"/>
      <w:bookmarkStart w:id="270" w:name="_Toc5805"/>
      <w:r>
        <w:rPr>
          <w:rFonts w:hint="eastAsia" w:ascii="宋体" w:hAnsi="宋体" w:eastAsia="宋体"/>
          <w:sz w:val="24"/>
          <w:szCs w:val="24"/>
          <w:highlight w:val="none"/>
        </w:rPr>
        <w:t>三、</w:t>
      </w:r>
      <w:r>
        <w:rPr>
          <w:rFonts w:ascii="宋体" w:hAnsi="宋体" w:eastAsia="宋体"/>
          <w:sz w:val="24"/>
          <w:szCs w:val="24"/>
          <w:highlight w:val="none"/>
        </w:rPr>
        <w:t>比选申请文件的编制</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pPr>
        <w:pStyle w:val="6"/>
        <w:spacing w:before="0" w:after="0" w:afterAutospacing="0"/>
        <w:ind w:left="0" w:right="0" w:firstLine="422" w:firstLineChars="200"/>
        <w:rPr>
          <w:rFonts w:ascii="宋体" w:hAnsi="宋体"/>
          <w:sz w:val="21"/>
          <w:szCs w:val="21"/>
          <w:highlight w:val="none"/>
        </w:rPr>
      </w:pPr>
      <w:bookmarkStart w:id="271" w:name="_Toc13418"/>
      <w:bookmarkStart w:id="272" w:name="_Toc12074"/>
      <w:bookmarkStart w:id="273" w:name="_Toc375039073"/>
      <w:bookmarkStart w:id="274" w:name="_Toc16435"/>
      <w:bookmarkStart w:id="275" w:name="_Toc383891177"/>
      <w:bookmarkStart w:id="276" w:name="_Toc12983514"/>
      <w:bookmarkStart w:id="277" w:name="_Toc492478727"/>
      <w:bookmarkStart w:id="278" w:name="_Toc11259"/>
      <w:bookmarkStart w:id="279" w:name="_Toc4384"/>
      <w:bookmarkStart w:id="280" w:name="_Toc26150"/>
      <w:bookmarkStart w:id="281" w:name="_Toc9592"/>
      <w:bookmarkStart w:id="282" w:name="_Toc20025"/>
      <w:bookmarkStart w:id="283" w:name="_Toc21673"/>
      <w:bookmarkStart w:id="284" w:name="_Toc2819"/>
      <w:bookmarkStart w:id="285" w:name="_Toc18350"/>
      <w:bookmarkStart w:id="286" w:name="_Toc25750600"/>
      <w:bookmarkStart w:id="287" w:name="_Toc23794"/>
      <w:bookmarkStart w:id="288" w:name="_Toc12456"/>
      <w:bookmarkStart w:id="289" w:name="_Toc390098428"/>
      <w:bookmarkStart w:id="290" w:name="_Toc385427802"/>
      <w:bookmarkStart w:id="291" w:name="_Toc26680"/>
      <w:bookmarkStart w:id="292" w:name="_Toc29862"/>
      <w:bookmarkStart w:id="293" w:name="_Toc16186"/>
      <w:bookmarkStart w:id="294" w:name="_Toc1733"/>
      <w:r>
        <w:rPr>
          <w:rFonts w:hint="eastAsia" w:ascii="宋体" w:hAnsi="宋体"/>
          <w:sz w:val="21"/>
          <w:szCs w:val="21"/>
          <w:highlight w:val="none"/>
        </w:rPr>
        <w:t>8.</w:t>
      </w:r>
      <w:r>
        <w:rPr>
          <w:rFonts w:ascii="宋体" w:hAnsi="宋体"/>
          <w:sz w:val="21"/>
          <w:szCs w:val="21"/>
          <w:highlight w:val="none"/>
        </w:rPr>
        <w:t>编制要求</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pPr>
        <w:tabs>
          <w:tab w:val="left" w:pos="1134"/>
          <w:tab w:val="left" w:pos="8364"/>
        </w:tabs>
        <w:spacing w:before="0" w:after="0" w:afterAutospacing="0"/>
        <w:ind w:left="0" w:right="0" w:firstLine="420" w:firstLineChars="200"/>
        <w:rPr>
          <w:rFonts w:ascii="宋体" w:hAnsi="宋体"/>
          <w:highlight w:val="none"/>
        </w:rPr>
      </w:pPr>
      <w:r>
        <w:rPr>
          <w:rFonts w:ascii="宋体" w:hAnsi="宋体"/>
          <w:highlight w:val="none"/>
        </w:rPr>
        <w:t>比选申请人应认真阅读比选文件的所有内容，按比选文件的要求提供比选申请文件，并保证提供的全部资料的真实性，以使其比选申请对比选文件作出实质性响应，否则，其比选申请将被否决。</w:t>
      </w:r>
    </w:p>
    <w:p>
      <w:pPr>
        <w:pStyle w:val="6"/>
        <w:spacing w:before="0" w:after="0" w:afterAutospacing="0"/>
        <w:ind w:left="0" w:right="0" w:firstLine="422" w:firstLineChars="200"/>
        <w:rPr>
          <w:rFonts w:ascii="宋体" w:hAnsi="宋体"/>
          <w:sz w:val="21"/>
          <w:szCs w:val="21"/>
          <w:highlight w:val="none"/>
        </w:rPr>
      </w:pPr>
      <w:bookmarkStart w:id="295" w:name="_Toc22026"/>
      <w:bookmarkStart w:id="296" w:name="_Toc26753"/>
      <w:bookmarkStart w:id="297" w:name="_Toc11161"/>
      <w:bookmarkStart w:id="298" w:name="_Toc15570"/>
      <w:bookmarkStart w:id="299" w:name="_Toc385427803"/>
      <w:bookmarkStart w:id="300" w:name="_Toc12207"/>
      <w:bookmarkStart w:id="301" w:name="_Toc9887"/>
      <w:bookmarkStart w:id="302" w:name="_Toc28296"/>
      <w:bookmarkStart w:id="303" w:name="_Toc16237"/>
      <w:bookmarkStart w:id="304" w:name="_Toc24857"/>
      <w:bookmarkStart w:id="305" w:name="_Toc24935"/>
      <w:bookmarkStart w:id="306" w:name="_Toc19885"/>
      <w:bookmarkStart w:id="307" w:name="_Toc375039074"/>
      <w:bookmarkStart w:id="308" w:name="_Toc390098429"/>
      <w:bookmarkStart w:id="309" w:name="_Toc28065"/>
      <w:bookmarkStart w:id="310" w:name="_Toc492478728"/>
      <w:bookmarkStart w:id="311" w:name="_Toc11040"/>
      <w:bookmarkStart w:id="312" w:name="_Toc12983515"/>
      <w:bookmarkStart w:id="313" w:name="_Toc25770"/>
      <w:bookmarkStart w:id="314" w:name="_Toc3492"/>
      <w:bookmarkStart w:id="315" w:name="_Toc1047"/>
      <w:bookmarkStart w:id="316" w:name="_Toc25750601"/>
      <w:bookmarkStart w:id="317" w:name="_Toc383891178"/>
      <w:bookmarkStart w:id="318" w:name="_Toc6261"/>
      <w:r>
        <w:rPr>
          <w:rFonts w:hint="eastAsia" w:ascii="宋体" w:hAnsi="宋体"/>
          <w:sz w:val="21"/>
          <w:szCs w:val="21"/>
          <w:highlight w:val="none"/>
        </w:rPr>
        <w:t>9.比选申请语言及计量单位</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pPr>
        <w:spacing w:before="0" w:after="0" w:afterAutospacing="0"/>
        <w:ind w:left="0" w:right="0" w:firstLine="420" w:firstLineChars="200"/>
        <w:rPr>
          <w:rFonts w:ascii="宋体" w:hAnsi="宋体"/>
          <w:highlight w:val="none"/>
        </w:rPr>
      </w:pPr>
      <w:r>
        <w:rPr>
          <w:rFonts w:hint="eastAsia" w:ascii="宋体" w:hAnsi="宋体"/>
          <w:highlight w:val="none"/>
        </w:rPr>
        <w:t xml:space="preserve">9.1 </w:t>
      </w:r>
      <w:r>
        <w:rPr>
          <w:rFonts w:ascii="宋体" w:hAnsi="宋体"/>
          <w:highlight w:val="none"/>
        </w:rPr>
        <w:t>比选申请人提交的比选申请文件以及比选申请人与</w:t>
      </w:r>
      <w:r>
        <w:rPr>
          <w:rFonts w:hint="eastAsia" w:ascii="宋体" w:hAnsi="宋体"/>
          <w:highlight w:val="none"/>
        </w:rPr>
        <w:t>比选人</w:t>
      </w:r>
      <w:r>
        <w:rPr>
          <w:rFonts w:ascii="宋体" w:hAnsi="宋体"/>
          <w:highlight w:val="none"/>
        </w:rPr>
        <w:t>就比选申请交换的文件和来往信件应以简体中文书写，同时允许比选申请文件附有英文版作为参考。如中文版本与英文版本有不同的解释时，以中文版本的解释为准。比选申请人提交的支持文件和印制的文献可以使用英文，但相应内容应附有中文翻译。</w:t>
      </w:r>
    </w:p>
    <w:p>
      <w:pPr>
        <w:spacing w:before="0" w:after="0" w:afterAutospacing="0"/>
        <w:ind w:left="0" w:right="0" w:firstLine="420" w:firstLineChars="200"/>
        <w:rPr>
          <w:rFonts w:ascii="宋体" w:hAnsi="宋体"/>
          <w:highlight w:val="none"/>
        </w:rPr>
      </w:pPr>
      <w:r>
        <w:rPr>
          <w:rFonts w:hint="eastAsia" w:ascii="宋体" w:hAnsi="宋体"/>
          <w:highlight w:val="none"/>
        </w:rPr>
        <w:t xml:space="preserve">9.2 </w:t>
      </w:r>
      <w:r>
        <w:rPr>
          <w:rFonts w:ascii="宋体" w:hAnsi="宋体"/>
          <w:highlight w:val="none"/>
        </w:rPr>
        <w:t>除在比选文件另有规定外，计量单位应使用中华人民共和国法定计量单位。</w:t>
      </w:r>
    </w:p>
    <w:p>
      <w:pPr>
        <w:pStyle w:val="6"/>
        <w:spacing w:before="0" w:after="0" w:afterAutospacing="0"/>
        <w:ind w:left="0" w:right="0" w:firstLine="422" w:firstLineChars="200"/>
        <w:rPr>
          <w:rFonts w:ascii="宋体" w:hAnsi="宋体"/>
          <w:sz w:val="21"/>
          <w:szCs w:val="21"/>
          <w:highlight w:val="none"/>
        </w:rPr>
      </w:pPr>
      <w:bookmarkStart w:id="319" w:name="_Toc24760"/>
      <w:bookmarkStart w:id="320" w:name="_Toc19681"/>
      <w:bookmarkStart w:id="321" w:name="_Toc30991"/>
      <w:bookmarkStart w:id="322" w:name="_Toc390098430"/>
      <w:bookmarkStart w:id="323" w:name="_Toc29881"/>
      <w:bookmarkStart w:id="324" w:name="_Toc375039075"/>
      <w:bookmarkStart w:id="325" w:name="_Toc23364"/>
      <w:bookmarkStart w:id="326" w:name="_Toc492478729"/>
      <w:bookmarkStart w:id="327" w:name="_Toc23229"/>
      <w:bookmarkStart w:id="328" w:name="_Toc3411"/>
      <w:bookmarkStart w:id="329" w:name="_Toc383891179"/>
      <w:bookmarkStart w:id="330" w:name="_Toc3877"/>
      <w:bookmarkStart w:id="331" w:name="_Toc3464"/>
      <w:bookmarkStart w:id="332" w:name="_Toc15809"/>
      <w:bookmarkStart w:id="333" w:name="_Toc28164"/>
      <w:bookmarkStart w:id="334" w:name="_Toc22476"/>
      <w:bookmarkStart w:id="335" w:name="_Toc25750602"/>
      <w:bookmarkStart w:id="336" w:name="_Toc14323"/>
      <w:bookmarkStart w:id="337" w:name="_Toc385427804"/>
      <w:bookmarkStart w:id="338" w:name="_Toc53"/>
      <w:bookmarkStart w:id="339" w:name="_Toc16307"/>
      <w:bookmarkStart w:id="340" w:name="_Toc12983516"/>
      <w:bookmarkStart w:id="341" w:name="_Toc18149"/>
      <w:bookmarkStart w:id="342" w:name="_Toc30356"/>
      <w:r>
        <w:rPr>
          <w:rFonts w:hint="eastAsia" w:ascii="宋体" w:hAnsi="宋体"/>
          <w:sz w:val="21"/>
          <w:szCs w:val="21"/>
          <w:highlight w:val="none"/>
        </w:rPr>
        <w:t>10.比选申请文件组成</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pPr>
        <w:tabs>
          <w:tab w:val="left" w:pos="1134"/>
          <w:tab w:val="left" w:pos="1701"/>
          <w:tab w:val="left" w:pos="1843"/>
        </w:tabs>
        <w:spacing w:before="0" w:after="0" w:afterAutospacing="0"/>
        <w:ind w:left="0" w:right="0" w:firstLine="420" w:firstLineChars="200"/>
        <w:rPr>
          <w:rFonts w:ascii="宋体" w:hAnsi="宋体"/>
          <w:highlight w:val="none"/>
        </w:rPr>
      </w:pPr>
      <w:r>
        <w:rPr>
          <w:rFonts w:hint="eastAsia" w:ascii="宋体" w:hAnsi="宋体"/>
          <w:highlight w:val="none"/>
        </w:rPr>
        <w:t xml:space="preserve">10.1 </w:t>
      </w:r>
      <w:r>
        <w:rPr>
          <w:rFonts w:ascii="宋体" w:hAnsi="宋体"/>
          <w:highlight w:val="none"/>
        </w:rPr>
        <w:t>比选申请文件应提供足够、准确和真实的信息，以供评审委员会判断比选申请人是否具备承担本项目的能力。比选申请人递交的比选申请文件</w:t>
      </w:r>
      <w:r>
        <w:rPr>
          <w:rFonts w:hint="eastAsia" w:ascii="宋体" w:hAnsi="宋体"/>
          <w:highlight w:val="none"/>
        </w:rPr>
        <w:t>组成详见比选申请须知前附表</w:t>
      </w:r>
      <w:r>
        <w:rPr>
          <w:rFonts w:ascii="宋体" w:hAnsi="宋体"/>
          <w:highlight w:val="none"/>
        </w:rPr>
        <w:t>。</w:t>
      </w:r>
    </w:p>
    <w:p>
      <w:pPr>
        <w:tabs>
          <w:tab w:val="left" w:pos="1134"/>
          <w:tab w:val="left" w:pos="1701"/>
          <w:tab w:val="left" w:pos="1843"/>
        </w:tabs>
        <w:spacing w:before="0" w:after="0" w:afterAutospacing="0"/>
        <w:ind w:left="0" w:right="0" w:firstLine="422" w:firstLineChars="200"/>
        <w:rPr>
          <w:rFonts w:ascii="宋体" w:hAnsi="宋体"/>
          <w:highlight w:val="none"/>
        </w:rPr>
      </w:pPr>
      <w:r>
        <w:rPr>
          <w:rFonts w:hint="eastAsia" w:ascii="宋体" w:hAnsi="宋体"/>
          <w:b/>
          <w:highlight w:val="none"/>
        </w:rPr>
        <w:t>10.2资格审查文件和技术文件不得透露有关报价的任何信息，否则导致其比选申请被否决。</w:t>
      </w:r>
    </w:p>
    <w:p>
      <w:pPr>
        <w:pStyle w:val="6"/>
        <w:spacing w:before="0" w:after="0" w:afterAutospacing="0"/>
        <w:ind w:left="0" w:right="0" w:firstLine="422" w:firstLineChars="200"/>
        <w:rPr>
          <w:rFonts w:ascii="宋体" w:hAnsi="宋体"/>
          <w:sz w:val="21"/>
          <w:szCs w:val="21"/>
          <w:highlight w:val="none"/>
        </w:rPr>
      </w:pPr>
      <w:bookmarkStart w:id="343" w:name="_Toc23002"/>
      <w:bookmarkStart w:id="344" w:name="_Toc11211"/>
      <w:bookmarkStart w:id="345" w:name="_Toc2395"/>
      <w:bookmarkStart w:id="346" w:name="_Toc675"/>
      <w:bookmarkStart w:id="347" w:name="_Toc21144"/>
      <w:bookmarkStart w:id="348" w:name="_Toc27194"/>
      <w:bookmarkStart w:id="349" w:name="_Toc8151"/>
      <w:bookmarkStart w:id="350" w:name="_Toc20490"/>
      <w:bookmarkStart w:id="351" w:name="_Toc14630"/>
      <w:bookmarkStart w:id="352" w:name="_Toc385427805"/>
      <w:bookmarkStart w:id="353" w:name="_Toc12983517"/>
      <w:bookmarkStart w:id="354" w:name="_Toc3670"/>
      <w:bookmarkStart w:id="355" w:name="_Toc390098431"/>
      <w:bookmarkStart w:id="356" w:name="_Toc15448"/>
      <w:bookmarkStart w:id="357" w:name="_Toc25750603"/>
      <w:bookmarkStart w:id="358" w:name="_Toc14308"/>
      <w:bookmarkStart w:id="359" w:name="_Toc7608"/>
      <w:bookmarkStart w:id="360" w:name="_Toc16783"/>
      <w:bookmarkStart w:id="361" w:name="_Toc20248"/>
      <w:bookmarkStart w:id="362" w:name="_Toc492478730"/>
      <w:bookmarkStart w:id="363" w:name="_Toc375039076"/>
      <w:bookmarkStart w:id="364" w:name="_Toc383891180"/>
      <w:bookmarkStart w:id="365" w:name="_Toc15919"/>
      <w:bookmarkStart w:id="366" w:name="_Toc27019"/>
      <w:r>
        <w:rPr>
          <w:rFonts w:hint="eastAsia" w:ascii="宋体" w:hAnsi="宋体"/>
          <w:sz w:val="21"/>
          <w:szCs w:val="21"/>
          <w:highlight w:val="none"/>
        </w:rPr>
        <w:t>11.</w:t>
      </w:r>
      <w:r>
        <w:rPr>
          <w:rFonts w:ascii="宋体" w:hAnsi="宋体"/>
          <w:sz w:val="21"/>
          <w:szCs w:val="21"/>
          <w:highlight w:val="none"/>
        </w:rPr>
        <w:t>比选申请文件格式</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pP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11.1 </w:t>
      </w:r>
      <w:r>
        <w:rPr>
          <w:rFonts w:ascii="宋体" w:hAnsi="宋体"/>
          <w:highlight w:val="none"/>
        </w:rPr>
        <w:t>比选申请人应按本比选申请须知第10条的内容与要求和提供的格式编写其比选申请文件，比选申请人不得缺少或留空任何比选文件要求填写的表格或提交的资料。</w:t>
      </w:r>
    </w:p>
    <w:p>
      <w:pP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11.2 </w:t>
      </w:r>
      <w:r>
        <w:rPr>
          <w:rFonts w:ascii="宋体" w:hAnsi="宋体"/>
          <w:highlight w:val="none"/>
        </w:rPr>
        <w:t>比选申请人应将比选申请文件按本比选申请须知第10条规定的顺序编排、编制目录、逐页标注连续页码、并装订成册，各分册前须有分册目录。</w:t>
      </w:r>
    </w:p>
    <w:p>
      <w:pP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11.3 </w:t>
      </w:r>
      <w:r>
        <w:rPr>
          <w:rFonts w:ascii="宋体" w:hAnsi="宋体"/>
          <w:highlight w:val="none"/>
        </w:rPr>
        <w:t>比选申请文件的规格：统一为A4印刷本，纸质封面，印刷本厚度</w:t>
      </w:r>
      <w:r>
        <w:rPr>
          <w:rFonts w:hint="eastAsia" w:ascii="宋体" w:hAnsi="宋体"/>
          <w:highlight w:val="none"/>
        </w:rPr>
        <w:t>宜</w:t>
      </w:r>
      <w:r>
        <w:rPr>
          <w:rFonts w:ascii="宋体" w:hAnsi="宋体"/>
          <w:highlight w:val="none"/>
        </w:rPr>
        <w:t>控制在</w:t>
      </w:r>
      <w:r>
        <w:rPr>
          <w:rFonts w:hint="eastAsia" w:ascii="宋体" w:hAnsi="宋体"/>
          <w:highlight w:val="none"/>
        </w:rPr>
        <w:t>5</w:t>
      </w:r>
      <w:r>
        <w:rPr>
          <w:rFonts w:ascii="宋体" w:hAnsi="宋体"/>
          <w:highlight w:val="none"/>
        </w:rPr>
        <w:t>公分以内，超过厚度</w:t>
      </w:r>
      <w:r>
        <w:rPr>
          <w:rFonts w:hint="eastAsia" w:ascii="宋体" w:hAnsi="宋体"/>
          <w:highlight w:val="none"/>
        </w:rPr>
        <w:t>可</w:t>
      </w:r>
      <w:r>
        <w:rPr>
          <w:rFonts w:ascii="宋体" w:hAnsi="宋体"/>
          <w:highlight w:val="none"/>
        </w:rPr>
        <w:t>分册装订。封面标明文件题名、编号、比选申请人名称、比选申请时间，</w:t>
      </w:r>
      <w:r>
        <w:rPr>
          <w:rFonts w:hint="eastAsia" w:ascii="宋体" w:hAnsi="宋体"/>
          <w:highlight w:val="none"/>
        </w:rPr>
        <w:t>封面上标明</w:t>
      </w:r>
      <w:r>
        <w:rPr>
          <w:rFonts w:ascii="宋体" w:hAnsi="宋体"/>
          <w:highlight w:val="none"/>
        </w:rPr>
        <w:t>正本（或副本）。</w:t>
      </w:r>
      <w:r>
        <w:rPr>
          <w:rFonts w:hint="eastAsia" w:ascii="宋体" w:hAnsi="宋体"/>
          <w:highlight w:val="none"/>
        </w:rPr>
        <w:t>使用不锈钢书钉或拉线装订或无线胶装</w:t>
      </w:r>
      <w:r>
        <w:rPr>
          <w:rFonts w:ascii="宋体" w:hAnsi="宋体"/>
          <w:highlight w:val="none"/>
        </w:rPr>
        <w:t>，装订时书钉不外露；不能使用塑料面或塑料胶条装订。</w:t>
      </w:r>
    </w:p>
    <w:p>
      <w:pP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11.4</w:t>
      </w:r>
      <w:r>
        <w:rPr>
          <w:rFonts w:ascii="宋体" w:hAnsi="宋体"/>
          <w:highlight w:val="none"/>
        </w:rPr>
        <w:t>比选申请文件的页码：必须按每本</w:t>
      </w:r>
      <w:r>
        <w:rPr>
          <w:rFonts w:hint="eastAsia" w:ascii="宋体" w:hAnsi="宋体"/>
          <w:highlight w:val="none"/>
        </w:rPr>
        <w:t>正文</w:t>
      </w:r>
      <w:r>
        <w:rPr>
          <w:rFonts w:ascii="宋体" w:hAnsi="宋体"/>
          <w:highlight w:val="none"/>
        </w:rPr>
        <w:t>逐页从1开始，按照流水号编号。</w:t>
      </w:r>
    </w:p>
    <w:p>
      <w:pP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11.5</w:t>
      </w:r>
      <w:r>
        <w:rPr>
          <w:rFonts w:ascii="宋体" w:hAnsi="宋体"/>
          <w:highlight w:val="none"/>
        </w:rPr>
        <w:t>图纸的整理：图纸横向按手风琴折叠，竖向按顺时针方向折叠，折叠后图标露在右下角，每本图纸厚度不</w:t>
      </w:r>
      <w:r>
        <w:rPr>
          <w:rFonts w:hint="eastAsia" w:ascii="宋体" w:hAnsi="宋体"/>
          <w:highlight w:val="none"/>
        </w:rPr>
        <w:t>宜</w:t>
      </w:r>
      <w:r>
        <w:rPr>
          <w:rFonts w:ascii="宋体" w:hAnsi="宋体"/>
          <w:highlight w:val="none"/>
        </w:rPr>
        <w:t>超过4公分，超过</w:t>
      </w:r>
      <w:r>
        <w:rPr>
          <w:rFonts w:hint="eastAsia" w:ascii="宋体" w:hAnsi="宋体"/>
          <w:highlight w:val="none"/>
        </w:rPr>
        <w:t>可</w:t>
      </w:r>
      <w:r>
        <w:rPr>
          <w:rFonts w:ascii="宋体" w:hAnsi="宋体"/>
          <w:highlight w:val="none"/>
        </w:rPr>
        <w:t>分卷装订，每卷图纸从图纸封面起逐张从1开始</w:t>
      </w:r>
      <w:r>
        <w:rPr>
          <w:rFonts w:hint="eastAsia" w:ascii="宋体" w:hAnsi="宋体"/>
          <w:highlight w:val="none"/>
        </w:rPr>
        <w:t>，</w:t>
      </w:r>
      <w:r>
        <w:rPr>
          <w:rFonts w:ascii="宋体" w:hAnsi="宋体"/>
          <w:highlight w:val="none"/>
        </w:rPr>
        <w:t>按照流水号编号。</w:t>
      </w:r>
    </w:p>
    <w:p>
      <w:pPr>
        <w:pStyle w:val="6"/>
        <w:spacing w:before="0" w:after="0" w:afterAutospacing="0"/>
        <w:ind w:left="0" w:right="0" w:firstLine="422" w:firstLineChars="200"/>
        <w:rPr>
          <w:rFonts w:ascii="宋体" w:hAnsi="宋体"/>
          <w:sz w:val="21"/>
          <w:szCs w:val="21"/>
          <w:highlight w:val="none"/>
        </w:rPr>
      </w:pPr>
      <w:bookmarkStart w:id="367" w:name="_Toc16653"/>
      <w:bookmarkStart w:id="368" w:name="_Toc3813"/>
      <w:bookmarkStart w:id="369" w:name="_Toc383891181"/>
      <w:bookmarkStart w:id="370" w:name="_Toc17338"/>
      <w:bookmarkStart w:id="371" w:name="_Toc385427806"/>
      <w:bookmarkStart w:id="372" w:name="_Toc17526"/>
      <w:bookmarkStart w:id="373" w:name="_Toc492478731"/>
      <w:bookmarkStart w:id="374" w:name="_Toc31743"/>
      <w:bookmarkStart w:id="375" w:name="_Toc20685"/>
      <w:bookmarkStart w:id="376" w:name="_Toc26482"/>
      <w:bookmarkStart w:id="377" w:name="_Toc375039077"/>
      <w:bookmarkStart w:id="378" w:name="_Toc9416"/>
      <w:bookmarkStart w:id="379" w:name="_Toc3799"/>
      <w:bookmarkStart w:id="380" w:name="_Toc17379"/>
      <w:bookmarkStart w:id="381" w:name="_Toc6671"/>
      <w:bookmarkStart w:id="382" w:name="_Toc26974"/>
      <w:bookmarkStart w:id="383" w:name="_Toc24264"/>
      <w:bookmarkStart w:id="384" w:name="_Toc14123"/>
      <w:bookmarkStart w:id="385" w:name="_Toc390098432"/>
      <w:bookmarkStart w:id="386" w:name="_Toc7857"/>
      <w:bookmarkStart w:id="387" w:name="_Toc22295"/>
      <w:bookmarkStart w:id="388" w:name="_Toc21084"/>
      <w:bookmarkStart w:id="389" w:name="_Toc12983518"/>
      <w:bookmarkStart w:id="390" w:name="_Toc25750604"/>
      <w:r>
        <w:rPr>
          <w:rFonts w:hint="eastAsia" w:ascii="宋体" w:hAnsi="宋体"/>
          <w:sz w:val="21"/>
          <w:szCs w:val="21"/>
          <w:highlight w:val="none"/>
        </w:rPr>
        <w:t>12.</w:t>
      </w:r>
      <w:r>
        <w:rPr>
          <w:rFonts w:ascii="宋体" w:hAnsi="宋体"/>
          <w:sz w:val="21"/>
          <w:szCs w:val="21"/>
          <w:highlight w:val="none"/>
        </w:rPr>
        <w:t>比选申请报价</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pPr>
        <w:tabs>
          <w:tab w:val="left" w:pos="8364"/>
        </w:tabs>
        <w:spacing w:before="0" w:after="0" w:afterAutospacing="0"/>
        <w:ind w:left="0" w:right="0" w:firstLine="420" w:firstLineChars="200"/>
        <w:rPr>
          <w:rFonts w:ascii="宋体" w:hAnsi="宋体"/>
          <w:highlight w:val="none"/>
        </w:rPr>
      </w:pPr>
      <w:r>
        <w:rPr>
          <w:rFonts w:ascii="宋体" w:hAnsi="宋体"/>
          <w:highlight w:val="none"/>
        </w:rPr>
        <w:t xml:space="preserve">12.1 </w:t>
      </w:r>
      <w:r>
        <w:rPr>
          <w:rFonts w:hint="eastAsia" w:ascii="宋体" w:hAnsi="宋体"/>
          <w:highlight w:val="none"/>
        </w:rPr>
        <w:t>本项目采用不含税报价。</w:t>
      </w:r>
      <w:r>
        <w:rPr>
          <w:rFonts w:hint="eastAsia" w:ascii="宋体" w:hAnsi="宋体"/>
          <w:b/>
          <w:highlight w:val="none"/>
        </w:rPr>
        <w:t>在签订本项目合同时，遵循国家现行税法的相关规定在中标人不含税单价和合价的基础上逐项增加税费，并明确相应税率和税金。含税价格计算保留小数点后两位，含税合价为含税单价与数量的乘积，项目总价为分项合价之和。本合同最终税金在结算阶段，按实际产生的税金进行核算，但合同不含税价格不因国家税率调整而调整</w:t>
      </w:r>
      <w:r>
        <w:rPr>
          <w:rFonts w:hint="eastAsia" w:ascii="宋体" w:hAnsi="宋体"/>
          <w:highlight w:val="none"/>
        </w:rPr>
        <w:t>。比选申请人须按第五章《用户需求书》中的技术需求及工程量清单的顺序填报比选申请报价表，不允许打乱顺序。比选申请人应完整地填写比选文件中提供的“比选申请报价一览表”及“比选申请报价表”。按“比选申请报价表”的要求分别报价。比选申请人在“比选申请报价表”及“比选申请报价一览表”内所填报的总价应相一致。如大写金额与小写金额不一致，以大写金额为准。</w:t>
      </w:r>
    </w:p>
    <w:p>
      <w:pPr>
        <w:tabs>
          <w:tab w:val="left" w:pos="8364"/>
        </w:tabs>
        <w:spacing w:before="0" w:after="0" w:afterAutospacing="0"/>
        <w:ind w:left="0" w:right="0" w:firstLine="420" w:firstLineChars="200"/>
        <w:rPr>
          <w:rFonts w:ascii="宋体" w:hAnsi="宋体"/>
          <w:highlight w:val="none"/>
        </w:rPr>
      </w:pPr>
      <w:r>
        <w:rPr>
          <w:rFonts w:ascii="宋体" w:hAnsi="宋体"/>
          <w:highlight w:val="none"/>
        </w:rPr>
        <w:t xml:space="preserve">12.2 </w:t>
      </w:r>
      <w:r>
        <w:rPr>
          <w:rFonts w:hint="eastAsia" w:ascii="宋体" w:hAnsi="宋体"/>
          <w:highlight w:val="none"/>
        </w:rPr>
        <w:t>比选申请报价应包括完成所有项目内容及质量保证期服务等履行合同标的全过程产生的所有成本、利润及其他费用等全部费用以及比选申请人应承担的费用。</w:t>
      </w:r>
    </w:p>
    <w:p>
      <w:pPr>
        <w:tabs>
          <w:tab w:val="left" w:pos="8364"/>
        </w:tabs>
        <w:spacing w:before="0" w:after="0" w:afterAutospacing="0"/>
        <w:ind w:left="0" w:right="0" w:firstLine="420" w:firstLineChars="200"/>
        <w:rPr>
          <w:highlight w:val="none"/>
        </w:rPr>
      </w:pPr>
      <w:r>
        <w:rPr>
          <w:rFonts w:hint="eastAsia" w:ascii="宋体" w:hAnsi="宋体"/>
          <w:highlight w:val="none"/>
        </w:rPr>
        <w:t>12.3 比选申请人应根据比选文件第五章《用户需求书》的要求及项目的实际需要自行考虑并完善完成项目、服务和施工安装（如有）内容。比选申请报价应将所有内容考虑在内，不得漏项或缺项。比选申请人应逐项计算并填写单价、合价和总价，比选申请人没有填写单价和合价的项目将视为缺项</w:t>
      </w:r>
    </w:p>
    <w:p>
      <w:pPr>
        <w:tabs>
          <w:tab w:val="left" w:pos="8364"/>
        </w:tabs>
        <w:spacing w:before="0" w:after="0" w:afterAutospacing="0"/>
        <w:ind w:left="0" w:right="0" w:firstLine="420" w:firstLineChars="200"/>
        <w:rPr>
          <w:rFonts w:ascii="宋体" w:hAnsi="宋体"/>
          <w:highlight w:val="none"/>
        </w:rPr>
      </w:pPr>
      <w:r>
        <w:rPr>
          <w:rFonts w:ascii="宋体" w:hAnsi="宋体"/>
          <w:highlight w:val="none"/>
        </w:rPr>
        <w:t>12.</w:t>
      </w:r>
      <w:r>
        <w:rPr>
          <w:rFonts w:hint="eastAsia" w:ascii="宋体" w:hAnsi="宋体"/>
          <w:highlight w:val="none"/>
        </w:rPr>
        <w:t>4项目不接受</w:t>
      </w:r>
      <w:r>
        <w:rPr>
          <w:rFonts w:ascii="宋体" w:hAnsi="宋体"/>
          <w:highlight w:val="none"/>
        </w:rPr>
        <w:t>比选申请人免费</w:t>
      </w:r>
      <w:r>
        <w:rPr>
          <w:rFonts w:hint="eastAsia" w:ascii="宋体" w:hAnsi="宋体"/>
          <w:highlight w:val="none"/>
        </w:rPr>
        <w:t>、赠送、打折</w:t>
      </w:r>
      <w:r>
        <w:rPr>
          <w:rFonts w:ascii="宋体" w:hAnsi="宋体"/>
          <w:highlight w:val="none"/>
        </w:rPr>
        <w:t>提供</w:t>
      </w:r>
      <w:r>
        <w:rPr>
          <w:rFonts w:hint="eastAsia" w:ascii="宋体" w:hAnsi="宋体"/>
          <w:highlight w:val="none"/>
        </w:rPr>
        <w:t>任何形式的服务。</w:t>
      </w:r>
    </w:p>
    <w:p>
      <w:pPr>
        <w:spacing w:before="0" w:after="0" w:afterAutospacing="0"/>
        <w:ind w:left="0" w:right="0" w:firstLine="420" w:firstLineChars="200"/>
        <w:rPr>
          <w:rFonts w:ascii="宋体" w:hAnsi="宋体" w:cs="宋体"/>
          <w:highlight w:val="none"/>
        </w:rPr>
      </w:pPr>
      <w:r>
        <w:rPr>
          <w:rFonts w:ascii="宋体" w:hAnsi="宋体"/>
          <w:highlight w:val="none"/>
        </w:rPr>
        <w:t>12.</w:t>
      </w:r>
      <w:r>
        <w:rPr>
          <w:rFonts w:hint="eastAsia" w:ascii="宋体" w:hAnsi="宋体"/>
          <w:highlight w:val="none"/>
        </w:rPr>
        <w:t>5</w:t>
      </w:r>
      <w:r>
        <w:rPr>
          <w:rFonts w:ascii="宋体" w:hAnsi="宋体" w:cs="宋体"/>
          <w:highlight w:val="none"/>
        </w:rPr>
        <w:t xml:space="preserve">比选申请人在编制比选申请报价时应考虑包括但不限于合同实施期间政策、法规变化以及汇率浮动、物价指数浮动等对价格的影响，以可调整的价格或以选择性报价递交的比选申请文件将作为非实质性响应比选申请而被否决。 </w:t>
      </w:r>
    </w:p>
    <w:p>
      <w:pPr>
        <w:tabs>
          <w:tab w:val="left" w:pos="8364"/>
        </w:tabs>
        <w:spacing w:before="0" w:after="0" w:afterAutospacing="0"/>
        <w:ind w:left="0" w:right="0" w:firstLine="420" w:firstLineChars="200"/>
        <w:rPr>
          <w:rFonts w:ascii="宋体" w:hAnsi="宋体"/>
          <w:b/>
          <w:highlight w:val="none"/>
        </w:rPr>
      </w:pPr>
      <w:r>
        <w:rPr>
          <w:rFonts w:ascii="宋体" w:hAnsi="宋体"/>
          <w:highlight w:val="none"/>
        </w:rPr>
        <w:t>12.</w:t>
      </w:r>
      <w:r>
        <w:rPr>
          <w:rFonts w:hint="eastAsia" w:ascii="宋体" w:hAnsi="宋体"/>
          <w:highlight w:val="none"/>
        </w:rPr>
        <w:t>6</w:t>
      </w:r>
      <w:r>
        <w:rPr>
          <w:rFonts w:hint="eastAsia" w:ascii="宋体" w:hAnsi="宋体"/>
          <w:b/>
          <w:highlight w:val="none"/>
        </w:rPr>
        <w:t>比选申请人不得以低于成本的报价竞标，也不得以他人名义比选申请或者以其他方式弄虚作假，骗取中选。</w:t>
      </w:r>
    </w:p>
    <w:p>
      <w:pP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12.7 比选申请人不得在价格文件之外的比选申请文件中出现任何有关本项目的报价信息。</w:t>
      </w:r>
    </w:p>
    <w:p>
      <w:pP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12.8 比选人不接受比选申请人对任何未办理正常进口手续的非中华人民共和国境内生产的货物的比选申请报价。</w:t>
      </w:r>
    </w:p>
    <w:p>
      <w:pPr>
        <w:pStyle w:val="6"/>
        <w:spacing w:before="0" w:after="0" w:afterAutospacing="0"/>
        <w:ind w:left="420" w:leftChars="200" w:right="0" w:firstLine="0"/>
        <w:rPr>
          <w:rFonts w:ascii="宋体" w:hAnsi="宋体"/>
          <w:sz w:val="21"/>
          <w:szCs w:val="21"/>
          <w:highlight w:val="none"/>
        </w:rPr>
      </w:pPr>
      <w:bookmarkStart w:id="391" w:name="_Toc1664"/>
      <w:bookmarkStart w:id="392" w:name="_Toc26064"/>
      <w:bookmarkStart w:id="393" w:name="_Toc12947"/>
      <w:bookmarkStart w:id="394" w:name="_Toc390098433"/>
      <w:bookmarkStart w:id="395" w:name="_Toc10220"/>
      <w:bookmarkStart w:id="396" w:name="_Toc18875"/>
      <w:bookmarkStart w:id="397" w:name="_Toc21706"/>
      <w:bookmarkStart w:id="398" w:name="_Toc28880"/>
      <w:bookmarkStart w:id="399" w:name="_Toc492478732"/>
      <w:bookmarkStart w:id="400" w:name="_Toc25750605"/>
      <w:bookmarkStart w:id="401" w:name="_Toc7428"/>
      <w:bookmarkStart w:id="402" w:name="_Toc12983519"/>
      <w:bookmarkStart w:id="403" w:name="_Toc385427807"/>
      <w:bookmarkStart w:id="404" w:name="_Toc21430"/>
      <w:bookmarkStart w:id="405" w:name="_Toc21448"/>
      <w:bookmarkStart w:id="406" w:name="_Toc5836"/>
      <w:bookmarkStart w:id="407" w:name="_Toc2710"/>
      <w:bookmarkStart w:id="408" w:name="_Toc15940"/>
      <w:bookmarkStart w:id="409" w:name="_Toc383891182"/>
      <w:bookmarkStart w:id="410" w:name="_Toc12762"/>
      <w:bookmarkStart w:id="411" w:name="_Toc20156"/>
      <w:bookmarkStart w:id="412" w:name="_Toc25459"/>
      <w:bookmarkStart w:id="413" w:name="_Toc28476"/>
      <w:bookmarkStart w:id="414" w:name="_Toc375039078"/>
      <w:r>
        <w:rPr>
          <w:rFonts w:hint="eastAsia" w:ascii="宋体" w:hAnsi="宋体"/>
          <w:sz w:val="21"/>
          <w:szCs w:val="21"/>
          <w:highlight w:val="none"/>
        </w:rPr>
        <w:t>13.</w:t>
      </w:r>
      <w:r>
        <w:rPr>
          <w:rFonts w:ascii="宋体" w:hAnsi="宋体"/>
          <w:sz w:val="21"/>
          <w:szCs w:val="21"/>
          <w:highlight w:val="none"/>
        </w:rPr>
        <w:t>比选申请货币</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pPr>
        <w:spacing w:before="0" w:after="0" w:afterAutospacing="0"/>
        <w:ind w:left="0" w:right="0" w:firstLine="420" w:firstLineChars="200"/>
        <w:rPr>
          <w:rFonts w:ascii="宋体" w:hAnsi="宋体"/>
          <w:highlight w:val="none"/>
        </w:rPr>
      </w:pPr>
      <w:r>
        <w:rPr>
          <w:rFonts w:hint="eastAsia" w:ascii="宋体" w:hAnsi="宋体"/>
          <w:highlight w:val="none"/>
        </w:rPr>
        <w:t>13.1</w:t>
      </w:r>
      <w:r>
        <w:rPr>
          <w:rFonts w:ascii="宋体" w:hAnsi="宋体"/>
          <w:highlight w:val="none"/>
        </w:rPr>
        <w:t>比选申请人提供的服务用人民币报价。在比选申请文件中的报价一律用人民币币种填报，</w:t>
      </w:r>
      <w:r>
        <w:rPr>
          <w:rFonts w:hint="eastAsia" w:ascii="宋体" w:hAnsi="宋体"/>
          <w:highlight w:val="none"/>
        </w:rPr>
        <w:t>比选人</w:t>
      </w:r>
      <w:r>
        <w:rPr>
          <w:rFonts w:ascii="宋体" w:hAnsi="宋体"/>
          <w:highlight w:val="none"/>
        </w:rPr>
        <w:t>不接受任何非人民币币种的比选申请报价。</w:t>
      </w:r>
    </w:p>
    <w:p>
      <w:pPr>
        <w:spacing w:before="0" w:after="0" w:afterAutospacing="0"/>
        <w:ind w:left="0" w:right="0" w:firstLine="420" w:firstLineChars="200"/>
        <w:rPr>
          <w:rFonts w:ascii="宋体" w:hAnsi="宋体"/>
          <w:highlight w:val="none"/>
        </w:rPr>
      </w:pPr>
      <w:r>
        <w:rPr>
          <w:rFonts w:hint="eastAsia" w:ascii="宋体" w:hAnsi="宋体"/>
          <w:highlight w:val="none"/>
        </w:rPr>
        <w:t>13.2比选人</w:t>
      </w:r>
      <w:r>
        <w:rPr>
          <w:rFonts w:ascii="宋体" w:hAnsi="宋体"/>
          <w:highlight w:val="none"/>
        </w:rPr>
        <w:t>将以人民币与中选的比选申请人签订合同。</w:t>
      </w:r>
    </w:p>
    <w:p>
      <w:pPr>
        <w:pStyle w:val="6"/>
        <w:spacing w:before="0" w:after="0" w:afterAutospacing="0"/>
        <w:ind w:left="420" w:leftChars="200" w:right="0" w:firstLine="0"/>
        <w:rPr>
          <w:rFonts w:ascii="宋体" w:hAnsi="宋体"/>
          <w:sz w:val="21"/>
          <w:szCs w:val="21"/>
          <w:highlight w:val="none"/>
        </w:rPr>
      </w:pPr>
      <w:bookmarkStart w:id="415" w:name="_Toc28665"/>
      <w:bookmarkStart w:id="416" w:name="_Toc24199"/>
      <w:bookmarkStart w:id="417" w:name="_Toc383891185"/>
      <w:bookmarkStart w:id="418" w:name="_Toc16314"/>
      <w:bookmarkStart w:id="419" w:name="_Toc1530"/>
      <w:bookmarkStart w:id="420" w:name="_Toc390098436"/>
      <w:bookmarkStart w:id="421" w:name="_Toc14922"/>
      <w:bookmarkStart w:id="422" w:name="_Toc14309"/>
      <w:bookmarkStart w:id="423" w:name="_Toc492478735"/>
      <w:bookmarkStart w:id="424" w:name="_Toc30606"/>
      <w:bookmarkStart w:id="425" w:name="_Toc375039081"/>
      <w:bookmarkStart w:id="426" w:name="_Toc9237"/>
      <w:bookmarkStart w:id="427" w:name="_Toc25750606"/>
      <w:bookmarkStart w:id="428" w:name="_Toc12049"/>
      <w:bookmarkStart w:id="429" w:name="_Toc7417"/>
      <w:bookmarkStart w:id="430" w:name="_Toc27508"/>
      <w:bookmarkStart w:id="431" w:name="_Toc12983520"/>
      <w:bookmarkStart w:id="432" w:name="_Toc5974"/>
      <w:bookmarkStart w:id="433" w:name="_Toc11690"/>
      <w:bookmarkStart w:id="434" w:name="_Toc385427810"/>
      <w:bookmarkStart w:id="435" w:name="_Toc30040"/>
      <w:bookmarkStart w:id="436" w:name="_Toc22051"/>
      <w:bookmarkStart w:id="437" w:name="_Toc30848"/>
      <w:bookmarkStart w:id="438" w:name="_Toc1624"/>
      <w:r>
        <w:rPr>
          <w:rFonts w:hint="eastAsia" w:ascii="宋体" w:hAnsi="宋体"/>
          <w:sz w:val="21"/>
          <w:szCs w:val="21"/>
          <w:highlight w:val="none"/>
        </w:rPr>
        <w:t>14.</w:t>
      </w:r>
      <w:r>
        <w:rPr>
          <w:rFonts w:ascii="宋体" w:hAnsi="宋体"/>
          <w:sz w:val="21"/>
          <w:szCs w:val="21"/>
          <w:highlight w:val="none"/>
        </w:rPr>
        <w:t>比选保证金</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pPr>
        <w:pStyle w:val="12"/>
        <w:spacing w:before="0" w:after="0" w:afterAutospacing="0"/>
        <w:ind w:left="0" w:right="0" w:firstLine="420" w:firstLineChars="200"/>
        <w:rPr>
          <w:rFonts w:hAnsi="宋体" w:cs="Times New Roman"/>
          <w:sz w:val="21"/>
          <w:szCs w:val="21"/>
          <w:highlight w:val="none"/>
        </w:rPr>
      </w:pPr>
      <w:r>
        <w:rPr>
          <w:rFonts w:hint="eastAsia" w:hAnsi="宋体" w:cs="Times New Roman"/>
          <w:sz w:val="21"/>
          <w:szCs w:val="21"/>
          <w:highlight w:val="none"/>
        </w:rPr>
        <w:t>本项目</w:t>
      </w:r>
      <w:r>
        <w:rPr>
          <w:rFonts w:hint="eastAsia" w:hAnsi="宋体"/>
          <w:sz w:val="21"/>
          <w:szCs w:val="21"/>
          <w:highlight w:val="none"/>
        </w:rPr>
        <w:t>不要求递交比选保证金。</w:t>
      </w:r>
    </w:p>
    <w:p>
      <w:pPr>
        <w:pStyle w:val="6"/>
        <w:spacing w:before="0" w:after="0" w:afterAutospacing="0"/>
        <w:ind w:left="0" w:right="0" w:firstLine="422" w:firstLineChars="200"/>
        <w:rPr>
          <w:rFonts w:ascii="宋体" w:hAnsi="宋体"/>
          <w:sz w:val="21"/>
          <w:szCs w:val="21"/>
          <w:highlight w:val="none"/>
        </w:rPr>
      </w:pPr>
      <w:bookmarkStart w:id="439" w:name="_Toc20070"/>
      <w:bookmarkStart w:id="440" w:name="_Toc12983521"/>
      <w:bookmarkStart w:id="441" w:name="_Toc25750607"/>
      <w:bookmarkStart w:id="442" w:name="_Toc492478736"/>
      <w:bookmarkStart w:id="443" w:name="_Toc24656"/>
      <w:bookmarkStart w:id="444" w:name="_Toc691"/>
      <w:bookmarkStart w:id="445" w:name="_Toc28555"/>
      <w:bookmarkStart w:id="446" w:name="_Toc30499"/>
      <w:bookmarkStart w:id="447" w:name="_Toc9117"/>
      <w:bookmarkStart w:id="448" w:name="_Toc383891186"/>
      <w:bookmarkStart w:id="449" w:name="_Toc1604"/>
      <w:bookmarkStart w:id="450" w:name="_Toc845"/>
      <w:bookmarkStart w:id="451" w:name="_Toc23114"/>
      <w:bookmarkStart w:id="452" w:name="_Toc20643"/>
      <w:bookmarkStart w:id="453" w:name="_Toc4433"/>
      <w:bookmarkStart w:id="454" w:name="_Toc28997"/>
      <w:bookmarkStart w:id="455" w:name="_Toc20493"/>
      <w:bookmarkStart w:id="456" w:name="_Toc7808"/>
      <w:bookmarkStart w:id="457" w:name="_Toc2268"/>
      <w:bookmarkStart w:id="458" w:name="_Toc10918"/>
      <w:bookmarkStart w:id="459" w:name="_Toc5690"/>
      <w:bookmarkStart w:id="460" w:name="_Toc385427811"/>
      <w:bookmarkStart w:id="461" w:name="_Toc375039082"/>
      <w:bookmarkStart w:id="462" w:name="_Toc390098437"/>
      <w:r>
        <w:rPr>
          <w:rFonts w:hint="eastAsia" w:ascii="宋体" w:hAnsi="宋体"/>
          <w:sz w:val="21"/>
          <w:szCs w:val="21"/>
          <w:highlight w:val="none"/>
        </w:rPr>
        <w:t>15.</w:t>
      </w:r>
      <w:r>
        <w:rPr>
          <w:rFonts w:ascii="宋体" w:hAnsi="宋体"/>
          <w:sz w:val="21"/>
          <w:szCs w:val="21"/>
          <w:highlight w:val="none"/>
        </w:rPr>
        <w:t>比选申请有效期</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15.1 </w:t>
      </w:r>
      <w:r>
        <w:rPr>
          <w:rFonts w:ascii="宋体" w:hAnsi="宋体"/>
          <w:highlight w:val="none"/>
        </w:rPr>
        <w:t>根据本须知前附表规定，比选申请应在比选申请须知前附表中规定的时间内保持有效。比选申请有效期不满足要求的比选申请将被视为非实质性响应比选申请而予以否决。</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15.2 </w:t>
      </w:r>
      <w:r>
        <w:rPr>
          <w:rFonts w:ascii="宋体" w:hAnsi="宋体"/>
          <w:highlight w:val="none"/>
        </w:rPr>
        <w:t>特殊情况下，</w:t>
      </w:r>
      <w:r>
        <w:rPr>
          <w:rFonts w:hint="eastAsia" w:ascii="宋体" w:hAnsi="宋体"/>
          <w:highlight w:val="none"/>
        </w:rPr>
        <w:t>比选人</w:t>
      </w:r>
      <w:r>
        <w:rPr>
          <w:rFonts w:ascii="宋体" w:hAnsi="宋体"/>
          <w:highlight w:val="none"/>
        </w:rPr>
        <w:t>可于比选申请有效期满之前要求比选申请人同意延长有效期，要求与答复均应为书面形式。比选申请人可以拒绝上述要求，但其比选申请将被否决。对于同意该要求的比选申请人，既不要求也不允许其修改比选申请文件</w:t>
      </w:r>
      <w:r>
        <w:rPr>
          <w:rFonts w:hint="eastAsia" w:ascii="宋体" w:hAnsi="宋体"/>
          <w:highlight w:val="none"/>
        </w:rPr>
        <w:t>。</w:t>
      </w:r>
    </w:p>
    <w:p>
      <w:pPr>
        <w:pStyle w:val="6"/>
        <w:spacing w:before="0" w:after="0" w:afterAutospacing="0"/>
        <w:ind w:left="0" w:right="0" w:firstLine="422" w:firstLineChars="200"/>
        <w:rPr>
          <w:rFonts w:ascii="宋体" w:hAnsi="宋体"/>
          <w:sz w:val="21"/>
          <w:szCs w:val="21"/>
          <w:highlight w:val="none"/>
        </w:rPr>
      </w:pPr>
      <w:bookmarkStart w:id="463" w:name="_Toc4216"/>
      <w:bookmarkStart w:id="464" w:name="_Toc29108"/>
      <w:bookmarkStart w:id="465" w:name="_Toc12506"/>
      <w:bookmarkStart w:id="466" w:name="_Toc390098438"/>
      <w:bookmarkStart w:id="467" w:name="_Toc19603"/>
      <w:bookmarkStart w:id="468" w:name="_Toc25684"/>
      <w:bookmarkStart w:id="469" w:name="_Toc27730"/>
      <w:bookmarkStart w:id="470" w:name="_Toc32020"/>
      <w:bookmarkStart w:id="471" w:name="_Toc12983522"/>
      <w:bookmarkStart w:id="472" w:name="_Toc8100"/>
      <w:bookmarkStart w:id="473" w:name="_Toc6065"/>
      <w:bookmarkStart w:id="474" w:name="_Toc301"/>
      <w:bookmarkStart w:id="475" w:name="_Toc385427812"/>
      <w:bookmarkStart w:id="476" w:name="_Toc32525"/>
      <w:bookmarkStart w:id="477" w:name="_Toc12435"/>
      <w:bookmarkStart w:id="478" w:name="_Toc14672"/>
      <w:bookmarkStart w:id="479" w:name="_Toc25468"/>
      <w:bookmarkStart w:id="480" w:name="_Toc24922"/>
      <w:bookmarkStart w:id="481" w:name="_Toc375039083"/>
      <w:bookmarkStart w:id="482" w:name="_Toc492478737"/>
      <w:bookmarkStart w:id="483" w:name="_Toc383891187"/>
      <w:bookmarkStart w:id="484" w:name="_Toc19044"/>
      <w:bookmarkStart w:id="485" w:name="_Toc3414"/>
      <w:r>
        <w:rPr>
          <w:rFonts w:hint="eastAsia" w:ascii="宋体" w:hAnsi="宋体"/>
          <w:sz w:val="21"/>
          <w:szCs w:val="21"/>
          <w:highlight w:val="none"/>
        </w:rPr>
        <w:t>16.比选申请文件的制作和签署</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16.1 </w:t>
      </w:r>
      <w:r>
        <w:rPr>
          <w:rFonts w:ascii="宋体" w:hAnsi="宋体"/>
          <w:highlight w:val="none"/>
        </w:rPr>
        <w:t>比选申请人应按比选申请须知前附表所示套数准备比选申请文件。每套比选申请文件封面上应清楚地注明比选项目名称、项目编号及比选申请人名称，同时加盖公章并由</w:t>
      </w:r>
      <w:r>
        <w:rPr>
          <w:rFonts w:hint="eastAsia" w:ascii="宋体" w:hAnsi="宋体"/>
          <w:highlight w:val="none"/>
        </w:rPr>
        <w:t>法定代表人或被授权人</w:t>
      </w:r>
      <w:r>
        <w:rPr>
          <w:rFonts w:ascii="宋体" w:hAnsi="宋体"/>
          <w:highlight w:val="none"/>
        </w:rPr>
        <w:t>签字或盖章，且须清楚地标明“正本”、“副本”或“电子文件”。若正本和副本不符，以正本为准，电子版与纸</w:t>
      </w:r>
      <w:r>
        <w:rPr>
          <w:rFonts w:hint="eastAsia" w:ascii="宋体" w:hAnsi="宋体"/>
          <w:highlight w:val="none"/>
        </w:rPr>
        <w:t>质</w:t>
      </w:r>
      <w:r>
        <w:rPr>
          <w:rFonts w:ascii="宋体" w:hAnsi="宋体"/>
          <w:highlight w:val="none"/>
        </w:rPr>
        <w:t>文件不符以纸</w:t>
      </w:r>
      <w:r>
        <w:rPr>
          <w:rFonts w:hint="eastAsia" w:ascii="宋体" w:hAnsi="宋体"/>
          <w:highlight w:val="none"/>
        </w:rPr>
        <w:t>质</w:t>
      </w:r>
      <w:r>
        <w:rPr>
          <w:rFonts w:ascii="宋体" w:hAnsi="宋体"/>
          <w:highlight w:val="none"/>
        </w:rPr>
        <w:t>文件为准。</w:t>
      </w:r>
      <w:r>
        <w:rPr>
          <w:rFonts w:hint="eastAsia" w:ascii="宋体" w:hAnsi="宋体"/>
          <w:b/>
          <w:highlight w:val="none"/>
        </w:rPr>
        <w:t>比选申请文件要按照资格审查文件、价格文件和技术文件三部分文件单独装订成册。并按照比选申请须知规定的式样、密封和标记、时间和地点递交。</w:t>
      </w:r>
    </w:p>
    <w:p>
      <w:pPr>
        <w:tabs>
          <w:tab w:val="left" w:pos="1134"/>
          <w:tab w:val="left" w:pos="8364"/>
        </w:tabs>
        <w:spacing w:before="0" w:after="0" w:afterAutospacing="0"/>
        <w:ind w:left="0" w:right="0" w:firstLine="422" w:firstLineChars="200"/>
        <w:rPr>
          <w:rFonts w:ascii="宋体" w:hAnsi="宋体"/>
          <w:b/>
          <w:highlight w:val="none"/>
        </w:rPr>
      </w:pPr>
      <w:r>
        <w:rPr>
          <w:rFonts w:hint="eastAsia" w:ascii="宋体" w:hAnsi="宋体"/>
          <w:b/>
          <w:highlight w:val="none"/>
        </w:rPr>
        <w:t xml:space="preserve">16.2 </w:t>
      </w:r>
      <w:r>
        <w:rPr>
          <w:rFonts w:ascii="宋体" w:hAnsi="宋体"/>
          <w:b/>
          <w:highlight w:val="none"/>
        </w:rPr>
        <w:t>比选申请文件的正本需打印，并由比选申请人</w:t>
      </w:r>
      <w:r>
        <w:rPr>
          <w:rFonts w:hint="eastAsia" w:ascii="宋体" w:hAnsi="宋体"/>
          <w:b/>
          <w:highlight w:val="none"/>
        </w:rPr>
        <w:t>法定代表人或被授权人在比选文件规定的相关位置</w:t>
      </w:r>
      <w:r>
        <w:rPr>
          <w:rFonts w:ascii="宋体" w:hAnsi="宋体"/>
          <w:b/>
          <w:highlight w:val="none"/>
        </w:rPr>
        <w:t>签字并加盖公章。</w:t>
      </w:r>
      <w:r>
        <w:rPr>
          <w:rFonts w:hint="eastAsia" w:ascii="宋体" w:hAnsi="宋体"/>
          <w:b/>
          <w:highlight w:val="none"/>
        </w:rPr>
        <w:t>被授权人</w:t>
      </w:r>
      <w:r>
        <w:rPr>
          <w:rFonts w:ascii="宋体" w:hAnsi="宋体"/>
          <w:b/>
          <w:highlight w:val="none"/>
        </w:rPr>
        <w:t>应将以书面形式出具的“法定代表人授权书”附在比选申请文件中。</w:t>
      </w:r>
      <w:r>
        <w:rPr>
          <w:rFonts w:hint="eastAsia" w:ascii="宋体" w:hAnsi="宋体"/>
          <w:b/>
          <w:highlight w:val="none"/>
        </w:rPr>
        <w:t>比选申请文件正本需</w:t>
      </w:r>
      <w:r>
        <w:rPr>
          <w:rFonts w:ascii="宋体" w:hAnsi="宋体"/>
          <w:b/>
          <w:highlight w:val="none"/>
        </w:rPr>
        <w:t>骑缝加盖比选申请人单位公章</w:t>
      </w:r>
      <w:r>
        <w:rPr>
          <w:rFonts w:hint="eastAsia" w:ascii="宋体" w:hAnsi="宋体"/>
          <w:b/>
          <w:highlight w:val="none"/>
        </w:rPr>
        <w:t>，</w:t>
      </w:r>
      <w:r>
        <w:rPr>
          <w:rFonts w:ascii="宋体" w:hAnsi="宋体"/>
          <w:b/>
          <w:highlight w:val="none"/>
        </w:rPr>
        <w:t>比选申请文件的副本可采用正本的复印件</w:t>
      </w:r>
      <w:r>
        <w:rPr>
          <w:rFonts w:hint="eastAsia" w:ascii="宋体" w:hAnsi="宋体"/>
          <w:b/>
          <w:highlight w:val="none"/>
        </w:rPr>
        <w:t>（需</w:t>
      </w:r>
      <w:r>
        <w:rPr>
          <w:rFonts w:ascii="宋体" w:hAnsi="宋体"/>
          <w:b/>
          <w:highlight w:val="none"/>
        </w:rPr>
        <w:t>骑缝加盖比选申请人单位公章</w:t>
      </w:r>
      <w:r>
        <w:rPr>
          <w:rFonts w:hint="eastAsia" w:ascii="宋体" w:hAnsi="宋体"/>
          <w:b/>
          <w:highlight w:val="none"/>
        </w:rPr>
        <w:t>）</w:t>
      </w:r>
      <w:r>
        <w:rPr>
          <w:rFonts w:ascii="宋体" w:hAnsi="宋体"/>
          <w:b/>
          <w:highlight w:val="none"/>
        </w:rPr>
        <w:t>。</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16.3 </w:t>
      </w:r>
      <w:r>
        <w:rPr>
          <w:rFonts w:ascii="宋体" w:hAnsi="宋体"/>
          <w:highlight w:val="none"/>
        </w:rPr>
        <w:t>比选申请文件应无涂改和行间插字，除非是比选申请人造成的必须修改的错误，任何行间插字、涂改和增删，必须由比选申请人</w:t>
      </w:r>
      <w:r>
        <w:rPr>
          <w:rFonts w:hint="eastAsia" w:ascii="宋体" w:hAnsi="宋体"/>
          <w:highlight w:val="none"/>
        </w:rPr>
        <w:t>法定代表人或被授权人</w:t>
      </w:r>
      <w:r>
        <w:rPr>
          <w:rFonts w:ascii="宋体" w:hAnsi="宋体"/>
          <w:highlight w:val="none"/>
        </w:rPr>
        <w:t>在旁边签字或盖章确认才有效。</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16.4 比选人</w:t>
      </w:r>
      <w:r>
        <w:rPr>
          <w:rFonts w:ascii="宋体" w:hAnsi="宋体"/>
          <w:highlight w:val="none"/>
        </w:rPr>
        <w:t>拒绝接受以</w:t>
      </w:r>
      <w:r>
        <w:rPr>
          <w:rFonts w:hint="eastAsia" w:ascii="宋体" w:hAnsi="宋体"/>
          <w:highlight w:val="none"/>
        </w:rPr>
        <w:t>邮寄、</w:t>
      </w:r>
      <w:r>
        <w:rPr>
          <w:rFonts w:ascii="宋体" w:hAnsi="宋体"/>
          <w:highlight w:val="none"/>
        </w:rPr>
        <w:t>电报、电话、传真、电子邮件形式的比选申请。</w:t>
      </w:r>
    </w:p>
    <w:p>
      <w:pPr>
        <w:pStyle w:val="5"/>
        <w:spacing w:after="0" w:afterAutospacing="0" w:line="360" w:lineRule="auto"/>
        <w:ind w:left="0" w:right="0" w:firstLine="482" w:firstLineChars="200"/>
        <w:rPr>
          <w:rFonts w:ascii="宋体" w:hAnsi="宋体" w:eastAsia="宋体"/>
          <w:sz w:val="24"/>
          <w:szCs w:val="24"/>
          <w:highlight w:val="none"/>
        </w:rPr>
      </w:pPr>
      <w:bookmarkStart w:id="486" w:name="_Toc375039084"/>
      <w:bookmarkStart w:id="487" w:name="_Toc390098439"/>
      <w:bookmarkStart w:id="488" w:name="_Toc383891188"/>
      <w:bookmarkStart w:id="489" w:name="_Toc385427813"/>
      <w:bookmarkStart w:id="490" w:name="_Toc15116"/>
      <w:bookmarkStart w:id="491" w:name="_Toc26776"/>
      <w:bookmarkStart w:id="492" w:name="_Toc26551"/>
      <w:bookmarkStart w:id="493" w:name="_Toc18322"/>
      <w:bookmarkStart w:id="494" w:name="_Toc6101"/>
      <w:bookmarkStart w:id="495" w:name="_Toc32054"/>
      <w:bookmarkStart w:id="496" w:name="_Toc1952"/>
      <w:bookmarkStart w:id="497" w:name="_Toc23177"/>
      <w:bookmarkStart w:id="498" w:name="_Toc30187"/>
      <w:bookmarkStart w:id="499" w:name="_Toc30452"/>
      <w:bookmarkStart w:id="500" w:name="_Toc492478738"/>
      <w:bookmarkStart w:id="501" w:name="_Toc2975"/>
      <w:bookmarkStart w:id="502" w:name="_Toc1438"/>
      <w:bookmarkStart w:id="503" w:name="_Toc10234"/>
      <w:bookmarkStart w:id="504" w:name="_Toc25750608"/>
      <w:bookmarkStart w:id="505" w:name="_Toc16409"/>
      <w:bookmarkStart w:id="506" w:name="_Toc1315"/>
      <w:bookmarkStart w:id="507" w:name="_Toc2113"/>
      <w:bookmarkStart w:id="508" w:name="_Toc12983523"/>
      <w:bookmarkStart w:id="509" w:name="_Toc759"/>
      <w:bookmarkStart w:id="510" w:name="_Toc30962"/>
      <w:r>
        <w:rPr>
          <w:rFonts w:hint="eastAsia" w:ascii="宋体" w:hAnsi="宋体" w:eastAsia="宋体"/>
          <w:sz w:val="24"/>
          <w:szCs w:val="24"/>
          <w:highlight w:val="none"/>
        </w:rPr>
        <w:t>四、</w:t>
      </w:r>
      <w:r>
        <w:rPr>
          <w:rFonts w:ascii="宋体" w:hAnsi="宋体" w:eastAsia="宋体"/>
          <w:sz w:val="24"/>
          <w:szCs w:val="24"/>
          <w:highlight w:val="none"/>
        </w:rPr>
        <w:t>比选申请文件</w:t>
      </w:r>
      <w:bookmarkEnd w:id="486"/>
      <w:bookmarkEnd w:id="487"/>
      <w:bookmarkEnd w:id="488"/>
      <w:bookmarkEnd w:id="489"/>
      <w:r>
        <w:rPr>
          <w:rFonts w:hint="eastAsia" w:ascii="宋体" w:hAnsi="宋体" w:eastAsia="宋体"/>
          <w:sz w:val="24"/>
          <w:szCs w:val="24"/>
          <w:highlight w:val="none"/>
        </w:rPr>
        <w:t>的密封和递交</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pPr>
        <w:pStyle w:val="6"/>
        <w:spacing w:before="0" w:after="0" w:afterAutospacing="0"/>
        <w:ind w:left="0" w:right="0" w:firstLine="422" w:firstLineChars="200"/>
        <w:rPr>
          <w:rFonts w:ascii="宋体" w:hAnsi="宋体"/>
          <w:sz w:val="21"/>
          <w:szCs w:val="21"/>
          <w:highlight w:val="none"/>
        </w:rPr>
      </w:pPr>
      <w:bookmarkStart w:id="511" w:name="_Toc13829"/>
      <w:bookmarkStart w:id="512" w:name="_Toc15663"/>
      <w:bookmarkStart w:id="513" w:name="_Toc15071"/>
      <w:bookmarkStart w:id="514" w:name="_Toc13621"/>
      <w:bookmarkStart w:id="515" w:name="_Toc19495"/>
      <w:bookmarkStart w:id="516" w:name="_Toc13875"/>
      <w:bookmarkStart w:id="517" w:name="_Toc15735"/>
      <w:bookmarkStart w:id="518" w:name="_Toc18616"/>
      <w:bookmarkStart w:id="519" w:name="_Toc492478739"/>
      <w:bookmarkStart w:id="520" w:name="_Toc5922"/>
      <w:bookmarkStart w:id="521" w:name="_Toc12329"/>
      <w:bookmarkStart w:id="522" w:name="_Toc17200"/>
      <w:bookmarkStart w:id="523" w:name="_Toc26249"/>
      <w:bookmarkStart w:id="524" w:name="_Toc9307"/>
      <w:bookmarkStart w:id="525" w:name="_Toc24648"/>
      <w:bookmarkStart w:id="526" w:name="_Toc30196"/>
      <w:bookmarkStart w:id="527" w:name="_Toc383891189"/>
      <w:bookmarkStart w:id="528" w:name="_Toc12983524"/>
      <w:bookmarkStart w:id="529" w:name="_Toc15650"/>
      <w:bookmarkStart w:id="530" w:name="_Toc385427814"/>
      <w:bookmarkStart w:id="531" w:name="_Toc375039085"/>
      <w:bookmarkStart w:id="532" w:name="_Toc390098440"/>
      <w:bookmarkStart w:id="533" w:name="_Toc25750609"/>
      <w:bookmarkStart w:id="534" w:name="_Toc12117"/>
      <w:r>
        <w:rPr>
          <w:rFonts w:hint="eastAsia" w:ascii="宋体" w:hAnsi="宋体"/>
          <w:sz w:val="21"/>
          <w:szCs w:val="21"/>
          <w:highlight w:val="none"/>
        </w:rPr>
        <w:t>17.</w:t>
      </w:r>
      <w:r>
        <w:rPr>
          <w:rFonts w:ascii="宋体" w:hAnsi="宋体"/>
          <w:sz w:val="21"/>
          <w:szCs w:val="21"/>
          <w:highlight w:val="none"/>
        </w:rPr>
        <w:t>比选申请文件</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pPr>
        <w:tabs>
          <w:tab w:val="left" w:pos="1134"/>
          <w:tab w:val="left" w:pos="8364"/>
        </w:tabs>
        <w:spacing w:before="0" w:after="0" w:afterAutospacing="0"/>
        <w:ind w:left="0" w:right="0" w:firstLine="420" w:firstLineChars="200"/>
        <w:rPr>
          <w:rFonts w:ascii="宋体" w:hAnsi="宋体"/>
          <w:highlight w:val="none"/>
        </w:rPr>
      </w:pPr>
      <w:bookmarkStart w:id="535" w:name="_Toc385427815"/>
      <w:bookmarkStart w:id="536" w:name="_Toc390098441"/>
      <w:bookmarkStart w:id="537" w:name="_Toc383891190"/>
      <w:bookmarkStart w:id="538" w:name="_Toc375039086"/>
      <w:r>
        <w:rPr>
          <w:rFonts w:hint="eastAsia" w:ascii="宋体" w:hAnsi="宋体"/>
          <w:highlight w:val="none"/>
        </w:rPr>
        <w:t xml:space="preserve">17.1 </w:t>
      </w:r>
      <w:r>
        <w:rPr>
          <w:rFonts w:ascii="宋体" w:hAnsi="宋体"/>
          <w:highlight w:val="none"/>
        </w:rPr>
        <w:t>封装方式</w:t>
      </w:r>
    </w:p>
    <w:p>
      <w:pPr>
        <w:tabs>
          <w:tab w:val="left" w:pos="420"/>
          <w:tab w:val="left" w:pos="720"/>
          <w:tab w:val="left" w:pos="1134"/>
        </w:tabs>
        <w:spacing w:before="0" w:after="0" w:afterAutospacing="0"/>
        <w:ind w:left="0" w:right="0" w:firstLine="420" w:firstLineChars="200"/>
        <w:rPr>
          <w:rFonts w:ascii="宋体" w:hAnsi="宋体"/>
          <w:highlight w:val="none"/>
        </w:rPr>
      </w:pPr>
      <w:r>
        <w:rPr>
          <w:rFonts w:hint="eastAsia" w:ascii="宋体" w:hAnsi="宋体"/>
          <w:highlight w:val="none"/>
        </w:rPr>
        <w:t>（1）比选申请文件正本与副本应分别装订成册，封面上应分别标明“正本”和“副本”字样。</w:t>
      </w:r>
    </w:p>
    <w:p>
      <w:pPr>
        <w:tabs>
          <w:tab w:val="left" w:pos="420"/>
          <w:tab w:val="left" w:pos="720"/>
          <w:tab w:val="left" w:pos="1134"/>
        </w:tabs>
        <w:spacing w:before="0" w:after="0" w:afterAutospacing="0"/>
        <w:ind w:left="0" w:right="0" w:firstLine="420" w:firstLineChars="200"/>
        <w:rPr>
          <w:rFonts w:ascii="宋体" w:hAnsi="宋体"/>
          <w:highlight w:val="none"/>
        </w:rPr>
      </w:pPr>
      <w:r>
        <w:rPr>
          <w:rFonts w:hint="eastAsia" w:ascii="宋体" w:hAnsi="宋体"/>
          <w:highlight w:val="none"/>
        </w:rPr>
        <w:t>（</w:t>
      </w:r>
      <w:r>
        <w:rPr>
          <w:rFonts w:ascii="宋体" w:hAnsi="宋体"/>
          <w:highlight w:val="none"/>
        </w:rPr>
        <w:t>2</w:t>
      </w:r>
      <w:r>
        <w:rPr>
          <w:rFonts w:hint="eastAsia" w:ascii="宋体" w:hAnsi="宋体"/>
          <w:highlight w:val="none"/>
        </w:rPr>
        <w:t>）比选申请人可将比选申请文件封装为</w:t>
      </w:r>
      <w:r>
        <w:rPr>
          <w:rFonts w:ascii="宋体" w:hAnsi="宋体"/>
          <w:highlight w:val="none"/>
        </w:rPr>
        <w:t>1</w:t>
      </w:r>
      <w:r>
        <w:rPr>
          <w:rFonts w:hint="eastAsia" w:ascii="宋体" w:hAnsi="宋体"/>
          <w:highlight w:val="none"/>
        </w:rPr>
        <w:t>个包</w:t>
      </w:r>
      <w:r>
        <w:rPr>
          <w:rFonts w:hint="eastAsia" w:ascii="宋体" w:hAnsi="宋体"/>
          <w:highlight w:val="none"/>
          <w:lang w:val="en-US" w:eastAsia="zh-CN"/>
        </w:rPr>
        <w:t>，</w:t>
      </w:r>
      <w:r>
        <w:rPr>
          <w:rFonts w:hint="eastAsia" w:ascii="宋体" w:hAnsi="宋体"/>
          <w:highlight w:val="none"/>
          <w:lang w:eastAsia="zh-CN"/>
        </w:rPr>
        <w:t>其中价格文件须独立封装为</w:t>
      </w:r>
      <w:r>
        <w:rPr>
          <w:rFonts w:hint="eastAsia" w:ascii="宋体" w:hAnsi="宋体"/>
          <w:highlight w:val="none"/>
          <w:lang w:val="en-US" w:eastAsia="zh-CN"/>
        </w:rPr>
        <w:t>1</w:t>
      </w:r>
      <w:r>
        <w:rPr>
          <w:rFonts w:hint="eastAsia" w:ascii="宋体" w:hAnsi="宋体"/>
          <w:highlight w:val="none"/>
          <w:lang w:eastAsia="zh-CN"/>
        </w:rPr>
        <w:t>个包</w:t>
      </w:r>
      <w:r>
        <w:rPr>
          <w:rFonts w:hint="eastAsia" w:ascii="宋体" w:hAnsi="宋体"/>
          <w:highlight w:val="none"/>
        </w:rPr>
        <w:t>。</w:t>
      </w:r>
    </w:p>
    <w:p>
      <w:pPr>
        <w:tabs>
          <w:tab w:val="left" w:pos="420"/>
          <w:tab w:val="left" w:pos="720"/>
          <w:tab w:val="left" w:pos="1134"/>
        </w:tabs>
        <w:spacing w:before="0" w:after="0" w:afterAutospacing="0"/>
        <w:ind w:left="0" w:right="0" w:firstLine="420" w:firstLineChars="200"/>
        <w:rPr>
          <w:rFonts w:ascii="宋体" w:hAnsi="宋体"/>
          <w:highlight w:val="none"/>
        </w:rPr>
      </w:pPr>
      <w:r>
        <w:rPr>
          <w:rFonts w:hint="eastAsia" w:ascii="宋体" w:hAnsi="宋体"/>
          <w:highlight w:val="none"/>
        </w:rPr>
        <w:t>（3）所有密封箱/袋应保证其密封性，并骑缝加盖比选申请人单位公章。</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17.2 </w:t>
      </w:r>
      <w:r>
        <w:rPr>
          <w:rFonts w:ascii="宋体" w:hAnsi="宋体"/>
          <w:highlight w:val="none"/>
        </w:rPr>
        <w:t>所有密封箱/袋都应具有下列识别标志：</w:t>
      </w:r>
    </w:p>
    <w:p>
      <w:pPr>
        <w:tabs>
          <w:tab w:val="left" w:pos="1155"/>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w:t>
      </w:r>
      <w:r>
        <w:rPr>
          <w:rFonts w:ascii="宋体" w:hAnsi="宋体"/>
          <w:color w:val="auto"/>
          <w:highlight w:val="none"/>
        </w:rPr>
        <w:t>项目名称：</w:t>
      </w:r>
      <w:r>
        <w:rPr>
          <w:rFonts w:hint="eastAsia" w:ascii="宋体" w:hAnsi="宋体"/>
          <w:color w:val="auto"/>
          <w:highlight w:val="none"/>
          <w:u w:val="single"/>
        </w:rPr>
        <w:t>南宁轨道交通1号线麻村站至石埠站卫生间蹲便感应式冲洗阀设备技术改造项目</w:t>
      </w:r>
      <w:r>
        <w:rPr>
          <w:rFonts w:ascii="宋体" w:hAnsi="宋体"/>
          <w:color w:val="auto"/>
          <w:highlight w:val="none"/>
        </w:rPr>
        <w:t>；</w:t>
      </w:r>
    </w:p>
    <w:p>
      <w:pPr>
        <w:tabs>
          <w:tab w:val="left" w:pos="420"/>
          <w:tab w:val="left" w:pos="720"/>
          <w:tab w:val="left"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（2）</w:t>
      </w:r>
      <w:r>
        <w:rPr>
          <w:rFonts w:ascii="宋体" w:hAnsi="宋体"/>
          <w:color w:val="auto"/>
          <w:highlight w:val="none"/>
        </w:rPr>
        <w:t>项目编号：</w:t>
      </w:r>
      <w:r>
        <w:rPr>
          <w:rFonts w:hint="eastAsia" w:ascii="宋体" w:hAnsi="宋体"/>
          <w:color w:val="auto"/>
          <w:highlight w:val="none"/>
          <w:u w:val="single"/>
        </w:rPr>
        <w:t xml:space="preserve"> 202204190008  </w:t>
      </w:r>
      <w:r>
        <w:rPr>
          <w:rFonts w:hint="eastAsia" w:ascii="宋体" w:hAnsi="宋体"/>
          <w:color w:val="auto"/>
          <w:highlight w:val="none"/>
        </w:rPr>
        <w:t>。</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17.3 </w:t>
      </w:r>
      <w:r>
        <w:rPr>
          <w:rFonts w:ascii="宋体" w:hAnsi="宋体"/>
          <w:highlight w:val="none"/>
        </w:rPr>
        <w:t>所有密封箱</w:t>
      </w:r>
      <w:r>
        <w:rPr>
          <w:rFonts w:hint="eastAsia" w:ascii="宋体" w:hAnsi="宋体"/>
          <w:highlight w:val="none"/>
        </w:rPr>
        <w:t>/</w:t>
      </w:r>
      <w:r>
        <w:rPr>
          <w:rFonts w:ascii="宋体" w:hAnsi="宋体"/>
          <w:highlight w:val="none"/>
        </w:rPr>
        <w:t>袋上均应写明比选申请人的名称与地址，以便比选申请被宣布迟到时，能原封退回。</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17.4 </w:t>
      </w:r>
      <w:r>
        <w:rPr>
          <w:rFonts w:ascii="宋体" w:hAnsi="宋体"/>
          <w:highlight w:val="none"/>
        </w:rPr>
        <w:t>如果密封箱</w:t>
      </w:r>
      <w:r>
        <w:rPr>
          <w:rFonts w:hint="eastAsia" w:ascii="宋体" w:hAnsi="宋体"/>
          <w:highlight w:val="none"/>
        </w:rPr>
        <w:t>/</w:t>
      </w:r>
      <w:r>
        <w:rPr>
          <w:rFonts w:ascii="宋体" w:hAnsi="宋体"/>
          <w:highlight w:val="none"/>
        </w:rPr>
        <w:t>袋上没有按上述规定密封并加写标志，</w:t>
      </w:r>
      <w:r>
        <w:rPr>
          <w:rFonts w:hint="eastAsia" w:ascii="宋体" w:hAnsi="宋体"/>
          <w:highlight w:val="none"/>
        </w:rPr>
        <w:t>比选人</w:t>
      </w:r>
      <w:r>
        <w:rPr>
          <w:rFonts w:ascii="宋体" w:hAnsi="宋体"/>
          <w:highlight w:val="none"/>
        </w:rPr>
        <w:t>将不承担比选申请文件错放或提前开封的责任，由此造成的提前开封的比选申请文件，</w:t>
      </w:r>
      <w:r>
        <w:rPr>
          <w:rFonts w:hint="eastAsia" w:ascii="宋体" w:hAnsi="宋体"/>
          <w:highlight w:val="none"/>
        </w:rPr>
        <w:t>比选人</w:t>
      </w:r>
      <w:r>
        <w:rPr>
          <w:rFonts w:ascii="宋体" w:hAnsi="宋体"/>
          <w:highlight w:val="none"/>
        </w:rPr>
        <w:t>将予以拒绝，并退还给比选申请人。</w:t>
      </w:r>
    </w:p>
    <w:p>
      <w:pPr>
        <w:pStyle w:val="6"/>
        <w:numPr>
          <w:ilvl w:val="0"/>
          <w:numId w:val="2"/>
        </w:numPr>
        <w:spacing w:before="0" w:after="0" w:afterAutospacing="0"/>
        <w:ind w:left="0" w:right="0" w:firstLine="422" w:firstLineChars="200"/>
        <w:rPr>
          <w:rFonts w:ascii="宋体" w:hAnsi="宋体"/>
          <w:sz w:val="21"/>
          <w:szCs w:val="21"/>
          <w:highlight w:val="none"/>
        </w:rPr>
      </w:pPr>
      <w:bookmarkStart w:id="539" w:name="_Toc11039"/>
      <w:bookmarkStart w:id="540" w:name="_Toc11096"/>
      <w:bookmarkStart w:id="541" w:name="_Toc16266"/>
      <w:bookmarkStart w:id="542" w:name="_Toc12983525"/>
      <w:bookmarkStart w:id="543" w:name="_Toc22445"/>
      <w:bookmarkStart w:id="544" w:name="_Toc16818"/>
      <w:bookmarkStart w:id="545" w:name="_Toc492478740"/>
      <w:bookmarkStart w:id="546" w:name="_Toc6482"/>
      <w:bookmarkStart w:id="547" w:name="_Toc22180"/>
      <w:bookmarkStart w:id="548" w:name="_Toc11255"/>
      <w:bookmarkStart w:id="549" w:name="_Toc25750610"/>
      <w:bookmarkStart w:id="550" w:name="_Toc642"/>
      <w:bookmarkStart w:id="551" w:name="_Toc6339"/>
      <w:bookmarkStart w:id="552" w:name="_Toc16755"/>
      <w:bookmarkStart w:id="553" w:name="_Toc32760"/>
      <w:bookmarkStart w:id="554" w:name="_Toc13883"/>
      <w:bookmarkStart w:id="555" w:name="_Toc28071"/>
      <w:bookmarkStart w:id="556" w:name="_Toc4735"/>
      <w:bookmarkStart w:id="557" w:name="_Toc23859"/>
      <w:bookmarkStart w:id="558" w:name="_Toc2337"/>
      <w:r>
        <w:rPr>
          <w:rFonts w:ascii="宋体" w:hAnsi="宋体"/>
          <w:sz w:val="21"/>
          <w:szCs w:val="21"/>
          <w:highlight w:val="none"/>
        </w:rPr>
        <w:t>比选申请截止期</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18.1 </w:t>
      </w:r>
      <w:r>
        <w:rPr>
          <w:rFonts w:ascii="宋体" w:hAnsi="宋体"/>
          <w:highlight w:val="none"/>
        </w:rPr>
        <w:t>所有比选申请文件应派专人送交，并须按“比选申请须知前附表”中规定的比选申请截止时间</w:t>
      </w:r>
      <w:r>
        <w:rPr>
          <w:rFonts w:hint="eastAsia" w:ascii="宋体" w:hAnsi="宋体"/>
          <w:highlight w:val="none"/>
        </w:rPr>
        <w:t>前</w:t>
      </w:r>
      <w:r>
        <w:rPr>
          <w:rFonts w:ascii="宋体" w:hAnsi="宋体"/>
          <w:highlight w:val="none"/>
        </w:rPr>
        <w:t>送至</w:t>
      </w:r>
      <w:r>
        <w:rPr>
          <w:rFonts w:hint="eastAsia" w:ascii="宋体" w:hAnsi="宋体"/>
          <w:highlight w:val="none"/>
        </w:rPr>
        <w:t>比选文件规定的</w:t>
      </w:r>
      <w:r>
        <w:rPr>
          <w:rFonts w:ascii="宋体" w:hAnsi="宋体"/>
          <w:highlight w:val="none"/>
        </w:rPr>
        <w:t>地点。如有必要，比选申请人可事先自行到该场地进行察看。</w:t>
      </w:r>
    </w:p>
    <w:p>
      <w:pPr>
        <w:tabs>
          <w:tab w:val="left" w:pos="1134"/>
          <w:tab w:val="left" w:pos="8364"/>
        </w:tabs>
        <w:spacing w:before="0" w:after="0" w:afterAutospacing="0"/>
        <w:ind w:left="0" w:right="0" w:firstLine="422" w:firstLineChars="200"/>
        <w:rPr>
          <w:rFonts w:ascii="宋体" w:hAnsi="宋体"/>
          <w:highlight w:val="none"/>
        </w:rPr>
      </w:pPr>
      <w:r>
        <w:rPr>
          <w:rFonts w:hint="eastAsia" w:ascii="宋体" w:hAnsi="宋体"/>
          <w:b/>
          <w:highlight w:val="none"/>
        </w:rPr>
        <w:t xml:space="preserve">18.2 </w:t>
      </w:r>
      <w:r>
        <w:rPr>
          <w:rFonts w:ascii="宋体" w:hAnsi="宋体"/>
          <w:b/>
          <w:highlight w:val="none"/>
        </w:rPr>
        <w:t>比选申请人在递交比选申请文件时必须签到，否则比选申请无效。递交比选申请文件的时间晚于比选申请截止时间时，比选申请文件将不被接受。</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18.3 </w:t>
      </w:r>
      <w:r>
        <w:rPr>
          <w:rFonts w:ascii="宋体" w:hAnsi="宋体"/>
          <w:highlight w:val="none"/>
        </w:rPr>
        <w:t>出现比选申请须知第7条因比选文件的修改推迟比选申请截止时间时，则按</w:t>
      </w:r>
      <w:r>
        <w:rPr>
          <w:rFonts w:hint="eastAsia" w:ascii="宋体" w:hAnsi="宋体"/>
          <w:highlight w:val="none"/>
        </w:rPr>
        <w:t>比选人</w:t>
      </w:r>
      <w:r>
        <w:rPr>
          <w:rFonts w:ascii="宋体" w:hAnsi="宋体"/>
          <w:highlight w:val="none"/>
        </w:rPr>
        <w:t>修改通知规定的时间递交。在此情况下，</w:t>
      </w:r>
      <w:r>
        <w:rPr>
          <w:rFonts w:hint="eastAsia" w:ascii="宋体" w:hAnsi="宋体"/>
          <w:highlight w:val="none"/>
        </w:rPr>
        <w:t>比选人</w:t>
      </w:r>
      <w:r>
        <w:rPr>
          <w:rFonts w:ascii="宋体" w:hAnsi="宋体"/>
          <w:highlight w:val="none"/>
        </w:rPr>
        <w:t>和比选申请人受比选申请截止时间制约的所有权利和义务均应延长至新的比选申请截止时间。</w:t>
      </w:r>
    </w:p>
    <w:p>
      <w:pPr>
        <w:pStyle w:val="6"/>
        <w:numPr>
          <w:ilvl w:val="0"/>
          <w:numId w:val="2"/>
        </w:numPr>
        <w:spacing w:before="0" w:after="0" w:afterAutospacing="0"/>
        <w:ind w:left="0" w:right="0" w:firstLine="422" w:firstLineChars="200"/>
        <w:rPr>
          <w:rFonts w:ascii="宋体" w:hAnsi="宋体"/>
          <w:sz w:val="21"/>
          <w:szCs w:val="21"/>
          <w:highlight w:val="none"/>
        </w:rPr>
      </w:pPr>
      <w:bookmarkStart w:id="559" w:name="_Toc26431"/>
      <w:bookmarkStart w:id="560" w:name="_Toc324"/>
      <w:bookmarkStart w:id="561" w:name="_Toc29066"/>
      <w:bookmarkStart w:id="562" w:name="_Toc385427816"/>
      <w:bookmarkStart w:id="563" w:name="_Toc32621"/>
      <w:bookmarkStart w:id="564" w:name="_Toc492478741"/>
      <w:bookmarkStart w:id="565" w:name="_Toc23404"/>
      <w:bookmarkStart w:id="566" w:name="_Toc15252"/>
      <w:bookmarkStart w:id="567" w:name="_Toc3597"/>
      <w:bookmarkStart w:id="568" w:name="_Toc11373"/>
      <w:bookmarkStart w:id="569" w:name="_Toc12983526"/>
      <w:bookmarkStart w:id="570" w:name="_Toc29473"/>
      <w:bookmarkStart w:id="571" w:name="_Toc22945"/>
      <w:bookmarkStart w:id="572" w:name="_Toc375039087"/>
      <w:bookmarkStart w:id="573" w:name="_Toc10818"/>
      <w:bookmarkStart w:id="574" w:name="_Toc21960"/>
      <w:bookmarkStart w:id="575" w:name="_Toc390098442"/>
      <w:bookmarkStart w:id="576" w:name="_Toc14239"/>
      <w:bookmarkStart w:id="577" w:name="_Toc9522"/>
      <w:bookmarkStart w:id="578" w:name="_Toc32252"/>
      <w:bookmarkStart w:id="579" w:name="_Toc383891191"/>
      <w:bookmarkStart w:id="580" w:name="_Toc13581"/>
      <w:bookmarkStart w:id="581" w:name="_Toc25750611"/>
      <w:bookmarkStart w:id="582" w:name="_Toc2226"/>
      <w:r>
        <w:rPr>
          <w:rFonts w:ascii="宋体" w:hAnsi="宋体"/>
          <w:sz w:val="21"/>
          <w:szCs w:val="21"/>
          <w:highlight w:val="none"/>
        </w:rPr>
        <w:t>迟交的比选申请文件</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19.1 比选人</w:t>
      </w:r>
      <w:r>
        <w:rPr>
          <w:rFonts w:ascii="宋体" w:hAnsi="宋体"/>
          <w:highlight w:val="none"/>
        </w:rPr>
        <w:t>将拒绝并原封退回在</w:t>
      </w:r>
      <w:r>
        <w:rPr>
          <w:rFonts w:hint="eastAsia" w:ascii="宋体" w:hAnsi="宋体"/>
          <w:highlight w:val="none"/>
        </w:rPr>
        <w:t>本须知</w:t>
      </w:r>
      <w:r>
        <w:rPr>
          <w:rFonts w:ascii="宋体" w:hAnsi="宋体"/>
          <w:highlight w:val="none"/>
        </w:rPr>
        <w:t>18.1</w:t>
      </w:r>
      <w:r>
        <w:rPr>
          <w:rFonts w:hint="eastAsia" w:ascii="宋体" w:hAnsi="宋体"/>
          <w:highlight w:val="none"/>
        </w:rPr>
        <w:t>条</w:t>
      </w:r>
      <w:r>
        <w:rPr>
          <w:rFonts w:ascii="宋体" w:hAnsi="宋体"/>
          <w:highlight w:val="none"/>
        </w:rPr>
        <w:t>规定的比选申请截止时间后收到的任何比选申请文件。</w:t>
      </w:r>
    </w:p>
    <w:p>
      <w:pPr>
        <w:pStyle w:val="6"/>
        <w:numPr>
          <w:ilvl w:val="0"/>
          <w:numId w:val="2"/>
        </w:numPr>
        <w:spacing w:before="0" w:after="0" w:afterAutospacing="0"/>
        <w:ind w:left="0" w:right="0" w:firstLine="422" w:firstLineChars="200"/>
        <w:rPr>
          <w:rFonts w:ascii="宋体" w:hAnsi="宋体"/>
          <w:sz w:val="21"/>
          <w:szCs w:val="21"/>
          <w:highlight w:val="none"/>
        </w:rPr>
      </w:pPr>
      <w:bookmarkStart w:id="583" w:name="_Toc28452"/>
      <w:bookmarkStart w:id="584" w:name="_Toc385427817"/>
      <w:bookmarkStart w:id="585" w:name="_Toc17797"/>
      <w:bookmarkStart w:id="586" w:name="_Toc24030"/>
      <w:bookmarkStart w:id="587" w:name="_Toc14522"/>
      <w:bookmarkStart w:id="588" w:name="_Toc12682"/>
      <w:bookmarkStart w:id="589" w:name="_Toc23449"/>
      <w:bookmarkStart w:id="590" w:name="_Toc29208"/>
      <w:bookmarkStart w:id="591" w:name="_Toc27195"/>
      <w:bookmarkStart w:id="592" w:name="_Toc26282"/>
      <w:bookmarkStart w:id="593" w:name="_Toc25750612"/>
      <w:bookmarkStart w:id="594" w:name="_Toc14411"/>
      <w:bookmarkStart w:id="595" w:name="_Toc4605"/>
      <w:bookmarkStart w:id="596" w:name="_Toc492478742"/>
      <w:bookmarkStart w:id="597" w:name="_Toc243"/>
      <w:bookmarkStart w:id="598" w:name="_Toc9706"/>
      <w:bookmarkStart w:id="599" w:name="_Toc21796"/>
      <w:bookmarkStart w:id="600" w:name="_Toc12983527"/>
      <w:bookmarkStart w:id="601" w:name="_Toc375039088"/>
      <w:bookmarkStart w:id="602" w:name="_Toc25427"/>
      <w:bookmarkStart w:id="603" w:name="_Toc390098443"/>
      <w:bookmarkStart w:id="604" w:name="_Toc8636"/>
      <w:bookmarkStart w:id="605" w:name="_Toc383891192"/>
      <w:bookmarkStart w:id="606" w:name="_Toc31033"/>
      <w:r>
        <w:rPr>
          <w:rFonts w:ascii="宋体" w:hAnsi="宋体"/>
          <w:sz w:val="21"/>
          <w:szCs w:val="21"/>
          <w:highlight w:val="none"/>
        </w:rPr>
        <w:t>比选申请文件的修改和撤回</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20.1 </w:t>
      </w:r>
      <w:r>
        <w:rPr>
          <w:rFonts w:ascii="宋体" w:hAnsi="宋体"/>
          <w:highlight w:val="none"/>
        </w:rPr>
        <w:t>比选申请人在提交比选申请文件后可对其比选申请文件进行修改或撤回，但该修改或撤回的书面通知须在比选申请截止时间之前送达</w:t>
      </w:r>
      <w:r>
        <w:rPr>
          <w:rFonts w:hint="eastAsia" w:ascii="宋体" w:hAnsi="宋体"/>
          <w:highlight w:val="none"/>
        </w:rPr>
        <w:t>比选单位</w:t>
      </w:r>
      <w:r>
        <w:rPr>
          <w:rFonts w:ascii="宋体" w:hAnsi="宋体"/>
          <w:highlight w:val="none"/>
        </w:rPr>
        <w:t>；且该通知需经正式授权的比选申请人代表签字方为有效。</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20.2 </w:t>
      </w:r>
      <w:r>
        <w:rPr>
          <w:rFonts w:ascii="宋体" w:hAnsi="宋体"/>
          <w:highlight w:val="none"/>
        </w:rPr>
        <w:t>比选申请人对比选申请文件修改的书面材料或撤回的通知应按本比选申请须知</w:t>
      </w:r>
      <w:r>
        <w:rPr>
          <w:rFonts w:hint="eastAsia" w:ascii="宋体" w:hAnsi="宋体"/>
          <w:highlight w:val="none"/>
        </w:rPr>
        <w:t>16</w:t>
      </w:r>
      <w:r>
        <w:rPr>
          <w:rFonts w:ascii="宋体" w:hAnsi="宋体"/>
          <w:highlight w:val="none"/>
        </w:rPr>
        <w:t>和</w:t>
      </w:r>
      <w:r>
        <w:rPr>
          <w:highlight w:val="none"/>
        </w:rPr>
        <w:fldChar w:fldCharType="begin"/>
      </w:r>
      <w:r>
        <w:rPr>
          <w:highlight w:val="none"/>
        </w:rPr>
        <w:instrText xml:space="preserve"> HYPERLINK \l "_尻깃匡숭돨쵱룐뵨깃션" </w:instrText>
      </w:r>
      <w:r>
        <w:rPr>
          <w:highlight w:val="none"/>
        </w:rPr>
        <w:fldChar w:fldCharType="separate"/>
      </w:r>
      <w:r>
        <w:rPr>
          <w:rFonts w:hint="eastAsia" w:ascii="宋体" w:hAnsi="宋体"/>
          <w:highlight w:val="none"/>
        </w:rPr>
        <w:t>17</w:t>
      </w:r>
      <w:r>
        <w:rPr>
          <w:rFonts w:ascii="宋体" w:hAnsi="宋体"/>
          <w:highlight w:val="none"/>
        </w:rPr>
        <w:t>条</w:t>
      </w:r>
      <w:r>
        <w:rPr>
          <w:rFonts w:ascii="宋体" w:hAnsi="宋体"/>
          <w:highlight w:val="none"/>
        </w:rPr>
        <w:fldChar w:fldCharType="end"/>
      </w:r>
      <w:r>
        <w:rPr>
          <w:rFonts w:ascii="宋体" w:hAnsi="宋体"/>
          <w:highlight w:val="none"/>
        </w:rPr>
        <w:t>规定进行编写、密封、标注和递送，并注明“修改比选申请文件”或“撤回比选申请书面通知”字样。</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20.3 </w:t>
      </w:r>
      <w:r>
        <w:rPr>
          <w:rFonts w:ascii="宋体" w:hAnsi="宋体"/>
          <w:highlight w:val="none"/>
        </w:rPr>
        <w:t>比选申请截止时间以后比选申请人不得修改比选申请文件。</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20.4 </w:t>
      </w:r>
      <w:r>
        <w:rPr>
          <w:rFonts w:ascii="宋体" w:hAnsi="宋体"/>
          <w:highlight w:val="none"/>
        </w:rPr>
        <w:t>比选申请人不得在比选申请截止时间至比选申请有效期期满前撤销比选申请文件。否则</w:t>
      </w:r>
      <w:r>
        <w:rPr>
          <w:rFonts w:hint="eastAsia" w:ascii="宋体" w:hAnsi="宋体"/>
          <w:highlight w:val="none"/>
        </w:rPr>
        <w:t>比选人有权</w:t>
      </w:r>
      <w:r>
        <w:rPr>
          <w:rFonts w:ascii="宋体" w:hAnsi="宋体"/>
          <w:highlight w:val="none"/>
        </w:rPr>
        <w:t>要求</w:t>
      </w:r>
      <w:r>
        <w:rPr>
          <w:rFonts w:hint="eastAsia" w:ascii="宋体" w:hAnsi="宋体"/>
          <w:highlight w:val="none"/>
        </w:rPr>
        <w:t>比选申请人</w:t>
      </w:r>
      <w:r>
        <w:rPr>
          <w:rFonts w:ascii="宋体" w:hAnsi="宋体"/>
          <w:highlight w:val="none"/>
        </w:rPr>
        <w:t>对损失给予赔偿。</w:t>
      </w:r>
    </w:p>
    <w:p>
      <w:pPr>
        <w:pStyle w:val="5"/>
        <w:spacing w:after="0" w:afterAutospacing="0" w:line="360" w:lineRule="auto"/>
        <w:ind w:left="0" w:right="0" w:firstLine="482" w:firstLineChars="200"/>
        <w:rPr>
          <w:rFonts w:ascii="宋体" w:hAnsi="宋体" w:eastAsia="宋体"/>
          <w:sz w:val="24"/>
          <w:szCs w:val="24"/>
          <w:highlight w:val="none"/>
        </w:rPr>
      </w:pPr>
      <w:bookmarkStart w:id="607" w:name="_Toc22587"/>
      <w:bookmarkStart w:id="608" w:name="_Toc10325"/>
      <w:bookmarkStart w:id="609" w:name="_Toc5592"/>
      <w:bookmarkStart w:id="610" w:name="_Toc492478743"/>
      <w:bookmarkStart w:id="611" w:name="_Toc383891193"/>
      <w:bookmarkStart w:id="612" w:name="_Toc31978"/>
      <w:bookmarkStart w:id="613" w:name="_Toc9549"/>
      <w:bookmarkStart w:id="614" w:name="_Toc4291"/>
      <w:bookmarkStart w:id="615" w:name="_Toc28694"/>
      <w:bookmarkStart w:id="616" w:name="_Toc2306"/>
      <w:bookmarkStart w:id="617" w:name="_Toc12983528"/>
      <w:bookmarkStart w:id="618" w:name="_Toc12182"/>
      <w:bookmarkStart w:id="619" w:name="_Toc3006"/>
      <w:bookmarkStart w:id="620" w:name="_Toc385427818"/>
      <w:bookmarkStart w:id="621" w:name="_Toc11529"/>
      <w:bookmarkStart w:id="622" w:name="_Toc375039089"/>
      <w:bookmarkStart w:id="623" w:name="_Toc16856"/>
      <w:bookmarkStart w:id="624" w:name="_Toc9728"/>
      <w:bookmarkStart w:id="625" w:name="_Toc24485"/>
      <w:bookmarkStart w:id="626" w:name="_Toc29264"/>
      <w:bookmarkStart w:id="627" w:name="_Toc18076"/>
      <w:bookmarkStart w:id="628" w:name="_Toc25433"/>
      <w:bookmarkStart w:id="629" w:name="_Toc390098444"/>
      <w:bookmarkStart w:id="630" w:name="_Toc25750613"/>
      <w:bookmarkStart w:id="631" w:name="_Toc19171"/>
      <w:r>
        <w:rPr>
          <w:rFonts w:hint="eastAsia" w:ascii="宋体" w:hAnsi="宋体" w:eastAsia="宋体"/>
          <w:sz w:val="24"/>
          <w:szCs w:val="24"/>
          <w:highlight w:val="none"/>
        </w:rPr>
        <w:t>五、</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r>
        <w:rPr>
          <w:rFonts w:hint="eastAsia" w:ascii="宋体" w:hAnsi="宋体" w:eastAsia="宋体"/>
          <w:sz w:val="24"/>
          <w:szCs w:val="24"/>
          <w:highlight w:val="none"/>
        </w:rPr>
        <w:t>比选申请文件递交</w:t>
      </w:r>
      <w:bookmarkEnd w:id="630"/>
      <w:r>
        <w:rPr>
          <w:rFonts w:hint="eastAsia" w:ascii="宋体" w:hAnsi="宋体" w:eastAsia="宋体"/>
          <w:sz w:val="24"/>
          <w:szCs w:val="24"/>
          <w:highlight w:val="none"/>
        </w:rPr>
        <w:t>与评审</w:t>
      </w:r>
      <w:bookmarkEnd w:id="631"/>
    </w:p>
    <w:p>
      <w:pPr>
        <w:pStyle w:val="6"/>
        <w:spacing w:before="0" w:after="0" w:afterAutospacing="0"/>
        <w:ind w:left="0" w:right="0" w:firstLine="422" w:firstLineChars="200"/>
        <w:rPr>
          <w:rFonts w:ascii="宋体" w:hAnsi="宋体"/>
          <w:sz w:val="21"/>
          <w:szCs w:val="21"/>
          <w:highlight w:val="none"/>
        </w:rPr>
      </w:pPr>
      <w:bookmarkStart w:id="632" w:name="_Toc24196"/>
      <w:bookmarkStart w:id="633" w:name="_Toc6839"/>
      <w:bookmarkStart w:id="634" w:name="_Toc4365"/>
      <w:bookmarkStart w:id="635" w:name="_Toc4825"/>
      <w:bookmarkStart w:id="636" w:name="_Toc10292"/>
      <w:bookmarkStart w:id="637" w:name="_Toc12983529"/>
      <w:bookmarkStart w:id="638" w:name="_Toc492478744"/>
      <w:bookmarkStart w:id="639" w:name="_Toc4638"/>
      <w:bookmarkStart w:id="640" w:name="_Toc9264"/>
      <w:bookmarkStart w:id="641" w:name="_Toc9309"/>
      <w:bookmarkStart w:id="642" w:name="_Toc23705"/>
      <w:bookmarkStart w:id="643" w:name="_Toc895"/>
      <w:bookmarkStart w:id="644" w:name="_Toc4674"/>
      <w:bookmarkStart w:id="645" w:name="_Toc18919"/>
      <w:bookmarkStart w:id="646" w:name="_Toc6377"/>
      <w:bookmarkStart w:id="647" w:name="_Toc385427819"/>
      <w:bookmarkStart w:id="648" w:name="_Toc383891194"/>
      <w:bookmarkStart w:id="649" w:name="_Toc10883"/>
      <w:bookmarkStart w:id="650" w:name="_Toc6974"/>
      <w:bookmarkStart w:id="651" w:name="_Toc5182"/>
      <w:bookmarkStart w:id="652" w:name="_Toc25116"/>
      <w:bookmarkStart w:id="653" w:name="_Toc375039090"/>
      <w:bookmarkStart w:id="654" w:name="_Toc390098445"/>
      <w:bookmarkStart w:id="655" w:name="_Toc25750614"/>
      <w:r>
        <w:rPr>
          <w:rFonts w:hint="eastAsia" w:ascii="宋体" w:hAnsi="宋体"/>
          <w:sz w:val="21"/>
          <w:szCs w:val="21"/>
          <w:highlight w:val="none"/>
        </w:rPr>
        <w:t>21.</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r>
        <w:rPr>
          <w:rFonts w:hint="eastAsia" w:ascii="宋体" w:hAnsi="宋体"/>
          <w:sz w:val="21"/>
          <w:szCs w:val="21"/>
          <w:highlight w:val="none"/>
        </w:rPr>
        <w:t>比选申请文件递交</w:t>
      </w:r>
      <w:bookmarkEnd w:id="655"/>
    </w:p>
    <w:p>
      <w:pPr>
        <w:tabs>
          <w:tab w:val="left" w:pos="945"/>
          <w:tab w:val="left" w:pos="1134"/>
        </w:tabs>
        <w:spacing w:before="0" w:after="0" w:afterAutospacing="0"/>
        <w:ind w:left="0" w:right="0" w:firstLine="420" w:firstLineChars="200"/>
        <w:rPr>
          <w:rFonts w:ascii="宋体" w:hAnsi="宋体"/>
          <w:highlight w:val="none"/>
        </w:rPr>
      </w:pPr>
      <w:r>
        <w:rPr>
          <w:rFonts w:hint="eastAsia" w:ascii="宋体" w:hAnsi="宋体"/>
          <w:highlight w:val="none"/>
        </w:rPr>
        <w:t>21.1 比选人将按本须知</w:t>
      </w:r>
      <w:r>
        <w:rPr>
          <w:rFonts w:ascii="宋体" w:hAnsi="宋体"/>
          <w:highlight w:val="none"/>
        </w:rPr>
        <w:t>18.1</w:t>
      </w:r>
      <w:r>
        <w:rPr>
          <w:rFonts w:hint="eastAsia" w:ascii="宋体" w:hAnsi="宋体"/>
          <w:highlight w:val="none"/>
        </w:rPr>
        <w:t>条项规定的时间和地址，对所有按时递交并已签收达三个或以上比选申请人的比选申请文件进行核查。</w:t>
      </w:r>
    </w:p>
    <w:p>
      <w:pPr>
        <w:tabs>
          <w:tab w:val="left" w:pos="1134"/>
        </w:tabs>
        <w:spacing w:before="0" w:after="0" w:afterAutospacing="0"/>
        <w:ind w:left="0" w:right="0" w:firstLine="420" w:firstLineChars="200"/>
        <w:rPr>
          <w:rFonts w:ascii="宋体" w:hAnsi="宋体"/>
          <w:highlight w:val="none"/>
        </w:rPr>
      </w:pPr>
      <w:r>
        <w:rPr>
          <w:rFonts w:hint="eastAsia" w:ascii="宋体" w:hAnsi="宋体"/>
          <w:highlight w:val="none"/>
        </w:rPr>
        <w:t>比选申请文件有下列情形之一的，比选人应当拒收：</w:t>
      </w:r>
    </w:p>
    <w:p>
      <w:pPr>
        <w:snapToGrid w:val="0"/>
        <w:spacing w:before="0" w:after="0" w:afterAutospacing="0"/>
        <w:ind w:left="0" w:right="0" w:firstLine="422" w:firstLineChars="200"/>
        <w:jc w:val="left"/>
        <w:rPr>
          <w:rFonts w:ascii="宋体" w:hAnsi="宋体"/>
          <w:b/>
          <w:highlight w:val="none"/>
        </w:rPr>
      </w:pPr>
      <w:r>
        <w:rPr>
          <w:rFonts w:ascii="宋体" w:hAnsi="宋体"/>
          <w:b/>
          <w:highlight w:val="none"/>
        </w:rPr>
        <w:t>2</w:t>
      </w:r>
      <w:r>
        <w:rPr>
          <w:rFonts w:hint="eastAsia" w:ascii="宋体" w:hAnsi="宋体"/>
          <w:b/>
          <w:highlight w:val="none"/>
        </w:rPr>
        <w:t>1</w:t>
      </w:r>
      <w:r>
        <w:rPr>
          <w:rFonts w:ascii="宋体" w:hAnsi="宋体"/>
          <w:b/>
          <w:highlight w:val="none"/>
        </w:rPr>
        <w:t>.1.1逾期送达的或者未送达指定地点的比选申请文件</w:t>
      </w:r>
      <w:r>
        <w:rPr>
          <w:rFonts w:hint="eastAsia" w:ascii="宋体" w:hAnsi="宋体"/>
          <w:b/>
          <w:highlight w:val="none"/>
        </w:rPr>
        <w:t>；</w:t>
      </w:r>
    </w:p>
    <w:p>
      <w:pPr>
        <w:snapToGrid w:val="0"/>
        <w:spacing w:before="0" w:after="0" w:afterAutospacing="0"/>
        <w:ind w:left="0" w:right="0" w:firstLine="422" w:firstLineChars="200"/>
        <w:jc w:val="left"/>
        <w:rPr>
          <w:rFonts w:ascii="宋体" w:hAnsi="宋体"/>
          <w:b/>
          <w:highlight w:val="none"/>
        </w:rPr>
      </w:pPr>
      <w:r>
        <w:rPr>
          <w:rFonts w:ascii="宋体" w:hAnsi="宋体"/>
          <w:b/>
          <w:highlight w:val="none"/>
        </w:rPr>
        <w:t>2</w:t>
      </w:r>
      <w:r>
        <w:rPr>
          <w:rFonts w:hint="eastAsia" w:ascii="宋体" w:hAnsi="宋体"/>
          <w:b/>
          <w:highlight w:val="none"/>
        </w:rPr>
        <w:t>1</w:t>
      </w:r>
      <w:r>
        <w:rPr>
          <w:rFonts w:ascii="宋体" w:hAnsi="宋体"/>
          <w:b/>
          <w:highlight w:val="none"/>
        </w:rPr>
        <w:t>.1.2</w:t>
      </w:r>
      <w:r>
        <w:rPr>
          <w:rFonts w:hint="eastAsia" w:ascii="宋体" w:hAnsi="宋体"/>
          <w:b/>
          <w:highlight w:val="none"/>
        </w:rPr>
        <w:t xml:space="preserve"> 比选申请文件外包封</w:t>
      </w:r>
      <w:r>
        <w:rPr>
          <w:rFonts w:ascii="宋体" w:hAnsi="宋体"/>
          <w:b/>
          <w:highlight w:val="none"/>
        </w:rPr>
        <w:t>未按比选文件要求密封的</w:t>
      </w:r>
      <w:r>
        <w:rPr>
          <w:rFonts w:hint="eastAsia" w:ascii="宋体" w:hAnsi="宋体"/>
          <w:b/>
          <w:highlight w:val="none"/>
        </w:rPr>
        <w:t>。</w:t>
      </w:r>
    </w:p>
    <w:p>
      <w:pPr>
        <w:tabs>
          <w:tab w:val="left" w:pos="945"/>
          <w:tab w:val="left" w:pos="1134"/>
          <w:tab w:val="left" w:pos="8364"/>
        </w:tabs>
        <w:spacing w:before="0" w:after="0" w:afterAutospacing="0"/>
        <w:ind w:left="0" w:right="0" w:firstLine="422" w:firstLineChars="200"/>
        <w:rPr>
          <w:rFonts w:ascii="宋体" w:hAnsi="宋体"/>
          <w:highlight w:val="none"/>
        </w:rPr>
      </w:pPr>
      <w:r>
        <w:rPr>
          <w:rFonts w:hint="eastAsia" w:ascii="宋体" w:hAnsi="宋体"/>
          <w:b/>
          <w:highlight w:val="none"/>
        </w:rPr>
        <w:t xml:space="preserve">21.2 </w:t>
      </w:r>
      <w:r>
        <w:rPr>
          <w:rFonts w:ascii="宋体" w:hAnsi="宋体"/>
          <w:b/>
          <w:highlight w:val="none"/>
        </w:rPr>
        <w:t>比选申请人的</w:t>
      </w:r>
      <w:r>
        <w:rPr>
          <w:rFonts w:hint="eastAsia" w:ascii="宋体" w:hAnsi="宋体"/>
          <w:b/>
          <w:highlight w:val="none"/>
        </w:rPr>
        <w:t>法定代表人或被授权人</w:t>
      </w:r>
      <w:r>
        <w:rPr>
          <w:rFonts w:ascii="宋体" w:hAnsi="宋体"/>
          <w:b/>
          <w:highlight w:val="none"/>
        </w:rPr>
        <w:t>（以下统称</w:t>
      </w:r>
      <w:r>
        <w:rPr>
          <w:rFonts w:hint="eastAsia" w:ascii="宋体" w:hAnsi="宋体"/>
          <w:b/>
          <w:highlight w:val="none"/>
        </w:rPr>
        <w:t>“</w:t>
      </w:r>
      <w:r>
        <w:rPr>
          <w:rFonts w:ascii="宋体" w:hAnsi="宋体"/>
          <w:b/>
          <w:highlight w:val="none"/>
        </w:rPr>
        <w:t>比选申请人代表</w:t>
      </w:r>
      <w:r>
        <w:rPr>
          <w:rFonts w:hint="eastAsia" w:ascii="宋体" w:hAnsi="宋体"/>
          <w:b/>
          <w:highlight w:val="none"/>
        </w:rPr>
        <w:t>”</w:t>
      </w:r>
      <w:r>
        <w:rPr>
          <w:rFonts w:ascii="宋体" w:hAnsi="宋体"/>
          <w:b/>
          <w:highlight w:val="none"/>
        </w:rPr>
        <w:t>）必须出示本人有效身份证（</w:t>
      </w:r>
      <w:r>
        <w:rPr>
          <w:rFonts w:hint="eastAsia" w:ascii="宋体" w:hAnsi="宋体"/>
          <w:b/>
          <w:highlight w:val="none"/>
        </w:rPr>
        <w:t>限中国公民居民身份证、外籍有效护照</w:t>
      </w:r>
      <w:r>
        <w:rPr>
          <w:rFonts w:ascii="宋体" w:hAnsi="宋体"/>
          <w:b/>
          <w:highlight w:val="none"/>
        </w:rPr>
        <w:t>，下同）原件，比选申请人</w:t>
      </w:r>
      <w:r>
        <w:rPr>
          <w:rFonts w:hint="eastAsia" w:ascii="宋体" w:hAnsi="宋体"/>
          <w:b/>
          <w:highlight w:val="none"/>
        </w:rPr>
        <w:t>为</w:t>
      </w:r>
      <w:r>
        <w:rPr>
          <w:rFonts w:ascii="宋体" w:hAnsi="宋体"/>
          <w:b/>
          <w:highlight w:val="none"/>
        </w:rPr>
        <w:t>授权代表还必须同时出示比选申请授权书原件，以证明授权代表的身份和被授权范围，并由</w:t>
      </w:r>
      <w:r>
        <w:rPr>
          <w:rFonts w:hint="eastAsia" w:ascii="宋体" w:hAnsi="宋体"/>
          <w:b/>
          <w:highlight w:val="none"/>
        </w:rPr>
        <w:t>比选人</w:t>
      </w:r>
      <w:r>
        <w:rPr>
          <w:rFonts w:ascii="宋体" w:hAnsi="宋体"/>
          <w:b/>
          <w:highlight w:val="none"/>
        </w:rPr>
        <w:t>验证确认。</w:t>
      </w:r>
      <w:bookmarkStart w:id="656" w:name="_Toc251051540"/>
      <w:r>
        <w:rPr>
          <w:rFonts w:ascii="宋体" w:hAnsi="宋体"/>
          <w:b/>
          <w:highlight w:val="none"/>
        </w:rPr>
        <w:t>否则作无效</w:t>
      </w:r>
      <w:r>
        <w:rPr>
          <w:rFonts w:hint="eastAsia" w:ascii="宋体" w:hAnsi="宋体"/>
          <w:b/>
          <w:highlight w:val="none"/>
        </w:rPr>
        <w:t>比选文件处理</w:t>
      </w:r>
      <w:bookmarkEnd w:id="656"/>
      <w:r>
        <w:rPr>
          <w:rFonts w:hint="eastAsia" w:ascii="宋体" w:hAnsi="宋体"/>
          <w:b/>
          <w:highlight w:val="none"/>
        </w:rPr>
        <w:t>。</w:t>
      </w:r>
    </w:p>
    <w:p>
      <w:pPr>
        <w:pStyle w:val="6"/>
        <w:spacing w:before="0" w:after="0" w:afterAutospacing="0"/>
        <w:ind w:left="0" w:right="0" w:firstLine="422" w:firstLineChars="200"/>
        <w:rPr>
          <w:rFonts w:ascii="宋体" w:hAnsi="宋体"/>
          <w:sz w:val="21"/>
          <w:szCs w:val="21"/>
          <w:highlight w:val="none"/>
        </w:rPr>
      </w:pPr>
      <w:bookmarkStart w:id="657" w:name="_Toc390098446"/>
      <w:bookmarkStart w:id="658" w:name="_Toc375039091"/>
      <w:bookmarkStart w:id="659" w:name="_Toc385427820"/>
      <w:bookmarkStart w:id="660" w:name="_Toc383891195"/>
      <w:bookmarkStart w:id="661" w:name="_Toc13202"/>
      <w:bookmarkStart w:id="662" w:name="_Toc23699"/>
      <w:bookmarkStart w:id="663" w:name="_Toc30671"/>
      <w:bookmarkStart w:id="664" w:name="_Toc16601"/>
      <w:bookmarkStart w:id="665" w:name="_Toc24630"/>
      <w:bookmarkStart w:id="666" w:name="_Toc27636"/>
      <w:bookmarkStart w:id="667" w:name="_Toc21819"/>
      <w:bookmarkStart w:id="668" w:name="_Toc5267"/>
      <w:bookmarkStart w:id="669" w:name="_Toc16068"/>
      <w:bookmarkStart w:id="670" w:name="_Toc25750615"/>
      <w:bookmarkStart w:id="671" w:name="_Toc25270"/>
      <w:bookmarkStart w:id="672" w:name="_Toc9391"/>
      <w:bookmarkStart w:id="673" w:name="_Toc1920"/>
      <w:bookmarkStart w:id="674" w:name="_Toc11013"/>
      <w:bookmarkStart w:id="675" w:name="_Toc12983530"/>
      <w:bookmarkStart w:id="676" w:name="_Toc24687"/>
      <w:bookmarkStart w:id="677" w:name="_Toc15466"/>
      <w:bookmarkStart w:id="678" w:name="_Toc492478745"/>
      <w:bookmarkStart w:id="679" w:name="_Toc11263"/>
      <w:bookmarkStart w:id="680" w:name="_Toc17785"/>
      <w:r>
        <w:rPr>
          <w:rFonts w:hint="eastAsia" w:ascii="宋体" w:hAnsi="宋体"/>
          <w:sz w:val="21"/>
          <w:szCs w:val="21"/>
          <w:highlight w:val="none"/>
        </w:rPr>
        <w:t>22.</w:t>
      </w:r>
      <w:r>
        <w:rPr>
          <w:rFonts w:ascii="宋体" w:hAnsi="宋体"/>
          <w:sz w:val="21"/>
          <w:szCs w:val="21"/>
          <w:highlight w:val="none"/>
        </w:rPr>
        <w:t>评审</w:t>
      </w:r>
      <w:bookmarkEnd w:id="657"/>
      <w:bookmarkEnd w:id="658"/>
      <w:bookmarkEnd w:id="659"/>
      <w:bookmarkEnd w:id="660"/>
      <w:r>
        <w:rPr>
          <w:rFonts w:ascii="宋体" w:hAnsi="宋体"/>
          <w:sz w:val="21"/>
          <w:szCs w:val="21"/>
          <w:highlight w:val="none"/>
        </w:rPr>
        <w:t>程序</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pPr>
        <w:tabs>
          <w:tab w:val="left" w:pos="8364"/>
        </w:tabs>
        <w:spacing w:before="0" w:after="0" w:afterAutospacing="0"/>
        <w:ind w:left="0" w:right="0" w:firstLine="420" w:firstLineChars="200"/>
        <w:rPr>
          <w:rFonts w:ascii="宋体" w:hAnsi="宋体"/>
          <w:b/>
          <w:highlight w:val="none"/>
        </w:rPr>
      </w:pPr>
      <w:bookmarkStart w:id="681" w:name="_Toc375039092"/>
      <w:r>
        <w:rPr>
          <w:rFonts w:hint="eastAsia" w:ascii="宋体" w:hAnsi="宋体"/>
          <w:highlight w:val="none"/>
        </w:rPr>
        <w:t>详见第六章《评分办法》。</w:t>
      </w:r>
      <w:bookmarkEnd w:id="681"/>
    </w:p>
    <w:p>
      <w:pPr>
        <w:pStyle w:val="6"/>
        <w:numPr>
          <w:ilvl w:val="0"/>
          <w:numId w:val="3"/>
        </w:numPr>
        <w:spacing w:before="0" w:after="0" w:afterAutospacing="0"/>
        <w:ind w:left="0" w:right="0" w:firstLine="422" w:firstLineChars="200"/>
        <w:rPr>
          <w:rFonts w:ascii="宋体" w:hAnsi="宋体"/>
          <w:sz w:val="21"/>
          <w:szCs w:val="21"/>
          <w:highlight w:val="none"/>
        </w:rPr>
      </w:pPr>
      <w:bookmarkStart w:id="682" w:name="_Toc18063"/>
      <w:bookmarkStart w:id="683" w:name="_Toc17980"/>
      <w:bookmarkStart w:id="684" w:name="_Toc385427821"/>
      <w:bookmarkStart w:id="685" w:name="_Toc383891196"/>
      <w:bookmarkStart w:id="686" w:name="_Toc15"/>
      <w:bookmarkStart w:id="687" w:name="_Toc14719"/>
      <w:bookmarkStart w:id="688" w:name="_Toc25047"/>
      <w:bookmarkStart w:id="689" w:name="_Toc1456"/>
      <w:bookmarkStart w:id="690" w:name="_Toc833"/>
      <w:bookmarkStart w:id="691" w:name="_Toc12983531"/>
      <w:bookmarkStart w:id="692" w:name="_Toc29929"/>
      <w:bookmarkStart w:id="693" w:name="_Toc26137"/>
      <w:bookmarkStart w:id="694" w:name="_Toc16072"/>
      <w:bookmarkStart w:id="695" w:name="_Toc25750616"/>
      <w:bookmarkStart w:id="696" w:name="_Toc11716"/>
      <w:bookmarkStart w:id="697" w:name="_Toc492478746"/>
      <w:bookmarkStart w:id="698" w:name="_Toc18803"/>
      <w:bookmarkStart w:id="699" w:name="_Toc27570"/>
      <w:bookmarkStart w:id="700" w:name="_Toc13421"/>
      <w:bookmarkStart w:id="701" w:name="_Toc5386"/>
      <w:bookmarkStart w:id="702" w:name="_Toc390098447"/>
      <w:bookmarkStart w:id="703" w:name="_Toc375039093"/>
      <w:bookmarkStart w:id="704" w:name="_Toc8295"/>
      <w:bookmarkStart w:id="705" w:name="_Toc24755"/>
      <w:r>
        <w:rPr>
          <w:rFonts w:ascii="宋体" w:hAnsi="宋体"/>
          <w:sz w:val="21"/>
          <w:szCs w:val="21"/>
          <w:highlight w:val="none"/>
        </w:rPr>
        <w:t>与</w:t>
      </w:r>
      <w:r>
        <w:rPr>
          <w:rFonts w:hint="eastAsia" w:ascii="宋体" w:hAnsi="宋体"/>
          <w:sz w:val="21"/>
          <w:szCs w:val="21"/>
          <w:highlight w:val="none"/>
        </w:rPr>
        <w:t>比选人</w:t>
      </w:r>
      <w:r>
        <w:rPr>
          <w:rFonts w:ascii="宋体" w:hAnsi="宋体"/>
          <w:sz w:val="21"/>
          <w:szCs w:val="21"/>
          <w:highlight w:val="none"/>
        </w:rPr>
        <w:t>和评审委员会的接触</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pP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 xml:space="preserve">23.1 </w:t>
      </w:r>
      <w:r>
        <w:rPr>
          <w:rFonts w:ascii="宋体" w:hAnsi="宋体" w:cs="Arial"/>
          <w:highlight w:val="none"/>
        </w:rPr>
        <w:t>从比选申请截止日起至授予合同期间，未经书面要求，比选申请人不得就与其比选申请文件有关的事项与评审委员会、</w:t>
      </w:r>
      <w:r>
        <w:rPr>
          <w:rFonts w:hint="eastAsia" w:ascii="宋体" w:hAnsi="宋体"/>
          <w:highlight w:val="none"/>
        </w:rPr>
        <w:t>比选</w:t>
      </w:r>
      <w:r>
        <w:rPr>
          <w:rFonts w:hint="eastAsia" w:ascii="宋体" w:hAnsi="宋体" w:cs="Arial"/>
          <w:highlight w:val="none"/>
        </w:rPr>
        <w:t>人</w:t>
      </w:r>
      <w:r>
        <w:rPr>
          <w:rFonts w:ascii="宋体" w:hAnsi="宋体" w:cs="Arial"/>
          <w:highlight w:val="none"/>
        </w:rPr>
        <w:t>接触（包括直接接触</w:t>
      </w:r>
      <w:r>
        <w:rPr>
          <w:rFonts w:hint="eastAsia" w:ascii="宋体" w:hAnsi="宋体" w:cs="Arial"/>
          <w:highlight w:val="none"/>
        </w:rPr>
        <w:t>或</w:t>
      </w:r>
      <w:r>
        <w:rPr>
          <w:rFonts w:ascii="宋体" w:hAnsi="宋体" w:cs="Arial"/>
          <w:highlight w:val="none"/>
        </w:rPr>
        <w:t>间接接触）。</w:t>
      </w:r>
    </w:p>
    <w:p>
      <w:pP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 xml:space="preserve">23.2 </w:t>
      </w:r>
      <w:r>
        <w:rPr>
          <w:rFonts w:ascii="宋体" w:hAnsi="宋体" w:cs="Arial"/>
          <w:highlight w:val="none"/>
        </w:rPr>
        <w:t>比选申请人试图对评审委员会的评审、比较或授予合同的决定进行影响，都可能导致其比选申请文件被否决。</w:t>
      </w:r>
    </w:p>
    <w:p>
      <w:pP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 xml:space="preserve">23.3 </w:t>
      </w:r>
      <w:r>
        <w:rPr>
          <w:rFonts w:ascii="宋体" w:hAnsi="宋体" w:cs="Arial"/>
          <w:highlight w:val="none"/>
        </w:rPr>
        <w:t>比选申请人不得以任何方式干扰</w:t>
      </w:r>
      <w:r>
        <w:rPr>
          <w:rFonts w:hint="eastAsia" w:ascii="宋体" w:hAnsi="宋体"/>
          <w:highlight w:val="none"/>
        </w:rPr>
        <w:t>比选</w:t>
      </w:r>
      <w:r>
        <w:rPr>
          <w:rFonts w:hint="eastAsia" w:ascii="宋体" w:hAnsi="宋体" w:cs="Arial"/>
          <w:highlight w:val="none"/>
        </w:rPr>
        <w:t>人</w:t>
      </w:r>
      <w:r>
        <w:rPr>
          <w:rFonts w:ascii="宋体" w:hAnsi="宋体" w:cs="Arial"/>
          <w:highlight w:val="none"/>
        </w:rPr>
        <w:t>的</w:t>
      </w:r>
      <w:r>
        <w:rPr>
          <w:rFonts w:hint="eastAsia" w:ascii="宋体" w:hAnsi="宋体" w:cs="Arial"/>
          <w:highlight w:val="none"/>
        </w:rPr>
        <w:t>比选</w:t>
      </w:r>
      <w:r>
        <w:rPr>
          <w:rFonts w:ascii="宋体" w:hAnsi="宋体" w:cs="Arial"/>
          <w:highlight w:val="none"/>
        </w:rPr>
        <w:t>和评审活动，否则其比选申请无效并追究其法律责任。</w:t>
      </w:r>
    </w:p>
    <w:p>
      <w:pP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 xml:space="preserve">23.4 </w:t>
      </w:r>
      <w:r>
        <w:rPr>
          <w:rFonts w:ascii="宋体" w:hAnsi="宋体" w:cs="Arial"/>
          <w:highlight w:val="none"/>
        </w:rPr>
        <w:t>有关比选申请文件的审查、澄清、评估和比较以及有关授予合同的意向的一切情况都不得透露给任一比选申请人。</w:t>
      </w:r>
    </w:p>
    <w:p>
      <w:pPr>
        <w:pStyle w:val="6"/>
        <w:numPr>
          <w:ilvl w:val="0"/>
          <w:numId w:val="3"/>
        </w:numPr>
        <w:spacing w:before="0" w:after="0" w:afterAutospacing="0"/>
        <w:ind w:left="0" w:right="0" w:firstLine="422" w:firstLineChars="200"/>
        <w:rPr>
          <w:rFonts w:ascii="宋体" w:hAnsi="宋体"/>
          <w:sz w:val="21"/>
          <w:szCs w:val="21"/>
          <w:highlight w:val="none"/>
        </w:rPr>
      </w:pPr>
      <w:bookmarkStart w:id="706" w:name="_Toc19810"/>
      <w:bookmarkStart w:id="707" w:name="_Toc16963"/>
      <w:bookmarkStart w:id="708" w:name="_Toc30207"/>
      <w:bookmarkStart w:id="709" w:name="_Toc12960"/>
      <w:bookmarkStart w:id="710" w:name="_Toc385427822"/>
      <w:bookmarkStart w:id="711" w:name="_Toc25750617"/>
      <w:bookmarkStart w:id="712" w:name="_Toc18515"/>
      <w:bookmarkStart w:id="713" w:name="_Toc21167"/>
      <w:bookmarkStart w:id="714" w:name="_Toc383891197"/>
      <w:bookmarkStart w:id="715" w:name="_Toc20523"/>
      <w:bookmarkStart w:id="716" w:name="_Toc15988"/>
      <w:bookmarkStart w:id="717" w:name="_Toc12671"/>
      <w:bookmarkStart w:id="718" w:name="_Toc390098448"/>
      <w:bookmarkStart w:id="719" w:name="_Toc9941"/>
      <w:bookmarkStart w:id="720" w:name="_Toc25734"/>
      <w:bookmarkStart w:id="721" w:name="_Toc12555"/>
      <w:bookmarkStart w:id="722" w:name="_Toc654"/>
      <w:bookmarkStart w:id="723" w:name="_Toc12909"/>
      <w:bookmarkStart w:id="724" w:name="_Toc12983532"/>
      <w:bookmarkStart w:id="725" w:name="_Toc7858"/>
      <w:bookmarkStart w:id="726" w:name="_Toc29504"/>
      <w:bookmarkStart w:id="727" w:name="_Toc492478747"/>
      <w:bookmarkStart w:id="728" w:name="_Toc9602"/>
      <w:bookmarkStart w:id="729" w:name="_Toc378514937"/>
      <w:bookmarkStart w:id="730" w:name="_Toc375039094"/>
      <w:bookmarkStart w:id="731" w:name="_Toc294723156"/>
      <w:r>
        <w:rPr>
          <w:rFonts w:hint="eastAsia" w:ascii="宋体" w:hAnsi="宋体"/>
          <w:sz w:val="21"/>
          <w:szCs w:val="21"/>
          <w:highlight w:val="none"/>
        </w:rPr>
        <w:t>评审过程保密</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pP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24.1 递交比选文件后，直到宣布授予中选人且签订合同为止，凡属于审查、澄清、评价和比较比选申请的有关资料且与授予合同有关的信息，都不应向比选申请人或与该过程无关的其他人泄露。</w:t>
      </w:r>
    </w:p>
    <w:p>
      <w:pP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24.2 比选申请人在比选申请文件的审查、澄清、评价和比较以及授予合同的过程中，对</w:t>
      </w:r>
      <w:r>
        <w:rPr>
          <w:rFonts w:hint="eastAsia" w:ascii="宋体" w:hAnsi="宋体"/>
          <w:highlight w:val="none"/>
        </w:rPr>
        <w:t>比选</w:t>
      </w:r>
      <w:r>
        <w:rPr>
          <w:rFonts w:hint="eastAsia" w:ascii="宋体" w:hAnsi="宋体" w:cs="Arial"/>
          <w:highlight w:val="none"/>
        </w:rPr>
        <w:t>人和评审专家施加影响的任何行为，都将导致取消比选申请资格。</w:t>
      </w:r>
    </w:p>
    <w:p>
      <w:pPr>
        <w:pStyle w:val="6"/>
        <w:numPr>
          <w:ilvl w:val="0"/>
          <w:numId w:val="3"/>
        </w:numPr>
        <w:spacing w:before="0" w:after="0" w:afterAutospacing="0"/>
        <w:ind w:left="0" w:right="0" w:firstLine="422" w:firstLineChars="200"/>
        <w:rPr>
          <w:rFonts w:ascii="宋体" w:hAnsi="宋体"/>
          <w:sz w:val="21"/>
          <w:szCs w:val="21"/>
          <w:highlight w:val="none"/>
        </w:rPr>
      </w:pPr>
      <w:bookmarkStart w:id="732" w:name="_Toc6624"/>
      <w:bookmarkStart w:id="733" w:name="_Toc492478748"/>
      <w:bookmarkStart w:id="734" w:name="_Toc25750618"/>
      <w:bookmarkStart w:id="735" w:name="_Toc28843"/>
      <w:bookmarkStart w:id="736" w:name="_Toc24327"/>
      <w:bookmarkStart w:id="737" w:name="_Toc385427823"/>
      <w:bookmarkStart w:id="738" w:name="_Toc14860"/>
      <w:bookmarkStart w:id="739" w:name="_Toc13768"/>
      <w:bookmarkStart w:id="740" w:name="_Toc27670"/>
      <w:bookmarkStart w:id="741" w:name="_Toc28701"/>
      <w:bookmarkStart w:id="742" w:name="_Toc22510"/>
      <w:bookmarkStart w:id="743" w:name="_Toc8827"/>
      <w:bookmarkStart w:id="744" w:name="_Toc1983"/>
      <w:bookmarkStart w:id="745" w:name="_Toc30429"/>
      <w:bookmarkStart w:id="746" w:name="_Toc14799"/>
      <w:bookmarkStart w:id="747" w:name="_Toc5983"/>
      <w:bookmarkStart w:id="748" w:name="_Toc383891198"/>
      <w:bookmarkStart w:id="749" w:name="_Toc13743"/>
      <w:bookmarkStart w:id="750" w:name="_Toc23267"/>
      <w:bookmarkStart w:id="751" w:name="_Toc390098449"/>
      <w:bookmarkStart w:id="752" w:name="_Toc11077"/>
      <w:bookmarkStart w:id="753" w:name="_Toc28898"/>
      <w:bookmarkStart w:id="754" w:name="_Toc12983533"/>
      <w:r>
        <w:rPr>
          <w:rFonts w:hint="eastAsia" w:ascii="宋体" w:hAnsi="宋体"/>
          <w:sz w:val="21"/>
          <w:szCs w:val="21"/>
          <w:highlight w:val="none"/>
        </w:rPr>
        <w:t>比选申请文件的澄清</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pP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25.1 为了有助于比选申请文件的审查、评价和比较，评审委员会可以用书面形式要求比选申请人对比选申请文件含义不明确的内容作必要的澄清或者说明。有关澄清说明与答复、比选申请人应以书面形式进行，但对比选申请报价和实质性的内容不得更改。</w:t>
      </w:r>
    </w:p>
    <w:p>
      <w:pPr>
        <w:pStyle w:val="6"/>
        <w:numPr>
          <w:ilvl w:val="0"/>
          <w:numId w:val="3"/>
        </w:numPr>
        <w:spacing w:before="0" w:after="0" w:afterAutospacing="0"/>
        <w:ind w:left="0" w:right="0" w:firstLine="422" w:firstLineChars="200"/>
        <w:rPr>
          <w:rFonts w:ascii="宋体" w:hAnsi="宋体"/>
          <w:sz w:val="21"/>
          <w:szCs w:val="21"/>
          <w:highlight w:val="none"/>
        </w:rPr>
      </w:pPr>
      <w:bookmarkStart w:id="755" w:name="_Toc22681"/>
      <w:bookmarkStart w:id="756" w:name="_Toc18093"/>
      <w:bookmarkStart w:id="757" w:name="_Toc30017"/>
      <w:bookmarkStart w:id="758" w:name="_Toc5437"/>
      <w:bookmarkStart w:id="759" w:name="_Toc5926"/>
      <w:bookmarkStart w:id="760" w:name="_Toc6908"/>
      <w:bookmarkStart w:id="761" w:name="_Toc12983534"/>
      <w:bookmarkStart w:id="762" w:name="_Toc1915"/>
      <w:bookmarkStart w:id="763" w:name="_Toc390098450"/>
      <w:bookmarkStart w:id="764" w:name="_Toc5607"/>
      <w:bookmarkStart w:id="765" w:name="_Toc28992"/>
      <w:bookmarkStart w:id="766" w:name="_Toc9040"/>
      <w:bookmarkStart w:id="767" w:name="_Toc383891199"/>
      <w:bookmarkStart w:id="768" w:name="_Toc492478749"/>
      <w:bookmarkStart w:id="769" w:name="_Toc20519"/>
      <w:bookmarkStart w:id="770" w:name="_Toc29146"/>
      <w:bookmarkStart w:id="771" w:name="_Toc26318"/>
      <w:bookmarkStart w:id="772" w:name="_Toc26070"/>
      <w:bookmarkStart w:id="773" w:name="_Toc385427824"/>
      <w:bookmarkStart w:id="774" w:name="_Toc16884"/>
      <w:bookmarkStart w:id="775" w:name="_Toc4397"/>
      <w:bookmarkStart w:id="776" w:name="_Toc25750619"/>
      <w:bookmarkStart w:id="777" w:name="_Toc12795"/>
      <w:r>
        <w:rPr>
          <w:rFonts w:hint="eastAsia" w:ascii="宋体" w:hAnsi="宋体"/>
          <w:sz w:val="21"/>
          <w:szCs w:val="21"/>
          <w:highlight w:val="none"/>
        </w:rPr>
        <w:t>比选申请文件响应性的确定</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pP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26.1 在详细评审之前，评审委员会将首先审定每份比选申请文件是否在实质上响应了比选文件的要求和规定。</w:t>
      </w:r>
    </w:p>
    <w:p>
      <w:pP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26.2 实质上响应要求的比选申请文件，应该是与比选文件要求的全部条款，合同条件和规范相符，无重大差异和保留。所谓重大差异或保留是指对服务的范围、质量及要求产生实质性影响；或者对合同中规定的</w:t>
      </w:r>
      <w:r>
        <w:rPr>
          <w:rFonts w:hint="eastAsia" w:ascii="宋体" w:hAnsi="宋体"/>
          <w:highlight w:val="none"/>
        </w:rPr>
        <w:t>比选</w:t>
      </w:r>
      <w:r>
        <w:rPr>
          <w:rFonts w:hint="eastAsia" w:ascii="宋体" w:hAnsi="宋体" w:cs="Arial"/>
          <w:highlight w:val="none"/>
        </w:rPr>
        <w:t>人的权利及比选申请人的责任造成实质性限制；而且纠正这种差异或保留，将会对其他实质上响应要求的比选申请人的竞争地位产生不公正的影响。决定比选申请文件的响应性只根据比选申请文件本身的内容，而不寻求外部的证据。</w:t>
      </w:r>
    </w:p>
    <w:p>
      <w:pP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26.3 如果比选申请文件实质上不响应比选文件的要求，</w:t>
      </w:r>
      <w:r>
        <w:rPr>
          <w:rFonts w:hint="eastAsia" w:ascii="宋体" w:hAnsi="宋体"/>
          <w:highlight w:val="none"/>
        </w:rPr>
        <w:t>比选</w:t>
      </w:r>
      <w:r>
        <w:rPr>
          <w:rFonts w:hint="eastAsia" w:ascii="宋体" w:hAnsi="宋体" w:cs="Arial"/>
          <w:highlight w:val="none"/>
        </w:rPr>
        <w:t>人将予以拒绝，并且不允许比选申请人通过修正或撤销其不符要求的差异或保留使之成为具有响应性的比选申请。</w:t>
      </w:r>
    </w:p>
    <w:p>
      <w:pPr>
        <w:pStyle w:val="6"/>
        <w:numPr>
          <w:ilvl w:val="0"/>
          <w:numId w:val="3"/>
        </w:numPr>
        <w:spacing w:before="0" w:after="0" w:afterAutospacing="0"/>
        <w:ind w:left="0" w:right="0" w:firstLine="422" w:firstLineChars="200"/>
        <w:rPr>
          <w:rFonts w:ascii="宋体" w:hAnsi="宋体"/>
          <w:sz w:val="21"/>
          <w:szCs w:val="21"/>
          <w:highlight w:val="none"/>
        </w:rPr>
      </w:pPr>
      <w:bookmarkStart w:id="778" w:name="_Toc17236"/>
      <w:bookmarkStart w:id="779" w:name="_Toc29398"/>
      <w:bookmarkStart w:id="780" w:name="_Toc19477"/>
      <w:bookmarkStart w:id="781" w:name="_Toc12167"/>
      <w:bookmarkStart w:id="782" w:name="_Toc23808"/>
      <w:bookmarkStart w:id="783" w:name="_Toc20810"/>
      <w:bookmarkStart w:id="784" w:name="_Toc20912"/>
      <w:bookmarkStart w:id="785" w:name="_Toc385427825"/>
      <w:bookmarkStart w:id="786" w:name="_Toc26239"/>
      <w:bookmarkStart w:id="787" w:name="_Toc21468"/>
      <w:bookmarkStart w:id="788" w:name="_Toc492478750"/>
      <w:bookmarkStart w:id="789" w:name="_Toc23956"/>
      <w:bookmarkStart w:id="790" w:name="_Toc383891200"/>
      <w:bookmarkStart w:id="791" w:name="_Toc22063"/>
      <w:bookmarkStart w:id="792" w:name="_Toc20874"/>
      <w:bookmarkStart w:id="793" w:name="_Toc31646"/>
      <w:bookmarkStart w:id="794" w:name="_Toc22146"/>
      <w:bookmarkStart w:id="795" w:name="_Toc23999"/>
      <w:bookmarkStart w:id="796" w:name="_Toc25750620"/>
      <w:bookmarkStart w:id="797" w:name="_Toc15051"/>
      <w:bookmarkStart w:id="798" w:name="_Toc1027"/>
      <w:bookmarkStart w:id="799" w:name="_Toc390098451"/>
      <w:bookmarkStart w:id="800" w:name="_Toc12983535"/>
      <w:r>
        <w:rPr>
          <w:rFonts w:hint="eastAsia" w:ascii="宋体" w:hAnsi="宋体"/>
          <w:sz w:val="21"/>
          <w:szCs w:val="21"/>
          <w:highlight w:val="none"/>
        </w:rPr>
        <w:t>比选申请文件计算错误的修正</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pP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27.1 比选申请报价大写金额与小写金额不一致的，以大写金额为准；</w:t>
      </w:r>
      <w:r>
        <w:rPr>
          <w:rFonts w:ascii="宋体" w:hAnsi="宋体"/>
          <w:highlight w:val="none"/>
        </w:rPr>
        <w:t>总价金额与单价</w:t>
      </w:r>
      <w:r>
        <w:rPr>
          <w:rFonts w:hint="eastAsia" w:ascii="宋体" w:hAnsi="宋体"/>
          <w:highlight w:val="none"/>
        </w:rPr>
        <w:t>乘以数量的合计</w:t>
      </w:r>
      <w:r>
        <w:rPr>
          <w:rFonts w:ascii="宋体" w:hAnsi="宋体"/>
          <w:highlight w:val="none"/>
        </w:rPr>
        <w:t>计算出的结果不一致的，以单价为准修正总价，但单价金额小数点有明显错误的除外。</w:t>
      </w:r>
    </w:p>
    <w:p>
      <w:pP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27.2 按上述修正错误的原则及方法修正后的总价经比选申请人书面确认后作为评审价，若修正后的总价与投标报价不相等，则评标总价和中标价均以修正后的总价为准，如投人不接受按以上规则确定的评标总价和中标价，则其投标将被拒绝。</w:t>
      </w:r>
    </w:p>
    <w:p>
      <w:pPr>
        <w:pStyle w:val="6"/>
        <w:numPr>
          <w:ilvl w:val="0"/>
          <w:numId w:val="3"/>
        </w:numPr>
        <w:spacing w:before="0" w:after="0" w:afterAutospacing="0"/>
        <w:ind w:left="0" w:right="0" w:firstLine="422" w:firstLineChars="200"/>
        <w:rPr>
          <w:rFonts w:ascii="宋体" w:hAnsi="宋体"/>
          <w:sz w:val="21"/>
          <w:szCs w:val="21"/>
          <w:highlight w:val="none"/>
        </w:rPr>
      </w:pPr>
      <w:bookmarkStart w:id="801" w:name="_Toc20854"/>
      <w:bookmarkStart w:id="802" w:name="_Toc8959"/>
      <w:bookmarkStart w:id="803" w:name="_Toc9812"/>
      <w:bookmarkStart w:id="804" w:name="_Toc27112"/>
      <w:bookmarkStart w:id="805" w:name="_Toc9737"/>
      <w:bookmarkStart w:id="806" w:name="_Toc12983536"/>
      <w:bookmarkStart w:id="807" w:name="_Toc16418"/>
      <w:bookmarkStart w:id="808" w:name="_Toc24176"/>
      <w:bookmarkStart w:id="809" w:name="_Toc23907"/>
      <w:bookmarkStart w:id="810" w:name="_Toc29276"/>
      <w:bookmarkStart w:id="811" w:name="_Toc5319"/>
      <w:bookmarkStart w:id="812" w:name="_Toc1004"/>
      <w:bookmarkStart w:id="813" w:name="_Toc20444"/>
      <w:bookmarkStart w:id="814" w:name="_Toc4958"/>
      <w:bookmarkStart w:id="815" w:name="_Toc19936"/>
      <w:bookmarkStart w:id="816" w:name="_Toc390098452"/>
      <w:bookmarkStart w:id="817" w:name="_Toc22994"/>
      <w:bookmarkStart w:id="818" w:name="_Toc492478751"/>
      <w:bookmarkStart w:id="819" w:name="_Toc20881"/>
      <w:bookmarkStart w:id="820" w:name="_Toc3258"/>
      <w:bookmarkStart w:id="821" w:name="_Toc383891201"/>
      <w:bookmarkStart w:id="822" w:name="_Toc385427826"/>
      <w:bookmarkStart w:id="823" w:name="_Toc25750621"/>
      <w:r>
        <w:rPr>
          <w:rFonts w:hint="eastAsia" w:ascii="宋体" w:hAnsi="宋体"/>
          <w:sz w:val="21"/>
          <w:szCs w:val="21"/>
          <w:highlight w:val="none"/>
        </w:rPr>
        <w:t>比选申请文件的评价与比较</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pP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28.1 《评审办法》详见比选文件第六章，</w:t>
      </w:r>
      <w:r>
        <w:rPr>
          <w:rFonts w:hint="eastAsia" w:ascii="宋体" w:hAnsi="宋体"/>
          <w:highlight w:val="none"/>
        </w:rPr>
        <w:t>比选</w:t>
      </w:r>
      <w:r>
        <w:rPr>
          <w:rFonts w:hint="eastAsia" w:ascii="宋体" w:hAnsi="宋体" w:cs="Arial"/>
          <w:highlight w:val="none"/>
        </w:rPr>
        <w:t>人将按照《评审办法》对本须知第26条确定为实质上响应比选文件要求的比选申请文件进行评价与比较。</w:t>
      </w:r>
    </w:p>
    <w:p>
      <w:pP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28.2 评审将按《评审办法》规定执行。</w:t>
      </w:r>
      <w:bookmarkEnd w:id="729"/>
    </w:p>
    <w:p>
      <w:pPr>
        <w:pStyle w:val="6"/>
        <w:numPr>
          <w:ilvl w:val="0"/>
          <w:numId w:val="3"/>
        </w:numPr>
        <w:spacing w:before="0" w:after="0" w:afterAutospacing="0"/>
        <w:ind w:left="0" w:right="0" w:firstLine="422" w:firstLineChars="200"/>
        <w:rPr>
          <w:rFonts w:ascii="宋体" w:hAnsi="宋体"/>
          <w:sz w:val="21"/>
          <w:szCs w:val="21"/>
          <w:highlight w:val="none"/>
        </w:rPr>
      </w:pPr>
      <w:bookmarkStart w:id="824" w:name="_Toc1450"/>
      <w:bookmarkStart w:id="825" w:name="_Toc28489"/>
      <w:bookmarkStart w:id="826" w:name="_Toc385427827"/>
      <w:bookmarkStart w:id="827" w:name="_Toc11010"/>
      <w:bookmarkStart w:id="828" w:name="_Toc12983537"/>
      <w:bookmarkStart w:id="829" w:name="_Toc390098453"/>
      <w:bookmarkStart w:id="830" w:name="_Toc383891202"/>
      <w:bookmarkStart w:id="831" w:name="_Toc22500"/>
      <w:bookmarkStart w:id="832" w:name="_Toc17460"/>
      <w:bookmarkStart w:id="833" w:name="_Toc27803"/>
      <w:bookmarkStart w:id="834" w:name="_Toc3358"/>
      <w:bookmarkStart w:id="835" w:name="_Toc15146"/>
      <w:bookmarkStart w:id="836" w:name="_Toc507"/>
      <w:bookmarkStart w:id="837" w:name="_Toc31774"/>
      <w:bookmarkStart w:id="838" w:name="_Toc25750622"/>
      <w:bookmarkStart w:id="839" w:name="_Toc19322"/>
      <w:bookmarkStart w:id="840" w:name="_Toc32344"/>
      <w:bookmarkStart w:id="841" w:name="_Toc8074"/>
      <w:bookmarkStart w:id="842" w:name="_Toc14300"/>
      <w:bookmarkStart w:id="843" w:name="_Toc492478752"/>
      <w:bookmarkStart w:id="844" w:name="_Toc27289"/>
      <w:bookmarkStart w:id="845" w:name="_Toc8845"/>
      <w:bookmarkStart w:id="846" w:name="_Toc11657"/>
      <w:r>
        <w:rPr>
          <w:rFonts w:hint="eastAsia" w:ascii="宋体" w:hAnsi="宋体"/>
          <w:sz w:val="21"/>
          <w:szCs w:val="21"/>
          <w:highlight w:val="none"/>
        </w:rPr>
        <w:t>定标</w:t>
      </w:r>
      <w:bookmarkEnd w:id="730"/>
      <w:bookmarkEnd w:id="731"/>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pPr>
        <w:tabs>
          <w:tab w:val="left" w:pos="1134"/>
          <w:tab w:val="left" w:pos="8364"/>
        </w:tabs>
        <w:spacing w:before="0" w:after="0" w:afterAutospacing="0"/>
        <w:ind w:left="0" w:right="0" w:firstLine="420" w:firstLineChars="200"/>
        <w:rPr>
          <w:rFonts w:ascii="宋体" w:hAnsi="宋体" w:cs="Arial"/>
          <w:highlight w:val="none"/>
        </w:rPr>
      </w:pPr>
      <w:r>
        <w:rPr>
          <w:rFonts w:ascii="宋体" w:hAnsi="宋体" w:cs="Arial"/>
          <w:highlight w:val="none"/>
        </w:rPr>
        <w:t>29.1</w:t>
      </w:r>
      <w:r>
        <w:rPr>
          <w:rFonts w:hint="eastAsia" w:ascii="宋体" w:hAnsi="宋体" w:cs="Arial"/>
          <w:highlight w:val="none"/>
        </w:rPr>
        <w:t xml:space="preserve"> 经评审后，评审委员会将</w:t>
      </w:r>
      <w:r>
        <w:rPr>
          <w:rFonts w:ascii="宋体" w:hAnsi="宋体" w:cs="Arial"/>
          <w:highlight w:val="none"/>
        </w:rPr>
        <w:t>汇总得分最高的比选申请人推荐为中标候选人</w:t>
      </w:r>
      <w:r>
        <w:rPr>
          <w:rFonts w:hint="eastAsia" w:ascii="宋体" w:hAnsi="宋体" w:cs="Arial"/>
          <w:highlight w:val="none"/>
        </w:rPr>
        <w:t>。</w:t>
      </w:r>
      <w:r>
        <w:rPr>
          <w:rFonts w:ascii="宋体" w:hAnsi="宋体" w:cs="Arial"/>
          <w:highlight w:val="none"/>
        </w:rPr>
        <w:t>得分相同的，商务和技术总得分高者排名优先；商务和技术总得分也相同的，技术分高者排名优先。若技术分仍相同的，</w:t>
      </w:r>
      <w:r>
        <w:rPr>
          <w:rFonts w:hint="eastAsia" w:ascii="宋体" w:hAnsi="宋体" w:cs="Arial"/>
          <w:highlight w:val="none"/>
        </w:rPr>
        <w:t>评审委员会</w:t>
      </w:r>
      <w:r>
        <w:rPr>
          <w:rFonts w:ascii="宋体" w:hAnsi="宋体" w:cs="Arial"/>
          <w:highlight w:val="none"/>
        </w:rPr>
        <w:t>以记名投票的方式按少数服从多数的原则决定其排名顺序</w:t>
      </w:r>
      <w:r>
        <w:rPr>
          <w:rFonts w:hint="eastAsia" w:ascii="宋体" w:hAnsi="宋体" w:cs="Arial"/>
          <w:highlight w:val="none"/>
        </w:rPr>
        <w:t>。</w:t>
      </w:r>
    </w:p>
    <w:p>
      <w:pPr>
        <w:tabs>
          <w:tab w:val="left" w:pos="1134"/>
          <w:tab w:val="left" w:pos="8364"/>
        </w:tabs>
        <w:spacing w:before="0" w:after="0" w:afterAutospacing="0"/>
        <w:ind w:left="0" w:right="0" w:firstLine="420" w:firstLineChars="200"/>
        <w:rPr>
          <w:rFonts w:ascii="宋体" w:hAnsi="宋体" w:cs="Arial"/>
          <w:highlight w:val="none"/>
        </w:rPr>
      </w:pPr>
      <w:r>
        <w:rPr>
          <w:rFonts w:ascii="宋体" w:hAnsi="宋体" w:cs="Arial"/>
          <w:highlight w:val="none"/>
        </w:rPr>
        <w:t>29.2</w:t>
      </w:r>
      <w:r>
        <w:rPr>
          <w:rFonts w:hint="eastAsia" w:ascii="宋体" w:hAnsi="宋体"/>
          <w:highlight w:val="none"/>
        </w:rPr>
        <w:t>比选</w:t>
      </w:r>
      <w:r>
        <w:rPr>
          <w:rFonts w:hint="eastAsia" w:ascii="宋体" w:hAnsi="宋体" w:cs="Arial"/>
          <w:highlight w:val="none"/>
        </w:rPr>
        <w:t>人应当确定排名第一的中选候选人为中选人。排名第一的中选候选人放弃中选、因不可抗力不能履行合同、不按照比选文件要求提交履约保证金，或者被查实存在影响中选结果的违法行为等情形，不符合中选条件的，</w:t>
      </w:r>
      <w:r>
        <w:rPr>
          <w:rFonts w:hint="eastAsia" w:ascii="宋体" w:hAnsi="宋体"/>
          <w:highlight w:val="none"/>
        </w:rPr>
        <w:t>比选</w:t>
      </w:r>
      <w:r>
        <w:rPr>
          <w:rFonts w:hint="eastAsia" w:ascii="宋体" w:hAnsi="宋体" w:cs="Arial"/>
          <w:highlight w:val="none"/>
        </w:rPr>
        <w:t>人可以按照评审委员会提出的中选候选人名单排序依次确定其他中选候选人为中选人，也可以重新比选。同时，</w:t>
      </w:r>
      <w:r>
        <w:rPr>
          <w:rFonts w:hint="eastAsia" w:ascii="宋体" w:hAnsi="宋体"/>
          <w:highlight w:val="none"/>
        </w:rPr>
        <w:t>比选</w:t>
      </w:r>
      <w:r>
        <w:rPr>
          <w:rFonts w:hint="eastAsia" w:ascii="宋体" w:hAnsi="宋体" w:cs="Arial"/>
          <w:highlight w:val="none"/>
        </w:rPr>
        <w:t>人有权禁止其1年内不得参与属于</w:t>
      </w:r>
      <w:r>
        <w:rPr>
          <w:rFonts w:hint="eastAsia" w:ascii="宋体" w:hAnsi="宋体"/>
          <w:highlight w:val="none"/>
        </w:rPr>
        <w:t>比选</w:t>
      </w:r>
      <w:r>
        <w:rPr>
          <w:rFonts w:hint="eastAsia" w:ascii="宋体" w:hAnsi="宋体" w:cs="Arial"/>
          <w:highlight w:val="none"/>
        </w:rPr>
        <w:t>人的项目</w:t>
      </w:r>
    </w:p>
    <w:p>
      <w:pPr>
        <w:tabs>
          <w:tab w:val="left" w:pos="1134"/>
          <w:tab w:val="left" w:pos="8364"/>
        </w:tabs>
        <w:spacing w:before="0" w:after="0" w:afterAutospacing="0"/>
        <w:ind w:left="0" w:right="0" w:firstLine="420" w:firstLineChars="200"/>
        <w:rPr>
          <w:rFonts w:ascii="宋体" w:hAnsi="宋体" w:cs="Arial"/>
          <w:highlight w:val="none"/>
        </w:rPr>
      </w:pPr>
      <w:r>
        <w:rPr>
          <w:rFonts w:ascii="宋体" w:hAnsi="宋体" w:cs="Arial"/>
          <w:highlight w:val="none"/>
        </w:rPr>
        <w:t>29.3</w:t>
      </w:r>
      <w:r>
        <w:rPr>
          <w:rFonts w:hint="eastAsia" w:ascii="宋体" w:hAnsi="宋体" w:cs="Arial"/>
          <w:highlight w:val="none"/>
        </w:rPr>
        <w:t xml:space="preserve"> 比选申请人应确保提供的资料真实无误，如有弄虚作假的情况，一经查实，取消比选申请资格，已经中选的取消中选资格。</w:t>
      </w:r>
    </w:p>
    <w:p>
      <w:pPr>
        <w:tabs>
          <w:tab w:val="left" w:pos="1134"/>
          <w:tab w:val="left" w:pos="8364"/>
        </w:tabs>
        <w:spacing w:before="0" w:after="0" w:afterAutospacing="0"/>
        <w:ind w:left="0" w:right="0" w:firstLine="420" w:firstLineChars="200"/>
        <w:rPr>
          <w:rFonts w:ascii="宋体" w:hAnsi="宋体" w:cs="Arial"/>
          <w:highlight w:val="none"/>
        </w:rPr>
      </w:pPr>
      <w:r>
        <w:rPr>
          <w:rFonts w:ascii="宋体" w:hAnsi="宋体" w:cs="Arial"/>
          <w:highlight w:val="none"/>
        </w:rPr>
        <w:t>29.4</w:t>
      </w:r>
      <w:r>
        <w:rPr>
          <w:rFonts w:hint="eastAsia" w:ascii="宋体" w:hAnsi="宋体" w:cs="Arial"/>
          <w:highlight w:val="none"/>
        </w:rPr>
        <w:t xml:space="preserve"> 比选人确定的中选人必须按有关规定进行公示。</w:t>
      </w:r>
    </w:p>
    <w:p>
      <w:pPr>
        <w:tabs>
          <w:tab w:val="left" w:pos="1134"/>
          <w:tab w:val="left" w:pos="8364"/>
        </w:tabs>
        <w:spacing w:before="0" w:after="0" w:afterAutospacing="0"/>
        <w:ind w:left="0" w:right="0" w:firstLine="420" w:firstLineChars="200"/>
        <w:rPr>
          <w:rFonts w:ascii="宋体" w:hAnsi="宋体"/>
          <w:highlight w:val="none"/>
        </w:rPr>
      </w:pPr>
      <w:r>
        <w:rPr>
          <w:rFonts w:ascii="宋体" w:hAnsi="宋体" w:cs="Arial"/>
          <w:highlight w:val="none"/>
        </w:rPr>
        <w:t>29.5</w:t>
      </w:r>
      <w:r>
        <w:rPr>
          <w:rFonts w:hint="eastAsia" w:ascii="宋体" w:hAnsi="宋体" w:cs="Arial"/>
          <w:highlight w:val="none"/>
        </w:rPr>
        <w:t xml:space="preserve"> 评审委员会评审结束后，</w:t>
      </w:r>
      <w:r>
        <w:rPr>
          <w:rFonts w:hint="eastAsia" w:ascii="宋体" w:hAnsi="宋体"/>
          <w:highlight w:val="none"/>
        </w:rPr>
        <w:t>比选</w:t>
      </w:r>
      <w:r>
        <w:rPr>
          <w:rFonts w:hint="eastAsia" w:ascii="宋体" w:hAnsi="宋体" w:cs="Arial"/>
          <w:highlight w:val="none"/>
        </w:rPr>
        <w:t>人经审查发现评审过程中有明显错误，可以组织原评审委员会进行复评。</w:t>
      </w:r>
    </w:p>
    <w:p>
      <w:pPr>
        <w:pStyle w:val="6"/>
        <w:numPr>
          <w:ilvl w:val="0"/>
          <w:numId w:val="3"/>
        </w:numPr>
        <w:spacing w:before="0" w:after="0" w:afterAutospacing="0"/>
        <w:ind w:left="0" w:right="0" w:firstLine="422" w:firstLineChars="200"/>
        <w:rPr>
          <w:rFonts w:ascii="宋体" w:hAnsi="宋体"/>
          <w:sz w:val="21"/>
          <w:szCs w:val="21"/>
          <w:highlight w:val="none"/>
        </w:rPr>
      </w:pPr>
      <w:bookmarkStart w:id="847" w:name="_Toc27664"/>
      <w:bookmarkStart w:id="848" w:name="_Toc19634"/>
      <w:bookmarkStart w:id="849" w:name="_Toc492478753"/>
      <w:bookmarkStart w:id="850" w:name="_Toc26470"/>
      <w:bookmarkStart w:id="851" w:name="_Toc5257"/>
      <w:bookmarkStart w:id="852" w:name="_Toc385427828"/>
      <w:bookmarkStart w:id="853" w:name="_Toc16732"/>
      <w:bookmarkStart w:id="854" w:name="_Toc13986"/>
      <w:bookmarkStart w:id="855" w:name="_Toc390098454"/>
      <w:bookmarkStart w:id="856" w:name="_Toc21142"/>
      <w:bookmarkStart w:id="857" w:name="_Toc1215"/>
      <w:bookmarkStart w:id="858" w:name="_Toc383891203"/>
      <w:bookmarkStart w:id="859" w:name="_Toc17823"/>
      <w:bookmarkStart w:id="860" w:name="_Toc18192"/>
      <w:bookmarkStart w:id="861" w:name="_Toc375039095"/>
      <w:bookmarkStart w:id="862" w:name="_Toc21947"/>
      <w:bookmarkStart w:id="863" w:name="_Toc37"/>
      <w:bookmarkStart w:id="864" w:name="_Toc12983538"/>
      <w:bookmarkStart w:id="865" w:name="_Toc15932"/>
      <w:bookmarkStart w:id="866" w:name="_Toc14042"/>
      <w:bookmarkStart w:id="867" w:name="_Toc3761"/>
      <w:bookmarkStart w:id="868" w:name="_Toc5172"/>
      <w:bookmarkStart w:id="869" w:name="_Toc22182"/>
      <w:bookmarkStart w:id="870" w:name="_Toc25750623"/>
      <w:r>
        <w:rPr>
          <w:rFonts w:hint="eastAsia" w:ascii="宋体" w:hAnsi="宋体"/>
          <w:sz w:val="21"/>
          <w:szCs w:val="21"/>
          <w:highlight w:val="none"/>
        </w:rPr>
        <w:t>重新</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r>
        <w:rPr>
          <w:rFonts w:hint="eastAsia" w:ascii="宋体" w:hAnsi="宋体"/>
          <w:sz w:val="21"/>
          <w:szCs w:val="21"/>
          <w:highlight w:val="none"/>
        </w:rPr>
        <w:t>比选</w:t>
      </w:r>
      <w:bookmarkEnd w:id="870"/>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cs="Arial"/>
          <w:highlight w:val="none"/>
        </w:rPr>
        <w:t xml:space="preserve">30.1 </w:t>
      </w:r>
      <w:r>
        <w:rPr>
          <w:rFonts w:hint="eastAsia" w:ascii="宋体" w:hAnsi="宋体"/>
          <w:highlight w:val="none"/>
        </w:rPr>
        <w:t>有下列情形之一的，比选人将重新比选：</w:t>
      </w:r>
    </w:p>
    <w:p>
      <w:pPr>
        <w:tabs>
          <w:tab w:val="left" w:pos="1134"/>
          <w:tab w:val="left" w:pos="8364"/>
        </w:tabs>
        <w:spacing w:before="0" w:after="0" w:afterAutospacing="0"/>
        <w:ind w:left="0" w:right="0" w:firstLine="420" w:firstLineChars="200"/>
        <w:rPr>
          <w:rFonts w:ascii="宋体" w:hAnsi="宋体"/>
          <w:highlight w:val="none"/>
        </w:rPr>
      </w:pPr>
      <w:bookmarkStart w:id="871" w:name="_Toc12031"/>
      <w:bookmarkStart w:id="872" w:name="_Toc31757"/>
      <w:bookmarkStart w:id="873" w:name="_Toc375039096"/>
      <w:bookmarkStart w:id="874" w:name="_Toc2422"/>
      <w:bookmarkStart w:id="875" w:name="_Toc10962"/>
      <w:bookmarkStart w:id="876" w:name="_Toc5959"/>
      <w:bookmarkStart w:id="877" w:name="_Toc12983539"/>
      <w:bookmarkStart w:id="878" w:name="_Toc26919"/>
      <w:bookmarkStart w:id="879" w:name="_Toc11126"/>
      <w:bookmarkStart w:id="880" w:name="_Toc6886"/>
      <w:bookmarkStart w:id="881" w:name="_Toc1116"/>
      <w:bookmarkStart w:id="882" w:name="_Toc383891204"/>
      <w:bookmarkStart w:id="883" w:name="_Toc385427829"/>
      <w:bookmarkStart w:id="884" w:name="_Toc20979"/>
      <w:bookmarkStart w:id="885" w:name="_Toc390098455"/>
      <w:bookmarkStart w:id="886" w:name="_Toc3769"/>
      <w:bookmarkStart w:id="887" w:name="_Toc492478754"/>
      <w:bookmarkStart w:id="888" w:name="_Toc14454"/>
      <w:bookmarkStart w:id="889" w:name="_Toc1945"/>
      <w:bookmarkStart w:id="890" w:name="_Toc14235"/>
      <w:bookmarkStart w:id="891" w:name="_Toc17042"/>
      <w:bookmarkStart w:id="892" w:name="_Toc26954"/>
      <w:bookmarkStart w:id="893" w:name="_Toc25257"/>
      <w:bookmarkStart w:id="894" w:name="_Toc25750624"/>
      <w:r>
        <w:rPr>
          <w:rFonts w:ascii="宋体" w:hAnsi="宋体"/>
          <w:highlight w:val="none"/>
        </w:rPr>
        <w:t>出现下列特殊情况之一时，可重新</w:t>
      </w:r>
      <w:r>
        <w:rPr>
          <w:rFonts w:hint="eastAsia" w:ascii="宋体" w:hAnsi="宋体"/>
          <w:highlight w:val="none"/>
        </w:rPr>
        <w:t>比选</w:t>
      </w:r>
      <w:r>
        <w:rPr>
          <w:rFonts w:ascii="宋体" w:hAnsi="宋体"/>
          <w:highlight w:val="none"/>
        </w:rPr>
        <w:t>：</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30.1</w:t>
      </w:r>
      <w:r>
        <w:rPr>
          <w:rFonts w:ascii="宋体" w:hAnsi="宋体"/>
          <w:highlight w:val="none"/>
        </w:rPr>
        <w:t>在比选申请截止时间到达时提交比选申请文件的比选申请人</w:t>
      </w:r>
      <w:r>
        <w:rPr>
          <w:rFonts w:hint="eastAsia" w:ascii="宋体" w:hAnsi="宋体"/>
          <w:highlight w:val="none"/>
        </w:rPr>
        <w:t>不足3家</w:t>
      </w:r>
      <w:r>
        <w:rPr>
          <w:rFonts w:ascii="宋体" w:hAnsi="宋体"/>
          <w:highlight w:val="none"/>
        </w:rPr>
        <w:t>的；</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30.2</w:t>
      </w:r>
      <w:r>
        <w:rPr>
          <w:rFonts w:ascii="宋体" w:hAnsi="宋体"/>
          <w:highlight w:val="none"/>
        </w:rPr>
        <w:t>评审委员会否决不合格比选申请或者界定为否决比选申请后，因有效比选申请不足三</w:t>
      </w:r>
      <w:r>
        <w:rPr>
          <w:rFonts w:hint="eastAsia" w:ascii="宋体" w:hAnsi="宋体"/>
          <w:highlight w:val="none"/>
        </w:rPr>
        <w:t>家</w:t>
      </w:r>
      <w:r>
        <w:rPr>
          <w:rFonts w:ascii="宋体" w:hAnsi="宋体"/>
          <w:highlight w:val="none"/>
        </w:rPr>
        <w:t>使得比选申请明显缺乏竞争性的（当有效比选申请</w:t>
      </w:r>
      <w:r>
        <w:rPr>
          <w:rFonts w:hint="eastAsia" w:ascii="宋体" w:hAnsi="宋体"/>
          <w:highlight w:val="none"/>
        </w:rPr>
        <w:t>只剩余两家</w:t>
      </w:r>
      <w:r>
        <w:rPr>
          <w:rFonts w:ascii="宋体" w:hAnsi="宋体"/>
          <w:highlight w:val="none"/>
        </w:rPr>
        <w:t>时，评审委员会认为剩余的比选申请文件仍具有竞争性的，应继续评审）；</w:t>
      </w:r>
    </w:p>
    <w:p>
      <w:pPr>
        <w:tabs>
          <w:tab w:val="left" w:pos="1134"/>
          <w:tab w:val="left" w:pos="8364"/>
        </w:tabs>
        <w:spacing w:before="0" w:after="0" w:afterAutospacing="0"/>
        <w:ind w:left="0" w:right="0" w:firstLine="420" w:firstLineChars="200"/>
        <w:rPr>
          <w:rFonts w:ascii="宋体" w:hAnsi="宋体"/>
          <w:highlight w:val="none"/>
        </w:rPr>
      </w:pPr>
      <w:r>
        <w:rPr>
          <w:rFonts w:ascii="宋体" w:hAnsi="宋体"/>
          <w:highlight w:val="none"/>
        </w:rPr>
        <w:t>30.</w:t>
      </w:r>
      <w:r>
        <w:rPr>
          <w:rFonts w:hint="eastAsia" w:ascii="宋体" w:hAnsi="宋体"/>
          <w:highlight w:val="none"/>
        </w:rPr>
        <w:t>3</w:t>
      </w:r>
      <w:r>
        <w:rPr>
          <w:rFonts w:ascii="宋体" w:hAnsi="宋体"/>
          <w:highlight w:val="none"/>
        </w:rPr>
        <w:t>评审委员会决定否决全部比选申请的；</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30.4</w:t>
      </w:r>
      <w:r>
        <w:rPr>
          <w:rFonts w:ascii="宋体" w:hAnsi="宋体"/>
          <w:highlight w:val="none"/>
        </w:rPr>
        <w:t>中选候选人均放弃中选资格</w:t>
      </w:r>
      <w:r>
        <w:rPr>
          <w:rFonts w:hint="eastAsia" w:ascii="宋体" w:hAnsi="宋体"/>
          <w:highlight w:val="none"/>
        </w:rPr>
        <w:t>的</w:t>
      </w:r>
      <w:r>
        <w:rPr>
          <w:rFonts w:ascii="宋体" w:hAnsi="宋体"/>
          <w:highlight w:val="none"/>
        </w:rPr>
        <w:t>；</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30.5</w:t>
      </w:r>
      <w:r>
        <w:rPr>
          <w:rFonts w:ascii="宋体" w:hAnsi="宋体"/>
          <w:highlight w:val="none"/>
        </w:rPr>
        <w:t>根据本须知15</w:t>
      </w:r>
      <w:r>
        <w:rPr>
          <w:rFonts w:hint="eastAsia" w:ascii="宋体" w:hAnsi="宋体"/>
          <w:highlight w:val="none"/>
        </w:rPr>
        <w:t>.2</w:t>
      </w:r>
      <w:r>
        <w:rPr>
          <w:rFonts w:ascii="宋体" w:hAnsi="宋体"/>
          <w:highlight w:val="none"/>
        </w:rPr>
        <w:t>条规定，</w:t>
      </w:r>
      <w:r>
        <w:rPr>
          <w:rFonts w:hint="eastAsia" w:ascii="宋体" w:hAnsi="宋体"/>
          <w:highlight w:val="none"/>
        </w:rPr>
        <w:t>所有中选候选人均不同意在比选申请有效期内延长比选申请有效期的。</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30.6比选文件中规定的其他情况。</w:t>
      </w:r>
    </w:p>
    <w:p>
      <w:pPr>
        <w:pStyle w:val="6"/>
        <w:numPr>
          <w:ilvl w:val="0"/>
          <w:numId w:val="3"/>
        </w:numPr>
        <w:spacing w:before="0" w:after="0" w:afterAutospacing="0"/>
        <w:ind w:left="0" w:right="0" w:firstLine="422" w:firstLineChars="200"/>
        <w:rPr>
          <w:rFonts w:ascii="宋体" w:hAnsi="宋体"/>
          <w:sz w:val="21"/>
          <w:szCs w:val="21"/>
          <w:highlight w:val="none"/>
        </w:rPr>
      </w:pPr>
      <w:r>
        <w:rPr>
          <w:rFonts w:hint="eastAsia" w:ascii="宋体" w:hAnsi="宋体"/>
          <w:sz w:val="21"/>
          <w:szCs w:val="21"/>
          <w:highlight w:val="none"/>
        </w:rPr>
        <w:t>不再</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r>
        <w:rPr>
          <w:rFonts w:hint="eastAsia" w:ascii="宋体" w:hAnsi="宋体"/>
          <w:sz w:val="21"/>
          <w:szCs w:val="21"/>
          <w:highlight w:val="none"/>
        </w:rPr>
        <w:t>比选</w:t>
      </w:r>
      <w:bookmarkEnd w:id="894"/>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项目比选经两次发布信息后比选申请人仍少于三个或重新比选后有效比选申请人仍少于三个或者所有投标被否决的，比选人可不再进行比选，采取直接委托或其他的方式确定中选人。</w:t>
      </w:r>
    </w:p>
    <w:p>
      <w:pPr>
        <w:pStyle w:val="5"/>
        <w:spacing w:after="0" w:afterAutospacing="0" w:line="360" w:lineRule="auto"/>
        <w:ind w:left="0" w:right="0" w:firstLine="482" w:firstLineChars="200"/>
        <w:rPr>
          <w:rFonts w:ascii="宋体" w:hAnsi="宋体" w:eastAsia="宋体"/>
          <w:sz w:val="24"/>
          <w:szCs w:val="24"/>
          <w:highlight w:val="none"/>
        </w:rPr>
      </w:pPr>
      <w:bookmarkStart w:id="895" w:name="_Toc4743"/>
      <w:bookmarkStart w:id="896" w:name="_Toc383891205"/>
      <w:bookmarkStart w:id="897" w:name="_Toc24934"/>
      <w:bookmarkStart w:id="898" w:name="_Toc390098456"/>
      <w:bookmarkStart w:id="899" w:name="_Toc21516"/>
      <w:bookmarkStart w:id="900" w:name="_Toc24580"/>
      <w:bookmarkStart w:id="901" w:name="_Toc9113"/>
      <w:bookmarkStart w:id="902" w:name="_Toc492478755"/>
      <w:bookmarkStart w:id="903" w:name="_Toc8834"/>
      <w:bookmarkStart w:id="904" w:name="_Toc22975"/>
      <w:bookmarkStart w:id="905" w:name="_Toc385427830"/>
      <w:bookmarkStart w:id="906" w:name="_Toc12421"/>
      <w:bookmarkStart w:id="907" w:name="_Toc18800"/>
      <w:bookmarkStart w:id="908" w:name="_Toc24681"/>
      <w:bookmarkStart w:id="909" w:name="_Toc26653"/>
      <w:bookmarkStart w:id="910" w:name="_Toc6000"/>
      <w:bookmarkStart w:id="911" w:name="_Toc375039097"/>
      <w:bookmarkStart w:id="912" w:name="_Toc25750625"/>
      <w:bookmarkStart w:id="913" w:name="_Toc2326"/>
      <w:bookmarkStart w:id="914" w:name="_Toc19952"/>
      <w:bookmarkStart w:id="915" w:name="_Toc30278"/>
      <w:bookmarkStart w:id="916" w:name="_Toc27839"/>
      <w:bookmarkStart w:id="917" w:name="_Toc12983540"/>
      <w:bookmarkStart w:id="918" w:name="_Toc25431"/>
      <w:bookmarkStart w:id="919" w:name="_Toc31958"/>
      <w:r>
        <w:rPr>
          <w:rFonts w:hint="eastAsia" w:ascii="宋体" w:hAnsi="宋体" w:eastAsia="宋体"/>
          <w:sz w:val="24"/>
          <w:szCs w:val="24"/>
          <w:highlight w:val="none"/>
        </w:rPr>
        <w:t>六、</w:t>
      </w:r>
      <w:r>
        <w:rPr>
          <w:rFonts w:ascii="宋体" w:hAnsi="宋体" w:eastAsia="宋体"/>
          <w:sz w:val="24"/>
          <w:szCs w:val="24"/>
          <w:highlight w:val="none"/>
        </w:rPr>
        <w:t>授予合同</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pPr>
        <w:pStyle w:val="6"/>
        <w:spacing w:before="0" w:after="0" w:afterAutospacing="0"/>
        <w:ind w:left="0" w:right="0" w:firstLine="422" w:firstLineChars="200"/>
        <w:rPr>
          <w:rFonts w:ascii="宋体" w:hAnsi="宋体"/>
          <w:sz w:val="21"/>
          <w:szCs w:val="21"/>
          <w:highlight w:val="none"/>
        </w:rPr>
      </w:pPr>
      <w:bookmarkStart w:id="920" w:name="_Toc11795"/>
      <w:bookmarkStart w:id="921" w:name="_Toc383891206"/>
      <w:bookmarkStart w:id="922" w:name="_Toc492478756"/>
      <w:bookmarkStart w:id="923" w:name="_Toc18878"/>
      <w:bookmarkStart w:id="924" w:name="_Toc390098457"/>
      <w:bookmarkStart w:id="925" w:name="_Toc21728"/>
      <w:bookmarkStart w:id="926" w:name="_Toc12983541"/>
      <w:bookmarkStart w:id="927" w:name="_Toc31011"/>
      <w:bookmarkStart w:id="928" w:name="_Toc30026"/>
      <w:bookmarkStart w:id="929" w:name="_Toc10522"/>
      <w:bookmarkStart w:id="930" w:name="_Toc8938"/>
      <w:bookmarkStart w:id="931" w:name="_Toc26143"/>
      <w:bookmarkStart w:id="932" w:name="_Toc1269"/>
      <w:bookmarkStart w:id="933" w:name="_Toc22323"/>
      <w:bookmarkStart w:id="934" w:name="_Toc375039098"/>
      <w:bookmarkStart w:id="935" w:name="_Toc21975"/>
      <w:bookmarkStart w:id="936" w:name="_Toc13914"/>
      <w:bookmarkStart w:id="937" w:name="_Toc30743"/>
      <w:bookmarkStart w:id="938" w:name="_Toc25750626"/>
      <w:bookmarkStart w:id="939" w:name="_Toc28661"/>
      <w:bookmarkStart w:id="940" w:name="_Toc20642"/>
      <w:bookmarkStart w:id="941" w:name="_Toc22688"/>
      <w:bookmarkStart w:id="942" w:name="_Toc385427831"/>
      <w:bookmarkStart w:id="943" w:name="_Toc26525"/>
      <w:r>
        <w:rPr>
          <w:rFonts w:hint="eastAsia" w:ascii="宋体" w:hAnsi="宋体"/>
          <w:sz w:val="21"/>
          <w:szCs w:val="21"/>
          <w:highlight w:val="none"/>
        </w:rPr>
        <w:t>32.合同授予标准</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32.1 </w:t>
      </w:r>
      <w:r>
        <w:rPr>
          <w:rFonts w:ascii="宋体" w:hAnsi="宋体"/>
          <w:highlight w:val="none"/>
        </w:rPr>
        <w:t>根据本须知规定，</w:t>
      </w:r>
      <w:r>
        <w:rPr>
          <w:rFonts w:hint="eastAsia" w:ascii="宋体" w:hAnsi="宋体"/>
          <w:highlight w:val="none"/>
        </w:rPr>
        <w:t>比选人</w:t>
      </w:r>
      <w:r>
        <w:rPr>
          <w:rFonts w:ascii="宋体" w:hAnsi="宋体"/>
          <w:highlight w:val="none"/>
        </w:rPr>
        <w:t>将把合同授予收到中选通知书，并提供了履约担保的比选申请人，该比选申请人必须具有有效实施本合同的能力和资源。</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32.2 </w:t>
      </w:r>
      <w:r>
        <w:rPr>
          <w:rFonts w:ascii="宋体" w:hAnsi="宋体"/>
          <w:highlight w:val="none"/>
        </w:rPr>
        <w:t>如果已中选的比选申请人不能按比选申请文件中承诺的条件履行签约行为，</w:t>
      </w:r>
      <w:r>
        <w:rPr>
          <w:rFonts w:hint="eastAsia" w:ascii="宋体" w:hAnsi="宋体"/>
          <w:highlight w:val="none"/>
        </w:rPr>
        <w:t>比选人</w:t>
      </w:r>
      <w:r>
        <w:rPr>
          <w:rFonts w:ascii="宋体" w:hAnsi="宋体"/>
          <w:highlight w:val="none"/>
        </w:rPr>
        <w:t>有权按有关法律法规规定，在评审委员会推荐的、合格的比选申请人名单中按照排名先后顺序选择新的合同授予人。</w:t>
      </w:r>
    </w:p>
    <w:p>
      <w:pPr>
        <w:pStyle w:val="6"/>
        <w:spacing w:before="0" w:after="0" w:afterAutospacing="0"/>
        <w:ind w:left="0" w:right="0" w:firstLine="422" w:firstLineChars="200"/>
        <w:rPr>
          <w:rFonts w:ascii="宋体" w:hAnsi="宋体"/>
          <w:sz w:val="21"/>
          <w:szCs w:val="21"/>
          <w:highlight w:val="none"/>
        </w:rPr>
      </w:pPr>
      <w:bookmarkStart w:id="944" w:name="_Toc31336"/>
      <w:bookmarkStart w:id="945" w:name="_Toc390098458"/>
      <w:bookmarkStart w:id="946" w:name="_Toc492478757"/>
      <w:bookmarkStart w:id="947" w:name="_Toc375039099"/>
      <w:bookmarkStart w:id="948" w:name="_Toc383891207"/>
      <w:bookmarkStart w:id="949" w:name="_Toc16111"/>
      <w:bookmarkStart w:id="950" w:name="_Toc1873"/>
      <w:bookmarkStart w:id="951" w:name="_Toc17153"/>
      <w:bookmarkStart w:id="952" w:name="_Toc24183"/>
      <w:bookmarkStart w:id="953" w:name="_Toc385427832"/>
      <w:bookmarkStart w:id="954" w:name="_Toc377"/>
      <w:bookmarkStart w:id="955" w:name="_Toc19774"/>
      <w:bookmarkStart w:id="956" w:name="_Toc13417"/>
      <w:bookmarkStart w:id="957" w:name="_Toc25750627"/>
      <w:bookmarkStart w:id="958" w:name="_Toc25797"/>
      <w:bookmarkStart w:id="959" w:name="_Toc14325"/>
      <w:bookmarkStart w:id="960" w:name="_Toc23649"/>
      <w:bookmarkStart w:id="961" w:name="_Toc19128"/>
      <w:bookmarkStart w:id="962" w:name="_Toc18977"/>
      <w:bookmarkStart w:id="963" w:name="_Toc11913"/>
      <w:bookmarkStart w:id="964" w:name="_Toc17818"/>
      <w:bookmarkStart w:id="965" w:name="_Toc14832"/>
      <w:bookmarkStart w:id="966" w:name="_Toc12983542"/>
      <w:bookmarkStart w:id="967" w:name="_Toc14301"/>
      <w:r>
        <w:rPr>
          <w:rFonts w:hint="eastAsia" w:ascii="宋体" w:hAnsi="宋体"/>
          <w:sz w:val="21"/>
          <w:szCs w:val="21"/>
          <w:highlight w:val="none"/>
        </w:rPr>
        <w:t>33.接受和否决任何或所有比选申请的权力</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比选人保留在授标之前任何时候依法决定否决所有或任何比选申请，以及宣布所有或任何比选申请文件无效的权力，对受影响的比选申请人不承担任何责任，也无义务向受影响的比选申请人解释采取这一行动的理由。</w:t>
      </w:r>
    </w:p>
    <w:p>
      <w:pPr>
        <w:pStyle w:val="6"/>
        <w:numPr>
          <w:ilvl w:val="0"/>
          <w:numId w:val="4"/>
        </w:numPr>
        <w:spacing w:before="0" w:after="0" w:afterAutospacing="0"/>
        <w:ind w:left="0" w:right="0" w:firstLine="422" w:firstLineChars="200"/>
        <w:rPr>
          <w:rFonts w:ascii="宋体" w:hAnsi="宋体"/>
          <w:sz w:val="21"/>
          <w:szCs w:val="21"/>
          <w:highlight w:val="none"/>
        </w:rPr>
      </w:pPr>
      <w:bookmarkStart w:id="968" w:name="_Toc19556"/>
      <w:bookmarkStart w:id="969" w:name="_Toc32424"/>
      <w:bookmarkStart w:id="970" w:name="_Toc22657"/>
      <w:bookmarkStart w:id="971" w:name="_Toc492478758"/>
      <w:bookmarkStart w:id="972" w:name="_Toc5061"/>
      <w:bookmarkStart w:id="973" w:name="_Toc383891208"/>
      <w:bookmarkStart w:id="974" w:name="_Toc673"/>
      <w:bookmarkStart w:id="975" w:name="_Toc13605"/>
      <w:bookmarkStart w:id="976" w:name="_Toc2061"/>
      <w:bookmarkStart w:id="977" w:name="_Toc12065"/>
      <w:bookmarkStart w:id="978" w:name="_Toc10348"/>
      <w:bookmarkStart w:id="979" w:name="_Toc385427833"/>
      <w:bookmarkStart w:id="980" w:name="_Toc17953"/>
      <w:bookmarkStart w:id="981" w:name="_Toc19943"/>
      <w:bookmarkStart w:id="982" w:name="_Toc375039100"/>
      <w:bookmarkStart w:id="983" w:name="_Toc921"/>
      <w:bookmarkStart w:id="984" w:name="_Toc13596"/>
      <w:bookmarkStart w:id="985" w:name="_Toc21798"/>
      <w:bookmarkStart w:id="986" w:name="_Toc390098459"/>
      <w:bookmarkStart w:id="987" w:name="_Toc20680"/>
      <w:bookmarkStart w:id="988" w:name="_Toc25750628"/>
      <w:bookmarkStart w:id="989" w:name="_Toc9636"/>
      <w:bookmarkStart w:id="990" w:name="_Toc27683"/>
      <w:bookmarkStart w:id="991" w:name="_Toc12983543"/>
      <w:r>
        <w:rPr>
          <w:rFonts w:hint="eastAsia" w:ascii="宋体" w:hAnsi="宋体"/>
          <w:sz w:val="21"/>
          <w:szCs w:val="21"/>
          <w:highlight w:val="none"/>
        </w:rPr>
        <w:t>中选通知书</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pPr>
        <w:tabs>
          <w:tab w:val="left" w:pos="450"/>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34.1 </w:t>
      </w:r>
      <w:r>
        <w:rPr>
          <w:rFonts w:ascii="宋体" w:hAnsi="宋体"/>
          <w:highlight w:val="none"/>
        </w:rPr>
        <w:t>在比选申请有效期截止前，</w:t>
      </w:r>
      <w:r>
        <w:rPr>
          <w:rFonts w:hint="eastAsia" w:ascii="宋体" w:hAnsi="宋体"/>
          <w:highlight w:val="none"/>
        </w:rPr>
        <w:t>在本须知第</w:t>
      </w:r>
      <w:r>
        <w:rPr>
          <w:rFonts w:ascii="宋体" w:hAnsi="宋体"/>
          <w:highlight w:val="none"/>
        </w:rPr>
        <w:t>15条</w:t>
      </w:r>
      <w:r>
        <w:rPr>
          <w:rFonts w:hint="eastAsia" w:ascii="宋体" w:hAnsi="宋体"/>
          <w:highlight w:val="none"/>
        </w:rPr>
        <w:t>规定的比选申请有效期内，比选人以书面形式向中选人发出中选通知书。</w:t>
      </w:r>
    </w:p>
    <w:p>
      <w:pPr>
        <w:tabs>
          <w:tab w:val="left" w:pos="450"/>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34.2 </w:t>
      </w:r>
      <w:r>
        <w:rPr>
          <w:rFonts w:ascii="宋体" w:hAnsi="宋体"/>
          <w:highlight w:val="none"/>
        </w:rPr>
        <w:t>中选通知书将作为签订合同的依据，并是合同的一个组成部分。</w:t>
      </w:r>
    </w:p>
    <w:p>
      <w:pPr>
        <w:tabs>
          <w:tab w:val="left" w:pos="450"/>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34.3 </w:t>
      </w:r>
      <w:r>
        <w:rPr>
          <w:rFonts w:ascii="宋体" w:hAnsi="宋体"/>
          <w:highlight w:val="none"/>
        </w:rPr>
        <w:t>对未中选者，</w:t>
      </w:r>
      <w:r>
        <w:rPr>
          <w:rFonts w:hint="eastAsia" w:ascii="宋体" w:hAnsi="宋体"/>
          <w:highlight w:val="none"/>
        </w:rPr>
        <w:t>比选人</w:t>
      </w:r>
      <w:r>
        <w:rPr>
          <w:rFonts w:ascii="宋体" w:hAnsi="宋体"/>
          <w:highlight w:val="none"/>
        </w:rPr>
        <w:t>不对未中选原因做出解释，同时亦不退还比选申请文件。</w:t>
      </w:r>
    </w:p>
    <w:p>
      <w:pPr>
        <w:tabs>
          <w:tab w:val="left" w:pos="450"/>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34.4放弃中选人资格的处罚详见前附表。</w:t>
      </w:r>
    </w:p>
    <w:p>
      <w:pPr>
        <w:pStyle w:val="6"/>
        <w:numPr>
          <w:ilvl w:val="0"/>
          <w:numId w:val="4"/>
        </w:numPr>
        <w:spacing w:before="0" w:after="0" w:afterAutospacing="0"/>
        <w:ind w:left="0" w:right="0" w:firstLine="422" w:firstLineChars="200"/>
        <w:rPr>
          <w:rFonts w:ascii="宋体" w:hAnsi="宋体"/>
          <w:sz w:val="21"/>
          <w:szCs w:val="21"/>
          <w:highlight w:val="none"/>
        </w:rPr>
      </w:pPr>
      <w:bookmarkStart w:id="992" w:name="_Toc5767"/>
      <w:bookmarkStart w:id="993" w:name="_Toc21217"/>
      <w:bookmarkStart w:id="994" w:name="_Toc492478759"/>
      <w:bookmarkStart w:id="995" w:name="_Toc25208"/>
      <w:bookmarkStart w:id="996" w:name="_Toc375039101"/>
      <w:bookmarkStart w:id="997" w:name="_Toc5617"/>
      <w:bookmarkStart w:id="998" w:name="_Toc24885"/>
      <w:bookmarkStart w:id="999" w:name="_Toc4190"/>
      <w:bookmarkStart w:id="1000" w:name="_Toc15048"/>
      <w:bookmarkStart w:id="1001" w:name="_Toc1862"/>
      <w:bookmarkStart w:id="1002" w:name="_Toc385427834"/>
      <w:bookmarkStart w:id="1003" w:name="_Toc390098460"/>
      <w:bookmarkStart w:id="1004" w:name="_Toc8628"/>
      <w:bookmarkStart w:id="1005" w:name="_Toc12983544"/>
      <w:bookmarkStart w:id="1006" w:name="_Toc18694"/>
      <w:bookmarkStart w:id="1007" w:name="_Toc29993"/>
      <w:bookmarkStart w:id="1008" w:name="_Toc21570"/>
      <w:bookmarkStart w:id="1009" w:name="_Toc28815"/>
      <w:bookmarkStart w:id="1010" w:name="_Toc383891209"/>
      <w:bookmarkStart w:id="1011" w:name="_Toc30862"/>
      <w:bookmarkStart w:id="1012" w:name="_Toc1780"/>
      <w:bookmarkStart w:id="1013" w:name="_Toc24240"/>
      <w:bookmarkStart w:id="1014" w:name="_Toc22442"/>
      <w:bookmarkStart w:id="1015" w:name="_Toc25750629"/>
      <w:r>
        <w:rPr>
          <w:rFonts w:hint="eastAsia" w:ascii="宋体" w:hAnsi="宋体"/>
          <w:sz w:val="21"/>
          <w:szCs w:val="21"/>
          <w:highlight w:val="none"/>
        </w:rPr>
        <w:t>签订合同</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35.1 中选人在收到中选通知书后，按比选文件的要求与比选人签订合同</w:t>
      </w:r>
      <w:r>
        <w:rPr>
          <w:rFonts w:ascii="宋体" w:hAnsi="宋体"/>
          <w:highlight w:val="none"/>
        </w:rPr>
        <w:t>。</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35.2 </w:t>
      </w:r>
      <w:r>
        <w:rPr>
          <w:rFonts w:ascii="宋体" w:hAnsi="宋体"/>
          <w:highlight w:val="none"/>
        </w:rPr>
        <w:t>比选文件、中选通知书、中选人的比选申请文件及双方确认的澄清文件等，均为有法律约束力的合同的组成部分。</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35.3 </w:t>
      </w:r>
      <w:r>
        <w:rPr>
          <w:rFonts w:ascii="宋体" w:hAnsi="宋体"/>
          <w:highlight w:val="none"/>
        </w:rPr>
        <w:t>如果中选人没有按照上述第35.1条规定执行，</w:t>
      </w:r>
      <w:r>
        <w:rPr>
          <w:rFonts w:hint="eastAsia" w:ascii="宋体" w:hAnsi="宋体"/>
          <w:highlight w:val="none"/>
        </w:rPr>
        <w:t>比选人</w:t>
      </w:r>
      <w:r>
        <w:rPr>
          <w:rFonts w:ascii="宋体" w:hAnsi="宋体"/>
          <w:highlight w:val="none"/>
        </w:rPr>
        <w:t>将有充分理由取消该中选决定。在此情况下，</w:t>
      </w:r>
      <w:r>
        <w:rPr>
          <w:rFonts w:hint="eastAsia" w:ascii="宋体" w:hAnsi="宋体"/>
          <w:highlight w:val="none"/>
        </w:rPr>
        <w:t>比选人</w:t>
      </w:r>
      <w:r>
        <w:rPr>
          <w:rFonts w:ascii="宋体" w:hAnsi="宋体"/>
          <w:highlight w:val="none"/>
        </w:rPr>
        <w:t>可以按照评审委员会提出的中选候选人名单排序依次确定其他中选候选人为中选人，也可以重新</w:t>
      </w:r>
      <w:r>
        <w:rPr>
          <w:rFonts w:hint="eastAsia" w:ascii="宋体" w:hAnsi="宋体"/>
          <w:highlight w:val="none"/>
        </w:rPr>
        <w:t>比选</w:t>
      </w:r>
      <w:r>
        <w:rPr>
          <w:rFonts w:ascii="宋体" w:hAnsi="宋体"/>
          <w:highlight w:val="none"/>
        </w:rPr>
        <w:t>。</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35.4 </w:t>
      </w:r>
      <w:r>
        <w:rPr>
          <w:rFonts w:ascii="宋体" w:hAnsi="宋体"/>
          <w:highlight w:val="none"/>
        </w:rPr>
        <w:t>中选人若未在比选申请文件“商务响应表”及“技术响应表”中列出负偏离说明，即使其在比选申请文件的其他部分说明与比选文件要求有所不同或回避不答，甚至在评审时对该项目已作了偏离扣分处理，在</w:t>
      </w:r>
      <w:r>
        <w:rPr>
          <w:rFonts w:hint="eastAsia" w:ascii="宋体" w:hAnsi="宋体"/>
          <w:highlight w:val="none"/>
        </w:rPr>
        <w:t>比选人</w:t>
      </w:r>
      <w:r>
        <w:rPr>
          <w:rFonts w:ascii="宋体" w:hAnsi="宋体"/>
          <w:highlight w:val="none"/>
        </w:rPr>
        <w:t>与中选人签订合同期间，亦均视为完全符合比选文件中所要求的最佳值并写入合同。若中选人在定标后及合同签订前，以上述事项为借口而不履行合同签订手续及执行合同，则视作放弃中选资格。</w:t>
      </w:r>
    </w:p>
    <w:p>
      <w:pPr>
        <w:pStyle w:val="6"/>
        <w:numPr>
          <w:ilvl w:val="0"/>
          <w:numId w:val="4"/>
        </w:numPr>
        <w:spacing w:before="0" w:after="0" w:afterAutospacing="0"/>
        <w:ind w:left="0" w:right="0" w:firstLine="422" w:firstLineChars="200"/>
        <w:rPr>
          <w:rFonts w:ascii="宋体" w:hAnsi="宋体"/>
          <w:sz w:val="21"/>
          <w:szCs w:val="21"/>
          <w:highlight w:val="none"/>
        </w:rPr>
      </w:pPr>
      <w:bookmarkStart w:id="1016" w:name="_Toc26808"/>
      <w:bookmarkStart w:id="1017" w:name="_Toc25750631"/>
      <w:bookmarkStart w:id="1018" w:name="_Toc24400"/>
      <w:bookmarkStart w:id="1019" w:name="_Toc10480"/>
      <w:bookmarkStart w:id="1020" w:name="_Toc13615"/>
      <w:bookmarkStart w:id="1021" w:name="_Toc10399"/>
      <w:bookmarkStart w:id="1022" w:name="_Toc385427836"/>
      <w:bookmarkStart w:id="1023" w:name="_Toc492478761"/>
      <w:bookmarkStart w:id="1024" w:name="_Toc383891211"/>
      <w:bookmarkStart w:id="1025" w:name="_Toc25988"/>
      <w:bookmarkStart w:id="1026" w:name="_Toc2637"/>
      <w:bookmarkStart w:id="1027" w:name="_Toc12983546"/>
      <w:bookmarkStart w:id="1028" w:name="_Toc16584"/>
      <w:bookmarkStart w:id="1029" w:name="_Toc19122"/>
      <w:bookmarkStart w:id="1030" w:name="_Toc11354"/>
      <w:bookmarkStart w:id="1031" w:name="_Toc23115"/>
      <w:bookmarkStart w:id="1032" w:name="_Toc25990"/>
      <w:bookmarkStart w:id="1033" w:name="_Toc16212"/>
      <w:bookmarkStart w:id="1034" w:name="_Toc8178"/>
      <w:bookmarkStart w:id="1035" w:name="_Toc375039103"/>
      <w:bookmarkStart w:id="1036" w:name="_Toc30169"/>
      <w:bookmarkStart w:id="1037" w:name="_Toc20351"/>
      <w:bookmarkStart w:id="1038" w:name="_Toc390098462"/>
      <w:bookmarkStart w:id="1039" w:name="_Toc21294"/>
      <w:r>
        <w:rPr>
          <w:rFonts w:hint="eastAsia" w:ascii="宋体" w:hAnsi="宋体"/>
          <w:sz w:val="21"/>
          <w:szCs w:val="21"/>
          <w:highlight w:val="none"/>
        </w:rPr>
        <w:t>其他</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36.1 </w:t>
      </w:r>
      <w:r>
        <w:rPr>
          <w:rFonts w:ascii="宋体" w:hAnsi="宋体"/>
          <w:highlight w:val="none"/>
        </w:rPr>
        <w:t>知识产权和专利权</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36.1.1 </w:t>
      </w:r>
      <w:r>
        <w:rPr>
          <w:rFonts w:ascii="宋体" w:hAnsi="宋体"/>
          <w:highlight w:val="none"/>
        </w:rPr>
        <w:t>比选申请人应保证其拥有服务的知识产权，并保证</w:t>
      </w:r>
      <w:r>
        <w:rPr>
          <w:rFonts w:hint="eastAsia" w:ascii="宋体" w:hAnsi="宋体"/>
          <w:highlight w:val="none"/>
        </w:rPr>
        <w:t>比选人</w:t>
      </w:r>
      <w:r>
        <w:rPr>
          <w:rFonts w:ascii="宋体" w:hAnsi="宋体"/>
          <w:highlight w:val="none"/>
        </w:rPr>
        <w:t>在中华人民共和国使用服务或其任何一部分时，免受第三方提出侵犯其任何专利权、著作权、注册商标专有使用权或计算机软件登记或反不正当竞争的起诉及索赔。</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36.1.2 </w:t>
      </w:r>
      <w:r>
        <w:rPr>
          <w:rFonts w:ascii="宋体" w:hAnsi="宋体"/>
          <w:highlight w:val="none"/>
        </w:rPr>
        <w:t>比选申请报价已包括所有应支付的，对专利权、著作权、注册商标专有使用权、计算机软件登记或其他知识产权而需要向其他方支付各项等费用。</w:t>
      </w:r>
    </w:p>
    <w:p>
      <w:pP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36.2 </w:t>
      </w:r>
      <w:r>
        <w:rPr>
          <w:rFonts w:ascii="宋体" w:hAnsi="宋体"/>
          <w:highlight w:val="none"/>
        </w:rPr>
        <w:t>保密</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36.2.1 </w:t>
      </w:r>
      <w:r>
        <w:rPr>
          <w:rFonts w:ascii="宋体" w:hAnsi="宋体"/>
          <w:highlight w:val="none"/>
        </w:rPr>
        <w:t>由</w:t>
      </w:r>
      <w:r>
        <w:rPr>
          <w:rFonts w:hint="eastAsia" w:ascii="宋体" w:hAnsi="宋体"/>
          <w:highlight w:val="none"/>
        </w:rPr>
        <w:t>比选人</w:t>
      </w:r>
      <w:r>
        <w:rPr>
          <w:rFonts w:ascii="宋体" w:hAnsi="宋体"/>
          <w:highlight w:val="none"/>
        </w:rPr>
        <w:t>向比选申请人提供的比选文件、图纸、详细资料、模型、模件和所有其他资料，被视为保密资料，仅被用于它所规定的用途，除非得到</w:t>
      </w:r>
      <w:r>
        <w:rPr>
          <w:rFonts w:hint="eastAsia" w:ascii="宋体" w:hAnsi="宋体"/>
          <w:highlight w:val="none"/>
        </w:rPr>
        <w:t>比选人</w:t>
      </w:r>
      <w:r>
        <w:rPr>
          <w:rFonts w:ascii="宋体" w:hAnsi="宋体"/>
          <w:highlight w:val="none"/>
        </w:rPr>
        <w:t>的书面同意，不能向任何第三方透露。</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36.2.2 </w:t>
      </w:r>
      <w:r>
        <w:rPr>
          <w:rFonts w:ascii="宋体" w:hAnsi="宋体"/>
          <w:highlight w:val="none"/>
        </w:rPr>
        <w:t>在比选申请文件完成后，应</w:t>
      </w:r>
      <w:r>
        <w:rPr>
          <w:rFonts w:hint="eastAsia" w:ascii="宋体" w:hAnsi="宋体"/>
          <w:highlight w:val="none"/>
        </w:rPr>
        <w:t>比选人</w:t>
      </w:r>
      <w:r>
        <w:rPr>
          <w:rFonts w:ascii="宋体" w:hAnsi="宋体"/>
          <w:highlight w:val="none"/>
        </w:rPr>
        <w:t>要求，比选申请人应归还所有从</w:t>
      </w:r>
      <w:r>
        <w:rPr>
          <w:rFonts w:hint="eastAsia" w:ascii="宋体" w:hAnsi="宋体"/>
          <w:highlight w:val="none"/>
        </w:rPr>
        <w:t>比选人</w:t>
      </w:r>
      <w:r>
        <w:rPr>
          <w:rFonts w:ascii="宋体" w:hAnsi="宋体"/>
          <w:highlight w:val="none"/>
        </w:rPr>
        <w:t>获得的保密资料，以及所有的无论从任何媒介获得的复印件和摘录。</w:t>
      </w:r>
    </w:p>
    <w:p>
      <w:pP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36.3 </w:t>
      </w:r>
      <w:r>
        <w:rPr>
          <w:rFonts w:ascii="宋体" w:hAnsi="宋体"/>
          <w:highlight w:val="none"/>
        </w:rPr>
        <w:t>比选申请人知悉</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36.3.1 </w:t>
      </w:r>
      <w:r>
        <w:rPr>
          <w:rFonts w:ascii="宋体" w:hAnsi="宋体"/>
          <w:highlight w:val="none"/>
        </w:rPr>
        <w:t>比选申请人将被视为已合理地充分了解了对所有影响本项目的事项，包括任何与</w:t>
      </w:r>
      <w:r>
        <w:rPr>
          <w:rFonts w:hint="eastAsia" w:ascii="宋体" w:hAnsi="宋体"/>
          <w:highlight w:val="none"/>
        </w:rPr>
        <w:t>项目</w:t>
      </w:r>
      <w:r>
        <w:rPr>
          <w:rFonts w:ascii="宋体" w:hAnsi="宋体"/>
          <w:highlight w:val="none"/>
        </w:rPr>
        <w:t>和项目时间表有关的特殊困难。</w:t>
      </w:r>
    </w:p>
    <w:p>
      <w:pP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36.3.2 </w:t>
      </w:r>
      <w:r>
        <w:rPr>
          <w:rFonts w:ascii="宋体" w:hAnsi="宋体"/>
          <w:highlight w:val="none"/>
        </w:rPr>
        <w:t>如果比选申请人在比选申请过程中有欺诈行为，则</w:t>
      </w:r>
      <w:r>
        <w:rPr>
          <w:rFonts w:hint="eastAsia" w:ascii="宋体" w:hAnsi="宋体"/>
          <w:highlight w:val="none"/>
        </w:rPr>
        <w:t>比选人</w:t>
      </w:r>
      <w:r>
        <w:rPr>
          <w:rFonts w:ascii="宋体" w:hAnsi="宋体"/>
          <w:highlight w:val="none"/>
        </w:rPr>
        <w:t>有权否决比选申请人的比选申请。</w:t>
      </w:r>
    </w:p>
    <w:p>
      <w:pP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36.4 分包：本项目不允许分包、禁止转包。</w:t>
      </w:r>
    </w:p>
    <w:p>
      <w:pP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36.5 需要补充的其他内容：详见比选申请须知前附表。</w:t>
      </w:r>
    </w:p>
    <w:p>
      <w:pP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36.6本项目采购及合同执行的任何阶段，如果比选人发现比选申请人/中选人存在下述行为之一的，比选人有权取消其比选申请/中选资格，比选申请/中选无效。情节严重的，报同级或上级监管部门依法进行处理；同时将其列入比选申请人的不良信用名单：</w:t>
      </w:r>
    </w:p>
    <w:p>
      <w:pP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（1）比选申请人在比选申请截止期后撤回其投标的。</w:t>
      </w:r>
    </w:p>
    <w:p>
      <w:pP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（2）提供虚假材料谋取中选的。</w:t>
      </w:r>
    </w:p>
    <w:p>
      <w:pP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（3）采取不正当手段诋毁、排挤其他供应商的。</w:t>
      </w:r>
    </w:p>
    <w:p>
      <w:pP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（4）恶意串通等不正当竞争行为的。</w:t>
      </w:r>
    </w:p>
    <w:p>
      <w:pP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（5）中选后无正当理由拒不与采购人签订采购合同的。</w:t>
      </w:r>
    </w:p>
    <w:p>
      <w:pP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（6）未照比选、比选申请文件确定的事项签订采购合同的。</w:t>
      </w:r>
    </w:p>
    <w:p>
      <w:pP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（7）将采购合同转包的。</w:t>
      </w:r>
    </w:p>
    <w:p>
      <w:pP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（8）提供假冒伪劣产品的。</w:t>
      </w:r>
    </w:p>
    <w:p>
      <w:pP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（9）擅自变更、中止或者终止采购合同的。</w:t>
      </w:r>
    </w:p>
    <w:p>
      <w:pP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（10）中选人签订合同后，不能履约或无故拖延履约期的。</w:t>
      </w:r>
    </w:p>
    <w:p>
      <w:pP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（11）中选人未在投标阶段提出异议或疑问，在成交后无法满足采购需求的。</w:t>
      </w:r>
    </w:p>
    <w:p>
      <w:pP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（12）中选人在成交后无正当理由放弃成交资格的。</w:t>
      </w:r>
    </w:p>
    <w:p>
      <w:pP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（13）招标文件、法律、法规规定的其他情形。</w:t>
      </w:r>
    </w:p>
    <w:p>
      <w:pPr>
        <w:tabs>
          <w:tab w:val="left" w:pos="425"/>
          <w:tab w:val="left" w:pos="1134"/>
          <w:tab w:val="left" w:pos="8364"/>
        </w:tabs>
        <w:spacing w:before="0" w:after="0" w:afterAutospacing="0"/>
        <w:ind w:left="0" w:right="0" w:firstLine="420" w:firstLineChars="200"/>
        <w:rPr>
          <w:highlight w:val="none"/>
        </w:rPr>
      </w:pPr>
    </w:p>
    <w:p>
      <w:pPr>
        <w:ind w:right="-57" w:firstLine="0"/>
        <w:rPr>
          <w:rFonts w:ascii="宋体" w:hAnsi="宋体"/>
          <w:highlight w:val="none"/>
        </w:rPr>
      </w:pPr>
    </w:p>
    <w:p>
      <w:pPr>
        <w:ind w:right="-57" w:firstLine="0"/>
        <w:rPr>
          <w:rFonts w:ascii="宋体" w:hAnsi="宋体"/>
          <w:highlight w:val="none"/>
        </w:rPr>
      </w:pPr>
    </w:p>
    <w:p>
      <w:pPr>
        <w:pStyle w:val="12"/>
        <w:pageBreakBefore/>
        <w:ind w:right="-57" w:firstLine="0"/>
        <w:jc w:val="center"/>
        <w:outlineLvl w:val="0"/>
        <w:rPr>
          <w:rStyle w:val="41"/>
          <w:rFonts w:hint="eastAsia" w:ascii="宋体" w:hAnsi="宋体" w:eastAsia="宋体"/>
          <w:highlight w:val="none"/>
        </w:rPr>
        <w:sectPr>
          <w:pgSz w:w="11905" w:h="16838"/>
          <w:pgMar w:top="1417" w:right="1417" w:bottom="1417" w:left="1417" w:header="454" w:footer="567" w:gutter="0"/>
          <w:pgNumType w:start="1"/>
          <w:cols w:space="720" w:num="1"/>
          <w:docGrid w:linePitch="312" w:charSpace="0"/>
        </w:sectPr>
      </w:pPr>
      <w:bookmarkStart w:id="1040" w:name="_Toc4003"/>
      <w:bookmarkStart w:id="1041" w:name="_Toc9725"/>
      <w:bookmarkStart w:id="1042" w:name="_Toc11424"/>
      <w:bookmarkStart w:id="1043" w:name="_Toc28464"/>
      <w:bookmarkStart w:id="1044" w:name="_Toc25920"/>
      <w:bookmarkStart w:id="1045" w:name="_Toc16340"/>
      <w:bookmarkStart w:id="1046" w:name="_Toc7547"/>
      <w:bookmarkStart w:id="1047" w:name="_Toc23292"/>
      <w:bookmarkStart w:id="1048" w:name="_Toc21919"/>
      <w:bookmarkStart w:id="1049" w:name="_Toc15740"/>
      <w:bookmarkStart w:id="1050" w:name="_Toc17022"/>
      <w:bookmarkStart w:id="1051" w:name="_Toc13323"/>
      <w:bookmarkStart w:id="1052" w:name="_Toc25750632"/>
      <w:bookmarkStart w:id="1053" w:name="_Toc12281"/>
      <w:bookmarkStart w:id="1054" w:name="_Toc9991"/>
      <w:bookmarkStart w:id="1055" w:name="_Toc14991"/>
      <w:bookmarkStart w:id="1056" w:name="_Toc1179"/>
      <w:bookmarkStart w:id="1057" w:name="_Toc9458"/>
    </w:p>
    <w:p>
      <w:pPr>
        <w:pStyle w:val="12"/>
        <w:pageBreakBefore/>
        <w:ind w:right="-57" w:firstLine="0"/>
        <w:jc w:val="center"/>
        <w:outlineLvl w:val="0"/>
        <w:rPr>
          <w:rStyle w:val="41"/>
          <w:rFonts w:ascii="宋体" w:hAnsi="宋体" w:eastAsia="宋体"/>
          <w:highlight w:val="none"/>
        </w:rPr>
      </w:pPr>
      <w:bookmarkStart w:id="1058" w:name="_Toc31768"/>
      <w:r>
        <w:rPr>
          <w:rStyle w:val="41"/>
          <w:rFonts w:hint="eastAsia" w:ascii="宋体" w:hAnsi="宋体" w:eastAsia="宋体"/>
          <w:highlight w:val="none"/>
        </w:rPr>
        <w:t>第三章合同条款及格式</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pPr>
        <w:spacing w:before="0"/>
        <w:ind w:right="0" w:firstLine="200"/>
        <w:jc w:val="center"/>
        <w:outlineLvl w:val="1"/>
        <w:rPr>
          <w:rFonts w:ascii="宋体" w:hAnsi="宋体"/>
          <w:b/>
          <w:sz w:val="24"/>
          <w:szCs w:val="24"/>
          <w:highlight w:val="none"/>
        </w:rPr>
      </w:pPr>
      <w:bookmarkStart w:id="1059" w:name="_Toc1289"/>
      <w:bookmarkStart w:id="1060" w:name="_Toc12983547"/>
      <w:bookmarkStart w:id="1061" w:name="_Toc6950"/>
      <w:bookmarkStart w:id="1062" w:name="_Toc25750633"/>
      <w:bookmarkStart w:id="1063" w:name="_Toc31368"/>
      <w:bookmarkStart w:id="1064" w:name="_Toc8999"/>
      <w:bookmarkStart w:id="1065" w:name="_Toc14463"/>
      <w:bookmarkStart w:id="1066" w:name="_Toc32403"/>
      <w:bookmarkStart w:id="1067" w:name="_Toc13761"/>
      <w:bookmarkStart w:id="1068" w:name="_Toc25828"/>
      <w:bookmarkStart w:id="1069" w:name="_Toc6190"/>
      <w:bookmarkStart w:id="1070" w:name="_Toc7236"/>
      <w:bookmarkStart w:id="1071" w:name="_Toc7624"/>
      <w:bookmarkStart w:id="1072" w:name="_Toc20060"/>
      <w:bookmarkStart w:id="1073" w:name="_Toc7587"/>
      <w:bookmarkStart w:id="1074" w:name="_Toc15840"/>
      <w:bookmarkStart w:id="1075" w:name="_Toc4026"/>
      <w:bookmarkStart w:id="1076" w:name="_Toc2618"/>
      <w:bookmarkStart w:id="1077" w:name="_Toc29797"/>
      <w:bookmarkStart w:id="1078" w:name="_Toc3488"/>
      <w:r>
        <w:rPr>
          <w:rFonts w:hint="eastAsia" w:ascii="宋体" w:hAnsi="宋体"/>
          <w:b/>
          <w:sz w:val="24"/>
          <w:szCs w:val="24"/>
          <w:highlight w:val="none"/>
        </w:rPr>
        <w:t>一、合同协议书</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pPr>
        <w:spacing w:before="0" w:after="0" w:afterAutospacing="0"/>
        <w:ind w:left="0" w:right="0" w:firstLine="420" w:firstLineChars="200"/>
        <w:jc w:val="left"/>
        <w:rPr>
          <w:rFonts w:ascii="宋体" w:hAnsi="宋体"/>
          <w:color w:val="auto"/>
          <w:highlight w:val="none"/>
          <w:u w:val="single"/>
        </w:rPr>
      </w:pPr>
      <w:r>
        <w:rPr>
          <w:rFonts w:hint="eastAsia" w:ascii="宋体" w:hAnsi="宋体"/>
          <w:color w:val="auto"/>
          <w:highlight w:val="none"/>
        </w:rPr>
        <w:t>甲方：南宁轨道交通运营有限公司</w:t>
      </w:r>
    </w:p>
    <w:p>
      <w:pPr>
        <w:spacing w:before="0" w:after="0" w:afterAutospacing="0"/>
        <w:ind w:left="0" w:right="0" w:firstLine="420" w:firstLineChars="200"/>
        <w:jc w:val="left"/>
        <w:rPr>
          <w:rFonts w:ascii="宋体" w:hAnsi="宋体"/>
          <w:color w:val="auto"/>
          <w:highlight w:val="none"/>
        </w:rPr>
      </w:pPr>
      <w:r>
        <w:rPr>
          <w:rFonts w:hint="eastAsia" w:ascii="宋体" w:hAnsi="宋体"/>
          <w:color w:val="auto"/>
          <w:highlight w:val="none"/>
        </w:rPr>
        <w:t>乙方：</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本协议由南宁轨道交通运营有限公司（下称“甲方”或业主）与（下称“乙方”），双方根据</w:t>
      </w:r>
      <w:r>
        <w:rPr>
          <w:rFonts w:hint="eastAsia" w:ascii="宋体" w:hAnsi="宋体"/>
          <w:color w:val="auto"/>
          <w:highlight w:val="none"/>
          <w:u w:val="single"/>
        </w:rPr>
        <w:t>南宁轨道交通1号线麻村站至石埠站卫生间蹲便感应式冲洗阀设备技术改造项目</w:t>
      </w:r>
      <w:r>
        <w:rPr>
          <w:rFonts w:hint="eastAsia" w:ascii="宋体" w:hAnsi="宋体"/>
          <w:color w:val="auto"/>
          <w:highlight w:val="none"/>
        </w:rPr>
        <w:t>（项目编号：</w:t>
      </w:r>
      <w:r>
        <w:rPr>
          <w:rFonts w:hint="eastAsia" w:ascii="宋体" w:hAnsi="宋体"/>
          <w:color w:val="auto"/>
          <w:highlight w:val="none"/>
          <w:u w:val="single"/>
        </w:rPr>
        <w:t>202204190008</w:t>
      </w:r>
      <w:r>
        <w:rPr>
          <w:rFonts w:hint="eastAsia" w:ascii="宋体" w:hAnsi="宋体"/>
          <w:color w:val="auto"/>
          <w:highlight w:val="none"/>
        </w:rPr>
        <w:t>）比选结果，依据《中华人民共和国民法典》的规定，签订协议。具体内容如下：</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1.项目概况</w:t>
      </w:r>
    </w:p>
    <w:p>
      <w:pPr>
        <w:spacing w:before="0" w:after="0" w:afterAutospacing="0"/>
        <w:ind w:left="0" w:right="0" w:firstLine="420" w:firstLineChars="200"/>
        <w:rPr>
          <w:rFonts w:ascii="宋体" w:hAnsi="宋体"/>
          <w:highlight w:val="none"/>
        </w:rPr>
      </w:pPr>
      <w:r>
        <w:rPr>
          <w:rFonts w:hint="eastAsia" w:ascii="宋体" w:hAnsi="宋体"/>
          <w:highlight w:val="none"/>
        </w:rPr>
        <w:t>1.1 项目名称：南宁轨道交通1号线麻村站至石埠站卫生间蹲便感应式冲洗阀设备技术改造项目</w:t>
      </w:r>
    </w:p>
    <w:p>
      <w:pPr>
        <w:spacing w:before="0" w:after="0" w:afterAutospacing="0"/>
        <w:ind w:left="0" w:right="0" w:firstLine="420" w:firstLineChars="200"/>
        <w:rPr>
          <w:rFonts w:ascii="宋体" w:hAnsi="宋体"/>
          <w:highlight w:val="none"/>
        </w:rPr>
      </w:pPr>
      <w:r>
        <w:rPr>
          <w:rFonts w:hint="eastAsia" w:ascii="宋体" w:hAnsi="宋体"/>
          <w:highlight w:val="none"/>
        </w:rPr>
        <w:t>1.2 项目实施地点：南宁轨道交通1号线麻村站至石埠站卫生间。</w:t>
      </w:r>
    </w:p>
    <w:p>
      <w:pPr>
        <w:spacing w:before="0" w:after="0" w:afterAutospacing="0"/>
        <w:ind w:left="0" w:right="0" w:firstLine="420" w:firstLineChars="200"/>
        <w:rPr>
          <w:rFonts w:ascii="宋体" w:hAnsi="宋体"/>
          <w:color w:val="auto"/>
          <w:highlight w:val="none"/>
        </w:rPr>
      </w:pPr>
      <w:r>
        <w:rPr>
          <w:rFonts w:hint="eastAsia" w:ascii="宋体" w:hAnsi="宋体"/>
          <w:highlight w:val="none"/>
        </w:rPr>
        <w:t>1.3 项目范围：南宁轨道交通1号线石埠站、鹏飞路站、西乡塘客运站、清川站、动物园站、鲁班路站、广西大学站、火车站、朝阳广场站、民族广场站、麻村站共计11个站点公共区、设备区卫</w:t>
      </w:r>
      <w:r>
        <w:rPr>
          <w:rFonts w:hint="eastAsia" w:ascii="宋体" w:hAnsi="宋体"/>
          <w:color w:val="auto"/>
          <w:highlight w:val="none"/>
        </w:rPr>
        <w:t>生间，具体详见技术规格书。</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2.合同标的</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甲方同意接受，乙方同意作为中选方并以下列第3条所述价格提</w:t>
      </w:r>
      <w:r>
        <w:rPr>
          <w:rFonts w:hint="eastAsia" w:ascii="宋体" w:hAnsi="宋体" w:cs="Arial"/>
          <w:color w:val="auto"/>
          <w:highlight w:val="none"/>
          <w:lang w:eastAsia="zh-CN"/>
        </w:rPr>
        <w:t>供南宁轨道交通1号线麻村站至石埠站卫生间蹲便感应式冲洗阀设备技术改造项目</w:t>
      </w:r>
      <w:r>
        <w:rPr>
          <w:rFonts w:hint="eastAsia" w:ascii="宋体" w:hAnsi="宋体" w:cs="Arial"/>
          <w:color w:val="auto"/>
          <w:highlight w:val="none"/>
        </w:rPr>
        <w:t>项下的</w:t>
      </w:r>
      <w:r>
        <w:rPr>
          <w:rFonts w:hint="eastAsia" w:ascii="宋体" w:hAnsi="宋体" w:cs="Arial"/>
          <w:color w:val="auto"/>
          <w:highlight w:val="none"/>
          <w:lang w:eastAsia="zh-CN"/>
        </w:rPr>
        <w:t>卫生间蹲便感应式冲洗阀设备技术改造</w:t>
      </w:r>
      <w:r>
        <w:rPr>
          <w:rFonts w:hint="eastAsia" w:ascii="宋体" w:hAnsi="宋体" w:cs="Arial"/>
          <w:color w:val="auto"/>
          <w:highlight w:val="none"/>
        </w:rPr>
        <w:t>服务（包括但不限于安装材料、人工及质保等）。</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3.合同价格</w:t>
      </w:r>
    </w:p>
    <w:p>
      <w:pPr>
        <w:pStyle w:val="9"/>
        <w:ind w:left="0" w:firstLine="420" w:firstLineChars="200"/>
        <w:rPr>
          <w:rFonts w:ascii="宋体" w:hAnsi="宋体"/>
          <w:b/>
          <w:bCs/>
          <w:highlight w:val="none"/>
        </w:rPr>
      </w:pPr>
      <w:r>
        <w:rPr>
          <w:rFonts w:hint="eastAsia" w:ascii="宋体" w:hAnsi="宋体" w:cs="Arial"/>
          <w:color w:val="auto"/>
          <w:highlight w:val="none"/>
        </w:rPr>
        <w:t>本项目合同价格为：</w:t>
      </w:r>
      <w:r>
        <w:rPr>
          <w:rFonts w:hint="eastAsia" w:ascii="宋体" w:hAnsi="宋体"/>
          <w:color w:val="auto"/>
          <w:highlight w:val="none"/>
        </w:rPr>
        <w:t>不含税价：人民币</w:t>
      </w:r>
      <w:r>
        <w:rPr>
          <w:rFonts w:hint="eastAsia" w:ascii="宋体" w:hAnsi="宋体"/>
          <w:color w:val="auto"/>
          <w:highlight w:val="none"/>
          <w:u w:val="single"/>
        </w:rPr>
        <w:t xml:space="preserve">       (¥  )</w:t>
      </w:r>
      <w:r>
        <w:rPr>
          <w:rFonts w:hint="eastAsia" w:ascii="宋体" w:hAnsi="宋体"/>
          <w:color w:val="auto"/>
          <w:highlight w:val="none"/>
        </w:rPr>
        <w:t>；税率</w:t>
      </w:r>
      <w:r>
        <w:rPr>
          <w:rFonts w:hint="eastAsia" w:ascii="宋体" w:hAnsi="宋体"/>
          <w:color w:val="auto"/>
          <w:highlight w:val="none"/>
          <w:u w:val="single"/>
        </w:rPr>
        <w:t>： %</w:t>
      </w:r>
      <w:r>
        <w:rPr>
          <w:rFonts w:hint="eastAsia" w:ascii="宋体" w:hAnsi="宋体"/>
          <w:color w:val="auto"/>
          <w:highlight w:val="none"/>
        </w:rPr>
        <w:t>；税费：人民币</w:t>
      </w:r>
      <w:r>
        <w:rPr>
          <w:rFonts w:hint="eastAsia" w:ascii="宋体" w:hAnsi="宋体"/>
          <w:color w:val="auto"/>
          <w:highlight w:val="none"/>
          <w:u w:val="single"/>
        </w:rPr>
        <w:t xml:space="preserve">       (¥  )</w:t>
      </w:r>
      <w:r>
        <w:rPr>
          <w:rFonts w:hint="eastAsia" w:ascii="宋体" w:hAnsi="宋体"/>
          <w:color w:val="auto"/>
          <w:highlight w:val="none"/>
        </w:rPr>
        <w:t>；含税总价：人民币</w:t>
      </w:r>
      <w:r>
        <w:rPr>
          <w:rFonts w:hint="eastAsia" w:ascii="宋体" w:hAnsi="宋体"/>
          <w:color w:val="auto"/>
          <w:highlight w:val="none"/>
          <w:u w:val="single"/>
        </w:rPr>
        <w:t xml:space="preserve">       (¥  )</w:t>
      </w:r>
      <w:r>
        <w:rPr>
          <w:rFonts w:ascii="宋体" w:hAnsi="宋体"/>
          <w:color w:val="auto"/>
          <w:highlight w:val="none"/>
          <w:u w:val="none"/>
        </w:rPr>
        <w:t>，</w:t>
      </w:r>
      <w:r>
        <w:rPr>
          <w:rFonts w:hint="eastAsia" w:ascii="宋体" w:hAnsi="宋体" w:cs="Arial"/>
          <w:color w:val="auto"/>
          <w:highlight w:val="none"/>
        </w:rPr>
        <w:t>（下文称“合同价格”)。本合同价格为暂定价，</w:t>
      </w:r>
      <w:r>
        <w:rPr>
          <w:rFonts w:hint="eastAsia" w:ascii="宋体" w:hAnsi="宋体" w:cs="Arial"/>
          <w:b/>
          <w:bCs/>
          <w:color w:val="auto"/>
          <w:highlight w:val="none"/>
        </w:rPr>
        <w:t>在</w:t>
      </w:r>
      <w:r>
        <w:rPr>
          <w:rFonts w:hint="eastAsia" w:ascii="宋体" w:hAnsi="宋体" w:cs="Arial"/>
          <w:b/>
          <w:bCs/>
          <w:highlight w:val="none"/>
        </w:rPr>
        <w:t>合同履约过程中，本合同税率将遵照国家现行税法执行，随国家税率调整而调整。本合同最终税金在结算阶段，按实际产生的税金进行核算，但合同不含税价格不因国家税率调整而调整。</w:t>
      </w:r>
    </w:p>
    <w:p>
      <w:pPr>
        <w:spacing w:before="0" w:after="0" w:afterAutospacing="0"/>
        <w:ind w:left="0" w:right="0" w:firstLine="420" w:firstLineChars="200"/>
        <w:rPr>
          <w:rFonts w:ascii="宋体" w:hAnsi="宋体"/>
          <w:highlight w:val="none"/>
        </w:rPr>
      </w:pPr>
      <w:r>
        <w:rPr>
          <w:rFonts w:hint="eastAsia" w:ascii="宋体" w:hAnsi="宋体"/>
          <w:highlight w:val="none"/>
        </w:rPr>
        <w:t>4.本合同由下列文件构成：</w:t>
      </w:r>
    </w:p>
    <w:p>
      <w:pPr>
        <w:spacing w:before="0" w:after="0" w:afterAutospacing="0"/>
        <w:ind w:left="0" w:right="0" w:firstLine="420" w:firstLineChars="200"/>
        <w:rPr>
          <w:rFonts w:ascii="宋体" w:hAnsi="宋体"/>
          <w:highlight w:val="none"/>
        </w:rPr>
      </w:pPr>
      <w:r>
        <w:rPr>
          <w:rFonts w:hint="eastAsia" w:ascii="宋体" w:hAnsi="宋体"/>
          <w:highlight w:val="none"/>
        </w:rPr>
        <w:t>（</w:t>
      </w:r>
      <w:r>
        <w:rPr>
          <w:rFonts w:ascii="宋体" w:hAnsi="宋体"/>
          <w:highlight w:val="none"/>
        </w:rPr>
        <w:t>1</w:t>
      </w:r>
      <w:r>
        <w:rPr>
          <w:rFonts w:hint="eastAsia" w:ascii="宋体" w:hAnsi="宋体"/>
          <w:highlight w:val="none"/>
        </w:rPr>
        <w:t>）本合同协议书（含合同谈判过程中的澄清文件和补充资料）；</w:t>
      </w:r>
    </w:p>
    <w:p>
      <w:pPr>
        <w:spacing w:before="0" w:after="0" w:afterAutospacing="0"/>
        <w:ind w:left="0" w:right="0" w:firstLine="420" w:firstLineChars="200"/>
        <w:rPr>
          <w:rFonts w:ascii="宋体" w:hAnsi="宋体"/>
          <w:highlight w:val="none"/>
        </w:rPr>
      </w:pPr>
      <w:r>
        <w:rPr>
          <w:rFonts w:hint="eastAsia" w:ascii="宋体" w:hAnsi="宋体"/>
          <w:highlight w:val="none"/>
        </w:rPr>
        <w:t>（</w:t>
      </w:r>
      <w:r>
        <w:rPr>
          <w:rFonts w:ascii="宋体" w:hAnsi="宋体"/>
          <w:highlight w:val="none"/>
        </w:rPr>
        <w:t>2</w:t>
      </w:r>
      <w:r>
        <w:rPr>
          <w:rFonts w:hint="eastAsia" w:ascii="宋体" w:hAnsi="宋体"/>
          <w:highlight w:val="none"/>
        </w:rPr>
        <w:t>）中选通知书；</w:t>
      </w:r>
    </w:p>
    <w:p>
      <w:pPr>
        <w:spacing w:before="0" w:after="0" w:afterAutospacing="0"/>
        <w:ind w:left="0" w:right="0" w:firstLine="420" w:firstLineChars="200"/>
        <w:rPr>
          <w:rFonts w:ascii="宋体" w:hAnsi="宋体"/>
          <w:highlight w:val="none"/>
        </w:rPr>
      </w:pPr>
      <w:r>
        <w:rPr>
          <w:rFonts w:hint="eastAsia" w:ascii="宋体" w:hAnsi="宋体"/>
          <w:highlight w:val="none"/>
        </w:rPr>
        <w:t>（</w:t>
      </w:r>
      <w:r>
        <w:rPr>
          <w:rFonts w:ascii="宋体" w:hAnsi="宋体"/>
          <w:highlight w:val="none"/>
        </w:rPr>
        <w:t>3</w:t>
      </w:r>
      <w:r>
        <w:rPr>
          <w:rFonts w:hint="eastAsia" w:ascii="宋体" w:hAnsi="宋体"/>
          <w:highlight w:val="none"/>
        </w:rPr>
        <w:t>）合同条款；</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（4）价格组成文件；</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（5）技术规格书；</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（6）比选文件（含比选补遗文件）；</w:t>
      </w:r>
    </w:p>
    <w:p>
      <w:pPr>
        <w:spacing w:before="0" w:after="0" w:afterAutospacing="0"/>
        <w:ind w:left="0" w:right="0" w:firstLine="420" w:firstLineChars="200"/>
        <w:rPr>
          <w:rFonts w:ascii="宋体" w:hAnsi="宋体"/>
          <w:highlight w:val="none"/>
        </w:rPr>
      </w:pPr>
      <w:r>
        <w:rPr>
          <w:rFonts w:hint="eastAsia" w:ascii="宋体" w:hAnsi="宋体"/>
          <w:color w:val="auto"/>
          <w:highlight w:val="none"/>
        </w:rPr>
        <w:t>（7）比选申请文件（</w:t>
      </w:r>
      <w:r>
        <w:rPr>
          <w:rFonts w:hint="eastAsia" w:ascii="宋体" w:hAnsi="宋体"/>
          <w:highlight w:val="none"/>
        </w:rPr>
        <w:t>含比选申请文件的补充文件）。</w:t>
      </w:r>
    </w:p>
    <w:p>
      <w:pPr>
        <w:spacing w:before="0" w:after="0" w:afterAutospacing="0"/>
        <w:ind w:left="0" w:right="0" w:firstLine="420" w:firstLineChars="200"/>
        <w:rPr>
          <w:rFonts w:ascii="宋体" w:hAnsi="宋体" w:cs="Arial"/>
          <w:color w:val="auto"/>
          <w:highlight w:val="none"/>
        </w:rPr>
      </w:pPr>
      <w:r>
        <w:rPr>
          <w:rFonts w:hint="eastAsia" w:ascii="宋体" w:hAnsi="宋体" w:cs="Arial"/>
          <w:highlight w:val="none"/>
        </w:rPr>
        <w:t>5.上述文件应认为是互为补充和解释的，如果在构成本合同的各文件之间发生文字表述的差异时，须按第3条合同文件优先顺序予以理解和解释。排列在前的文件优先于排列在后的文件。本合同不同时间产生的同类文件，产生日期在后的优先于产生日期在前的。除非本合同另有规定，如果本合同其他部分对技术条款</w:t>
      </w:r>
      <w:r>
        <w:rPr>
          <w:rFonts w:hint="eastAsia" w:ascii="宋体" w:hAnsi="宋体" w:cs="Arial"/>
          <w:color w:val="auto"/>
          <w:highlight w:val="none"/>
        </w:rPr>
        <w:t>的描述与技术规格书的规定有差异时，以技术规格书为准。</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6.考虑到甲方将按照本合同向乙方支付，乙方在此保证全部按照合同的规定向甲方提供服务。双方依据本次比选文件中的</w:t>
      </w:r>
      <w:r>
        <w:rPr>
          <w:rFonts w:hint="eastAsia"/>
          <w:highlight w:val="none"/>
          <w:lang w:eastAsia="zh-CN"/>
        </w:rPr>
        <w:t>用户需求书</w:t>
      </w:r>
      <w:r>
        <w:rPr>
          <w:rFonts w:hint="eastAsia" w:ascii="宋体" w:hAnsi="宋体" w:cs="Arial"/>
          <w:color w:val="auto"/>
          <w:highlight w:val="none"/>
        </w:rPr>
        <w:t>及乙方比选申请文件（如技术响应表、技术文件等），按照二者较优值形成技术规格书，并经双方确认后构成本合同的有效组成部分。在本合同执行中（的系统技术指标）以技术规格书为准。</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7.甲方在此保证按照合同规定的时间和方式向乙方支付合同价格或其他按合同规定应支付的金额。</w:t>
      </w:r>
    </w:p>
    <w:p>
      <w:pPr>
        <w:spacing w:before="0" w:after="0" w:afterAutospacing="0"/>
        <w:ind w:left="0" w:right="0" w:firstLine="420" w:firstLineChars="200"/>
        <w:rPr>
          <w:rFonts w:ascii="宋体" w:hAnsi="宋体" w:cs="Arial"/>
          <w:color w:val="auto"/>
          <w:highlight w:val="none"/>
        </w:rPr>
      </w:pPr>
      <w:r>
        <w:rPr>
          <w:rFonts w:hint="eastAsia" w:ascii="宋体" w:hAnsi="宋体"/>
          <w:color w:val="auto"/>
          <w:highlight w:val="none"/>
        </w:rPr>
        <w:t>8.甲乙双方承诺，遵守合同条款关于合同标的、数量质量、合同价格、进度计划等双方各自义务及关于违约责任与索赔、解决争议方式等各项约定。</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9.本合同用中文书写，正本</w:t>
      </w:r>
      <w:r>
        <w:rPr>
          <w:rFonts w:hint="eastAsia" w:ascii="宋体" w:hAnsi="宋体" w:cs="Arial"/>
          <w:color w:val="auto"/>
          <w:highlight w:val="none"/>
          <w:u w:val="single"/>
        </w:rPr>
        <w:t>2</w:t>
      </w:r>
      <w:r>
        <w:rPr>
          <w:rFonts w:hint="eastAsia" w:ascii="宋体" w:hAnsi="宋体" w:cs="Arial"/>
          <w:color w:val="auto"/>
          <w:highlight w:val="none"/>
        </w:rPr>
        <w:t>份，甲乙方各</w:t>
      </w:r>
      <w:r>
        <w:rPr>
          <w:rFonts w:hint="eastAsia" w:ascii="宋体" w:hAnsi="宋体" w:cs="Arial"/>
          <w:color w:val="auto"/>
          <w:highlight w:val="none"/>
          <w:u w:val="single"/>
        </w:rPr>
        <w:t>1</w:t>
      </w:r>
      <w:r>
        <w:rPr>
          <w:rFonts w:hint="eastAsia" w:ascii="宋体" w:hAnsi="宋体" w:cs="Arial"/>
          <w:color w:val="auto"/>
          <w:highlight w:val="none"/>
        </w:rPr>
        <w:t>份；副本</w:t>
      </w:r>
      <w:r>
        <w:rPr>
          <w:rFonts w:hint="eastAsia" w:ascii="宋体" w:hAnsi="宋体" w:cs="Arial"/>
          <w:color w:val="auto"/>
          <w:highlight w:val="none"/>
          <w:u w:val="single"/>
        </w:rPr>
        <w:t xml:space="preserve"> </w:t>
      </w:r>
      <w:r>
        <w:rPr>
          <w:rFonts w:hint="eastAsia" w:ascii="宋体" w:hAnsi="宋体" w:cs="Arial"/>
          <w:color w:val="auto"/>
          <w:highlight w:val="none"/>
          <w:u w:val="single"/>
          <w:lang w:val="en-US" w:eastAsia="zh-CN"/>
        </w:rPr>
        <w:t>8</w:t>
      </w:r>
      <w:r>
        <w:rPr>
          <w:rFonts w:hint="eastAsia" w:ascii="宋体" w:hAnsi="宋体" w:cs="Arial"/>
          <w:color w:val="auto"/>
          <w:highlight w:val="none"/>
          <w:u w:val="single"/>
        </w:rPr>
        <w:t xml:space="preserve"> </w:t>
      </w:r>
      <w:r>
        <w:rPr>
          <w:rFonts w:hint="eastAsia" w:ascii="宋体" w:hAnsi="宋体" w:cs="Arial"/>
          <w:color w:val="auto"/>
          <w:highlight w:val="none"/>
        </w:rPr>
        <w:t>份，甲方持</w:t>
      </w:r>
      <w:r>
        <w:rPr>
          <w:rFonts w:hint="eastAsia" w:ascii="宋体" w:hAnsi="宋体" w:cs="Arial"/>
          <w:color w:val="auto"/>
          <w:highlight w:val="none"/>
          <w:u w:val="single"/>
        </w:rPr>
        <w:t xml:space="preserve"> </w:t>
      </w:r>
      <w:r>
        <w:rPr>
          <w:rFonts w:hint="eastAsia" w:ascii="宋体" w:hAnsi="宋体" w:cs="Arial"/>
          <w:color w:val="auto"/>
          <w:highlight w:val="none"/>
          <w:u w:val="single"/>
          <w:lang w:val="en-US" w:eastAsia="zh-CN"/>
        </w:rPr>
        <w:t>6</w:t>
      </w:r>
      <w:r>
        <w:rPr>
          <w:rFonts w:hint="eastAsia" w:ascii="宋体" w:hAnsi="宋体" w:cs="Arial"/>
          <w:color w:val="auto"/>
          <w:highlight w:val="none"/>
          <w:u w:val="single"/>
        </w:rPr>
        <w:t xml:space="preserve"> </w:t>
      </w:r>
      <w:r>
        <w:rPr>
          <w:rFonts w:hint="eastAsia" w:ascii="宋体" w:hAnsi="宋体" w:cs="Arial"/>
          <w:color w:val="auto"/>
          <w:highlight w:val="none"/>
        </w:rPr>
        <w:t>份，乙方持</w:t>
      </w:r>
      <w:r>
        <w:rPr>
          <w:rFonts w:hint="eastAsia" w:ascii="宋体" w:hAnsi="宋体" w:cs="Arial"/>
          <w:color w:val="auto"/>
          <w:highlight w:val="none"/>
          <w:u w:val="single"/>
        </w:rPr>
        <w:t xml:space="preserve"> </w:t>
      </w:r>
      <w:r>
        <w:rPr>
          <w:rFonts w:hint="eastAsia" w:ascii="宋体" w:hAnsi="宋体" w:cs="Arial"/>
          <w:color w:val="auto"/>
          <w:highlight w:val="none"/>
          <w:u w:val="single"/>
          <w:lang w:val="en-US" w:eastAsia="zh-CN"/>
        </w:rPr>
        <w:t>2</w:t>
      </w:r>
      <w:r>
        <w:rPr>
          <w:rFonts w:hint="eastAsia" w:ascii="宋体" w:hAnsi="宋体" w:cs="Arial"/>
          <w:color w:val="auto"/>
          <w:highlight w:val="none"/>
          <w:u w:val="single"/>
        </w:rPr>
        <w:t xml:space="preserve"> </w:t>
      </w:r>
      <w:r>
        <w:rPr>
          <w:rFonts w:hint="eastAsia" w:ascii="宋体" w:hAnsi="宋体" w:cs="Arial"/>
          <w:color w:val="auto"/>
          <w:highlight w:val="none"/>
        </w:rPr>
        <w:t>份。</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10.本合同经双方法定代表人或授权代表签字、加盖单位公章后生效。</w:t>
      </w:r>
    </w:p>
    <w:p>
      <w:pPr>
        <w:spacing w:before="0" w:after="0"/>
        <w:ind w:right="0" w:firstLine="200"/>
        <w:rPr>
          <w:rFonts w:ascii="宋体" w:hAnsi="宋体" w:cs="Arial"/>
          <w:highlight w:val="none"/>
        </w:rPr>
      </w:pPr>
    </w:p>
    <w:tbl>
      <w:tblPr>
        <w:tblStyle w:val="27"/>
        <w:tblW w:w="8522" w:type="dxa"/>
        <w:jc w:val="center"/>
        <w:tblLayout w:type="fixed"/>
        <w:tblCellMar>
          <w:top w:w="0" w:type="dxa"/>
          <w:left w:w="108" w:type="dxa"/>
          <w:bottom w:w="0" w:type="dxa"/>
          <w:right w:w="108" w:type="dxa"/>
        </w:tblCellMar>
      </w:tblPr>
      <w:tblGrid>
        <w:gridCol w:w="4261"/>
        <w:gridCol w:w="4261"/>
      </w:tblGrid>
      <w:tr>
        <w:trPr>
          <w:jc w:val="center"/>
        </w:trPr>
        <w:tc>
          <w:tcPr>
            <w:tcW w:w="4261" w:type="dxa"/>
          </w:tcPr>
          <w:p>
            <w:pPr>
              <w:pStyle w:val="12"/>
              <w:spacing w:before="0" w:after="0" w:line="240" w:lineRule="auto"/>
              <w:ind w:right="0"/>
              <w:rPr>
                <w:rFonts w:hAnsi="宋体" w:cs="Courier New"/>
                <w:sz w:val="21"/>
                <w:szCs w:val="21"/>
                <w:highlight w:val="none"/>
              </w:rPr>
            </w:pPr>
            <w:r>
              <w:rPr>
                <w:rFonts w:hint="eastAsia" w:hAnsi="宋体" w:cs="Courier New"/>
                <w:sz w:val="21"/>
                <w:szCs w:val="21"/>
                <w:highlight w:val="none"/>
              </w:rPr>
              <w:t>甲方：</w:t>
            </w:r>
            <w:r>
              <w:rPr>
                <w:rFonts w:hint="eastAsia" w:hAnsi="宋体" w:cs="Courier New"/>
                <w:sz w:val="21"/>
                <w:szCs w:val="21"/>
                <w:highlight w:val="none"/>
                <w:u w:val="single"/>
              </w:rPr>
              <w:t>南宁轨道交通运营有限公司</w:t>
            </w:r>
          </w:p>
          <w:p>
            <w:pPr>
              <w:pStyle w:val="12"/>
              <w:spacing w:before="0" w:after="0" w:line="240" w:lineRule="auto"/>
              <w:ind w:right="0"/>
              <w:rPr>
                <w:rFonts w:hAnsi="宋体" w:cs="Courier New"/>
                <w:sz w:val="21"/>
                <w:szCs w:val="21"/>
                <w:highlight w:val="none"/>
                <w:u w:val="single"/>
              </w:rPr>
            </w:pPr>
            <w:r>
              <w:rPr>
                <w:rFonts w:hint="eastAsia" w:hAnsi="宋体" w:cs="Courier New"/>
                <w:sz w:val="21"/>
                <w:szCs w:val="21"/>
                <w:highlight w:val="none"/>
              </w:rPr>
              <w:t>法定代表人或授权人：</w:t>
            </w:r>
          </w:p>
          <w:p>
            <w:pPr>
              <w:pStyle w:val="12"/>
              <w:spacing w:before="0" w:after="0" w:line="240" w:lineRule="auto"/>
              <w:ind w:right="0"/>
              <w:rPr>
                <w:rFonts w:hAnsi="宋体" w:cs="Courier New"/>
                <w:sz w:val="21"/>
                <w:szCs w:val="21"/>
                <w:highlight w:val="none"/>
                <w:u w:val="single"/>
              </w:rPr>
            </w:pPr>
            <w:r>
              <w:rPr>
                <w:rFonts w:hint="eastAsia" w:hAnsi="宋体" w:cs="Courier New"/>
                <w:sz w:val="21"/>
                <w:szCs w:val="21"/>
                <w:highlight w:val="none"/>
              </w:rPr>
              <w:t>地址：</w:t>
            </w:r>
            <w:r>
              <w:rPr>
                <w:rFonts w:hint="eastAsia" w:hAnsi="宋体" w:cs="Courier New"/>
                <w:sz w:val="21"/>
                <w:szCs w:val="21"/>
                <w:highlight w:val="none"/>
                <w:u w:val="single"/>
              </w:rPr>
              <w:t>广西南宁市青秀区云景路83号</w:t>
            </w:r>
          </w:p>
          <w:p>
            <w:pPr>
              <w:pStyle w:val="12"/>
              <w:spacing w:before="0" w:after="0" w:line="240" w:lineRule="auto"/>
              <w:ind w:right="0"/>
              <w:rPr>
                <w:rFonts w:hAnsi="宋体" w:cs="Courier New"/>
                <w:sz w:val="21"/>
                <w:szCs w:val="21"/>
                <w:highlight w:val="none"/>
              </w:rPr>
            </w:pPr>
            <w:r>
              <w:rPr>
                <w:rFonts w:hint="eastAsia" w:hAnsi="宋体" w:cs="Courier New"/>
                <w:sz w:val="21"/>
                <w:szCs w:val="21"/>
                <w:highlight w:val="none"/>
              </w:rPr>
              <w:t>邮政编码：</w:t>
            </w:r>
          </w:p>
          <w:p>
            <w:pPr>
              <w:pStyle w:val="12"/>
              <w:spacing w:before="0" w:after="0" w:line="240" w:lineRule="auto"/>
              <w:ind w:right="0"/>
              <w:rPr>
                <w:rFonts w:hAnsi="宋体" w:cs="Courier New"/>
                <w:sz w:val="21"/>
                <w:szCs w:val="21"/>
                <w:highlight w:val="none"/>
              </w:rPr>
            </w:pPr>
            <w:r>
              <w:rPr>
                <w:rFonts w:hint="eastAsia" w:hAnsi="宋体" w:cs="Courier New"/>
                <w:sz w:val="21"/>
                <w:szCs w:val="21"/>
                <w:highlight w:val="none"/>
              </w:rPr>
              <w:t>联系人：</w:t>
            </w:r>
          </w:p>
          <w:p>
            <w:pPr>
              <w:pStyle w:val="12"/>
              <w:spacing w:before="0" w:after="0" w:line="240" w:lineRule="auto"/>
              <w:ind w:right="0"/>
              <w:rPr>
                <w:rFonts w:hAnsi="宋体" w:cs="Courier New"/>
                <w:sz w:val="21"/>
                <w:szCs w:val="21"/>
                <w:highlight w:val="none"/>
                <w:u w:val="single"/>
              </w:rPr>
            </w:pPr>
            <w:r>
              <w:rPr>
                <w:rFonts w:hint="eastAsia" w:hAnsi="宋体" w:cs="Courier New"/>
                <w:sz w:val="21"/>
                <w:szCs w:val="21"/>
                <w:highlight w:val="none"/>
              </w:rPr>
              <w:t>联系电话：</w:t>
            </w:r>
          </w:p>
          <w:p>
            <w:pPr>
              <w:pStyle w:val="12"/>
              <w:spacing w:before="0" w:after="0" w:line="240" w:lineRule="auto"/>
              <w:ind w:right="0"/>
              <w:rPr>
                <w:rFonts w:hAnsi="宋体" w:cs="Courier New"/>
                <w:sz w:val="21"/>
                <w:szCs w:val="21"/>
                <w:highlight w:val="none"/>
                <w:u w:val="single"/>
              </w:rPr>
            </w:pPr>
            <w:r>
              <w:rPr>
                <w:rFonts w:hint="eastAsia" w:hAnsi="宋体" w:cs="Courier New"/>
                <w:sz w:val="21"/>
                <w:szCs w:val="21"/>
                <w:highlight w:val="none"/>
              </w:rPr>
              <w:t>传真：</w:t>
            </w:r>
          </w:p>
          <w:p>
            <w:pPr>
              <w:pStyle w:val="12"/>
              <w:spacing w:before="0" w:after="0" w:line="240" w:lineRule="auto"/>
              <w:ind w:right="0"/>
              <w:rPr>
                <w:rFonts w:hAnsi="宋体" w:cs="Courier New"/>
                <w:sz w:val="21"/>
                <w:szCs w:val="21"/>
                <w:highlight w:val="none"/>
              </w:rPr>
            </w:pPr>
            <w:r>
              <w:rPr>
                <w:rFonts w:hint="eastAsia" w:hAnsi="宋体" w:cs="Courier New"/>
                <w:sz w:val="21"/>
                <w:szCs w:val="21"/>
                <w:highlight w:val="none"/>
              </w:rPr>
              <w:t>开户银行：</w:t>
            </w:r>
          </w:p>
          <w:p>
            <w:pPr>
              <w:pStyle w:val="12"/>
              <w:spacing w:before="0" w:after="0" w:line="240" w:lineRule="auto"/>
              <w:ind w:right="0"/>
              <w:rPr>
                <w:rFonts w:hAnsi="宋体" w:cs="Courier New"/>
                <w:sz w:val="21"/>
                <w:szCs w:val="21"/>
                <w:highlight w:val="none"/>
              </w:rPr>
            </w:pPr>
            <w:r>
              <w:rPr>
                <w:rFonts w:hint="eastAsia" w:hAnsi="宋体" w:cs="Courier New"/>
                <w:sz w:val="21"/>
                <w:szCs w:val="21"/>
                <w:highlight w:val="none"/>
              </w:rPr>
              <w:t>纳税人识别号：</w:t>
            </w:r>
          </w:p>
        </w:tc>
        <w:tc>
          <w:tcPr>
            <w:tcW w:w="4261" w:type="dxa"/>
          </w:tcPr>
          <w:p>
            <w:pPr>
              <w:pStyle w:val="12"/>
              <w:spacing w:before="0" w:after="0" w:line="240" w:lineRule="auto"/>
              <w:ind w:right="0"/>
              <w:rPr>
                <w:rFonts w:hAnsi="宋体" w:cs="Courier New"/>
                <w:sz w:val="21"/>
                <w:szCs w:val="21"/>
                <w:highlight w:val="none"/>
                <w:u w:val="single"/>
              </w:rPr>
            </w:pPr>
            <w:r>
              <w:rPr>
                <w:rFonts w:hint="eastAsia" w:hAnsi="宋体" w:cs="Courier New"/>
                <w:sz w:val="21"/>
                <w:szCs w:val="21"/>
                <w:highlight w:val="none"/>
              </w:rPr>
              <w:t>乙方：</w:t>
            </w:r>
          </w:p>
          <w:p>
            <w:pPr>
              <w:pStyle w:val="12"/>
              <w:spacing w:before="0" w:after="0" w:line="240" w:lineRule="auto"/>
              <w:ind w:right="0"/>
              <w:rPr>
                <w:rFonts w:hAnsi="宋体" w:cs="Courier New"/>
                <w:sz w:val="21"/>
                <w:szCs w:val="21"/>
                <w:highlight w:val="none"/>
                <w:u w:val="single"/>
              </w:rPr>
            </w:pPr>
            <w:r>
              <w:rPr>
                <w:rFonts w:hint="eastAsia" w:hAnsi="宋体" w:cs="Courier New"/>
                <w:sz w:val="21"/>
                <w:szCs w:val="21"/>
                <w:highlight w:val="none"/>
              </w:rPr>
              <w:t>法定代表人或授权人：</w:t>
            </w:r>
          </w:p>
          <w:p>
            <w:pPr>
              <w:pStyle w:val="12"/>
              <w:spacing w:before="0" w:after="0" w:line="240" w:lineRule="auto"/>
              <w:ind w:right="0"/>
              <w:rPr>
                <w:rFonts w:hAnsi="宋体" w:cs="Courier New"/>
                <w:sz w:val="21"/>
                <w:szCs w:val="21"/>
                <w:highlight w:val="none"/>
                <w:u w:val="single"/>
              </w:rPr>
            </w:pPr>
            <w:r>
              <w:rPr>
                <w:rFonts w:hint="eastAsia" w:hAnsi="宋体" w:cs="Courier New"/>
                <w:sz w:val="21"/>
                <w:szCs w:val="21"/>
                <w:highlight w:val="none"/>
              </w:rPr>
              <w:t>地址：</w:t>
            </w:r>
          </w:p>
          <w:p>
            <w:pPr>
              <w:pStyle w:val="12"/>
              <w:spacing w:before="0" w:after="0" w:line="240" w:lineRule="auto"/>
              <w:ind w:right="0"/>
              <w:rPr>
                <w:rFonts w:hAnsi="宋体" w:cs="Courier New"/>
                <w:sz w:val="21"/>
                <w:szCs w:val="21"/>
                <w:highlight w:val="none"/>
              </w:rPr>
            </w:pPr>
            <w:r>
              <w:rPr>
                <w:rFonts w:hint="eastAsia" w:hAnsi="宋体" w:cs="Courier New"/>
                <w:sz w:val="21"/>
                <w:szCs w:val="21"/>
                <w:highlight w:val="none"/>
              </w:rPr>
              <w:t>邮政编码：</w:t>
            </w:r>
          </w:p>
          <w:p>
            <w:pPr>
              <w:pStyle w:val="12"/>
              <w:spacing w:before="0" w:after="0" w:line="240" w:lineRule="auto"/>
              <w:ind w:right="0"/>
              <w:rPr>
                <w:rFonts w:hAnsi="宋体" w:cs="Courier New"/>
                <w:sz w:val="21"/>
                <w:szCs w:val="21"/>
                <w:highlight w:val="none"/>
              </w:rPr>
            </w:pPr>
            <w:r>
              <w:rPr>
                <w:rFonts w:hint="eastAsia" w:hAnsi="宋体" w:cs="Courier New"/>
                <w:sz w:val="21"/>
                <w:szCs w:val="21"/>
                <w:highlight w:val="none"/>
              </w:rPr>
              <w:t>联系人：</w:t>
            </w:r>
          </w:p>
          <w:p>
            <w:pPr>
              <w:pStyle w:val="12"/>
              <w:spacing w:before="0" w:after="0" w:line="240" w:lineRule="auto"/>
              <w:ind w:right="0"/>
              <w:rPr>
                <w:rFonts w:hAnsi="宋体" w:cs="Courier New"/>
                <w:sz w:val="21"/>
                <w:szCs w:val="21"/>
                <w:highlight w:val="none"/>
                <w:u w:val="single"/>
              </w:rPr>
            </w:pPr>
            <w:r>
              <w:rPr>
                <w:rFonts w:hint="eastAsia" w:hAnsi="宋体" w:cs="Courier New"/>
                <w:sz w:val="21"/>
                <w:szCs w:val="21"/>
                <w:highlight w:val="none"/>
              </w:rPr>
              <w:t>联系电话：</w:t>
            </w:r>
          </w:p>
          <w:p>
            <w:pPr>
              <w:pStyle w:val="12"/>
              <w:spacing w:before="0" w:after="0" w:line="240" w:lineRule="auto"/>
              <w:ind w:right="0"/>
              <w:rPr>
                <w:rFonts w:hAnsi="宋体" w:cs="Courier New"/>
                <w:sz w:val="21"/>
                <w:szCs w:val="21"/>
                <w:highlight w:val="none"/>
                <w:u w:val="single"/>
              </w:rPr>
            </w:pPr>
            <w:r>
              <w:rPr>
                <w:rFonts w:hint="eastAsia" w:hAnsi="宋体" w:cs="Courier New"/>
                <w:sz w:val="21"/>
                <w:szCs w:val="21"/>
                <w:highlight w:val="none"/>
              </w:rPr>
              <w:t>传真：</w:t>
            </w:r>
          </w:p>
          <w:p>
            <w:pPr>
              <w:pStyle w:val="12"/>
              <w:spacing w:before="0" w:after="0" w:line="240" w:lineRule="auto"/>
              <w:ind w:right="0"/>
              <w:rPr>
                <w:rFonts w:hAnsi="宋体" w:cs="Courier New"/>
                <w:sz w:val="21"/>
                <w:szCs w:val="21"/>
                <w:highlight w:val="none"/>
                <w:u w:val="single"/>
              </w:rPr>
            </w:pPr>
            <w:r>
              <w:rPr>
                <w:rFonts w:hint="eastAsia" w:hAnsi="宋体" w:cs="Courier New"/>
                <w:sz w:val="21"/>
                <w:szCs w:val="21"/>
                <w:highlight w:val="none"/>
              </w:rPr>
              <w:t>开户银行：</w:t>
            </w:r>
          </w:p>
          <w:p>
            <w:pPr>
              <w:pStyle w:val="12"/>
              <w:spacing w:before="0" w:after="0" w:line="240" w:lineRule="auto"/>
              <w:ind w:left="708" w:right="0" w:hanging="707"/>
              <w:rPr>
                <w:rFonts w:hAnsi="宋体" w:cs="Courier New"/>
                <w:sz w:val="21"/>
                <w:szCs w:val="21"/>
                <w:highlight w:val="none"/>
              </w:rPr>
            </w:pPr>
            <w:r>
              <w:rPr>
                <w:rFonts w:hint="eastAsia" w:hAnsi="宋体" w:cs="Courier New"/>
                <w:sz w:val="21"/>
                <w:szCs w:val="21"/>
                <w:highlight w:val="none"/>
              </w:rPr>
              <w:t>纳税人识别号：</w:t>
            </w:r>
          </w:p>
        </w:tc>
      </w:tr>
    </w:tbl>
    <w:p>
      <w:pPr>
        <w:spacing w:before="0" w:after="0"/>
        <w:ind w:right="0" w:firstLine="200"/>
        <w:rPr>
          <w:rFonts w:ascii="宋体" w:hAnsi="宋体"/>
          <w:b/>
          <w:highlight w:val="none"/>
        </w:rPr>
      </w:pPr>
    </w:p>
    <w:p>
      <w:pPr>
        <w:spacing w:before="0" w:after="0"/>
        <w:ind w:right="0" w:firstLine="1476" w:firstLineChars="700"/>
        <w:jc w:val="left"/>
        <w:rPr>
          <w:rFonts w:ascii="Arial" w:hAnsi="Arial" w:eastAsia="黑体"/>
          <w:b/>
          <w:kern w:val="2"/>
          <w:sz w:val="24"/>
          <w:szCs w:val="20"/>
          <w:highlight w:val="none"/>
        </w:rPr>
      </w:pPr>
      <w:r>
        <w:rPr>
          <w:rFonts w:hint="eastAsia" w:ascii="宋体" w:hAnsi="宋体"/>
          <w:b/>
          <w:highlight w:val="none"/>
        </w:rPr>
        <w:t>签订时间：</w:t>
      </w:r>
      <w:bookmarkStart w:id="1079" w:name="_Toc437544533"/>
      <w:bookmarkStart w:id="1080" w:name="_Toc369786982"/>
      <w:bookmarkStart w:id="1081" w:name="_Toc18055"/>
    </w:p>
    <w:p>
      <w:pPr>
        <w:keepNext/>
        <w:keepLines/>
        <w:widowControl w:val="0"/>
        <w:spacing w:before="240" w:beforeLines="100" w:after="120" w:afterLines="50" w:afterAutospacing="0" w:line="240" w:lineRule="auto"/>
        <w:ind w:left="0" w:right="0" w:firstLine="482" w:firstLineChars="200"/>
        <w:jc w:val="center"/>
        <w:outlineLvl w:val="1"/>
        <w:rPr>
          <w:rFonts w:ascii="Arial" w:hAnsi="Arial" w:eastAsia="黑体"/>
          <w:b/>
          <w:kern w:val="2"/>
          <w:sz w:val="24"/>
          <w:szCs w:val="20"/>
          <w:highlight w:val="none"/>
        </w:rPr>
      </w:pPr>
      <w:bookmarkStart w:id="1082" w:name="_Toc24098"/>
      <w:bookmarkStart w:id="1083" w:name="_Toc997"/>
      <w:bookmarkStart w:id="1084" w:name="_Toc25942"/>
      <w:bookmarkStart w:id="1085" w:name="_Toc4133"/>
      <w:bookmarkStart w:id="1086" w:name="_Toc9188"/>
      <w:bookmarkStart w:id="1087" w:name="_Toc32273"/>
      <w:bookmarkStart w:id="1088" w:name="_Toc7529"/>
      <w:bookmarkStart w:id="1089" w:name="_Toc9438"/>
      <w:bookmarkStart w:id="1090" w:name="_Toc12155"/>
      <w:bookmarkStart w:id="1091" w:name="_Toc258"/>
      <w:bookmarkStart w:id="1092" w:name="_Toc24973"/>
      <w:bookmarkStart w:id="1093" w:name="_Toc10196"/>
      <w:bookmarkStart w:id="1094" w:name="_Toc14469"/>
      <w:bookmarkStart w:id="1095" w:name="_Toc16743"/>
      <w:bookmarkStart w:id="1096" w:name="_Toc7689"/>
      <w:bookmarkStart w:id="1097" w:name="_Toc18460"/>
      <w:bookmarkStart w:id="1098" w:name="_Toc11253"/>
      <w:bookmarkStart w:id="1099" w:name="_Toc29876"/>
      <w:bookmarkStart w:id="1100" w:name="_Toc25750634"/>
      <w:r>
        <w:rPr>
          <w:rFonts w:hint="eastAsia" w:ascii="宋体" w:hAnsi="宋体"/>
          <w:b/>
          <w:sz w:val="24"/>
          <w:szCs w:val="24"/>
          <w:highlight w:val="none"/>
        </w:rPr>
        <w:t>二、合同条款</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pPr>
        <w:keepNext/>
        <w:keepLines/>
        <w:widowControl w:val="0"/>
        <w:spacing w:before="240" w:beforeLines="100" w:after="120" w:afterLines="50" w:afterAutospacing="0" w:line="240" w:lineRule="auto"/>
        <w:ind w:left="0" w:right="0" w:firstLine="482" w:firstLineChars="200"/>
        <w:rPr>
          <w:rFonts w:ascii="Arial" w:hAnsi="Arial" w:eastAsia="黑体"/>
          <w:b/>
          <w:kern w:val="2"/>
          <w:sz w:val="24"/>
          <w:szCs w:val="20"/>
          <w:highlight w:val="none"/>
        </w:rPr>
      </w:pPr>
    </w:p>
    <w:bookmarkEnd w:id="1079"/>
    <w:bookmarkEnd w:id="1080"/>
    <w:bookmarkEnd w:id="1081"/>
    <w:p>
      <w:pPr>
        <w:keepNext/>
        <w:keepLines/>
        <w:widowControl w:val="0"/>
        <w:spacing w:before="240" w:beforeLines="100" w:after="120" w:afterLines="50" w:afterAutospacing="0" w:line="240" w:lineRule="auto"/>
        <w:ind w:left="0" w:right="0" w:firstLine="482" w:firstLineChars="200"/>
        <w:outlineLvl w:val="2"/>
        <w:rPr>
          <w:rFonts w:ascii="黑体" w:hAnsi="黑体" w:eastAsia="黑体" w:cs="黑体"/>
          <w:b/>
          <w:kern w:val="2"/>
          <w:sz w:val="24"/>
          <w:szCs w:val="20"/>
          <w:highlight w:val="none"/>
        </w:rPr>
      </w:pPr>
      <w:bookmarkStart w:id="1101" w:name="_Toc15364"/>
      <w:bookmarkStart w:id="1102" w:name="_Toc369786983"/>
      <w:bookmarkStart w:id="1103" w:name="_Toc437544534"/>
      <w:r>
        <w:rPr>
          <w:rFonts w:hint="eastAsia" w:ascii="黑体" w:hAnsi="黑体" w:eastAsia="黑体" w:cs="黑体"/>
          <w:b/>
          <w:kern w:val="2"/>
          <w:sz w:val="24"/>
          <w:szCs w:val="20"/>
          <w:highlight w:val="none"/>
        </w:rPr>
        <w:t>1.定义及解释</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1.1定义</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在合同中，下列措辞和用语具有此处所赋予的他们的含义：</w:t>
      </w:r>
    </w:p>
    <w:p>
      <w:pPr>
        <w:spacing w:before="0" w:after="0" w:afterAutospacing="0"/>
        <w:ind w:left="0" w:right="0" w:firstLine="420" w:firstLineChars="200"/>
        <w:rPr>
          <w:rFonts w:ascii="宋体" w:hAnsi="宋体" w:cs="Arial"/>
          <w:color w:val="auto"/>
          <w:highlight w:val="none"/>
        </w:rPr>
      </w:pPr>
      <w:r>
        <w:rPr>
          <w:rFonts w:hint="eastAsia" w:ascii="宋体" w:hAnsi="宋体" w:cs="Arial"/>
          <w:highlight w:val="none"/>
        </w:rPr>
        <w:t>1.1.1合同文件（或称合同）：指合</w:t>
      </w:r>
      <w:r>
        <w:rPr>
          <w:rFonts w:hint="eastAsia" w:ascii="宋体" w:hAnsi="宋体" w:cs="Arial"/>
          <w:color w:val="auto"/>
          <w:highlight w:val="none"/>
        </w:rPr>
        <w:t>同协议书、中选通知书、合同条款、技术规格书、比选中选文件和澄清文件及甲方对项目开展的有关规定等。</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1.1.2 “合同价格”指合同规定乙方在正确地完全履行合同义务后甲方应支付给乙方的金额。</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1.1.3 “合同条款”系指本合同条款。</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1.1.4“甲方”或“业主”系指南宁轨道交通运营有限公司。</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1.1.5“乙方”系指受甲方委托，负责本项目提供</w:t>
      </w:r>
      <w:r>
        <w:rPr>
          <w:rFonts w:hint="eastAsia" w:ascii="宋体" w:hAnsi="宋体" w:cs="Arial"/>
          <w:color w:val="auto"/>
          <w:highlight w:val="none"/>
          <w:lang w:eastAsia="zh-CN"/>
        </w:rPr>
        <w:t>卫生间蹲便感应式冲洗阀设备技术</w:t>
      </w:r>
      <w:r>
        <w:rPr>
          <w:rFonts w:hint="eastAsia" w:ascii="宋体" w:hAnsi="宋体" w:cs="Arial"/>
          <w:highlight w:val="none"/>
        </w:rPr>
        <w:t>改造服务（包括但不限于安装材料、人工及质保等）的法人和/或其他组织。</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1.1.6“双方”系指甲方和乙方。</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1.1.7不可抗力：是指合同当事人在签订合同时不可预见，在合同履行过程中不可避免且不能克服的自然灾害和社会性突发事件，如地震、海啸、瘟疫、骚乱、戒严、暴动、战争和合同条款中约定的其他情形。</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1.2解释</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1.2.1本合同条款中的标题和题名不应视为是本合同条款的一部分，在合同的解释或构成中也不应考虑这些标题和题名。本合同引用某个条款时，除非特别说明，应解释为该条款项下所有子条款的内容。</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1.2.2凡指当事人或各方的措辞应包括商行、公司以及具有法人资格的任何组织。仅表明单数形式的词也包括复数含义，视上下文需要而定，反之亦然。</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1.2.3凡合同中规定通讯是“书面的”或“用书面形式”，这是指任何手写的、打印的或印刷的通讯及其它所有用书面记录的现代通讯方法进行的通讯，包括邮件、电报、电传和传真等发送。</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1.2.4凡合同规定任何人发出通知、同意或确认时，该通知、同意或确认不得被无故扣押。除非另有规定，该通知、同意或确认应是书面的并应对“通知”一词做出相应解释。</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1.2.5可分割性：如果合同的某一条款被禁止或定为是无效的、不可实施的，那么，如此的禁止，无效性或不可实施性不会影响到合同其他条款的有效性或可实施性。</w:t>
      </w:r>
    </w:p>
    <w:p>
      <w:pPr>
        <w:keepNext/>
        <w:keepLines/>
        <w:widowControl w:val="0"/>
        <w:spacing w:before="240" w:beforeLines="100" w:after="120" w:afterLines="50" w:afterAutospacing="0" w:line="240" w:lineRule="auto"/>
        <w:ind w:left="0" w:right="0" w:firstLine="482" w:firstLineChars="200"/>
        <w:outlineLvl w:val="2"/>
        <w:rPr>
          <w:rFonts w:ascii="黑体" w:hAnsi="黑体" w:eastAsia="黑体" w:cs="黑体"/>
          <w:b/>
          <w:kern w:val="2"/>
          <w:sz w:val="24"/>
          <w:szCs w:val="20"/>
          <w:highlight w:val="none"/>
        </w:rPr>
      </w:pPr>
      <w:r>
        <w:rPr>
          <w:rFonts w:hint="eastAsia" w:ascii="黑体" w:hAnsi="黑体" w:eastAsia="黑体" w:cs="黑体"/>
          <w:b/>
          <w:kern w:val="2"/>
          <w:sz w:val="24"/>
          <w:szCs w:val="20"/>
          <w:highlight w:val="none"/>
        </w:rPr>
        <w:t>2.适用性</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本合同条款适用于本合同其它部分未有规定或未被替代的范围。</w:t>
      </w:r>
    </w:p>
    <w:p>
      <w:pPr>
        <w:keepNext/>
        <w:keepLines/>
        <w:widowControl w:val="0"/>
        <w:spacing w:before="240" w:beforeLines="100" w:after="120" w:afterLines="50" w:afterAutospacing="0" w:line="240" w:lineRule="auto"/>
        <w:ind w:left="0" w:right="0" w:firstLine="482" w:firstLineChars="200"/>
        <w:outlineLvl w:val="2"/>
        <w:rPr>
          <w:rFonts w:ascii="黑体" w:hAnsi="黑体" w:eastAsia="黑体" w:cs="黑体"/>
          <w:b/>
          <w:kern w:val="2"/>
          <w:sz w:val="24"/>
          <w:szCs w:val="20"/>
          <w:highlight w:val="none"/>
        </w:rPr>
      </w:pPr>
      <w:r>
        <w:rPr>
          <w:rFonts w:hint="eastAsia" w:ascii="黑体" w:hAnsi="黑体" w:eastAsia="黑体" w:cs="黑体"/>
          <w:b/>
          <w:kern w:val="2"/>
          <w:sz w:val="24"/>
          <w:szCs w:val="20"/>
          <w:highlight w:val="none"/>
        </w:rPr>
        <w:t>3.语言文字</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除专用术语外，合同使用的语言文字为中文。专用术语在使用其他语种文字应附有中文注释。</w:t>
      </w:r>
    </w:p>
    <w:p>
      <w:pPr>
        <w:keepNext/>
        <w:keepLines/>
        <w:widowControl w:val="0"/>
        <w:spacing w:before="240" w:beforeLines="100" w:after="120" w:afterLines="50" w:afterAutospacing="0" w:line="240" w:lineRule="auto"/>
        <w:ind w:left="0" w:right="0" w:firstLine="482" w:firstLineChars="200"/>
        <w:outlineLvl w:val="2"/>
        <w:rPr>
          <w:rFonts w:ascii="黑体" w:hAnsi="黑体" w:eastAsia="黑体" w:cs="黑体"/>
          <w:b/>
          <w:kern w:val="2"/>
          <w:sz w:val="24"/>
          <w:szCs w:val="20"/>
          <w:highlight w:val="none"/>
        </w:rPr>
      </w:pPr>
      <w:r>
        <w:rPr>
          <w:rFonts w:hint="eastAsia" w:ascii="黑体" w:hAnsi="黑体" w:eastAsia="黑体" w:cs="黑体"/>
          <w:b/>
          <w:kern w:val="2"/>
          <w:sz w:val="24"/>
          <w:szCs w:val="20"/>
          <w:highlight w:val="none"/>
        </w:rPr>
        <w:t>4.适用法律、标准和规范</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4.1适用于合同的法律包括国家现行法律、行政法规、部门规章，以及广西壮族自治区和南宁市的地方法规、地方政府规章。</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4.2适用标准、规范。</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4.3除甲方的</w:t>
      </w:r>
      <w:r>
        <w:rPr>
          <w:rFonts w:hint="eastAsia" w:ascii="宋体" w:hAnsi="宋体" w:cs="Arial"/>
          <w:color w:val="auto"/>
          <w:highlight w:val="none"/>
        </w:rPr>
        <w:t>“技术规格书”的</w:t>
      </w:r>
      <w:r>
        <w:rPr>
          <w:rFonts w:hint="eastAsia" w:ascii="宋体" w:hAnsi="宋体" w:cs="Arial"/>
          <w:highlight w:val="none"/>
        </w:rPr>
        <w:t>特别要求外，标准及规范应适用国家现行标准、规范的名称；没有国家标准、规范但有行业标准、规范的，约定适用行业标准、规范的名称；没有国家和行业标准、规范的，适用广西壮族自治区或南宁市标准、规范。</w:t>
      </w:r>
    </w:p>
    <w:p>
      <w:pPr>
        <w:keepNext/>
        <w:keepLines/>
        <w:widowControl w:val="0"/>
        <w:spacing w:before="240" w:beforeLines="100" w:after="120" w:afterLines="50" w:afterAutospacing="0" w:line="240" w:lineRule="auto"/>
        <w:ind w:left="0" w:right="0" w:firstLine="482" w:firstLineChars="200"/>
        <w:outlineLvl w:val="2"/>
        <w:rPr>
          <w:rFonts w:ascii="黑体" w:hAnsi="黑体" w:eastAsia="黑体" w:cs="黑体"/>
          <w:b/>
          <w:kern w:val="2"/>
          <w:sz w:val="24"/>
          <w:szCs w:val="20"/>
          <w:highlight w:val="none"/>
        </w:rPr>
      </w:pPr>
      <w:r>
        <w:rPr>
          <w:rFonts w:hint="eastAsia" w:ascii="黑体" w:hAnsi="黑体" w:eastAsia="黑体" w:cs="黑体"/>
          <w:b/>
          <w:kern w:val="2"/>
          <w:sz w:val="24"/>
          <w:szCs w:val="20"/>
          <w:highlight w:val="none"/>
        </w:rPr>
        <w:t>5.合同文件、资料及使用</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5.1没有甲方事先书面同意，乙方不得将由甲方提供的有关合同或任何合同条文、规格、计划、图纸、模型、样品或资料提供给用于履行本合同以外的任何其他人。即使向履行本合同的雇员提供，也应注意保密并限于履行合同必须的范围。</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5.2没有甲方事先书面同意，除了履行本合同之外，乙方不得允许他人使用条款第5.1条所列举的任何文件和资料。</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5.3除了合同本身以外，条款第5.1条所列举的任何文件均视为甲方的财产。如果甲方有要求，乙方在完成合同后或合同终止时应将上述文件及全部复印件还交给甲方，或按甲方需求予以销毁。</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5.4甲方项目档案管理的规定（各类项目文件资料档案的移交份数，详见南宁轨道交通集团有限责任公司有关部门立卷的规定文件）。</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乙方须按甲方有关整理档案的规范，负责编制整理合同项目所产生的档案，在验收一个月内向甲方移交。甲方接收了乙方完整的档案后应签署项目档案移交确认书。未能按时移交档案的，甲方停止支付合同价款。</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乙方执行合同产生的电子版文件、图纸档案及纸质文件、图纸档案的知识产权属甲方所有，未经甲方书面许可，不得转让、提供第三方使用，不得用于本合同以外的其他用途；乙方执行合同需甲方提供资料、信息及档案材料的，未经甲方书面同意，乙方不能向第三方提供；否则引起的知识产权纠纷及保密责任，以及造成甲方损失的，由乙方负责。</w:t>
      </w:r>
    </w:p>
    <w:p>
      <w:pPr>
        <w:keepNext/>
        <w:keepLines/>
        <w:widowControl w:val="0"/>
        <w:spacing w:before="240" w:beforeLines="100" w:after="120" w:afterLines="50" w:afterAutospacing="0" w:line="240" w:lineRule="auto"/>
        <w:ind w:left="0" w:right="0" w:firstLine="482" w:firstLineChars="200"/>
        <w:outlineLvl w:val="2"/>
        <w:rPr>
          <w:rFonts w:ascii="黑体" w:hAnsi="黑体" w:eastAsia="黑体" w:cs="黑体"/>
          <w:b/>
          <w:kern w:val="2"/>
          <w:sz w:val="24"/>
          <w:szCs w:val="20"/>
          <w:highlight w:val="none"/>
        </w:rPr>
      </w:pPr>
      <w:r>
        <w:rPr>
          <w:rFonts w:hint="eastAsia" w:ascii="黑体" w:hAnsi="黑体" w:eastAsia="黑体" w:cs="黑体"/>
          <w:b/>
          <w:kern w:val="2"/>
          <w:sz w:val="24"/>
          <w:szCs w:val="20"/>
          <w:highlight w:val="none"/>
        </w:rPr>
        <w:t>6.知识产权</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6.1乙方应保证其拥有货物及服务的知识产权，并保证甲方在中华人民共和国使用货物及服务或其任何一部分时，免受第三方提出侵犯其任何专利权、著作权、注册商标专有使用权、计算机软件登记或反不正当竞争的起诉及索赔。否则，由此而引起的所有责任及费用由乙方承担。</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6.2甲方不对乙方提供的货物的及服务的专利权、著作权、注册商标专有使用权、计算机软件登记等是否侵犯第三方权利负责，如因乙方提供货物及服务引发争议或违法导致甲方受损的，乙方应赔偿因此对甲方造成的一切损失。</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6.3非乙方所有知识产权的货物及服务，乙方有义务提供给甲方正规渠道证明。甲方永久享有乙方为本合同项下提供的产品、软件、技术资料的使用权，并无需交纳任何形式的使用费（如有此类费用的话）。</w:t>
      </w:r>
    </w:p>
    <w:p>
      <w:pPr>
        <w:keepNext/>
        <w:keepLines/>
        <w:widowControl w:val="0"/>
        <w:spacing w:before="240" w:beforeLines="100" w:after="120" w:afterLines="50" w:afterAutospacing="0" w:line="240" w:lineRule="auto"/>
        <w:ind w:left="0" w:right="0" w:firstLine="482" w:firstLineChars="200"/>
        <w:outlineLvl w:val="2"/>
        <w:rPr>
          <w:rFonts w:ascii="黑体" w:hAnsi="黑体" w:eastAsia="黑体" w:cs="黑体"/>
          <w:b/>
          <w:kern w:val="2"/>
          <w:sz w:val="24"/>
          <w:szCs w:val="20"/>
          <w:highlight w:val="none"/>
        </w:rPr>
      </w:pPr>
      <w:r>
        <w:rPr>
          <w:rFonts w:hint="eastAsia" w:ascii="黑体" w:hAnsi="黑体" w:eastAsia="黑体" w:cs="黑体"/>
          <w:b/>
          <w:kern w:val="2"/>
          <w:sz w:val="24"/>
          <w:szCs w:val="20"/>
          <w:highlight w:val="none"/>
        </w:rPr>
        <w:t>7.甲乙方权利与义务</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7.1甲方的权利与义务</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7.1.1对乙方施工工作进行监督、考评的权利。</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7.1.2有依法或依本合同约定解除与乙方的委托关系的权利。</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7.1.3甲方有权不定时随机检查，乙方必须无条件配合检查。</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7.1.4及时将施工设计、设备、建设等相关资料移交乙方。</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7.1.5及时向乙方提供轨道公司各类与本项目相关的规章制度、标准及要求及工作流程。</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7.1.6批准或认可工作计划和工作量，开具本合同所需的证明文件，以利乙方开展工作。有权完善作业内容，更改乙方工作计划。</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7.1.7办理现场施工相关批准文件。乙方进场施工时，甲方按照相关规定给予配合。</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7.1.8有权对工期、质量、人员、设备、劳保用品进行监督检查，对不符合技术要求的，乙方必须自费进行整改。</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7.1.9委派一名代表协助乙方处理施工中存在的问题，并对乙方施工工作进行监督、签证文件。</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7.1.10向乙方免费提供设备维护所需用电、用水。根据本合同规定按时向乙方付款。</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7.1.11按合同要求组织验收。</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7.2乙方的权利与义务</w:t>
      </w:r>
    </w:p>
    <w:p>
      <w:pPr>
        <w:spacing w:before="0" w:after="0" w:afterAutospacing="0"/>
        <w:ind w:left="0" w:right="0" w:firstLine="420" w:firstLineChars="200"/>
        <w:rPr>
          <w:rFonts w:ascii="宋体" w:hAnsi="宋体" w:cs="Arial"/>
          <w:color w:val="auto"/>
          <w:highlight w:val="none"/>
        </w:rPr>
      </w:pPr>
      <w:r>
        <w:rPr>
          <w:rFonts w:hint="eastAsia" w:ascii="宋体" w:hAnsi="宋体" w:cs="Arial"/>
          <w:highlight w:val="none"/>
        </w:rPr>
        <w:t>7.2.1乙方</w:t>
      </w:r>
      <w:r>
        <w:rPr>
          <w:rFonts w:hint="eastAsia" w:ascii="宋体" w:hAnsi="宋体" w:cs="Arial"/>
          <w:color w:val="auto"/>
          <w:highlight w:val="none"/>
        </w:rPr>
        <w:t>应严格按照技术规格书的标准及要求提供施工服务工作。</w:t>
      </w:r>
    </w:p>
    <w:p>
      <w:pPr>
        <w:spacing w:before="0" w:after="0" w:afterAutospacing="0"/>
        <w:ind w:left="0" w:right="0" w:firstLine="420" w:firstLineChars="200"/>
        <w:rPr>
          <w:rFonts w:ascii="宋体" w:hAnsi="宋体" w:cs="Arial"/>
          <w:highlight w:val="none"/>
        </w:rPr>
      </w:pPr>
      <w:r>
        <w:rPr>
          <w:rFonts w:hint="eastAsia" w:ascii="宋体" w:hAnsi="宋体" w:cs="Arial"/>
          <w:color w:val="auto"/>
          <w:highlight w:val="none"/>
        </w:rPr>
        <w:t>7.2.2享有按照本合同约定和相关规定向</w:t>
      </w:r>
      <w:r>
        <w:rPr>
          <w:rFonts w:hint="eastAsia" w:ascii="宋体" w:hAnsi="宋体" w:cs="Arial"/>
          <w:highlight w:val="none"/>
        </w:rPr>
        <w:t>甲方收取项目费用的权利。</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7.2.3享有在遵守国家法律、法规、行业规范的前提下，开展施工工作的权利。</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7.2.4按合同要求参与项目验收。</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7.2.5乙方应按照甲方委外项目管理的有关规定，做好本项目施工工作，及时完成项目施工，在质保期内及时处理所改造设备的所有故障，确保设备安全可靠运行。</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7.2.6应全面贯彻执行国家法律、法规、行业规范的相关规章制度和甲方的有关管理规范。</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7.2.7乙方负责按照甲方安全生产的有关规定，落实安全生产责任制，做好施工工作并承担安全责任，包含项目施工期间非甲方原因造成的乙方人员人身安全所有责任。</w:t>
      </w:r>
    </w:p>
    <w:p>
      <w:pPr>
        <w:spacing w:before="0" w:after="0" w:afterAutospacing="0"/>
        <w:ind w:left="0" w:right="0" w:firstLine="420" w:firstLineChars="200"/>
        <w:rPr>
          <w:rFonts w:ascii="宋体" w:hAnsi="宋体" w:cs="Arial"/>
          <w:highlight w:val="none"/>
        </w:rPr>
      </w:pPr>
      <w:r>
        <w:rPr>
          <w:rFonts w:ascii="宋体" w:hAnsi="宋体" w:cs="Arial"/>
          <w:highlight w:val="none"/>
        </w:rPr>
        <w:t>7.2.8本项目合同期限结束或合同发生终止时，乙方有义务配合甲方与新的服务单位做好交接工作。</w:t>
      </w:r>
    </w:p>
    <w:p>
      <w:pPr>
        <w:spacing w:before="0" w:after="0" w:afterAutospacing="0"/>
        <w:ind w:left="0" w:right="0" w:firstLine="420" w:firstLineChars="200"/>
        <w:rPr>
          <w:rFonts w:ascii="宋体" w:hAnsi="宋体" w:cs="Arial"/>
          <w:highlight w:val="none"/>
        </w:rPr>
      </w:pPr>
      <w:r>
        <w:rPr>
          <w:rFonts w:ascii="宋体" w:hAnsi="宋体" w:cs="Arial"/>
          <w:highlight w:val="none"/>
        </w:rPr>
        <w:t>7.2.9乙方须听从甲方统一调度安排故障处理作业。</w:t>
      </w:r>
    </w:p>
    <w:p>
      <w:pPr>
        <w:spacing w:before="0" w:after="0" w:afterAutospacing="0"/>
        <w:ind w:left="0" w:right="0" w:firstLine="420" w:firstLineChars="200"/>
        <w:rPr>
          <w:rFonts w:ascii="宋体" w:hAnsi="宋体" w:cs="Arial"/>
          <w:highlight w:val="none"/>
        </w:rPr>
      </w:pPr>
      <w:r>
        <w:rPr>
          <w:rFonts w:ascii="宋体" w:hAnsi="宋体" w:cs="Arial"/>
          <w:highlight w:val="none"/>
        </w:rPr>
        <w:t>7.2.10乙方必须牢固树立“安全第一、预防为主”的思想，掌握、严守甲方制定的各项安全生</w:t>
      </w:r>
    </w:p>
    <w:p>
      <w:pPr>
        <w:spacing w:before="0" w:after="0" w:afterAutospacing="0"/>
        <w:ind w:left="0" w:right="0" w:firstLine="0"/>
        <w:rPr>
          <w:rFonts w:ascii="宋体" w:hAnsi="宋体" w:cs="Arial"/>
          <w:highlight w:val="none"/>
        </w:rPr>
      </w:pPr>
      <w:r>
        <w:rPr>
          <w:rFonts w:ascii="宋体" w:hAnsi="宋体" w:cs="Arial"/>
          <w:highlight w:val="none"/>
        </w:rPr>
        <w:t>产规章制度。</w:t>
      </w:r>
    </w:p>
    <w:p>
      <w:pPr>
        <w:spacing w:before="0" w:after="0" w:afterAutospacing="0"/>
        <w:ind w:left="0" w:right="0" w:firstLine="420" w:firstLineChars="200"/>
        <w:rPr>
          <w:rFonts w:ascii="宋体" w:hAnsi="宋体" w:cs="Arial"/>
          <w:highlight w:val="none"/>
        </w:rPr>
      </w:pPr>
      <w:r>
        <w:rPr>
          <w:rFonts w:ascii="宋体" w:hAnsi="宋体" w:cs="Arial"/>
          <w:highlight w:val="none"/>
        </w:rPr>
        <w:t>7.2.11乙方必须服从甲方的管理，必须按照甲方要求进行施工，确保按质、按量的完成工作</w:t>
      </w:r>
      <w:r>
        <w:rPr>
          <w:rFonts w:hint="eastAsia" w:ascii="宋体" w:hAnsi="宋体" w:cs="Arial"/>
          <w:highlight w:val="none"/>
        </w:rPr>
        <w:t>；</w:t>
      </w:r>
      <w:r>
        <w:rPr>
          <w:rFonts w:ascii="宋体" w:hAnsi="宋体" w:cs="Arial"/>
          <w:highlight w:val="none"/>
        </w:rPr>
        <w:t>对于甲方认为确需紧急处理的故障，乙方应该按照“无条件、即时性、高效性”的原则处理完成，并确保不影响运营服务。</w:t>
      </w:r>
    </w:p>
    <w:p>
      <w:pPr>
        <w:spacing w:before="0" w:after="0" w:afterAutospacing="0"/>
        <w:ind w:left="0" w:right="0" w:firstLine="420" w:firstLineChars="200"/>
        <w:rPr>
          <w:rFonts w:ascii="宋体" w:hAnsi="宋体" w:cs="Arial"/>
          <w:highlight w:val="none"/>
        </w:rPr>
      </w:pPr>
      <w:r>
        <w:rPr>
          <w:rFonts w:ascii="宋体" w:hAnsi="宋体" w:cs="Arial"/>
          <w:highlight w:val="none"/>
        </w:rPr>
        <w:t>7.2.12乙方因自身原因造成的任何事故，乙方应承担一切责任。</w:t>
      </w:r>
    </w:p>
    <w:p>
      <w:pPr>
        <w:spacing w:before="0" w:after="0" w:afterAutospacing="0"/>
        <w:ind w:left="0" w:right="0" w:firstLine="420" w:firstLineChars="200"/>
        <w:rPr>
          <w:rFonts w:ascii="宋体" w:hAnsi="宋体" w:cs="Arial"/>
          <w:highlight w:val="none"/>
        </w:rPr>
      </w:pPr>
      <w:r>
        <w:rPr>
          <w:rFonts w:ascii="宋体" w:hAnsi="宋体" w:cs="Arial"/>
          <w:highlight w:val="none"/>
        </w:rPr>
        <w:t>7.2.13乙方针对该项目所投入的所有施工人员必须经过甲方相关部门所组织的安全培训并通过合格考试后方可进场作业，严禁任何未参加安全培训以及未通过合格考试的人员进场作业。</w:t>
      </w:r>
    </w:p>
    <w:p>
      <w:pPr>
        <w:spacing w:before="0" w:after="0" w:afterAutospacing="0"/>
        <w:ind w:left="0" w:right="0" w:firstLine="420" w:firstLineChars="200"/>
        <w:rPr>
          <w:rFonts w:ascii="宋体" w:hAnsi="宋体" w:cs="Arial"/>
          <w:highlight w:val="none"/>
        </w:rPr>
      </w:pPr>
      <w:r>
        <w:rPr>
          <w:rFonts w:ascii="宋体" w:hAnsi="宋体" w:cs="Arial"/>
          <w:highlight w:val="none"/>
        </w:rPr>
        <w:t>7.2.14对于甲方规定必须申报施工作业令的作业项目，乙方必须按照甲方相关进场作业的规定申报施工作业令，持施工作业令进行请点作业后，方可进场作业，在作业后必须办理相关销点手续并确认现场出清后方可撤离现场;对于甲方规定需要办理特种作业手续( 如站内焊接、切割、登高作业、有限空间作业等)方可进行的作业，乙方应该按照要求办理特种作业施工许可证，严禁违规操作</w:t>
      </w:r>
      <w:r>
        <w:rPr>
          <w:rFonts w:hint="eastAsia" w:ascii="宋体" w:hAnsi="宋体" w:cs="Arial"/>
          <w:highlight w:val="none"/>
        </w:rPr>
        <w:t>；</w:t>
      </w:r>
      <w:r>
        <w:rPr>
          <w:rFonts w:ascii="宋体" w:hAnsi="宋体" w:cs="Arial"/>
          <w:highlight w:val="none"/>
        </w:rPr>
        <w:t>对于施工作业令要求其它部]配合方可进行的作业，乙方应严格按照施工作业令执行，在没有设施所属部门人员配合(或授权使用)的情况下，严禁动用其它部门所辖设施。</w:t>
      </w:r>
    </w:p>
    <w:p>
      <w:pPr>
        <w:spacing w:before="0" w:after="0" w:afterAutospacing="0"/>
        <w:ind w:left="0" w:right="0" w:firstLine="420" w:firstLineChars="200"/>
        <w:rPr>
          <w:rFonts w:ascii="宋体" w:hAnsi="宋体" w:cs="Arial"/>
          <w:highlight w:val="none"/>
        </w:rPr>
      </w:pPr>
      <w:r>
        <w:rPr>
          <w:rFonts w:ascii="宋体" w:hAnsi="宋体" w:cs="Arial"/>
          <w:highlight w:val="none"/>
        </w:rPr>
        <w:t>7.2.15特种作业人员(如金属焊接切割、低压电工、登高等作业)，必须持有政府等相关部门颁发的特种作业操作证方可上岗作业，并按照相关要求佩戴配套的防护劳保用品进行作业。严禁无证或不按照要求佩戴证件、防护、劳保用品人员上岗作业。</w:t>
      </w:r>
    </w:p>
    <w:p>
      <w:pPr>
        <w:spacing w:before="0" w:after="0" w:afterAutospacing="0"/>
        <w:ind w:left="0" w:right="0" w:firstLine="420" w:firstLineChars="200"/>
        <w:rPr>
          <w:rFonts w:ascii="宋体" w:hAnsi="宋体" w:cs="Arial"/>
          <w:highlight w:val="none"/>
        </w:rPr>
      </w:pPr>
      <w:r>
        <w:rPr>
          <w:rFonts w:ascii="宋体" w:hAnsi="宋体" w:cs="Arial"/>
          <w:highlight w:val="none"/>
        </w:rPr>
        <w:t>7.2.16乙方人员须在甲方人员的配合下开展施工作业或设备故障处理作业，对于不熟悉的设备设施不得</w:t>
      </w:r>
      <w:r>
        <w:rPr>
          <w:rFonts w:hint="eastAsia" w:ascii="宋体" w:hAnsi="宋体" w:cs="Arial"/>
          <w:highlight w:val="none"/>
        </w:rPr>
        <w:t>触</w:t>
      </w:r>
      <w:r>
        <w:rPr>
          <w:rFonts w:ascii="宋体" w:hAnsi="宋体" w:cs="Arial"/>
          <w:highlight w:val="none"/>
        </w:rPr>
        <w:t>碰，更不得对不清楚的设备设施进行操作。</w:t>
      </w:r>
    </w:p>
    <w:p>
      <w:pPr>
        <w:spacing w:before="0" w:after="0" w:afterAutospacing="0"/>
        <w:ind w:left="0" w:right="0" w:firstLine="420" w:firstLineChars="200"/>
        <w:rPr>
          <w:rFonts w:ascii="宋体" w:hAnsi="宋体" w:cs="Arial"/>
          <w:highlight w:val="none"/>
        </w:rPr>
      </w:pPr>
      <w:r>
        <w:rPr>
          <w:rFonts w:ascii="宋体" w:hAnsi="宋体" w:cs="Arial"/>
          <w:highlight w:val="none"/>
        </w:rPr>
        <w:t>7.2.17乙方应对本方人员进行文明生产教育，当乙方人员与甲方要求存在差异时，应及时的向甲方负责人员反映，寻求解决;乙方作业人员不得与甲方人员进行争执(包括现场监控人员、车站工作人员、设备房使用部门人员)，不准在地铁运营期间在场段同相关人员吵闹。</w:t>
      </w:r>
    </w:p>
    <w:p>
      <w:pPr>
        <w:spacing w:before="0" w:after="0" w:afterAutospacing="0"/>
        <w:ind w:left="0" w:right="0" w:firstLine="420" w:firstLineChars="200"/>
        <w:rPr>
          <w:rFonts w:ascii="宋体" w:hAnsi="宋体" w:cs="Arial"/>
          <w:highlight w:val="none"/>
        </w:rPr>
      </w:pPr>
      <w:r>
        <w:rPr>
          <w:rFonts w:ascii="宋体" w:hAnsi="宋体" w:cs="Arial"/>
          <w:highlight w:val="none"/>
        </w:rPr>
        <w:t>7.2.18乙方应该严格按照“安全第</w:t>
      </w:r>
      <w:r>
        <w:rPr>
          <w:rFonts w:hint="eastAsia" w:ascii="宋体" w:hAnsi="宋体" w:cs="Arial"/>
          <w:highlight w:val="none"/>
        </w:rPr>
        <w:t>一</w:t>
      </w:r>
      <w:r>
        <w:rPr>
          <w:rFonts w:ascii="宋体" w:hAnsi="宋体" w:cs="Arial"/>
          <w:highlight w:val="none"/>
        </w:rPr>
        <w:t>、 预防为主”的思想，不断的加强员工的安全生产教育，将安全生产贯彻到日常的工作中;对于甲方颁布的安全生产规定，乙方按照规定执行</w:t>
      </w:r>
      <w:r>
        <w:rPr>
          <w:rFonts w:hint="eastAsia" w:ascii="宋体" w:hAnsi="宋体" w:cs="Arial"/>
          <w:highlight w:val="none"/>
        </w:rPr>
        <w:t>；</w:t>
      </w:r>
    </w:p>
    <w:p>
      <w:pPr>
        <w:spacing w:before="0" w:after="0" w:afterAutospacing="0"/>
        <w:ind w:left="0" w:right="0" w:firstLine="420" w:firstLineChars="200"/>
        <w:rPr>
          <w:rFonts w:ascii="宋体" w:hAnsi="宋体" w:cs="Arial"/>
          <w:highlight w:val="none"/>
        </w:rPr>
      </w:pPr>
      <w:r>
        <w:rPr>
          <w:rFonts w:ascii="宋体" w:hAnsi="宋体" w:cs="Arial"/>
          <w:highlight w:val="none"/>
        </w:rPr>
        <w:t>7.2.19乙方在施工过程中所发生的事故，乙方应本着“诚实、合作、及时”的思想及时通知甲方，配合甲方做好事故的调查和分析工作，不得隐瞒、推卸责任。</w:t>
      </w:r>
    </w:p>
    <w:p>
      <w:pPr>
        <w:spacing w:before="0" w:after="0" w:afterAutospacing="0"/>
        <w:ind w:left="0" w:right="0" w:firstLine="420" w:firstLineChars="200"/>
        <w:rPr>
          <w:rFonts w:ascii="宋体" w:hAnsi="宋体" w:cs="Arial"/>
          <w:highlight w:val="none"/>
        </w:rPr>
      </w:pPr>
      <w:r>
        <w:rPr>
          <w:rFonts w:ascii="宋体" w:hAnsi="宋体" w:cs="Arial"/>
          <w:highlight w:val="none"/>
        </w:rPr>
        <w:t>7. 2.20乙方必须按照投标文件承诺的人员进场，并保证进场人员稳定</w:t>
      </w:r>
      <w:r>
        <w:rPr>
          <w:rFonts w:hint="eastAsia" w:ascii="宋体" w:hAnsi="宋体" w:cs="Arial"/>
          <w:highlight w:val="none"/>
        </w:rPr>
        <w:t>；</w:t>
      </w:r>
      <w:r>
        <w:rPr>
          <w:rFonts w:ascii="宋体" w:hAnsi="宋体" w:cs="Arial"/>
          <w:highlight w:val="none"/>
        </w:rPr>
        <w:t>按时足额支付员工工资、为员工购买社会保险(根据用工性质包括南宁市职工社保或外来工社保)。</w:t>
      </w:r>
    </w:p>
    <w:p>
      <w:pPr>
        <w:spacing w:before="0" w:after="0" w:afterAutospacing="0"/>
        <w:ind w:left="0" w:right="0" w:firstLine="420" w:firstLineChars="200"/>
        <w:rPr>
          <w:rFonts w:ascii="宋体" w:hAnsi="宋体" w:cs="Arial"/>
          <w:highlight w:val="none"/>
        </w:rPr>
      </w:pPr>
      <w:r>
        <w:rPr>
          <w:rFonts w:ascii="宋体" w:hAnsi="宋体" w:cs="Arial"/>
          <w:color w:val="auto"/>
          <w:highlight w:val="none"/>
        </w:rPr>
        <w:t>7.2.21其他详见技术规格书的要求</w:t>
      </w:r>
      <w:r>
        <w:rPr>
          <w:rFonts w:ascii="宋体" w:hAnsi="宋体" w:cs="Arial"/>
          <w:highlight w:val="none"/>
        </w:rPr>
        <w:t>。</w:t>
      </w:r>
    </w:p>
    <w:p>
      <w:pPr>
        <w:spacing w:before="0" w:after="0" w:afterAutospacing="0"/>
        <w:ind w:left="0" w:right="0" w:firstLine="420" w:firstLineChars="200"/>
        <w:rPr>
          <w:rFonts w:ascii="宋体" w:hAnsi="宋体" w:cs="Arial"/>
          <w:highlight w:val="none"/>
        </w:rPr>
      </w:pPr>
    </w:p>
    <w:p>
      <w:pPr>
        <w:keepNext/>
        <w:keepLines/>
        <w:widowControl w:val="0"/>
        <w:spacing w:before="240" w:beforeLines="100" w:after="120" w:afterLines="50" w:afterAutospacing="0" w:line="240" w:lineRule="auto"/>
        <w:ind w:left="0" w:right="0" w:firstLine="482" w:firstLineChars="200"/>
        <w:outlineLvl w:val="2"/>
        <w:rPr>
          <w:rFonts w:ascii="黑体" w:hAnsi="黑体" w:eastAsia="黑体" w:cs="黑体"/>
          <w:b/>
          <w:kern w:val="2"/>
          <w:sz w:val="24"/>
          <w:szCs w:val="20"/>
          <w:highlight w:val="none"/>
        </w:rPr>
      </w:pPr>
      <w:r>
        <w:rPr>
          <w:rFonts w:hint="eastAsia" w:ascii="黑体" w:hAnsi="黑体" w:eastAsia="黑体" w:cs="黑体"/>
          <w:b/>
          <w:kern w:val="2"/>
          <w:sz w:val="24"/>
          <w:szCs w:val="20"/>
          <w:highlight w:val="none"/>
        </w:rPr>
        <w:t>8.合同价款支付方式</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本合同项下的支付按合同条款规定方式进行。</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8.1在合同履约过程中，本合同税率将遵照国家现行税法执行，随国家税率调整而调整。本合同最终税金在结算阶段，按实际产生的税金进行核算，但合同不含税价格不因国家税率调整而调整。</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8.2付款方式。</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8.2.1全部项目完成并验收合格后，乙方根据甲方要求完成档案归档及合同结算经甲方审定后，甲方在收到乙方提供的以下材料后</w:t>
      </w:r>
      <w:r>
        <w:rPr>
          <w:rFonts w:hint="eastAsia" w:ascii="宋体" w:hAnsi="宋体" w:cs="Arial"/>
          <w:color w:val="auto"/>
          <w:highlight w:val="none"/>
          <w:lang w:val="en-US" w:eastAsia="zh-CN"/>
        </w:rPr>
        <w:t>45</w:t>
      </w:r>
      <w:r>
        <w:rPr>
          <w:rFonts w:hint="eastAsia" w:ascii="宋体" w:hAnsi="宋体" w:cs="Arial"/>
          <w:color w:val="auto"/>
          <w:highlight w:val="none"/>
        </w:rPr>
        <w:t>个工作日内支付至合同最终审定金额的95%。</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①乙方开具的增值税专用发票金额，金额为合同最终结算审定金额的100%。</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②乙方出具的支付申请书。</w:t>
      </w:r>
    </w:p>
    <w:p>
      <w:pPr>
        <w:spacing w:before="0" w:after="0" w:afterAutospacing="0"/>
        <w:ind w:left="0" w:right="0" w:firstLine="420" w:firstLineChars="200"/>
        <w:rPr>
          <w:rFonts w:ascii="宋体" w:hAnsi="宋体" w:cs="Arial"/>
          <w:color w:val="auto"/>
          <w:highlight w:val="none"/>
        </w:rPr>
      </w:pPr>
      <w:r>
        <w:rPr>
          <w:rFonts w:hint="eastAsia" w:ascii="宋体" w:hAnsi="宋体" w:cs="Arial"/>
          <w:highlight w:val="none"/>
        </w:rPr>
        <w:t>③双方确认</w:t>
      </w:r>
      <w:r>
        <w:rPr>
          <w:rFonts w:hint="eastAsia" w:ascii="宋体" w:hAnsi="宋体" w:cs="Arial"/>
          <w:color w:val="auto"/>
          <w:highlight w:val="none"/>
        </w:rPr>
        <w:t>的验收合格证明</w:t>
      </w:r>
      <w:r>
        <w:rPr>
          <w:rFonts w:hint="eastAsia" w:ascii="宋体" w:hAnsi="宋体" w:cs="Arial"/>
          <w:color w:val="auto"/>
          <w:highlight w:val="none"/>
          <w:lang w:eastAsia="zh-CN"/>
        </w:rPr>
        <w:t>，</w:t>
      </w:r>
      <w:r>
        <w:rPr>
          <w:rFonts w:hint="eastAsia" w:ascii="宋体" w:hAnsi="宋体" w:cs="Arial"/>
          <w:color w:val="auto"/>
          <w:highlight w:val="none"/>
          <w:lang w:val="en-US" w:eastAsia="zh-CN"/>
        </w:rPr>
        <w:t>详见技术规格书附表3-1项目设施安装质量检查表(隐蔽前)、附表3-2项目设施安装质量验收表(隐蔽前)、附表3-3项目通水及严密性测试记录表(隐蔽前)、附表3-4项目通水及严密性测试验收表(隐蔽前)、附表3-5项目隐蔽工程检查表、附表3-6项目隐蔽工程验收表、附表3-7项目使用功能测试记录表、附表3-8项目使用功能测试验收表以及供货证明、产品合格证书、性能检验报告和委外项目实体工程作业质、量、进度现场验收表等</w:t>
      </w:r>
      <w:r>
        <w:rPr>
          <w:rFonts w:hint="eastAsia" w:ascii="宋体" w:hAnsi="宋体" w:cs="Arial"/>
          <w:color w:val="auto"/>
          <w:highlight w:val="none"/>
        </w:rPr>
        <w:t>。</w:t>
      </w:r>
    </w:p>
    <w:p>
      <w:pPr>
        <w:spacing w:before="0" w:after="0" w:afterAutospacing="0"/>
        <w:ind w:left="0" w:right="0" w:firstLine="420" w:firstLineChars="200"/>
        <w:rPr>
          <w:highlight w:val="none"/>
        </w:rPr>
      </w:pPr>
      <w:r>
        <w:rPr>
          <w:rFonts w:hint="eastAsia" w:ascii="宋体" w:hAnsi="宋体" w:cs="Arial"/>
          <w:highlight w:val="none"/>
        </w:rPr>
        <w:t>④合同违约处理通知单（如有）。</w:t>
      </w:r>
    </w:p>
    <w:p>
      <w:pPr>
        <w:spacing w:before="0" w:after="0" w:afterAutospacing="0"/>
        <w:ind w:left="0" w:right="0" w:firstLine="420" w:firstLineChars="200"/>
        <w:rPr>
          <w:rFonts w:ascii="宋体" w:hAnsi="宋体" w:cs="Arial"/>
          <w:color w:val="auto"/>
          <w:highlight w:val="none"/>
        </w:rPr>
      </w:pPr>
      <w:r>
        <w:rPr>
          <w:rFonts w:hint="eastAsia" w:ascii="宋体" w:hAnsi="宋体" w:cs="Arial"/>
          <w:highlight w:val="none"/>
        </w:rPr>
        <w:t>8.2.2全部项目成果质保期满，经甲方确认项目成果均无质量问题后，甲方在收到由乙方提供的以</w:t>
      </w:r>
      <w:r>
        <w:rPr>
          <w:rFonts w:hint="eastAsia" w:ascii="宋体" w:hAnsi="宋体" w:cs="Arial"/>
          <w:color w:val="auto"/>
          <w:highlight w:val="none"/>
        </w:rPr>
        <w:t>下材料后</w:t>
      </w:r>
      <w:r>
        <w:rPr>
          <w:rFonts w:hint="eastAsia" w:ascii="宋体" w:hAnsi="宋体" w:cs="Arial"/>
          <w:color w:val="auto"/>
          <w:highlight w:val="none"/>
          <w:lang w:val="en-US" w:eastAsia="zh-CN"/>
        </w:rPr>
        <w:t>45</w:t>
      </w:r>
      <w:r>
        <w:rPr>
          <w:rFonts w:hint="eastAsia" w:ascii="宋体" w:hAnsi="宋体" w:cs="Arial"/>
          <w:color w:val="auto"/>
          <w:highlight w:val="none"/>
        </w:rPr>
        <w:t>个工作日内支付结算审定金额的剩余价款。</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①乙方出具的支付申请。</w:t>
      </w:r>
    </w:p>
    <w:p>
      <w:pPr>
        <w:spacing w:before="0" w:after="0" w:afterAutospacing="0"/>
        <w:ind w:left="0" w:right="0" w:firstLine="420" w:firstLineChars="200"/>
        <w:rPr>
          <w:rFonts w:ascii="宋体" w:hAnsi="宋体" w:cs="Arial"/>
          <w:color w:val="auto"/>
          <w:highlight w:val="none"/>
        </w:rPr>
      </w:pPr>
      <w:r>
        <w:rPr>
          <w:rFonts w:hint="eastAsia" w:ascii="宋体" w:hAnsi="宋体" w:cs="Arial"/>
          <w:highlight w:val="none"/>
        </w:rPr>
        <w:t>②双方确认的</w:t>
      </w:r>
      <w:r>
        <w:rPr>
          <w:rFonts w:hint="eastAsia" w:ascii="宋体" w:hAnsi="宋体" w:cs="Arial"/>
          <w:color w:val="auto"/>
          <w:highlight w:val="none"/>
        </w:rPr>
        <w:t>质保期满后验收合格证明</w:t>
      </w:r>
      <w:r>
        <w:rPr>
          <w:rFonts w:hint="eastAsia" w:ascii="宋体" w:hAnsi="宋体" w:cs="Arial"/>
          <w:color w:val="auto"/>
          <w:highlight w:val="none"/>
          <w:lang w:eastAsia="zh-CN"/>
        </w:rPr>
        <w:t>，</w:t>
      </w:r>
      <w:r>
        <w:rPr>
          <w:rFonts w:hint="eastAsia" w:ascii="宋体" w:hAnsi="宋体" w:cs="Arial"/>
          <w:color w:val="auto"/>
          <w:highlight w:val="none"/>
          <w:lang w:val="en-US" w:eastAsia="zh-CN"/>
        </w:rPr>
        <w:t>详见委外项目服务期结束验收表（以运营公司最新发布版为准）</w:t>
      </w:r>
      <w:r>
        <w:rPr>
          <w:rFonts w:hint="eastAsia" w:ascii="宋体" w:hAnsi="宋体" w:cs="Arial"/>
          <w:color w:val="auto"/>
          <w:highlight w:val="none"/>
        </w:rPr>
        <w:t>。</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8.3乙方在完成相应合同义务后以书面形式向甲方申请付款，同时随附注明已完成合同项目的发票和合同条款规定的单据。如乙方未按约定向甲方提供付款申请、足额发票及相关单据的，甲方有权顺延付款时间，且无需承担逾期付款的违约责任。</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8.4支付的货币应以人民币支付，但不限于银行转账、汇票、国内信用证</w:t>
      </w:r>
      <w:r>
        <w:rPr>
          <w:rFonts w:hint="eastAsia" w:ascii="宋体" w:hAnsi="宋体" w:cs="Arial"/>
          <w:color w:val="auto"/>
          <w:highlight w:val="none"/>
          <w:lang w:eastAsia="zh-CN"/>
        </w:rPr>
        <w:t>、供应链金融产品</w:t>
      </w:r>
      <w:r>
        <w:rPr>
          <w:rFonts w:hint="eastAsia" w:ascii="宋体" w:hAnsi="宋体" w:cs="Arial"/>
          <w:color w:val="auto"/>
          <w:highlight w:val="none"/>
        </w:rPr>
        <w:t>等支付形式。</w:t>
      </w:r>
    </w:p>
    <w:p>
      <w:pPr>
        <w:keepNext/>
        <w:keepLines/>
        <w:widowControl w:val="0"/>
        <w:spacing w:before="240" w:beforeLines="100" w:after="120" w:afterLines="50" w:afterAutospacing="0" w:line="240" w:lineRule="auto"/>
        <w:ind w:left="0" w:right="0" w:firstLine="482" w:firstLineChars="200"/>
        <w:outlineLvl w:val="2"/>
        <w:rPr>
          <w:rFonts w:ascii="黑体" w:hAnsi="黑体" w:eastAsia="黑体" w:cs="黑体"/>
          <w:b/>
          <w:kern w:val="2"/>
          <w:sz w:val="24"/>
          <w:szCs w:val="20"/>
          <w:highlight w:val="none"/>
        </w:rPr>
      </w:pPr>
      <w:r>
        <w:rPr>
          <w:rFonts w:hint="eastAsia" w:ascii="黑体" w:hAnsi="黑体" w:eastAsia="黑体" w:cs="黑体"/>
          <w:b/>
          <w:kern w:val="2"/>
          <w:sz w:val="24"/>
          <w:szCs w:val="20"/>
          <w:highlight w:val="none"/>
        </w:rPr>
        <w:t>9.合同价格</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9.1合同价格执行以下条款的规定。</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9.</w:t>
      </w:r>
      <w:r>
        <w:rPr>
          <w:rFonts w:hint="eastAsia" w:ascii="宋体" w:hAnsi="宋体" w:cs="Arial"/>
          <w:color w:val="auto"/>
          <w:highlight w:val="none"/>
          <w:lang w:val="en-US" w:eastAsia="zh-CN"/>
        </w:rPr>
        <w:t>2</w:t>
      </w:r>
      <w:r>
        <w:rPr>
          <w:rFonts w:hint="eastAsia" w:ascii="宋体" w:hAnsi="宋体" w:cs="Arial"/>
          <w:color w:val="auto"/>
          <w:highlight w:val="none"/>
        </w:rPr>
        <w:t>合同价格完全包括本合同中要求的全部工作内容、货物、服务及所涉及的施工及辅材。</w:t>
      </w:r>
    </w:p>
    <w:p>
      <w:pPr>
        <w:spacing w:before="0" w:after="0" w:afterAutospacing="0"/>
        <w:ind w:left="0" w:right="0" w:firstLine="420" w:firstLineChars="200"/>
        <w:rPr>
          <w:highlight w:val="none"/>
        </w:rPr>
      </w:pPr>
      <w:r>
        <w:rPr>
          <w:rFonts w:hint="eastAsia" w:ascii="宋体" w:hAnsi="宋体" w:cs="Arial"/>
          <w:color w:val="auto"/>
          <w:highlight w:val="none"/>
        </w:rPr>
        <w:t>9.</w:t>
      </w:r>
      <w:r>
        <w:rPr>
          <w:rFonts w:hint="eastAsia" w:ascii="宋体" w:hAnsi="宋体" w:cs="Arial"/>
          <w:color w:val="auto"/>
          <w:highlight w:val="none"/>
          <w:lang w:val="en-US" w:eastAsia="zh-CN"/>
        </w:rPr>
        <w:t>3</w:t>
      </w:r>
      <w:r>
        <w:rPr>
          <w:rFonts w:hint="eastAsia" w:ascii="宋体" w:hAnsi="宋体" w:cs="Arial"/>
          <w:color w:val="auto"/>
          <w:highlight w:val="none"/>
        </w:rPr>
        <w:t>合同价格：</w:t>
      </w:r>
      <w:r>
        <w:rPr>
          <w:rFonts w:hint="eastAsia" w:ascii="宋体" w:hAnsi="宋体"/>
          <w:color w:val="auto"/>
          <w:highlight w:val="none"/>
        </w:rPr>
        <w:t>不含税价：人民币</w:t>
      </w:r>
      <w:r>
        <w:rPr>
          <w:rFonts w:hint="eastAsia" w:ascii="宋体" w:hAnsi="宋体"/>
          <w:color w:val="auto"/>
          <w:highlight w:val="none"/>
          <w:u w:val="single"/>
        </w:rPr>
        <w:t xml:space="preserve">       (¥  )</w:t>
      </w:r>
      <w:r>
        <w:rPr>
          <w:rFonts w:hint="eastAsia" w:ascii="宋体" w:hAnsi="宋体"/>
          <w:color w:val="auto"/>
          <w:highlight w:val="none"/>
        </w:rPr>
        <w:t>；税率</w:t>
      </w:r>
      <w:r>
        <w:rPr>
          <w:rFonts w:hint="eastAsia" w:ascii="宋体" w:hAnsi="宋体"/>
          <w:color w:val="auto"/>
          <w:highlight w:val="none"/>
          <w:u w:val="single"/>
        </w:rPr>
        <w:t>： %</w:t>
      </w:r>
      <w:r>
        <w:rPr>
          <w:rFonts w:hint="eastAsia" w:ascii="宋体" w:hAnsi="宋体"/>
          <w:color w:val="auto"/>
          <w:highlight w:val="none"/>
        </w:rPr>
        <w:t>；税费：人民币</w:t>
      </w:r>
      <w:r>
        <w:rPr>
          <w:rFonts w:hint="eastAsia" w:ascii="宋体" w:hAnsi="宋体"/>
          <w:color w:val="auto"/>
          <w:highlight w:val="none"/>
          <w:u w:val="single"/>
        </w:rPr>
        <w:t xml:space="preserve">       (¥  )</w:t>
      </w:r>
      <w:r>
        <w:rPr>
          <w:rFonts w:hint="eastAsia" w:ascii="宋体" w:hAnsi="宋体"/>
          <w:color w:val="auto"/>
          <w:highlight w:val="none"/>
        </w:rPr>
        <w:t>；含税总价：人民币</w:t>
      </w:r>
      <w:r>
        <w:rPr>
          <w:rFonts w:hint="eastAsia" w:ascii="宋体" w:hAnsi="宋体"/>
          <w:color w:val="auto"/>
          <w:highlight w:val="none"/>
          <w:u w:val="single"/>
        </w:rPr>
        <w:t xml:space="preserve">       (¥  )</w:t>
      </w:r>
      <w:r>
        <w:rPr>
          <w:rFonts w:ascii="宋体" w:hAnsi="宋体"/>
          <w:color w:val="auto"/>
          <w:highlight w:val="none"/>
          <w:u w:val="none"/>
        </w:rPr>
        <w:t>，</w:t>
      </w:r>
      <w:r>
        <w:rPr>
          <w:rFonts w:hint="eastAsia" w:ascii="宋体" w:hAnsi="宋体" w:cs="Arial"/>
          <w:color w:val="auto"/>
          <w:highlight w:val="none"/>
        </w:rPr>
        <w:t>（下文称“合同价格”)。</w:t>
      </w:r>
    </w:p>
    <w:p>
      <w:pPr>
        <w:spacing w:before="0" w:after="0" w:afterAutospacing="0"/>
        <w:ind w:left="0" w:right="0" w:firstLine="420" w:firstLineChars="200"/>
        <w:rPr>
          <w:highlight w:val="none"/>
        </w:rPr>
      </w:pPr>
      <w:r>
        <w:rPr>
          <w:rFonts w:hint="eastAsia" w:ascii="宋体" w:hAnsi="宋体"/>
          <w:szCs w:val="21"/>
          <w:highlight w:val="none"/>
          <w:lang w:val="en-US" w:eastAsia="zh-CN"/>
        </w:rPr>
        <w:t xml:space="preserve">9.4 </w:t>
      </w:r>
      <w:r>
        <w:rPr>
          <w:rFonts w:hint="eastAsia" w:ascii="宋体" w:hAnsi="宋体"/>
          <w:szCs w:val="21"/>
          <w:highlight w:val="none"/>
        </w:rPr>
        <w:t>合同价格形式：</w:t>
      </w:r>
      <w:r>
        <w:rPr>
          <w:rFonts w:hint="eastAsia" w:ascii="宋体" w:hAnsi="宋体"/>
          <w:bCs/>
          <w:szCs w:val="21"/>
          <w:highlight w:val="none"/>
          <w:u w:val="single"/>
        </w:rPr>
        <w:t xml:space="preserve">  </w:t>
      </w:r>
      <w:r>
        <w:rPr>
          <w:rFonts w:hint="eastAsia" w:ascii="宋体" w:hAnsi="宋体"/>
          <w:bCs/>
          <w:szCs w:val="21"/>
          <w:highlight w:val="none"/>
          <w:u w:val="single"/>
          <w:lang w:eastAsia="zh-CN"/>
        </w:rPr>
        <w:t>总价包干</w:t>
      </w:r>
      <w:r>
        <w:rPr>
          <w:rFonts w:hint="eastAsia" w:ascii="宋体" w:hAnsi="宋体"/>
          <w:bCs/>
          <w:szCs w:val="21"/>
          <w:highlight w:val="none"/>
          <w:u w:val="single"/>
        </w:rPr>
        <w:t xml:space="preserve">  </w:t>
      </w:r>
      <w:r>
        <w:rPr>
          <w:rFonts w:hint="eastAsia" w:ascii="微软雅黑" w:hAnsi="微软雅黑" w:eastAsia="微软雅黑" w:cs="微软雅黑"/>
          <w:i w:val="0"/>
          <w:iCs w:val="0"/>
          <w:caps w:val="0"/>
          <w:color w:val="171A1D"/>
          <w:spacing w:val="0"/>
          <w:sz w:val="21"/>
          <w:szCs w:val="21"/>
          <w:shd w:val="clear" w:fill="FFFFFF"/>
          <w:lang w:eastAsia="zh-CN"/>
        </w:rPr>
        <w:t>，</w:t>
      </w:r>
      <w:r>
        <w:rPr>
          <w:rFonts w:hint="eastAsia" w:ascii="宋体" w:hAnsi="宋体"/>
          <w:szCs w:val="21"/>
          <w:highlight w:val="none"/>
        </w:rPr>
        <w:t>不得以任何理由予以合同价格上浮、上调、上涨，但如属经双方协商同意变更的情况除外</w:t>
      </w:r>
      <w:r>
        <w:rPr>
          <w:rFonts w:hint="eastAsia" w:ascii="宋体" w:hAnsi="宋体" w:cs="宋体"/>
          <w:highlight w:val="none"/>
        </w:rPr>
        <w:t>。</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本合同价格为暂定价，</w:t>
      </w:r>
      <w:r>
        <w:rPr>
          <w:rFonts w:hint="eastAsia" w:ascii="宋体" w:hAnsi="宋体" w:cs="Arial"/>
          <w:b/>
          <w:bCs/>
          <w:color w:val="auto"/>
          <w:highlight w:val="none"/>
        </w:rPr>
        <w:t>在合同履约过程中，本合同税率将遵照国家现行税法执行，随国家税率调整而调整。本合同最终税金在结算阶段，按实际产生的税金进行核算，但合同不含税价格不因国家税率调整而调整。</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9.</w:t>
      </w:r>
      <w:r>
        <w:rPr>
          <w:rFonts w:hint="eastAsia" w:ascii="宋体" w:hAnsi="宋体" w:cs="Arial"/>
          <w:highlight w:val="none"/>
          <w:lang w:val="en-US" w:eastAsia="zh-CN"/>
        </w:rPr>
        <w:t>5</w:t>
      </w:r>
      <w:r>
        <w:rPr>
          <w:rFonts w:hint="eastAsia" w:ascii="宋体" w:hAnsi="宋体" w:cs="Arial"/>
          <w:highlight w:val="none"/>
        </w:rPr>
        <w:t>现场知晓</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应当认为，乙方对本合同现场的气候、水文和综合条件以及用于项目运行的资料完全知晓，并对国家及地方法律法规完全知晓。</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9.</w:t>
      </w:r>
      <w:r>
        <w:rPr>
          <w:rFonts w:hint="eastAsia" w:ascii="宋体" w:hAnsi="宋体" w:cs="Arial"/>
          <w:highlight w:val="none"/>
          <w:lang w:val="en-US" w:eastAsia="zh-CN"/>
        </w:rPr>
        <w:t>6</w:t>
      </w:r>
      <w:r>
        <w:rPr>
          <w:rFonts w:hint="eastAsia" w:ascii="宋体" w:hAnsi="宋体" w:cs="Arial"/>
          <w:highlight w:val="none"/>
        </w:rPr>
        <w:t>价格的充分性</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应当认为乙方已彻底查清，并在本合同价格中充分考虑到了以下各项：</w:t>
      </w:r>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eastAsia="zh-CN"/>
        </w:rPr>
        <w:t>9.</w:t>
      </w:r>
      <w:r>
        <w:rPr>
          <w:rFonts w:hint="eastAsia" w:ascii="宋体" w:hAnsi="宋体" w:cs="Arial"/>
          <w:highlight w:val="none"/>
          <w:lang w:val="en-US" w:eastAsia="zh-CN"/>
        </w:rPr>
        <w:t>6</w:t>
      </w:r>
      <w:r>
        <w:rPr>
          <w:rFonts w:hint="eastAsia" w:ascii="宋体" w:hAnsi="宋体" w:cs="Arial"/>
          <w:highlight w:val="none"/>
          <w:lang w:eastAsia="zh-CN"/>
        </w:rPr>
        <w:t>.</w:t>
      </w:r>
      <w:r>
        <w:rPr>
          <w:rFonts w:hint="eastAsia" w:ascii="宋体" w:hAnsi="宋体" w:cs="Arial"/>
          <w:highlight w:val="none"/>
        </w:rPr>
        <w:t>1影响合同价格的全部条件和情况；</w:t>
      </w:r>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eastAsia="zh-CN"/>
        </w:rPr>
        <w:t>9.</w:t>
      </w:r>
      <w:r>
        <w:rPr>
          <w:rFonts w:hint="eastAsia" w:ascii="宋体" w:hAnsi="宋体" w:cs="Arial"/>
          <w:highlight w:val="none"/>
          <w:lang w:val="en-US" w:eastAsia="zh-CN"/>
        </w:rPr>
        <w:t>6</w:t>
      </w:r>
      <w:r>
        <w:rPr>
          <w:rFonts w:hint="eastAsia" w:ascii="宋体" w:hAnsi="宋体" w:cs="Arial"/>
          <w:highlight w:val="none"/>
          <w:lang w:eastAsia="zh-CN"/>
        </w:rPr>
        <w:t>.</w:t>
      </w:r>
      <w:r>
        <w:rPr>
          <w:rFonts w:hint="eastAsia" w:ascii="宋体" w:hAnsi="宋体" w:cs="Arial"/>
          <w:highlight w:val="none"/>
        </w:rPr>
        <w:t>2完成合同中所述项目的可能性；</w:t>
      </w:r>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eastAsia="zh-CN"/>
        </w:rPr>
        <w:t>9.</w:t>
      </w:r>
      <w:r>
        <w:rPr>
          <w:rFonts w:hint="eastAsia" w:ascii="宋体" w:hAnsi="宋体" w:cs="Arial"/>
          <w:highlight w:val="none"/>
          <w:lang w:val="en-US" w:eastAsia="zh-CN"/>
        </w:rPr>
        <w:t>6</w:t>
      </w:r>
      <w:r>
        <w:rPr>
          <w:rFonts w:hint="eastAsia" w:ascii="宋体" w:hAnsi="宋体" w:cs="Arial"/>
          <w:highlight w:val="none"/>
          <w:lang w:eastAsia="zh-CN"/>
        </w:rPr>
        <w:t>.</w:t>
      </w:r>
      <w:r>
        <w:rPr>
          <w:rFonts w:hint="eastAsia" w:ascii="宋体" w:hAnsi="宋体" w:cs="Arial"/>
          <w:highlight w:val="none"/>
        </w:rPr>
        <w:t>3现场的综合情况；</w:t>
      </w:r>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eastAsia="zh-CN"/>
        </w:rPr>
        <w:t>9.</w:t>
      </w:r>
      <w:r>
        <w:rPr>
          <w:rFonts w:hint="eastAsia" w:ascii="宋体" w:hAnsi="宋体" w:cs="Arial"/>
          <w:highlight w:val="none"/>
          <w:lang w:val="en-US" w:eastAsia="zh-CN"/>
        </w:rPr>
        <w:t>6</w:t>
      </w:r>
      <w:r>
        <w:rPr>
          <w:rFonts w:hint="eastAsia" w:ascii="宋体" w:hAnsi="宋体" w:cs="Arial"/>
          <w:highlight w:val="none"/>
          <w:lang w:eastAsia="zh-CN"/>
        </w:rPr>
        <w:t>.</w:t>
      </w:r>
      <w:r>
        <w:rPr>
          <w:rFonts w:hint="eastAsia" w:ascii="宋体" w:hAnsi="宋体" w:cs="Arial"/>
          <w:highlight w:val="none"/>
        </w:rPr>
        <w:t>4现场总的劳务情况；</w:t>
      </w:r>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eastAsia="zh-CN"/>
        </w:rPr>
        <w:t>9.</w:t>
      </w:r>
      <w:r>
        <w:rPr>
          <w:rFonts w:hint="eastAsia" w:ascii="宋体" w:hAnsi="宋体" w:cs="Arial"/>
          <w:highlight w:val="none"/>
          <w:lang w:val="en-US" w:eastAsia="zh-CN"/>
        </w:rPr>
        <w:t>6</w:t>
      </w:r>
      <w:r>
        <w:rPr>
          <w:rFonts w:hint="eastAsia" w:ascii="宋体" w:hAnsi="宋体" w:cs="Arial"/>
          <w:highlight w:val="none"/>
          <w:lang w:eastAsia="zh-CN"/>
        </w:rPr>
        <w:t>.</w:t>
      </w:r>
      <w:r>
        <w:rPr>
          <w:rFonts w:hint="eastAsia" w:ascii="宋体" w:hAnsi="宋体" w:cs="Arial"/>
          <w:highlight w:val="none"/>
        </w:rPr>
        <w:t>5甲方不接受乙方以组价不当（包括对工作内容理解的偏差、工料耗量水平的确定、生产要素市场价格的判断、取费决策等）为由而主张的任何损失或索赔。</w:t>
      </w:r>
    </w:p>
    <w:p>
      <w:pPr>
        <w:keepNext/>
        <w:keepLines/>
        <w:widowControl w:val="0"/>
        <w:spacing w:before="240" w:beforeLines="100" w:after="120" w:afterLines="50" w:afterAutospacing="0" w:line="240" w:lineRule="auto"/>
        <w:ind w:left="0" w:right="0" w:firstLine="482" w:firstLineChars="200"/>
        <w:outlineLvl w:val="2"/>
        <w:rPr>
          <w:rFonts w:ascii="黑体" w:hAnsi="黑体" w:eastAsia="黑体" w:cs="黑体"/>
          <w:b/>
          <w:kern w:val="2"/>
          <w:sz w:val="24"/>
          <w:szCs w:val="20"/>
          <w:highlight w:val="none"/>
        </w:rPr>
      </w:pPr>
      <w:r>
        <w:rPr>
          <w:rFonts w:hint="eastAsia" w:ascii="黑体" w:hAnsi="黑体" w:eastAsia="黑体" w:cs="黑体"/>
          <w:b/>
          <w:kern w:val="2"/>
          <w:sz w:val="24"/>
          <w:szCs w:val="20"/>
          <w:highlight w:val="none"/>
        </w:rPr>
        <w:t>10.合同变更与修改</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10.1除非甲方与乙方双方签署书面修改书，否则不能对合同条款进行任何变更。如果合同另有约定，从其约定。</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10.2任何对合同条件的变更或修改均须根据双方协商达成的协议，以规定的标准修改书形式由双方授权代表签字盖章来完成，并作为本合同不可分割的组成部分，具有与合同本身同样的效力。</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10.3甲方在执行合同期间内的任何时间可以对合同作变更、修改、删除、增加或做其它改变，经乙方同意后，这些变更应作为合同的组成部分，任何修改将构成合同的组成部分并适用其他条款，乙方应履行这些变更并受同样条件约束。</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10.4 变更费用的确认：</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10.4.1变更后的费用经甲乙双方协商确认后，如低于原合同价格，则按照变更后的费用来执行；</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10.4.2变更后的费用经甲乙双方协商确认后，如高于原合同价格，则按照原合同价格来执行。</w:t>
      </w:r>
    </w:p>
    <w:bookmarkEnd w:id="1101"/>
    <w:bookmarkEnd w:id="1102"/>
    <w:bookmarkEnd w:id="1103"/>
    <w:p>
      <w:pPr>
        <w:keepNext/>
        <w:keepLines/>
        <w:widowControl w:val="0"/>
        <w:spacing w:before="240" w:beforeLines="100" w:after="120" w:afterLines="50" w:afterAutospacing="0" w:line="240" w:lineRule="auto"/>
        <w:ind w:left="0" w:right="0" w:firstLine="482" w:firstLineChars="200"/>
        <w:outlineLvl w:val="2"/>
        <w:rPr>
          <w:rFonts w:ascii="黑体" w:hAnsi="黑体" w:eastAsia="黑体" w:cs="黑体"/>
          <w:b/>
          <w:kern w:val="2"/>
          <w:sz w:val="24"/>
          <w:szCs w:val="20"/>
          <w:highlight w:val="none"/>
        </w:rPr>
      </w:pPr>
      <w:bookmarkStart w:id="1104" w:name="_Toc437544548"/>
      <w:bookmarkStart w:id="1105" w:name="_Toc369786995"/>
      <w:bookmarkStart w:id="1106" w:name="_Toc30479"/>
      <w:bookmarkStart w:id="1107" w:name="_Toc21774"/>
      <w:r>
        <w:rPr>
          <w:rFonts w:hint="eastAsia" w:ascii="黑体" w:hAnsi="黑体" w:eastAsia="黑体" w:cs="黑体"/>
          <w:b/>
          <w:kern w:val="2"/>
          <w:sz w:val="24"/>
          <w:szCs w:val="20"/>
          <w:highlight w:val="none"/>
        </w:rPr>
        <w:t>11.违约责任</w:t>
      </w:r>
      <w:bookmarkEnd w:id="1104"/>
      <w:bookmarkEnd w:id="1105"/>
      <w:bookmarkEnd w:id="1106"/>
      <w:bookmarkEnd w:id="1107"/>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乙方在收到《合同违约处理通知单》(详见 “技术规格书”附件8)后，如有意见，在2个工作日可提出申诉，否则视为接受违约处理意见，甲方在收到申诉后5个工作日答复。</w:t>
      </w:r>
    </w:p>
    <w:p>
      <w:pPr>
        <w:spacing w:before="0" w:after="0" w:afterAutospacing="0"/>
        <w:ind w:left="0" w:right="0" w:firstLine="420" w:firstLineChars="200"/>
        <w:rPr>
          <w:highlight w:val="none"/>
        </w:rPr>
      </w:pPr>
      <w:r>
        <w:rPr>
          <w:rFonts w:hint="eastAsia" w:ascii="宋体" w:hAnsi="宋体" w:cs="Arial"/>
          <w:highlight w:val="none"/>
        </w:rPr>
        <w:t>乙方须支付相应的违约金，违约金在合同应付款中扣减。</w:t>
      </w:r>
    </w:p>
    <w:p>
      <w:pPr>
        <w:spacing w:before="0" w:after="0" w:afterAutospacing="0"/>
        <w:ind w:left="0" w:right="0" w:firstLine="420" w:firstLineChars="200"/>
        <w:rPr>
          <w:rFonts w:ascii="宋体" w:hAnsi="宋体" w:cs="Arial"/>
          <w:highlight w:val="none"/>
        </w:rPr>
      </w:pPr>
      <w:bookmarkStart w:id="1108" w:name="_Ref462913103"/>
      <w:r>
        <w:rPr>
          <w:rFonts w:hint="eastAsia" w:ascii="宋体" w:hAnsi="宋体" w:cs="Arial"/>
          <w:highlight w:val="none"/>
        </w:rPr>
        <w:t>11.</w:t>
      </w:r>
      <w:r>
        <w:rPr>
          <w:rFonts w:hint="eastAsia" w:ascii="宋体" w:hAnsi="宋体" w:cs="Arial"/>
          <w:highlight w:val="none"/>
          <w:lang w:val="en-US" w:eastAsia="zh-CN"/>
        </w:rPr>
        <w:t>1</w:t>
      </w:r>
      <w:r>
        <w:rPr>
          <w:rFonts w:hint="eastAsia" w:ascii="宋体" w:hAnsi="宋体" w:cs="Arial"/>
          <w:highlight w:val="none"/>
        </w:rPr>
        <w:t>合同签订后，乙方不能完成合同规定的工程，则甲方扣除未完成合同规定的工程总价格20%的违约金，同时甲方重新采购因价格差所造成的损失由乙方承担。</w:t>
      </w:r>
      <w:bookmarkEnd w:id="1108"/>
    </w:p>
    <w:p>
      <w:pPr>
        <w:spacing w:before="0" w:after="0" w:afterAutospacing="0"/>
        <w:ind w:left="0" w:right="0" w:firstLine="420" w:firstLineChars="200"/>
        <w:rPr>
          <w:rFonts w:ascii="宋体" w:hAnsi="宋体" w:cs="Arial"/>
          <w:highlight w:val="none"/>
        </w:rPr>
      </w:pPr>
      <w:bookmarkStart w:id="1109" w:name="_Ref462913114"/>
      <w:r>
        <w:rPr>
          <w:rFonts w:hint="eastAsia" w:ascii="宋体" w:hAnsi="宋体" w:cs="Arial"/>
          <w:highlight w:val="none"/>
        </w:rPr>
        <w:t>11.</w:t>
      </w:r>
      <w:r>
        <w:rPr>
          <w:rFonts w:hint="eastAsia" w:ascii="宋体" w:hAnsi="宋体" w:cs="Arial"/>
          <w:highlight w:val="none"/>
          <w:lang w:val="en-US" w:eastAsia="zh-CN"/>
        </w:rPr>
        <w:t>2</w:t>
      </w:r>
      <w:r>
        <w:rPr>
          <w:rFonts w:hint="eastAsia" w:ascii="宋体" w:hAnsi="宋体" w:cs="Arial"/>
          <w:highlight w:val="none"/>
        </w:rPr>
        <w:t>乙方逾期完成合同规定的工程，每逾期一天，则甲方扣除未完成合同规定的工程总价格0.5%的违约金，但该违约金累计不超过合同价格的15%；逾期超过30天仍不能完成服务的，甲方有权单方解除合同。</w:t>
      </w:r>
      <w:bookmarkEnd w:id="1109"/>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11.</w:t>
      </w:r>
      <w:r>
        <w:rPr>
          <w:rFonts w:hint="eastAsia" w:ascii="宋体" w:hAnsi="宋体" w:cs="Arial"/>
          <w:highlight w:val="none"/>
          <w:lang w:val="en-US" w:eastAsia="zh-CN"/>
        </w:rPr>
        <w:t>3</w:t>
      </w:r>
      <w:r>
        <w:rPr>
          <w:rFonts w:hint="eastAsia" w:ascii="宋体" w:hAnsi="宋体" w:cs="Arial"/>
          <w:highlight w:val="none"/>
        </w:rPr>
        <w:t>乙方提供服务不符合合同规定标准的，甲方有权拒收该服务，如乙方拒绝完成服务，按条款</w:t>
      </w:r>
      <w:r>
        <w:rPr>
          <w:rFonts w:hint="eastAsia" w:ascii="宋体" w:hAnsi="宋体" w:cs="Arial"/>
          <w:highlight w:val="none"/>
          <w:lang w:val="en-US" w:eastAsia="zh-CN"/>
        </w:rPr>
        <w:t>11.1</w:t>
      </w:r>
      <w:r>
        <w:rPr>
          <w:rFonts w:hint="eastAsia" w:ascii="宋体" w:hAnsi="宋体" w:cs="Arial"/>
          <w:highlight w:val="none"/>
        </w:rPr>
        <w:t>处理；如乙方重新提供符合要求的服务但逾期完成服务的，按条款</w:t>
      </w:r>
      <w:r>
        <w:rPr>
          <w:rFonts w:hint="eastAsia" w:ascii="宋体" w:hAnsi="宋体" w:cs="Arial"/>
          <w:highlight w:val="none"/>
          <w:lang w:val="en-US" w:eastAsia="zh-CN"/>
        </w:rPr>
        <w:t>11.2</w:t>
      </w:r>
      <w:r>
        <w:rPr>
          <w:rFonts w:hint="eastAsia" w:ascii="宋体" w:hAnsi="宋体" w:cs="Arial"/>
          <w:highlight w:val="none"/>
        </w:rPr>
        <w:t>处理。如因甲方原因导致乙方无法提供服务或服务不符合合同规定标准的，经甲乙双方协商后，可另行签订补充协议，乙方承诺如完成服务的质量不低于原合同的，按原合同价格结算。</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11.</w:t>
      </w:r>
      <w:r>
        <w:rPr>
          <w:rFonts w:hint="eastAsia" w:ascii="宋体" w:hAnsi="宋体" w:cs="Arial"/>
          <w:highlight w:val="none"/>
          <w:lang w:val="en-US" w:eastAsia="zh-CN"/>
        </w:rPr>
        <w:t>4</w:t>
      </w:r>
      <w:r>
        <w:rPr>
          <w:rFonts w:hint="eastAsia" w:ascii="宋体" w:hAnsi="宋体" w:cs="Arial"/>
          <w:highlight w:val="none"/>
        </w:rPr>
        <w:t>乙方不履行服务义务或拖延履行服务义务，或乙方存在恶意磋商或虚假承诺等不正当竞争行为，课以合同总价格5%的违约金，同时甲方有权将乙方列入不良行为记录名单、一年内禁止其参加甲方的任何采购活动。</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11.</w:t>
      </w:r>
      <w:r>
        <w:rPr>
          <w:rFonts w:hint="eastAsia" w:ascii="宋体" w:hAnsi="宋体" w:cs="Arial"/>
          <w:highlight w:val="none"/>
          <w:lang w:val="en-US" w:eastAsia="zh-CN"/>
        </w:rPr>
        <w:t>5</w:t>
      </w:r>
      <w:r>
        <w:rPr>
          <w:rFonts w:hint="eastAsia" w:ascii="宋体" w:hAnsi="宋体" w:cs="Arial"/>
          <w:highlight w:val="none"/>
        </w:rPr>
        <w:t>由于乙方所提供的服务质量不合格给甲方或第三方造成人身财产损失的，乙方应承担全部责任。</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11.</w:t>
      </w:r>
      <w:r>
        <w:rPr>
          <w:rFonts w:hint="eastAsia" w:ascii="宋体" w:hAnsi="宋体" w:cs="Arial"/>
          <w:highlight w:val="none"/>
          <w:lang w:val="en-US" w:eastAsia="zh-CN"/>
        </w:rPr>
        <w:t>6</w:t>
      </w:r>
      <w:r>
        <w:rPr>
          <w:rFonts w:hint="eastAsia" w:ascii="宋体" w:hAnsi="宋体" w:cs="Arial"/>
          <w:highlight w:val="none"/>
        </w:rPr>
        <w:t>乙方违反其他合同条款的，课以合同价格5%的违约金。</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11.</w:t>
      </w:r>
      <w:r>
        <w:rPr>
          <w:rFonts w:hint="eastAsia" w:ascii="宋体" w:hAnsi="宋体" w:cs="Arial"/>
          <w:highlight w:val="none"/>
          <w:lang w:val="en-US" w:eastAsia="zh-CN"/>
        </w:rPr>
        <w:t>7</w:t>
      </w:r>
      <w:r>
        <w:rPr>
          <w:rFonts w:hint="eastAsia" w:ascii="宋体" w:hAnsi="宋体" w:cs="Arial"/>
          <w:highlight w:val="none"/>
        </w:rPr>
        <w:t>因乙方原因解除合同的，应向甲方支付合同价格10%的违约金，如造成甲方损失的，乙方应承担赔偿责任。</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11.</w:t>
      </w:r>
      <w:r>
        <w:rPr>
          <w:rFonts w:hint="eastAsia" w:ascii="宋体" w:hAnsi="宋体" w:cs="Arial"/>
          <w:highlight w:val="none"/>
          <w:lang w:val="en-US" w:eastAsia="zh-CN"/>
        </w:rPr>
        <w:t>8</w:t>
      </w:r>
      <w:r>
        <w:rPr>
          <w:rFonts w:hint="eastAsia" w:ascii="宋体" w:hAnsi="宋体" w:cs="Arial"/>
          <w:highlight w:val="none"/>
        </w:rPr>
        <w:t>因乙方原因导致甲方归口管理分中心受到上级部门考核的，课以合同价格1%的违约金。</w:t>
      </w:r>
    </w:p>
    <w:p>
      <w:pPr>
        <w:spacing w:before="0" w:after="0" w:afterAutospacing="0"/>
        <w:ind w:left="0" w:right="0" w:firstLine="420" w:firstLineChars="200"/>
        <w:rPr>
          <w:rFonts w:hint="eastAsia" w:ascii="宋体" w:hAnsi="宋体" w:cs="Arial"/>
          <w:highlight w:val="none"/>
        </w:rPr>
      </w:pPr>
      <w:r>
        <w:rPr>
          <w:rFonts w:hint="eastAsia" w:ascii="宋体" w:hAnsi="宋体" w:cs="Arial"/>
          <w:highlight w:val="none"/>
        </w:rPr>
        <w:t>11.</w:t>
      </w:r>
      <w:r>
        <w:rPr>
          <w:rFonts w:hint="eastAsia" w:ascii="宋体" w:hAnsi="宋体" w:cs="Arial"/>
          <w:highlight w:val="none"/>
          <w:lang w:val="en-US" w:eastAsia="zh-CN"/>
        </w:rPr>
        <w:t>9</w:t>
      </w:r>
      <w:r>
        <w:rPr>
          <w:rFonts w:hint="eastAsia" w:ascii="宋体" w:hAnsi="宋体" w:cs="Arial"/>
          <w:highlight w:val="none"/>
        </w:rPr>
        <w:t>本合同中所列的违约金和赔偿款，甲方有权从合同款中扣除。所有违约金和赔偿款的支付，不免除乙方继续履行合同义务，也不减轻乙方合同项下的其他责任和义务。</w:t>
      </w:r>
    </w:p>
    <w:p>
      <w:pPr>
        <w:keepNext/>
        <w:keepLines/>
        <w:widowControl w:val="0"/>
        <w:spacing w:before="240" w:beforeLines="100" w:after="120" w:afterLines="50" w:afterAutospacing="0" w:line="240" w:lineRule="auto"/>
        <w:ind w:left="0" w:right="0" w:firstLine="482" w:firstLineChars="200"/>
        <w:outlineLvl w:val="2"/>
        <w:rPr>
          <w:rFonts w:hint="eastAsia" w:ascii="黑体" w:hAnsi="黑体" w:eastAsia="黑体" w:cs="黑体"/>
          <w:b/>
          <w:kern w:val="2"/>
          <w:sz w:val="24"/>
          <w:szCs w:val="20"/>
          <w:highlight w:val="none"/>
        </w:rPr>
      </w:pPr>
      <w:r>
        <w:rPr>
          <w:rFonts w:hint="eastAsia" w:ascii="黑体" w:hAnsi="黑体" w:eastAsia="黑体" w:cs="黑体"/>
          <w:b/>
          <w:kern w:val="2"/>
          <w:sz w:val="24"/>
          <w:szCs w:val="20"/>
          <w:highlight w:val="none"/>
          <w:lang w:val="en-US" w:eastAsia="zh-CN"/>
        </w:rPr>
        <w:t>12.</w:t>
      </w:r>
      <w:r>
        <w:rPr>
          <w:rFonts w:hint="eastAsia" w:ascii="黑体" w:hAnsi="黑体" w:eastAsia="黑体" w:cs="黑体"/>
          <w:b/>
          <w:kern w:val="2"/>
          <w:sz w:val="24"/>
          <w:szCs w:val="20"/>
          <w:highlight w:val="none"/>
        </w:rPr>
        <w:t>合同期评价</w:t>
      </w:r>
    </w:p>
    <w:p>
      <w:pPr>
        <w:spacing w:before="0" w:after="0" w:afterAutospacing="0"/>
        <w:ind w:left="0" w:right="0" w:firstLine="420" w:firstLineChars="200"/>
        <w:rPr>
          <w:rFonts w:ascii="宋体" w:hAnsi="宋体" w:cs="Arial"/>
          <w:highlight w:val="none"/>
        </w:rPr>
      </w:pPr>
      <w:r>
        <w:rPr>
          <w:rFonts w:ascii="宋体" w:hAnsi="宋体" w:cs="Arial"/>
          <w:highlight w:val="none"/>
        </w:rPr>
        <w:t>凡涉及以下任一条款，则甲方有权行使一票否决制，考核评定不合格，甲方有权随时终止合同。</w:t>
      </w:r>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eastAsia="zh-CN"/>
        </w:rPr>
        <w:t>12</w:t>
      </w:r>
      <w:r>
        <w:rPr>
          <w:rFonts w:ascii="宋体" w:hAnsi="宋体" w:cs="Arial"/>
          <w:highlight w:val="none"/>
        </w:rPr>
        <w:t>.1对外透露保密性的信息，情节严重。</w:t>
      </w:r>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eastAsia="zh-CN"/>
        </w:rPr>
        <w:t>12</w:t>
      </w:r>
      <w:r>
        <w:rPr>
          <w:rFonts w:ascii="宋体" w:hAnsi="宋体" w:cs="Arial"/>
          <w:highlight w:val="none"/>
        </w:rPr>
        <w:t>.2因乙方原因，造成发生一般事件C类及以上事故、事件。</w:t>
      </w:r>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eastAsia="zh-CN"/>
        </w:rPr>
        <w:t>12</w:t>
      </w:r>
      <w:r>
        <w:rPr>
          <w:rFonts w:ascii="宋体" w:hAnsi="宋体" w:cs="Arial"/>
          <w:highlight w:val="none"/>
        </w:rPr>
        <w:t>.3发生责任员工轻伤及以上。</w:t>
      </w:r>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eastAsia="zh-CN"/>
        </w:rPr>
        <w:t>12</w:t>
      </w:r>
      <w:r>
        <w:rPr>
          <w:rFonts w:ascii="宋体" w:hAnsi="宋体" w:cs="Arial"/>
          <w:highlight w:val="none"/>
        </w:rPr>
        <w:t>.4施工作业完成后，未按甲方相关施工管理规定进行出清或跨区域、跨范围作业。</w:t>
      </w:r>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eastAsia="zh-CN"/>
        </w:rPr>
        <w:t>12</w:t>
      </w:r>
      <w:r>
        <w:rPr>
          <w:rFonts w:ascii="宋体" w:hAnsi="宋体" w:cs="Arial"/>
          <w:highlight w:val="none"/>
        </w:rPr>
        <w:t>.5因乙方责任造成解除合同的，由乙方承担相应的责任，并赔偿相应损失。</w:t>
      </w:r>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eastAsia="zh-CN"/>
        </w:rPr>
        <w:t>12</w:t>
      </w:r>
      <w:r>
        <w:rPr>
          <w:rFonts w:ascii="宋体" w:hAnsi="宋体" w:cs="Arial"/>
          <w:highlight w:val="none"/>
        </w:rPr>
        <w:t>.6乙方有责任保证装修质量达到国家相关质量标准，并在合同执行过程中严格遵守甲方各项管理规定、要求。</w:t>
      </w:r>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eastAsia="zh-CN"/>
        </w:rPr>
        <w:t>12</w:t>
      </w:r>
      <w:r>
        <w:rPr>
          <w:rFonts w:ascii="宋体" w:hAnsi="宋体" w:cs="Arial"/>
          <w:highlight w:val="none"/>
        </w:rPr>
        <w:t>.7乙方在收到考核单后，如有意见，在三个工作日可提出申诉，甲方在收到申诉后三个工作日答复，乙方在三个工作日内必须签字盖章返回，若因此导致甲方支付款项延时，责任由乙方自行承担。</w:t>
      </w:r>
    </w:p>
    <w:p>
      <w:pPr>
        <w:keepNext/>
        <w:keepLines/>
        <w:widowControl w:val="0"/>
        <w:spacing w:before="240" w:beforeLines="100" w:after="120" w:afterLines="50" w:afterAutospacing="0" w:line="240" w:lineRule="auto"/>
        <w:ind w:left="0" w:right="0" w:firstLine="482" w:firstLineChars="200"/>
        <w:outlineLvl w:val="2"/>
        <w:rPr>
          <w:rFonts w:hint="eastAsia" w:ascii="黑体" w:hAnsi="黑体" w:eastAsia="黑体" w:cs="黑体"/>
          <w:b/>
          <w:kern w:val="2"/>
          <w:sz w:val="24"/>
          <w:szCs w:val="20"/>
          <w:highlight w:val="none"/>
        </w:rPr>
      </w:pPr>
      <w:r>
        <w:rPr>
          <w:rFonts w:hint="eastAsia" w:ascii="黑体" w:hAnsi="黑体" w:eastAsia="黑体" w:cs="黑体"/>
          <w:b/>
          <w:kern w:val="2"/>
          <w:sz w:val="24"/>
          <w:szCs w:val="20"/>
          <w:highlight w:val="none"/>
          <w:lang w:val="en-US" w:eastAsia="zh-CN"/>
        </w:rPr>
        <w:t>13.</w:t>
      </w:r>
      <w:r>
        <w:rPr>
          <w:rFonts w:hint="eastAsia" w:ascii="黑体" w:hAnsi="黑体" w:eastAsia="黑体" w:cs="黑体"/>
          <w:b/>
          <w:kern w:val="2"/>
          <w:sz w:val="24"/>
          <w:szCs w:val="20"/>
          <w:highlight w:val="none"/>
        </w:rPr>
        <w:t>违约处理</w:t>
      </w:r>
    </w:p>
    <w:p>
      <w:pPr>
        <w:spacing w:before="0" w:after="0" w:afterAutospacing="0"/>
        <w:ind w:left="0" w:right="0" w:firstLine="420" w:firstLineChars="200"/>
        <w:rPr>
          <w:rFonts w:ascii="宋体" w:hAnsi="宋体" w:cs="Arial"/>
          <w:color w:val="auto"/>
          <w:highlight w:val="none"/>
        </w:rPr>
      </w:pPr>
      <w:r>
        <w:rPr>
          <w:rFonts w:hint="eastAsia" w:ascii="宋体" w:hAnsi="宋体" w:cs="Arial"/>
          <w:highlight w:val="none"/>
          <w:lang w:eastAsia="zh-CN"/>
        </w:rPr>
        <w:t>13</w:t>
      </w:r>
      <w:r>
        <w:rPr>
          <w:rFonts w:ascii="宋体" w:hAnsi="宋体" w:cs="Arial"/>
          <w:highlight w:val="none"/>
        </w:rPr>
        <w:t>.1因乙</w:t>
      </w:r>
      <w:r>
        <w:rPr>
          <w:rFonts w:ascii="宋体" w:hAnsi="宋体" w:cs="Arial"/>
          <w:color w:val="auto"/>
          <w:highlight w:val="none"/>
        </w:rPr>
        <w:t>方原因造成一般事件C类及以上的，课以甲方受考核的金额或者合同总价款的5%作为违约金，以两者考核金额大的进行考核，且甲方有权根据影响程度追加考核，因此造成的其他损失甲方有权向乙方索赔。</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lang w:eastAsia="zh-CN"/>
        </w:rPr>
        <w:t>13</w:t>
      </w:r>
      <w:r>
        <w:rPr>
          <w:rFonts w:ascii="宋体" w:hAnsi="宋体" w:cs="Arial"/>
          <w:color w:val="auto"/>
          <w:highlight w:val="none"/>
        </w:rPr>
        <w:t>.2因乙方原因导致甲方主办部门被考核的，课以违约金1000元/次；因乙方原因导致安全事件（一般事件C类以下）的，课以违约金1500元/次。</w:t>
      </w:r>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eastAsia="zh-CN"/>
        </w:rPr>
        <w:t>13</w:t>
      </w:r>
      <w:r>
        <w:rPr>
          <w:rFonts w:ascii="宋体" w:hAnsi="宋体" w:cs="Arial"/>
          <w:highlight w:val="none"/>
        </w:rPr>
        <w:t>.3因乙方原因造成甲方或第三方财产损失或人身伤害的，对甲方造成不良影响的，课以违约金5000元/次，并负责赔偿甲方或第三方相关损失以及因此产生的诉讼费、律师费等一切费用。。</w:t>
      </w:r>
    </w:p>
    <w:p>
      <w:pPr>
        <w:spacing w:before="0" w:after="0" w:afterAutospacing="0"/>
        <w:ind w:left="0" w:right="0" w:firstLine="420" w:firstLineChars="200"/>
        <w:rPr>
          <w:highlight w:val="none"/>
        </w:rPr>
      </w:pPr>
      <w:r>
        <w:rPr>
          <w:rFonts w:hint="eastAsia" w:ascii="宋体" w:hAnsi="宋体" w:cs="Arial"/>
          <w:highlight w:val="none"/>
          <w:lang w:eastAsia="zh-CN"/>
        </w:rPr>
        <w:t>13</w:t>
      </w:r>
      <w:r>
        <w:rPr>
          <w:rFonts w:ascii="宋体" w:hAnsi="宋体" w:cs="Arial"/>
          <w:highlight w:val="none"/>
        </w:rPr>
        <w:t>.4合同签订之后，未经甲方书面同意，乙方擅自更换项目经理或施工负责人的，视为乙方违约，并课以违约金1000元/人/次；乙方擅自更换项目施工人员的，视为乙方违约，并课以违约金500元/人/次。</w:t>
      </w:r>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eastAsia="zh-CN"/>
        </w:rPr>
        <w:t>13</w:t>
      </w:r>
      <w:r>
        <w:rPr>
          <w:rFonts w:ascii="宋体" w:hAnsi="宋体" w:cs="Arial"/>
          <w:highlight w:val="none"/>
        </w:rPr>
        <w:t>.5乙方人员在禁止抽烟区域内抽烟，工作期间喝酒或与其他部门/单位发生争执或打架斗殴等不文明现象的，课以违约金500元/人/次。</w:t>
      </w:r>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eastAsia="zh-CN"/>
        </w:rPr>
        <w:t>13</w:t>
      </w:r>
      <w:r>
        <w:rPr>
          <w:rFonts w:ascii="宋体" w:hAnsi="宋体" w:cs="Arial"/>
          <w:highlight w:val="none"/>
        </w:rPr>
        <w:t>.6乙方人员不服从甲方管理的，课以违约金1000元/次，因此造成甲方的其他损失，甲方还将向乙方索赔。同时甲方有权要求乙方对不服从管理的人员进行更换，更换后的人员资格条件不得低于投标时的资历且符合甲方的相关要求。</w:t>
      </w:r>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eastAsia="zh-CN"/>
        </w:rPr>
        <w:t>13</w:t>
      </w:r>
      <w:r>
        <w:rPr>
          <w:rFonts w:ascii="宋体" w:hAnsi="宋体" w:cs="Arial"/>
          <w:highlight w:val="none"/>
        </w:rPr>
        <w:t>.7乙方人员在施工作业时未按要求穿戴劳保用品（工作服、劳保鞋、安全帽、防尘口罩）课以违约金500元/人/次；使用的劳保用品不满足要求、不完好、不在有效期内的，课以违约金300元/人/次。</w:t>
      </w:r>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eastAsia="zh-CN"/>
        </w:rPr>
        <w:t>13</w:t>
      </w:r>
      <w:r>
        <w:rPr>
          <w:rFonts w:ascii="宋体" w:hAnsi="宋体" w:cs="Arial"/>
          <w:highlight w:val="none"/>
        </w:rPr>
        <w:t>.8乙方人员未经许可，在地铁属地内使用明火的、携带危化品进入作业现场或乘坐地铁的、作业结束后危化品处置不当的，课以违约金2000元/件。</w:t>
      </w:r>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eastAsia="zh-CN"/>
        </w:rPr>
        <w:t>13</w:t>
      </w:r>
      <w:r>
        <w:rPr>
          <w:rFonts w:ascii="宋体" w:hAnsi="宋体" w:cs="Arial"/>
          <w:highlight w:val="none"/>
        </w:rPr>
        <w:t>.9乙方人员未经甲方同意，擅自带领与工作无关人员进入地铁作业区域的，课以违约金500元/次,并承担因此造成的其他经济损失。</w:t>
      </w:r>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eastAsia="zh-CN"/>
        </w:rPr>
        <w:t>13</w:t>
      </w:r>
      <w:r>
        <w:rPr>
          <w:rFonts w:ascii="宋体" w:hAnsi="宋体" w:cs="Arial"/>
          <w:highlight w:val="none"/>
        </w:rPr>
        <w:t>.10乙方未与所聘用参与本项目工作人员签订正式劳动（劳务）合同的，应立即停止该部分人员的用工，直至办理完合同签订手续，期间乙方必须采取其它措施保障合同正常履行，且课以违约金500元/人，造成甲方经济、声誉损失的，甲方有权终止合同并追究乙方相关责任。</w:t>
      </w:r>
    </w:p>
    <w:p>
      <w:pPr>
        <w:spacing w:before="0" w:after="0" w:afterAutospacing="0"/>
        <w:ind w:left="0" w:right="0" w:firstLine="420" w:firstLineChars="200"/>
        <w:rPr>
          <w:rFonts w:ascii="宋体" w:hAnsi="宋体" w:cs="Arial"/>
          <w:color w:val="auto"/>
          <w:highlight w:val="none"/>
        </w:rPr>
      </w:pPr>
      <w:r>
        <w:rPr>
          <w:rFonts w:hint="eastAsia" w:ascii="宋体" w:hAnsi="宋体" w:cs="Arial"/>
          <w:highlight w:val="none"/>
          <w:lang w:eastAsia="zh-CN"/>
        </w:rPr>
        <w:t>13</w:t>
      </w:r>
      <w:r>
        <w:rPr>
          <w:rFonts w:ascii="宋体" w:hAnsi="宋体" w:cs="Arial"/>
          <w:highlight w:val="none"/>
        </w:rPr>
        <w:t>.11在故障未修复的情况下，乙方未按要求安排现场值守或职守人员擅自脱离岗位的，课以违约</w:t>
      </w:r>
      <w:r>
        <w:rPr>
          <w:rFonts w:ascii="宋体" w:hAnsi="宋体" w:cs="Arial"/>
          <w:color w:val="auto"/>
          <w:highlight w:val="none"/>
        </w:rPr>
        <w:t>金2000元/次。</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lang w:eastAsia="zh-CN"/>
        </w:rPr>
        <w:t>13</w:t>
      </w:r>
      <w:r>
        <w:rPr>
          <w:rFonts w:ascii="宋体" w:hAnsi="宋体" w:cs="Arial"/>
          <w:color w:val="auto"/>
          <w:highlight w:val="none"/>
        </w:rPr>
        <w:t>.12乙方故障响应时间超过服务承诺时间，课以违约金100元/次；乙方</w:t>
      </w:r>
      <w:r>
        <w:rPr>
          <w:rFonts w:hint="eastAsia" w:ascii="宋体" w:hAnsi="宋体" w:cs="Arial"/>
          <w:color w:val="auto"/>
          <w:highlight w:val="none"/>
          <w:lang w:eastAsia="zh-CN"/>
        </w:rPr>
        <w:t>到达维修现场</w:t>
      </w:r>
      <w:r>
        <w:rPr>
          <w:rFonts w:ascii="宋体" w:hAnsi="宋体" w:cs="Arial"/>
          <w:color w:val="auto"/>
          <w:highlight w:val="none"/>
        </w:rPr>
        <w:t>时间超过承诺时间</w:t>
      </w:r>
      <w:r>
        <w:rPr>
          <w:rFonts w:hint="eastAsia" w:ascii="宋体" w:hAnsi="宋体" w:cs="Arial"/>
          <w:color w:val="auto"/>
          <w:highlight w:val="none"/>
          <w:lang w:eastAsia="zh-CN"/>
        </w:rPr>
        <w:t>的</w:t>
      </w:r>
      <w:r>
        <w:rPr>
          <w:rFonts w:ascii="宋体" w:hAnsi="宋体" w:cs="Arial"/>
          <w:color w:val="auto"/>
          <w:highlight w:val="none"/>
        </w:rPr>
        <w:t>，课以违约金</w:t>
      </w:r>
      <w:r>
        <w:rPr>
          <w:rFonts w:hint="eastAsia" w:ascii="宋体" w:hAnsi="宋体" w:cs="Arial"/>
          <w:color w:val="auto"/>
          <w:highlight w:val="none"/>
          <w:lang w:val="en-US" w:eastAsia="zh-CN"/>
        </w:rPr>
        <w:t>1</w:t>
      </w:r>
      <w:r>
        <w:rPr>
          <w:rFonts w:ascii="宋体" w:hAnsi="宋体" w:cs="Arial"/>
          <w:color w:val="auto"/>
          <w:highlight w:val="none"/>
        </w:rPr>
        <w:t>00元/10分钟（不足10分钟部分按10分钟算）；乙方故障完全修复时间超过服务承诺时间，课以违约金500元/次；设备维修完成7天内，发生重复故障的，课以违约金500元/次。</w:t>
      </w:r>
    </w:p>
    <w:p>
      <w:pPr>
        <w:spacing w:before="0" w:after="0" w:afterAutospacing="0"/>
        <w:ind w:left="0" w:right="0" w:firstLine="420" w:firstLineChars="200"/>
        <w:rPr>
          <w:rFonts w:ascii="宋体"/>
          <w:color w:val="auto"/>
          <w:highlight w:val="none"/>
        </w:rPr>
      </w:pPr>
      <w:r>
        <w:rPr>
          <w:rFonts w:hint="eastAsia" w:ascii="宋体" w:hAnsi="宋体" w:cs="Arial"/>
          <w:color w:val="auto"/>
          <w:highlight w:val="none"/>
          <w:lang w:eastAsia="zh-CN"/>
        </w:rPr>
        <w:t>13</w:t>
      </w:r>
      <w:r>
        <w:rPr>
          <w:rFonts w:ascii="宋体" w:hAnsi="宋体" w:cs="Arial"/>
          <w:color w:val="auto"/>
          <w:highlight w:val="none"/>
        </w:rPr>
        <w:t>.13</w:t>
      </w:r>
      <w:r>
        <w:rPr>
          <w:rFonts w:ascii="宋体"/>
          <w:color w:val="auto"/>
          <w:highlight w:val="none"/>
        </w:rPr>
        <w:t>乙方使用有缺陷的零部件及材料的，每次课以该零部件2倍价格违约金，给甲方造成损失的，须赔偿甲方的实际损失。</w:t>
      </w:r>
    </w:p>
    <w:p>
      <w:pPr>
        <w:spacing w:before="0" w:after="0" w:afterAutospacing="0"/>
        <w:ind w:left="0" w:right="0" w:firstLine="420" w:firstLineChars="200"/>
        <w:rPr>
          <w:rFonts w:ascii="宋体"/>
          <w:highlight w:val="none"/>
        </w:rPr>
      </w:pPr>
      <w:r>
        <w:rPr>
          <w:rFonts w:hint="eastAsia" w:ascii="宋体" w:hAnsi="宋体" w:cs="Arial"/>
          <w:highlight w:val="none"/>
          <w:lang w:eastAsia="zh-CN"/>
        </w:rPr>
        <w:t>13</w:t>
      </w:r>
      <w:r>
        <w:rPr>
          <w:rFonts w:ascii="宋体" w:hAnsi="宋体" w:cs="Arial"/>
          <w:highlight w:val="none"/>
        </w:rPr>
        <w:t>.14甲乙双方在项目施工前，需共同确认蹲便感应式冲洗阀各部件功能是否正常，在施工过程中，乙方须做好施工防护，严禁暴力拆除，确保蹲便感应式冲洗阀各部件功能完好，由于乙方原因造成设备损坏的</w:t>
      </w:r>
      <w:r>
        <w:rPr>
          <w:rFonts w:ascii="宋体"/>
          <w:highlight w:val="none"/>
        </w:rPr>
        <w:t>，须赔偿甲方的实际损失</w:t>
      </w:r>
      <w:r>
        <w:rPr>
          <w:rFonts w:ascii="宋体" w:hAnsi="宋体" w:cs="Arial"/>
          <w:highlight w:val="none"/>
        </w:rPr>
        <w:t>。</w:t>
      </w:r>
    </w:p>
    <w:p>
      <w:pPr>
        <w:keepNext/>
        <w:keepLines/>
        <w:widowControl w:val="0"/>
        <w:spacing w:before="240" w:beforeLines="100" w:after="120" w:afterLines="50" w:afterAutospacing="0" w:line="240" w:lineRule="auto"/>
        <w:ind w:left="0" w:right="0" w:firstLine="482" w:firstLineChars="200"/>
        <w:outlineLvl w:val="2"/>
        <w:rPr>
          <w:rFonts w:hint="eastAsia" w:ascii="黑体" w:hAnsi="黑体" w:eastAsia="黑体" w:cs="黑体"/>
          <w:b/>
          <w:kern w:val="2"/>
          <w:sz w:val="24"/>
          <w:szCs w:val="20"/>
          <w:highlight w:val="none"/>
        </w:rPr>
      </w:pPr>
      <w:r>
        <w:rPr>
          <w:rFonts w:hint="eastAsia" w:ascii="黑体" w:hAnsi="黑体" w:eastAsia="黑体" w:cs="黑体"/>
          <w:b/>
          <w:kern w:val="2"/>
          <w:sz w:val="24"/>
          <w:szCs w:val="20"/>
          <w:highlight w:val="none"/>
        </w:rPr>
        <w:t>1</w:t>
      </w:r>
      <w:r>
        <w:rPr>
          <w:rFonts w:hint="eastAsia" w:ascii="黑体" w:hAnsi="黑体" w:eastAsia="黑体" w:cs="黑体"/>
          <w:b/>
          <w:kern w:val="2"/>
          <w:sz w:val="24"/>
          <w:szCs w:val="20"/>
          <w:highlight w:val="none"/>
          <w:lang w:val="en-US" w:eastAsia="zh-CN"/>
        </w:rPr>
        <w:t>4</w:t>
      </w:r>
      <w:r>
        <w:rPr>
          <w:rFonts w:hint="eastAsia" w:ascii="黑体" w:hAnsi="黑体" w:eastAsia="黑体" w:cs="黑体"/>
          <w:b/>
          <w:kern w:val="2"/>
          <w:sz w:val="24"/>
          <w:szCs w:val="20"/>
          <w:highlight w:val="none"/>
        </w:rPr>
        <w:t>.验收</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项目完工后乙方先行自检</w:t>
      </w:r>
      <w:r>
        <w:rPr>
          <w:rFonts w:hint="eastAsia" w:ascii="宋体" w:hAnsi="宋体" w:cs="Arial"/>
          <w:highlight w:val="none"/>
          <w:lang w:eastAsia="zh-CN"/>
        </w:rPr>
        <w:t>，</w:t>
      </w:r>
      <w:r>
        <w:rPr>
          <w:rFonts w:hint="eastAsia" w:ascii="宋体" w:hAnsi="宋体" w:cs="Arial"/>
          <w:highlight w:val="none"/>
        </w:rPr>
        <w:t>合格后，3个工作日</w:t>
      </w:r>
      <w:r>
        <w:rPr>
          <w:rFonts w:hint="eastAsia" w:ascii="宋体" w:hAnsi="宋体" w:cs="Arial"/>
          <w:highlight w:val="none"/>
          <w:lang w:eastAsia="zh-CN"/>
        </w:rPr>
        <w:t>内</w:t>
      </w:r>
      <w:r>
        <w:rPr>
          <w:rFonts w:hint="eastAsia" w:ascii="宋体" w:hAnsi="宋体" w:cs="Arial"/>
          <w:highlight w:val="none"/>
        </w:rPr>
        <w:t>通知甲方进行验收，验收时须同时满足</w:t>
      </w:r>
      <w:r>
        <w:rPr>
          <w:rFonts w:hint="eastAsia" w:ascii="宋体" w:hAnsi="宋体" w:cs="Arial"/>
          <w:highlight w:val="none"/>
          <w:lang w:eastAsia="zh-CN"/>
        </w:rPr>
        <w:t>甲方制定的</w:t>
      </w:r>
      <w:r>
        <w:rPr>
          <w:rFonts w:hint="eastAsia" w:ascii="宋体" w:hAnsi="宋体" w:cs="Arial"/>
          <w:highlight w:val="none"/>
        </w:rPr>
        <w:t>各项标准及要求</w:t>
      </w:r>
      <w:r>
        <w:rPr>
          <w:rFonts w:hint="eastAsia" w:ascii="宋体" w:hAnsi="宋体" w:cs="Arial"/>
          <w:highlight w:val="none"/>
          <w:lang w:eastAsia="zh-CN"/>
        </w:rPr>
        <w:t>（详见技术规格书）</w:t>
      </w:r>
      <w:r>
        <w:rPr>
          <w:rFonts w:hint="eastAsia" w:ascii="宋体" w:hAnsi="宋体" w:cs="Arial"/>
          <w:highlight w:val="none"/>
        </w:rPr>
        <w:t>方为合格。</w:t>
      </w:r>
    </w:p>
    <w:p>
      <w:pPr>
        <w:keepNext/>
        <w:keepLines/>
        <w:widowControl w:val="0"/>
        <w:spacing w:before="240" w:beforeLines="100" w:after="120" w:afterLines="50" w:afterAutospacing="0" w:line="240" w:lineRule="auto"/>
        <w:ind w:left="0" w:right="0" w:firstLine="482" w:firstLineChars="200"/>
        <w:outlineLvl w:val="2"/>
        <w:rPr>
          <w:rFonts w:hint="eastAsia" w:ascii="黑体" w:hAnsi="黑体" w:eastAsia="黑体" w:cs="黑体"/>
          <w:b/>
          <w:kern w:val="2"/>
          <w:sz w:val="24"/>
          <w:szCs w:val="20"/>
          <w:highlight w:val="none"/>
        </w:rPr>
      </w:pPr>
      <w:r>
        <w:rPr>
          <w:rFonts w:hint="eastAsia" w:ascii="黑体" w:hAnsi="黑体" w:eastAsia="黑体" w:cs="黑体"/>
          <w:b/>
          <w:kern w:val="2"/>
          <w:sz w:val="24"/>
          <w:szCs w:val="20"/>
          <w:highlight w:val="none"/>
        </w:rPr>
        <w:t>1</w:t>
      </w:r>
      <w:r>
        <w:rPr>
          <w:rFonts w:hint="eastAsia" w:ascii="黑体" w:hAnsi="黑体" w:eastAsia="黑体" w:cs="黑体"/>
          <w:b/>
          <w:kern w:val="2"/>
          <w:sz w:val="24"/>
          <w:szCs w:val="20"/>
          <w:highlight w:val="none"/>
          <w:lang w:val="en-US" w:eastAsia="zh-CN"/>
        </w:rPr>
        <w:t>5</w:t>
      </w:r>
      <w:r>
        <w:rPr>
          <w:rFonts w:hint="eastAsia" w:ascii="黑体" w:hAnsi="黑体" w:eastAsia="黑体" w:cs="黑体"/>
          <w:b/>
          <w:kern w:val="2"/>
          <w:sz w:val="24"/>
          <w:szCs w:val="20"/>
          <w:highlight w:val="none"/>
        </w:rPr>
        <w:t>.质量标准、工期和质保</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w:t>
      </w:r>
      <w:r>
        <w:rPr>
          <w:rFonts w:hint="eastAsia" w:ascii="宋体" w:hAnsi="宋体" w:cs="Arial"/>
          <w:highlight w:val="none"/>
          <w:lang w:val="en-US" w:eastAsia="zh-CN"/>
        </w:rPr>
        <w:t>5</w:t>
      </w:r>
      <w:r>
        <w:rPr>
          <w:rFonts w:hint="eastAsia" w:ascii="宋体" w:hAnsi="宋体" w:cs="Arial"/>
          <w:highlight w:val="none"/>
        </w:rPr>
        <w:t>.1乙方交付的项目的质量、工期、质保等应符合合同规定的标准。如合同规定的标准低于国家或行业标准，或未提及适用标准，则按国家标准或行业标准的较高标准执行。这些标准必须是有关机构发布的最新有效版本的标准。</w:t>
      </w:r>
    </w:p>
    <w:p>
      <w:pPr>
        <w:spacing w:before="0" w:after="0" w:afterAutospacing="0"/>
        <w:ind w:left="0" w:right="0" w:firstLine="420" w:firstLineChars="200"/>
        <w:rPr>
          <w:rFonts w:ascii="宋体" w:hAnsi="宋体" w:cs="Arial"/>
          <w:color w:val="auto"/>
          <w:highlight w:val="none"/>
        </w:rPr>
      </w:pPr>
      <w:r>
        <w:rPr>
          <w:rFonts w:hint="eastAsia" w:ascii="宋体" w:hAnsi="宋体" w:cs="Arial"/>
          <w:highlight w:val="none"/>
        </w:rPr>
        <w:t>1</w:t>
      </w:r>
      <w:r>
        <w:rPr>
          <w:rFonts w:hint="eastAsia" w:ascii="宋体" w:hAnsi="宋体" w:cs="Arial"/>
          <w:highlight w:val="none"/>
          <w:lang w:val="en-US" w:eastAsia="zh-CN"/>
        </w:rPr>
        <w:t>5</w:t>
      </w:r>
      <w:r>
        <w:rPr>
          <w:rFonts w:hint="eastAsia" w:ascii="宋体" w:hAnsi="宋体" w:cs="Arial"/>
          <w:color w:val="auto"/>
          <w:highlight w:val="none"/>
        </w:rPr>
        <w:t>.2本合同项下的工期：合同签订之日起共90天，具体开工日期以甲方开工令发布时间为准。</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1</w:t>
      </w:r>
      <w:r>
        <w:rPr>
          <w:rFonts w:hint="eastAsia" w:ascii="宋体" w:hAnsi="宋体" w:cs="Arial"/>
          <w:color w:val="auto"/>
          <w:highlight w:val="none"/>
          <w:lang w:val="en-US" w:eastAsia="zh-CN"/>
        </w:rPr>
        <w:t>5</w:t>
      </w:r>
      <w:r>
        <w:rPr>
          <w:rFonts w:hint="eastAsia" w:ascii="宋体" w:hAnsi="宋体" w:cs="Arial"/>
          <w:color w:val="auto"/>
          <w:highlight w:val="none"/>
        </w:rPr>
        <w:t>.3项目质保期为1年，自验收合格之日起计算；质保期内乙方需提供免费上门维修（包含所有配件的更换及服务）及保养服务。质保期完成后，乙方应继续提供咨询服务。</w:t>
      </w:r>
      <w:r>
        <w:rPr>
          <w:rFonts w:hint="eastAsia" w:ascii="宋体" w:hAnsi="宋体" w:cs="Arial"/>
          <w:bCs/>
          <w:color w:val="auto"/>
          <w:highlight w:val="none"/>
        </w:rPr>
        <w:t>质保期内出现的工程质量问题，</w:t>
      </w:r>
      <w:r>
        <w:rPr>
          <w:rFonts w:hint="eastAsia" w:ascii="宋体" w:hAnsi="宋体" w:cs="Arial"/>
          <w:bCs/>
          <w:color w:val="auto"/>
          <w:highlight w:val="none"/>
          <w:lang w:eastAsia="zh-CN"/>
        </w:rPr>
        <w:t>乙方</w:t>
      </w:r>
      <w:r>
        <w:rPr>
          <w:rFonts w:hint="eastAsia" w:ascii="宋体" w:hAnsi="宋体" w:cs="Arial"/>
          <w:bCs/>
          <w:color w:val="auto"/>
          <w:highlight w:val="none"/>
        </w:rPr>
        <w:t>需</w:t>
      </w:r>
      <w:r>
        <w:rPr>
          <w:rFonts w:hint="eastAsia" w:ascii="宋体" w:hAnsi="宋体" w:cs="Arial"/>
          <w:bCs/>
          <w:color w:val="auto"/>
          <w:highlight w:val="none"/>
          <w:lang w:val="en-US" w:eastAsia="zh-CN"/>
        </w:rPr>
        <w:t>在</w:t>
      </w:r>
      <w:r>
        <w:rPr>
          <w:rFonts w:hint="eastAsia" w:ascii="宋体" w:hAnsi="宋体" w:cs="Arial"/>
          <w:bCs/>
          <w:color w:val="auto"/>
          <w:highlight w:val="none"/>
          <w:lang w:eastAsia="zh-CN"/>
        </w:rPr>
        <w:t>甲方</w:t>
      </w:r>
      <w:r>
        <w:rPr>
          <w:rFonts w:hint="eastAsia" w:ascii="宋体" w:hAnsi="宋体" w:cs="Arial"/>
          <w:bCs/>
          <w:color w:val="auto"/>
          <w:highlight w:val="none"/>
        </w:rPr>
        <w:t>发出通知后1小时内做出响应，</w:t>
      </w:r>
      <w:r>
        <w:rPr>
          <w:rFonts w:hint="eastAsia" w:ascii="宋体" w:hAnsi="宋体" w:cs="Arial"/>
          <w:bCs/>
          <w:color w:val="auto"/>
          <w:highlight w:val="none"/>
          <w:lang w:val="en-US" w:eastAsia="zh-CN"/>
        </w:rPr>
        <w:t>4</w:t>
      </w:r>
      <w:r>
        <w:rPr>
          <w:rFonts w:hint="eastAsia" w:ascii="宋体" w:hAnsi="宋体" w:cs="Arial"/>
          <w:bCs/>
          <w:color w:val="auto"/>
          <w:highlight w:val="none"/>
        </w:rPr>
        <w:t>小时到达维修现场。一般问题应在</w:t>
      </w:r>
      <w:r>
        <w:rPr>
          <w:rFonts w:hint="eastAsia" w:ascii="宋体" w:hAnsi="宋体" w:cs="Arial"/>
          <w:bCs/>
          <w:color w:val="auto"/>
          <w:highlight w:val="none"/>
          <w:lang w:val="en-US" w:eastAsia="zh-CN"/>
        </w:rPr>
        <w:t>8小时</w:t>
      </w:r>
      <w:r>
        <w:rPr>
          <w:rFonts w:hint="eastAsia" w:ascii="宋体" w:hAnsi="宋体" w:cs="Arial"/>
          <w:bCs/>
          <w:color w:val="auto"/>
          <w:highlight w:val="none"/>
        </w:rPr>
        <w:t>内解决，</w:t>
      </w:r>
      <w:r>
        <w:rPr>
          <w:rFonts w:hint="eastAsia" w:ascii="宋体" w:hAnsi="宋体" w:cs="Arial"/>
          <w:bCs/>
          <w:strike w:val="0"/>
          <w:color w:val="auto"/>
          <w:highlight w:val="none"/>
        </w:rPr>
        <w:t>其它</w:t>
      </w:r>
      <w:r>
        <w:rPr>
          <w:rFonts w:hint="eastAsia" w:ascii="宋体" w:hAnsi="宋体" w:cs="Arial"/>
          <w:bCs/>
          <w:color w:val="auto"/>
          <w:highlight w:val="none"/>
        </w:rPr>
        <w:t>无法迅速解决的问题应在</w:t>
      </w:r>
      <w:r>
        <w:rPr>
          <w:rFonts w:hint="eastAsia" w:ascii="宋体" w:hAnsi="宋体" w:cs="Arial"/>
          <w:bCs/>
          <w:color w:val="auto"/>
          <w:highlight w:val="none"/>
          <w:lang w:val="en-US" w:eastAsia="zh-CN"/>
        </w:rPr>
        <w:t>96小时</w:t>
      </w:r>
      <w:r>
        <w:rPr>
          <w:rFonts w:hint="eastAsia" w:ascii="宋体" w:hAnsi="宋体" w:cs="Arial"/>
          <w:bCs/>
          <w:color w:val="auto"/>
          <w:highlight w:val="none"/>
        </w:rPr>
        <w:t>内解决。</w:t>
      </w:r>
    </w:p>
    <w:p>
      <w:pPr>
        <w:keepNext/>
        <w:keepLines/>
        <w:widowControl w:val="0"/>
        <w:spacing w:before="240" w:beforeLines="100" w:after="120" w:afterLines="50" w:afterAutospacing="0" w:line="240" w:lineRule="auto"/>
        <w:ind w:left="0" w:right="0" w:firstLine="482" w:firstLineChars="200"/>
        <w:outlineLvl w:val="2"/>
        <w:rPr>
          <w:rFonts w:hint="eastAsia" w:ascii="黑体" w:hAnsi="黑体" w:eastAsia="黑体" w:cs="黑体"/>
          <w:b/>
          <w:kern w:val="2"/>
          <w:sz w:val="24"/>
          <w:szCs w:val="20"/>
          <w:highlight w:val="none"/>
        </w:rPr>
      </w:pPr>
      <w:bookmarkStart w:id="1110" w:name="_Toc437544549"/>
      <w:bookmarkStart w:id="1111" w:name="_Toc10636"/>
      <w:bookmarkStart w:id="1112" w:name="_Toc369786996"/>
      <w:bookmarkStart w:id="1113" w:name="_Toc23641"/>
      <w:r>
        <w:rPr>
          <w:rFonts w:hint="eastAsia" w:ascii="黑体" w:hAnsi="黑体" w:eastAsia="黑体" w:cs="黑体"/>
          <w:b/>
          <w:kern w:val="2"/>
          <w:sz w:val="24"/>
          <w:szCs w:val="20"/>
          <w:highlight w:val="none"/>
        </w:rPr>
        <w:t>1</w:t>
      </w:r>
      <w:r>
        <w:rPr>
          <w:rFonts w:hint="eastAsia" w:ascii="黑体" w:hAnsi="黑体" w:eastAsia="黑体" w:cs="黑体"/>
          <w:b/>
          <w:kern w:val="2"/>
          <w:sz w:val="24"/>
          <w:szCs w:val="20"/>
          <w:highlight w:val="none"/>
          <w:lang w:val="en-US" w:eastAsia="zh-CN"/>
        </w:rPr>
        <w:t>6</w:t>
      </w:r>
      <w:r>
        <w:rPr>
          <w:rFonts w:hint="eastAsia" w:ascii="黑体" w:hAnsi="黑体" w:eastAsia="黑体" w:cs="黑体"/>
          <w:b/>
          <w:kern w:val="2"/>
          <w:sz w:val="24"/>
          <w:szCs w:val="20"/>
          <w:highlight w:val="none"/>
        </w:rPr>
        <w:t>.合同解除和终止</w:t>
      </w:r>
    </w:p>
    <w:p>
      <w:pPr>
        <w:tabs>
          <w:tab w:val="left" w:pos="1120"/>
        </w:tabs>
        <w:spacing w:before="0" w:after="0" w:afterAutospacing="0"/>
        <w:ind w:left="0" w:right="0" w:firstLine="420" w:firstLineChars="200"/>
        <w:rPr>
          <w:rFonts w:cs="宋体"/>
          <w:highlight w:val="none"/>
        </w:rPr>
      </w:pPr>
      <w:r>
        <w:rPr>
          <w:rFonts w:hint="eastAsia" w:ascii="宋体" w:hAnsi="宋体"/>
          <w:highlight w:val="none"/>
        </w:rPr>
        <w:t>1</w:t>
      </w:r>
      <w:r>
        <w:rPr>
          <w:rFonts w:hint="eastAsia" w:ascii="宋体" w:hAnsi="宋体"/>
          <w:highlight w:val="none"/>
          <w:lang w:val="en-US" w:eastAsia="zh-CN"/>
        </w:rPr>
        <w:t>6</w:t>
      </w:r>
      <w:r>
        <w:rPr>
          <w:rFonts w:hint="eastAsia" w:ascii="宋体" w:hAnsi="宋体"/>
          <w:highlight w:val="none"/>
        </w:rPr>
        <w:t>.1</w:t>
      </w:r>
      <w:r>
        <w:rPr>
          <w:rFonts w:hint="eastAsia" w:cs="宋体"/>
          <w:highlight w:val="none"/>
        </w:rPr>
        <w:t>合同自然终止</w:t>
      </w:r>
    </w:p>
    <w:p>
      <w:pPr>
        <w:tabs>
          <w:tab w:val="left" w:pos="1120"/>
        </w:tabs>
        <w:spacing w:before="0" w:after="0" w:afterAutospacing="0"/>
        <w:ind w:left="0" w:right="0" w:firstLine="420" w:firstLineChars="200"/>
        <w:rPr>
          <w:rFonts w:ascii="宋体" w:hAnsi="宋体"/>
          <w:highlight w:val="none"/>
        </w:rPr>
      </w:pPr>
      <w:r>
        <w:rPr>
          <w:rFonts w:hint="eastAsia" w:cs="宋体"/>
          <w:highlight w:val="none"/>
        </w:rPr>
        <w:t>甲乙双方各自完成合同规定的责任和义务或发生不可抗力，合同自然终止。</w:t>
      </w:r>
    </w:p>
    <w:p>
      <w:pPr>
        <w:tabs>
          <w:tab w:val="left" w:pos="1120"/>
        </w:tabs>
        <w:spacing w:before="0" w:after="0" w:afterAutospacing="0"/>
        <w:ind w:left="0" w:right="0" w:firstLine="420" w:firstLineChars="200"/>
        <w:rPr>
          <w:rFonts w:cs="宋体"/>
          <w:highlight w:val="none"/>
        </w:rPr>
      </w:pPr>
      <w:r>
        <w:rPr>
          <w:rFonts w:hint="eastAsia" w:ascii="宋体" w:hAnsi="宋体"/>
          <w:highlight w:val="none"/>
        </w:rPr>
        <w:t>1</w:t>
      </w:r>
      <w:r>
        <w:rPr>
          <w:rFonts w:hint="eastAsia" w:ascii="宋体" w:hAnsi="宋体"/>
          <w:highlight w:val="none"/>
          <w:lang w:val="en-US" w:eastAsia="zh-CN"/>
        </w:rPr>
        <w:t>6</w:t>
      </w:r>
      <w:r>
        <w:rPr>
          <w:rFonts w:hint="eastAsia" w:ascii="宋体" w:hAnsi="宋体"/>
          <w:highlight w:val="none"/>
        </w:rPr>
        <w:t xml:space="preserve">.2 </w:t>
      </w:r>
      <w:r>
        <w:rPr>
          <w:rFonts w:hint="eastAsia" w:cs="宋体"/>
          <w:highlight w:val="none"/>
        </w:rPr>
        <w:t>违约违规终止合同</w:t>
      </w:r>
    </w:p>
    <w:p>
      <w:pPr>
        <w:tabs>
          <w:tab w:val="left" w:pos="540"/>
          <w:tab w:val="left" w:pos="960"/>
        </w:tabs>
        <w:spacing w:before="0" w:after="0" w:afterAutospacing="0"/>
        <w:ind w:left="0" w:leftChars="0" w:right="0" w:firstLine="420" w:firstLineChars="200"/>
        <w:rPr>
          <w:rFonts w:hint="eastAsia" w:ascii="宋体" w:hAnsi="宋体" w:eastAsia="宋体"/>
          <w:highlight w:val="none"/>
          <w:lang w:eastAsia="zh-CN"/>
        </w:rPr>
      </w:pPr>
      <w:r>
        <w:rPr>
          <w:rFonts w:ascii="宋体" w:hAnsi="宋体"/>
          <w:highlight w:val="none"/>
        </w:rPr>
        <w:t>1</w:t>
      </w:r>
      <w:r>
        <w:rPr>
          <w:rFonts w:hint="eastAsia" w:ascii="宋体" w:hAnsi="宋体"/>
          <w:highlight w:val="none"/>
          <w:lang w:val="en-US" w:eastAsia="zh-CN"/>
        </w:rPr>
        <w:t>6</w:t>
      </w:r>
      <w:r>
        <w:rPr>
          <w:rFonts w:ascii="宋体" w:hAnsi="宋体"/>
          <w:highlight w:val="none"/>
        </w:rPr>
        <w:t>.2.1</w:t>
      </w:r>
      <w:r>
        <w:rPr>
          <w:rFonts w:hint="eastAsia" w:ascii="宋体" w:hAnsi="宋体"/>
          <w:highlight w:val="none"/>
        </w:rPr>
        <w:t>在合同有效期内，如发现乙方违法分包、转包或挂靠，或前期存在围标串标或提供虚假资料情形的，甲方将单方终止合同，乙方须承担违约责任、赔偿甲方的一切经济损失</w:t>
      </w:r>
      <w:r>
        <w:rPr>
          <w:rFonts w:hint="eastAsia" w:ascii="宋体" w:hAnsi="宋体"/>
          <w:highlight w:val="none"/>
          <w:lang w:eastAsia="zh-CN"/>
        </w:rPr>
        <w:t>。</w:t>
      </w:r>
    </w:p>
    <w:p>
      <w:pPr>
        <w:tabs>
          <w:tab w:val="left" w:pos="540"/>
          <w:tab w:val="left" w:pos="960"/>
        </w:tabs>
        <w:spacing w:before="0" w:after="0" w:afterAutospacing="0"/>
        <w:ind w:left="0" w:leftChars="0" w:right="0" w:firstLine="420" w:firstLineChars="200"/>
        <w:rPr>
          <w:rFonts w:hint="eastAsia" w:ascii="宋体" w:hAnsi="宋体"/>
          <w:highlight w:val="none"/>
        </w:rPr>
      </w:pPr>
      <w:r>
        <w:rPr>
          <w:rFonts w:ascii="宋体" w:hAnsi="宋体"/>
          <w:highlight w:val="none"/>
        </w:rPr>
        <w:t>1</w:t>
      </w:r>
      <w:r>
        <w:rPr>
          <w:rFonts w:hint="eastAsia" w:ascii="宋体" w:hAnsi="宋体"/>
          <w:highlight w:val="none"/>
          <w:lang w:val="en-US" w:eastAsia="zh-CN"/>
        </w:rPr>
        <w:t>6</w:t>
      </w:r>
      <w:r>
        <w:rPr>
          <w:rFonts w:ascii="宋体" w:hAnsi="宋体"/>
          <w:highlight w:val="none"/>
        </w:rPr>
        <w:t>.2.2</w:t>
      </w:r>
      <w:r>
        <w:rPr>
          <w:rFonts w:hint="eastAsia" w:ascii="宋体" w:hAnsi="宋体"/>
          <w:highlight w:val="none"/>
        </w:rPr>
        <w:t>合同成立后，若乙方不按合同履行职责导致对甲方安全运营、名誉、形象等造成影响，甲方有权终止合同。</w:t>
      </w:r>
    </w:p>
    <w:p>
      <w:pPr>
        <w:tabs>
          <w:tab w:val="left" w:pos="540"/>
          <w:tab w:val="left" w:pos="960"/>
        </w:tabs>
        <w:spacing w:before="0" w:after="0" w:afterAutospacing="0"/>
        <w:ind w:left="0" w:leftChars="0" w:right="0" w:firstLine="420" w:firstLineChars="200"/>
        <w:rPr>
          <w:rFonts w:hint="eastAsia" w:ascii="黑体" w:hAnsi="黑体" w:eastAsia="黑体" w:cs="黑体"/>
          <w:b/>
          <w:kern w:val="2"/>
          <w:sz w:val="24"/>
          <w:szCs w:val="20"/>
          <w:highlight w:val="none"/>
        </w:rPr>
      </w:pPr>
      <w:r>
        <w:rPr>
          <w:rFonts w:ascii="宋体" w:hAnsi="宋体"/>
          <w:highlight w:val="none"/>
        </w:rPr>
        <w:t>1</w:t>
      </w:r>
      <w:r>
        <w:rPr>
          <w:rFonts w:hint="eastAsia" w:ascii="宋体" w:hAnsi="宋体"/>
          <w:highlight w:val="none"/>
          <w:lang w:val="en-US" w:eastAsia="zh-CN"/>
        </w:rPr>
        <w:t>6</w:t>
      </w:r>
      <w:r>
        <w:rPr>
          <w:rFonts w:ascii="宋体" w:hAnsi="宋体"/>
          <w:highlight w:val="none"/>
        </w:rPr>
        <w:t>.</w:t>
      </w:r>
      <w:r>
        <w:rPr>
          <w:rFonts w:hint="eastAsia" w:ascii="宋体" w:hAnsi="宋体"/>
          <w:highlight w:val="none"/>
          <w:lang w:val="en-US" w:eastAsia="zh-CN"/>
        </w:rPr>
        <w:t>2</w:t>
      </w:r>
      <w:r>
        <w:rPr>
          <w:rFonts w:ascii="宋体" w:hAnsi="宋体"/>
          <w:highlight w:val="none"/>
        </w:rPr>
        <w:t xml:space="preserve">.3 </w:t>
      </w:r>
      <w:r>
        <w:rPr>
          <w:rFonts w:hint="eastAsia" w:ascii="宋体" w:hAnsi="宋体"/>
          <w:highlight w:val="none"/>
        </w:rPr>
        <w:t>按照</w:t>
      </w:r>
      <w:r>
        <w:rPr>
          <w:rFonts w:ascii="宋体" w:hAnsi="宋体"/>
          <w:highlight w:val="none"/>
          <w:u w:val="single"/>
        </w:rPr>
        <w:t xml:space="preserve">  </w:t>
      </w:r>
      <w:r>
        <w:rPr>
          <w:rFonts w:hint="eastAsia" w:ascii="宋体" w:hAnsi="宋体"/>
          <w:highlight w:val="none"/>
          <w:u w:val="single"/>
          <w:lang w:eastAsia="zh-CN"/>
        </w:rPr>
        <w:t>“</w:t>
      </w:r>
      <w:r>
        <w:rPr>
          <w:rFonts w:hint="eastAsia" w:ascii="宋体" w:hAnsi="宋体"/>
          <w:highlight w:val="none"/>
          <w:u w:val="single"/>
        </w:rPr>
        <w:t>12.合同期评价</w:t>
      </w:r>
      <w:r>
        <w:rPr>
          <w:rFonts w:hint="eastAsia" w:ascii="宋体" w:hAnsi="宋体"/>
          <w:highlight w:val="none"/>
          <w:u w:val="single"/>
          <w:lang w:eastAsia="zh-CN"/>
        </w:rPr>
        <w:t>、13.违约处理”</w:t>
      </w:r>
      <w:r>
        <w:rPr>
          <w:rFonts w:ascii="宋体" w:hAnsi="宋体"/>
          <w:highlight w:val="none"/>
          <w:u w:val="single"/>
        </w:rPr>
        <w:t xml:space="preserve">  </w:t>
      </w:r>
      <w:r>
        <w:rPr>
          <w:rFonts w:hint="eastAsia" w:ascii="宋体" w:hAnsi="宋体"/>
          <w:highlight w:val="none"/>
        </w:rPr>
        <w:t>中甲方有权解除（终止）合同的情形。</w:t>
      </w:r>
    </w:p>
    <w:p>
      <w:pPr>
        <w:keepNext/>
        <w:keepLines/>
        <w:widowControl w:val="0"/>
        <w:spacing w:before="240" w:beforeLines="100" w:after="120" w:afterLines="50" w:afterAutospacing="0" w:line="240" w:lineRule="auto"/>
        <w:ind w:left="0" w:right="0" w:firstLine="482" w:firstLineChars="200"/>
        <w:outlineLvl w:val="2"/>
        <w:rPr>
          <w:rFonts w:ascii="黑体" w:hAnsi="黑体" w:eastAsia="黑体" w:cs="黑体"/>
          <w:b/>
          <w:kern w:val="2"/>
          <w:sz w:val="24"/>
          <w:szCs w:val="20"/>
          <w:highlight w:val="none"/>
        </w:rPr>
      </w:pPr>
      <w:r>
        <w:rPr>
          <w:rFonts w:hint="eastAsia" w:ascii="黑体" w:hAnsi="黑体" w:eastAsia="黑体" w:cs="黑体"/>
          <w:b/>
          <w:kern w:val="2"/>
          <w:sz w:val="24"/>
          <w:szCs w:val="20"/>
          <w:highlight w:val="none"/>
        </w:rPr>
        <w:t>1</w:t>
      </w:r>
      <w:r>
        <w:rPr>
          <w:rFonts w:hint="eastAsia" w:ascii="黑体" w:hAnsi="黑体" w:eastAsia="黑体" w:cs="黑体"/>
          <w:b/>
          <w:kern w:val="2"/>
          <w:sz w:val="24"/>
          <w:szCs w:val="20"/>
          <w:highlight w:val="none"/>
          <w:lang w:val="en-US" w:eastAsia="zh-CN"/>
        </w:rPr>
        <w:t>5</w:t>
      </w:r>
      <w:r>
        <w:rPr>
          <w:rFonts w:hint="eastAsia" w:ascii="黑体" w:hAnsi="黑体" w:eastAsia="黑体" w:cs="黑体"/>
          <w:b/>
          <w:kern w:val="2"/>
          <w:sz w:val="24"/>
          <w:szCs w:val="20"/>
          <w:highlight w:val="none"/>
        </w:rPr>
        <w:t>.不可抗力</w:t>
      </w:r>
      <w:bookmarkEnd w:id="1110"/>
      <w:bookmarkEnd w:id="1111"/>
      <w:bookmarkEnd w:id="1112"/>
      <w:bookmarkEnd w:id="1113"/>
    </w:p>
    <w:p>
      <w:pPr>
        <w:tabs>
          <w:tab w:val="left" w:pos="1120"/>
        </w:tabs>
        <w:spacing w:before="0" w:after="0" w:afterAutospacing="0"/>
        <w:ind w:left="0" w:right="0" w:firstLine="420" w:firstLineChars="200"/>
        <w:rPr>
          <w:rFonts w:hint="eastAsia" w:ascii="宋体" w:hAnsi="宋体"/>
          <w:highlight w:val="none"/>
        </w:rPr>
      </w:pPr>
      <w:bookmarkStart w:id="1114" w:name="_Toc437544550"/>
      <w:bookmarkStart w:id="1115" w:name="_Toc369786997"/>
      <w:bookmarkStart w:id="1116" w:name="_Toc6012"/>
      <w:bookmarkStart w:id="1117" w:name="_Toc5754"/>
      <w:r>
        <w:rPr>
          <w:rFonts w:hint="eastAsia" w:ascii="宋体" w:hAnsi="宋体"/>
          <w:highlight w:val="none"/>
        </w:rPr>
        <w:t>1</w:t>
      </w:r>
      <w:r>
        <w:rPr>
          <w:rFonts w:hint="eastAsia" w:ascii="宋体" w:hAnsi="宋体"/>
          <w:highlight w:val="none"/>
          <w:lang w:val="en-US" w:eastAsia="zh-CN"/>
        </w:rPr>
        <w:t>5</w:t>
      </w:r>
      <w:r>
        <w:rPr>
          <w:rFonts w:hint="eastAsia" w:ascii="宋体" w:hAnsi="宋体"/>
          <w:highlight w:val="none"/>
        </w:rPr>
        <w:t>.1 不可抗力的确认</w:t>
      </w:r>
    </w:p>
    <w:p>
      <w:pPr>
        <w:spacing w:before="0" w:after="0" w:afterAutospacing="0"/>
        <w:ind w:left="0" w:right="0" w:firstLine="420" w:firstLineChars="200"/>
        <w:rPr>
          <w:rFonts w:hint="eastAsia" w:ascii="宋体" w:hAnsi="宋体" w:cs="Arial"/>
          <w:color w:val="auto"/>
          <w:highlight w:val="none"/>
        </w:rPr>
      </w:pPr>
      <w:r>
        <w:rPr>
          <w:rFonts w:hint="eastAsia" w:ascii="宋体" w:hAnsi="宋体" w:cs="Arial"/>
          <w:color w:val="auto"/>
          <w:highlight w:val="none"/>
        </w:rPr>
        <w:t>不可抗力发生后，甲方和乙方应收集证明不可抗力发生及不可抗力造成损失的证据，并及时认真统计所造成的损失。甲乙双方对是否属于不可抗力或其损失发生争议时，按第</w:t>
      </w:r>
      <w:r>
        <w:rPr>
          <w:rFonts w:hint="eastAsia" w:ascii="宋体" w:hAnsi="宋体" w:cs="Arial"/>
          <w:color w:val="auto"/>
          <w:highlight w:val="none"/>
          <w:lang w:val="en-US" w:eastAsia="zh-CN"/>
        </w:rPr>
        <w:t>19</w:t>
      </w:r>
      <w:r>
        <w:rPr>
          <w:rFonts w:hint="eastAsia" w:ascii="宋体" w:hAnsi="宋体" w:cs="Arial"/>
          <w:color w:val="auto"/>
          <w:highlight w:val="none"/>
        </w:rPr>
        <w:t>条〔争议解决方式〕的约定处理。</w:t>
      </w:r>
    </w:p>
    <w:p>
      <w:pPr>
        <w:tabs>
          <w:tab w:val="left" w:pos="1120"/>
        </w:tabs>
        <w:spacing w:before="0" w:after="0" w:afterAutospacing="0"/>
        <w:ind w:left="0" w:right="0" w:firstLine="420" w:firstLineChars="200"/>
        <w:rPr>
          <w:rFonts w:hint="eastAsia" w:ascii="宋体" w:hAnsi="宋体"/>
          <w:highlight w:val="none"/>
        </w:rPr>
      </w:pPr>
      <w:r>
        <w:rPr>
          <w:rFonts w:hint="eastAsia" w:ascii="宋体" w:hAnsi="宋体"/>
          <w:highlight w:val="none"/>
        </w:rPr>
        <w:t>1</w:t>
      </w:r>
      <w:r>
        <w:rPr>
          <w:rFonts w:hint="eastAsia" w:ascii="宋体" w:hAnsi="宋体"/>
          <w:highlight w:val="none"/>
          <w:lang w:val="en-US" w:eastAsia="zh-CN"/>
        </w:rPr>
        <w:t>5</w:t>
      </w:r>
      <w:r>
        <w:rPr>
          <w:rFonts w:hint="eastAsia" w:ascii="宋体" w:hAnsi="宋体"/>
          <w:highlight w:val="none"/>
        </w:rPr>
        <w:t>.2 不可抗力的通知</w:t>
      </w:r>
    </w:p>
    <w:p>
      <w:pPr>
        <w:spacing w:before="0" w:after="0" w:afterAutospacing="0"/>
        <w:ind w:left="0" w:right="0" w:firstLine="420" w:firstLineChars="200"/>
        <w:rPr>
          <w:rFonts w:hint="eastAsia" w:ascii="宋体" w:hAnsi="宋体" w:cs="Arial"/>
          <w:color w:val="auto"/>
          <w:highlight w:val="none"/>
        </w:rPr>
      </w:pPr>
      <w:r>
        <w:rPr>
          <w:rFonts w:hint="eastAsia" w:ascii="宋体" w:hAnsi="宋体" w:cs="Arial"/>
          <w:color w:val="auto"/>
          <w:highlight w:val="none"/>
        </w:rPr>
        <w:t>合同一方当事人遇到不可抗力事件，使其履行合同义务受到阻碍时，应立即通知合同另一方当事人，书面说明不可抗力和受阻碍的详细情况，并在合理期限内提供必要的证明。</w:t>
      </w:r>
    </w:p>
    <w:p>
      <w:pPr>
        <w:spacing w:before="0" w:after="0" w:afterAutospacing="0"/>
        <w:ind w:left="0" w:right="0" w:firstLine="420" w:firstLineChars="200"/>
        <w:rPr>
          <w:rFonts w:hint="eastAsia" w:ascii="宋体" w:hAnsi="宋体" w:cs="Arial"/>
          <w:color w:val="auto"/>
          <w:highlight w:val="none"/>
        </w:rPr>
      </w:pPr>
      <w:r>
        <w:rPr>
          <w:rFonts w:hint="eastAsia" w:ascii="宋体" w:hAnsi="宋体" w:cs="Arial"/>
          <w:color w:val="auto"/>
          <w:highlight w:val="none"/>
        </w:rPr>
        <w:t>不可抗力持续发生的，合同一方当事人应及时向合同另一方当事人提交中间报告，说明不可抗力和履行合同受阻的情况，并于不可抗力事件结束后28天内提交最终报告及有关资料。</w:t>
      </w:r>
    </w:p>
    <w:p>
      <w:pPr>
        <w:tabs>
          <w:tab w:val="left" w:pos="1120"/>
        </w:tabs>
        <w:spacing w:before="0" w:after="0" w:afterAutospacing="0"/>
        <w:ind w:left="0" w:right="0" w:firstLine="420" w:firstLineChars="200"/>
        <w:rPr>
          <w:rFonts w:hint="eastAsia" w:ascii="宋体" w:hAnsi="宋体"/>
          <w:highlight w:val="none"/>
        </w:rPr>
      </w:pPr>
      <w:r>
        <w:rPr>
          <w:rFonts w:hint="eastAsia" w:ascii="宋体" w:hAnsi="宋体"/>
          <w:highlight w:val="none"/>
        </w:rPr>
        <w:t>1</w:t>
      </w:r>
      <w:r>
        <w:rPr>
          <w:rFonts w:hint="eastAsia" w:ascii="宋体" w:hAnsi="宋体"/>
          <w:highlight w:val="none"/>
          <w:lang w:val="en-US" w:eastAsia="zh-CN"/>
        </w:rPr>
        <w:t>5</w:t>
      </w:r>
      <w:r>
        <w:rPr>
          <w:rFonts w:hint="eastAsia" w:ascii="宋体" w:hAnsi="宋体"/>
          <w:highlight w:val="none"/>
        </w:rPr>
        <w:t>.3 不可抗力后果的承担</w:t>
      </w:r>
    </w:p>
    <w:p>
      <w:pPr>
        <w:spacing w:before="0" w:after="0" w:afterAutospacing="0"/>
        <w:ind w:left="0" w:right="0" w:firstLine="420" w:firstLineChars="200"/>
        <w:rPr>
          <w:rFonts w:hint="eastAsia" w:ascii="宋体" w:hAnsi="宋体" w:cs="Arial"/>
          <w:color w:val="auto"/>
          <w:highlight w:val="none"/>
        </w:rPr>
      </w:pPr>
      <w:r>
        <w:rPr>
          <w:rFonts w:hint="eastAsia" w:ascii="宋体" w:hAnsi="宋体" w:cs="Arial"/>
          <w:color w:val="auto"/>
          <w:highlight w:val="none"/>
        </w:rPr>
        <w:t>不可抗力引起的后果及造成的损失由合同当事人按照法律规定及合同约定各自承担。不可抗力发生前已完成的项目内容应当按照合同约定进行支付。</w:t>
      </w:r>
    </w:p>
    <w:p>
      <w:pPr>
        <w:spacing w:before="0" w:after="0" w:afterAutospacing="0"/>
        <w:ind w:left="0" w:right="0" w:firstLine="420" w:firstLineChars="200"/>
        <w:rPr>
          <w:rFonts w:hint="eastAsia" w:ascii="宋体" w:hAnsi="宋体" w:cs="Arial"/>
          <w:color w:val="auto"/>
          <w:highlight w:val="none"/>
        </w:rPr>
      </w:pPr>
      <w:r>
        <w:rPr>
          <w:rFonts w:hint="eastAsia" w:ascii="宋体" w:hAnsi="宋体" w:cs="Arial"/>
          <w:color w:val="auto"/>
          <w:highlight w:val="none"/>
        </w:rPr>
        <w:t>不可抗力发生后，合同当事人均应采取措施尽量避免和减少损失的扩大，任何一方当事人没有采取有效措施导致损失扩大的，应对扩大的损失承担责任。</w:t>
      </w:r>
    </w:p>
    <w:p>
      <w:pPr>
        <w:spacing w:before="0" w:after="0" w:afterAutospacing="0"/>
        <w:ind w:left="0" w:right="0" w:firstLine="420" w:firstLineChars="200"/>
        <w:rPr>
          <w:rFonts w:hint="eastAsia" w:ascii="宋体" w:hAnsi="宋体" w:cs="Arial"/>
          <w:color w:val="auto"/>
          <w:highlight w:val="none"/>
        </w:rPr>
      </w:pPr>
      <w:r>
        <w:rPr>
          <w:rFonts w:hint="eastAsia" w:ascii="宋体" w:hAnsi="宋体" w:cs="Arial"/>
          <w:color w:val="auto"/>
          <w:highlight w:val="none"/>
        </w:rPr>
        <w:t>因合同一方迟延履行合同义务，在迟延履行期间遭遇不可抗力的，不免除其违约责任。</w:t>
      </w:r>
    </w:p>
    <w:p>
      <w:pPr>
        <w:keepNext/>
        <w:keepLines/>
        <w:widowControl w:val="0"/>
        <w:spacing w:before="240" w:beforeLines="100" w:after="120" w:afterLines="50" w:afterAutospacing="0" w:line="240" w:lineRule="auto"/>
        <w:ind w:left="0" w:right="0" w:firstLine="482" w:firstLineChars="200"/>
        <w:outlineLvl w:val="2"/>
        <w:rPr>
          <w:rFonts w:hint="eastAsia" w:ascii="黑体" w:hAnsi="黑体" w:eastAsia="黑体" w:cs="黑体"/>
          <w:b/>
          <w:kern w:val="2"/>
          <w:sz w:val="24"/>
          <w:szCs w:val="20"/>
          <w:highlight w:val="none"/>
        </w:rPr>
      </w:pPr>
      <w:r>
        <w:rPr>
          <w:rFonts w:hint="eastAsia" w:ascii="黑体" w:hAnsi="黑体" w:eastAsia="黑体" w:cs="黑体"/>
          <w:b/>
          <w:kern w:val="2"/>
          <w:sz w:val="24"/>
          <w:szCs w:val="20"/>
          <w:highlight w:val="none"/>
        </w:rPr>
        <w:t>1</w:t>
      </w:r>
      <w:r>
        <w:rPr>
          <w:rFonts w:hint="eastAsia" w:ascii="黑体" w:hAnsi="黑体" w:eastAsia="黑体" w:cs="黑体"/>
          <w:b/>
          <w:kern w:val="2"/>
          <w:sz w:val="24"/>
          <w:szCs w:val="20"/>
          <w:highlight w:val="none"/>
          <w:lang w:val="en-US" w:eastAsia="zh-CN"/>
        </w:rPr>
        <w:t>6</w:t>
      </w:r>
      <w:r>
        <w:rPr>
          <w:rFonts w:hint="eastAsia" w:ascii="黑体" w:hAnsi="黑体" w:eastAsia="黑体" w:cs="黑体"/>
          <w:b/>
          <w:kern w:val="2"/>
          <w:sz w:val="24"/>
          <w:szCs w:val="20"/>
          <w:highlight w:val="none"/>
        </w:rPr>
        <w:t>.税费</w:t>
      </w:r>
      <w:bookmarkEnd w:id="1114"/>
      <w:bookmarkEnd w:id="1115"/>
      <w:bookmarkEnd w:id="1116"/>
      <w:bookmarkEnd w:id="1117"/>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w:t>
      </w:r>
      <w:r>
        <w:rPr>
          <w:rFonts w:hint="eastAsia" w:ascii="宋体" w:hAnsi="宋体" w:cs="Arial"/>
          <w:highlight w:val="none"/>
          <w:lang w:val="en-US" w:eastAsia="zh-CN"/>
        </w:rPr>
        <w:t>6</w:t>
      </w:r>
      <w:r>
        <w:rPr>
          <w:rFonts w:hint="eastAsia" w:ascii="宋体" w:hAnsi="宋体" w:cs="Arial"/>
          <w:highlight w:val="none"/>
        </w:rPr>
        <w:t>.1由中国政府根据现行税法向甲方征收的与合同执行有关的所有税款，应由甲方承担。</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w:t>
      </w:r>
      <w:r>
        <w:rPr>
          <w:rFonts w:hint="eastAsia" w:ascii="宋体" w:hAnsi="宋体" w:cs="Arial"/>
          <w:highlight w:val="none"/>
          <w:lang w:val="en-US" w:eastAsia="zh-CN"/>
        </w:rPr>
        <w:t>6</w:t>
      </w:r>
      <w:r>
        <w:rPr>
          <w:rFonts w:hint="eastAsia" w:ascii="宋体" w:hAnsi="宋体" w:cs="Arial"/>
          <w:highlight w:val="none"/>
        </w:rPr>
        <w:t>.2由中国政府根据现行税法向乙方征收的与合同执行有关的所有税款，应由乙方承担，并已包含在合同总价中。</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w:t>
      </w:r>
      <w:r>
        <w:rPr>
          <w:rFonts w:hint="eastAsia" w:ascii="宋体" w:hAnsi="宋体" w:cs="Arial"/>
          <w:highlight w:val="none"/>
          <w:lang w:val="en-US" w:eastAsia="zh-CN"/>
        </w:rPr>
        <w:t>6</w:t>
      </w:r>
      <w:r>
        <w:rPr>
          <w:rFonts w:hint="eastAsia" w:ascii="宋体" w:hAnsi="宋体" w:cs="Arial"/>
          <w:highlight w:val="none"/>
        </w:rPr>
        <w:t>.3由中国政府根据现行个人所得税法向乙方征收的与合同执行有关的所有个人所得税款，应由乙方承担，并已包含在合同总价中。</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w:t>
      </w:r>
      <w:r>
        <w:rPr>
          <w:rFonts w:hint="eastAsia" w:ascii="宋体" w:hAnsi="宋体" w:cs="Arial"/>
          <w:highlight w:val="none"/>
          <w:lang w:val="en-US" w:eastAsia="zh-CN"/>
        </w:rPr>
        <w:t>6</w:t>
      </w:r>
      <w:r>
        <w:rPr>
          <w:rFonts w:hint="eastAsia" w:ascii="宋体" w:hAnsi="宋体" w:cs="Arial"/>
          <w:highlight w:val="none"/>
        </w:rPr>
        <w:t>.4乙方必须保证所开具的发票符合中华人民共和国税法等相关法律法规，且由此产生的一切后果，由乙方自行承担。</w:t>
      </w:r>
    </w:p>
    <w:p>
      <w:pPr>
        <w:keepNext/>
        <w:keepLines/>
        <w:widowControl w:val="0"/>
        <w:spacing w:before="240" w:beforeLines="100" w:after="120" w:afterLines="50" w:afterAutospacing="0" w:line="240" w:lineRule="auto"/>
        <w:ind w:left="0" w:right="0" w:firstLine="482" w:firstLineChars="200"/>
        <w:outlineLvl w:val="2"/>
        <w:rPr>
          <w:rFonts w:ascii="黑体" w:hAnsi="黑体" w:eastAsia="黑体" w:cs="黑体"/>
          <w:b/>
          <w:kern w:val="2"/>
          <w:sz w:val="24"/>
          <w:szCs w:val="20"/>
          <w:highlight w:val="none"/>
        </w:rPr>
      </w:pPr>
      <w:bookmarkStart w:id="1118" w:name="_Toc14793"/>
      <w:bookmarkStart w:id="1119" w:name="_Toc437544552"/>
      <w:bookmarkStart w:id="1120" w:name="_Toc19660"/>
      <w:bookmarkStart w:id="1121" w:name="_Toc369786999"/>
      <w:r>
        <w:rPr>
          <w:rFonts w:hint="eastAsia" w:ascii="黑体" w:hAnsi="黑体" w:eastAsia="黑体" w:cs="黑体"/>
          <w:b/>
          <w:kern w:val="2"/>
          <w:sz w:val="24"/>
          <w:szCs w:val="20"/>
          <w:highlight w:val="none"/>
        </w:rPr>
        <w:t>1</w:t>
      </w:r>
      <w:r>
        <w:rPr>
          <w:rFonts w:hint="eastAsia" w:ascii="黑体" w:hAnsi="黑体" w:eastAsia="黑体" w:cs="黑体"/>
          <w:b/>
          <w:kern w:val="2"/>
          <w:sz w:val="24"/>
          <w:szCs w:val="20"/>
          <w:highlight w:val="none"/>
          <w:lang w:val="en-US" w:eastAsia="zh-CN"/>
        </w:rPr>
        <w:t>7</w:t>
      </w:r>
      <w:r>
        <w:rPr>
          <w:rFonts w:hint="eastAsia" w:ascii="黑体" w:hAnsi="黑体" w:eastAsia="黑体" w:cs="黑体"/>
          <w:b/>
          <w:kern w:val="2"/>
          <w:sz w:val="24"/>
          <w:szCs w:val="20"/>
          <w:highlight w:val="none"/>
        </w:rPr>
        <w:t>.转让和分包</w:t>
      </w:r>
      <w:bookmarkEnd w:id="1118"/>
      <w:bookmarkEnd w:id="1119"/>
      <w:bookmarkEnd w:id="1120"/>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w:t>
      </w:r>
      <w:r>
        <w:rPr>
          <w:rFonts w:hint="eastAsia" w:ascii="宋体" w:hAnsi="宋体" w:cs="Arial"/>
          <w:highlight w:val="none"/>
          <w:lang w:val="en-US" w:eastAsia="zh-CN"/>
        </w:rPr>
        <w:t>7</w:t>
      </w:r>
      <w:r>
        <w:rPr>
          <w:rFonts w:hint="eastAsia" w:ascii="宋体" w:hAnsi="宋体" w:cs="Arial"/>
          <w:highlight w:val="none"/>
        </w:rPr>
        <w:t>.1除甲方事先书面同意外，乙方不得将其合同权利、责任和义务部分转让或全部转让或转移给第三方。</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1</w:t>
      </w:r>
      <w:r>
        <w:rPr>
          <w:rFonts w:hint="eastAsia" w:ascii="宋体" w:hAnsi="宋体" w:cs="Arial"/>
          <w:highlight w:val="none"/>
          <w:lang w:val="en-US" w:eastAsia="zh-CN"/>
        </w:rPr>
        <w:t>7</w:t>
      </w:r>
      <w:r>
        <w:rPr>
          <w:rFonts w:hint="eastAsia" w:ascii="宋体" w:hAnsi="宋体" w:cs="Arial"/>
          <w:highlight w:val="none"/>
        </w:rPr>
        <w:t>.2除合同另有约定外，乙方不得将本项目的全部或部分工作分包给第三方。</w:t>
      </w:r>
    </w:p>
    <w:bookmarkEnd w:id="1121"/>
    <w:p>
      <w:pPr>
        <w:keepNext/>
        <w:keepLines/>
        <w:widowControl w:val="0"/>
        <w:spacing w:before="240" w:beforeLines="100" w:after="120" w:afterLines="50" w:afterAutospacing="0" w:line="240" w:lineRule="auto"/>
        <w:ind w:left="0" w:right="0" w:firstLine="482" w:firstLineChars="200"/>
        <w:outlineLvl w:val="2"/>
        <w:rPr>
          <w:rFonts w:hint="eastAsia" w:ascii="黑体" w:hAnsi="黑体" w:eastAsia="黑体" w:cs="黑体"/>
          <w:b/>
          <w:kern w:val="2"/>
          <w:sz w:val="24"/>
          <w:szCs w:val="20"/>
          <w:highlight w:val="none"/>
          <w:lang w:val="en-US" w:eastAsia="zh-CN"/>
        </w:rPr>
      </w:pPr>
      <w:bookmarkStart w:id="1122" w:name="_Toc437544553"/>
      <w:bookmarkStart w:id="1123" w:name="_Toc3772"/>
      <w:bookmarkStart w:id="1124" w:name="_Toc16437"/>
      <w:bookmarkStart w:id="1125" w:name="_Toc369787000"/>
      <w:r>
        <w:rPr>
          <w:rFonts w:hint="eastAsia" w:ascii="黑体" w:hAnsi="黑体" w:eastAsia="黑体" w:cs="黑体"/>
          <w:b/>
          <w:kern w:val="2"/>
          <w:sz w:val="24"/>
          <w:szCs w:val="20"/>
          <w:highlight w:val="none"/>
          <w:lang w:val="en-US" w:eastAsia="zh-CN"/>
        </w:rPr>
        <w:t>18.通知</w:t>
      </w:r>
    </w:p>
    <w:p>
      <w:pPr>
        <w:tabs>
          <w:tab w:val="left" w:pos="540"/>
          <w:tab w:val="left" w:pos="960"/>
        </w:tabs>
        <w:spacing w:before="0" w:after="0" w:afterAutospacing="0"/>
        <w:ind w:left="0" w:leftChars="0" w:right="0" w:firstLine="420" w:firstLineChars="200"/>
        <w:rPr>
          <w:rFonts w:hint="eastAsia" w:ascii="宋体" w:hAnsi="宋体"/>
          <w:highlight w:val="none"/>
        </w:rPr>
      </w:pPr>
      <w:r>
        <w:rPr>
          <w:rFonts w:hint="eastAsia" w:ascii="宋体" w:hAnsi="宋体"/>
          <w:highlight w:val="none"/>
        </w:rPr>
        <w:t>1</w:t>
      </w:r>
      <w:r>
        <w:rPr>
          <w:rFonts w:hint="eastAsia" w:ascii="宋体" w:hAnsi="宋体"/>
          <w:highlight w:val="none"/>
          <w:lang w:val="en-US" w:eastAsia="zh-CN"/>
        </w:rPr>
        <w:t>8</w:t>
      </w:r>
      <w:r>
        <w:rPr>
          <w:rFonts w:hint="eastAsia" w:ascii="宋体" w:hAnsi="宋体"/>
          <w:highlight w:val="none"/>
        </w:rPr>
        <w:t>.1除非在合同中另有规定，合同项下发出的所有通知都要按书面形式，以信函、特快专递、传真方式发送到合同指定的地址。任何一方对地址的变更应提前</w:t>
      </w:r>
      <w:r>
        <w:rPr>
          <w:rFonts w:ascii="宋体" w:hAnsi="宋体"/>
          <w:highlight w:val="none"/>
        </w:rPr>
        <w:t>10</w:t>
      </w:r>
      <w:r>
        <w:rPr>
          <w:rFonts w:hint="eastAsia" w:ascii="宋体" w:hAnsi="宋体"/>
          <w:highlight w:val="none"/>
        </w:rPr>
        <w:t>天书面通知另一方。有关重大问题的传真应以挂号或快递方式邮寄确认。</w:t>
      </w:r>
    </w:p>
    <w:p>
      <w:pPr>
        <w:tabs>
          <w:tab w:val="left" w:pos="540"/>
          <w:tab w:val="left" w:pos="960"/>
        </w:tabs>
        <w:spacing w:before="0" w:after="0" w:afterAutospacing="0"/>
        <w:ind w:left="0" w:leftChars="0" w:right="0" w:firstLine="420" w:firstLineChars="200"/>
        <w:rPr>
          <w:rFonts w:hint="eastAsia" w:ascii="宋体" w:hAnsi="宋体"/>
          <w:highlight w:val="none"/>
        </w:rPr>
      </w:pPr>
      <w:r>
        <w:rPr>
          <w:rFonts w:hint="eastAsia" w:ascii="宋体" w:hAnsi="宋体"/>
          <w:highlight w:val="none"/>
        </w:rPr>
        <w:t>1</w:t>
      </w:r>
      <w:r>
        <w:rPr>
          <w:rFonts w:hint="eastAsia" w:ascii="宋体" w:hAnsi="宋体"/>
          <w:highlight w:val="none"/>
          <w:lang w:val="en-US" w:eastAsia="zh-CN"/>
        </w:rPr>
        <w:t>8</w:t>
      </w:r>
      <w:r>
        <w:rPr>
          <w:rFonts w:hint="eastAsia" w:ascii="宋体" w:hAnsi="宋体"/>
          <w:highlight w:val="none"/>
        </w:rPr>
        <w:t>.2通知的内容包括合同项下的批复、意见、指令、说明和证据。</w:t>
      </w:r>
    </w:p>
    <w:p>
      <w:pPr>
        <w:tabs>
          <w:tab w:val="left" w:pos="540"/>
          <w:tab w:val="left" w:pos="960"/>
        </w:tabs>
        <w:spacing w:before="0" w:after="0" w:afterAutospacing="0"/>
        <w:ind w:left="0" w:leftChars="0" w:right="0" w:firstLine="420" w:firstLineChars="200"/>
        <w:rPr>
          <w:rFonts w:hint="default"/>
          <w:highlight w:val="none"/>
          <w:lang w:val="en-US" w:eastAsia="zh-CN"/>
        </w:rPr>
      </w:pPr>
      <w:r>
        <w:rPr>
          <w:rFonts w:hint="eastAsia" w:ascii="宋体" w:hAnsi="宋体"/>
          <w:highlight w:val="none"/>
        </w:rPr>
        <w:t>1</w:t>
      </w:r>
      <w:r>
        <w:rPr>
          <w:rFonts w:hint="eastAsia" w:ascii="宋体" w:hAnsi="宋体"/>
          <w:highlight w:val="none"/>
          <w:lang w:val="en-US" w:eastAsia="zh-CN"/>
        </w:rPr>
        <w:t>8</w:t>
      </w:r>
      <w:r>
        <w:rPr>
          <w:rFonts w:hint="eastAsia" w:ascii="宋体" w:hAnsi="宋体"/>
          <w:highlight w:val="none"/>
        </w:rPr>
        <w:t>.3通知以送到日期或通知书的生效日期为生效日期，两者中以晚的一个日期为准。</w:t>
      </w:r>
    </w:p>
    <w:p>
      <w:pPr>
        <w:keepNext/>
        <w:keepLines/>
        <w:widowControl w:val="0"/>
        <w:spacing w:before="240" w:beforeLines="100" w:after="120" w:afterLines="50" w:afterAutospacing="0" w:line="240" w:lineRule="auto"/>
        <w:ind w:left="0" w:right="0" w:firstLine="482" w:firstLineChars="200"/>
        <w:outlineLvl w:val="2"/>
        <w:rPr>
          <w:rFonts w:ascii="黑体" w:hAnsi="黑体" w:eastAsia="黑体" w:cs="黑体"/>
          <w:b/>
          <w:kern w:val="2"/>
          <w:sz w:val="24"/>
          <w:szCs w:val="20"/>
          <w:highlight w:val="none"/>
        </w:rPr>
      </w:pPr>
      <w:r>
        <w:rPr>
          <w:rFonts w:hint="eastAsia" w:ascii="黑体" w:hAnsi="黑体" w:eastAsia="黑体" w:cs="黑体"/>
          <w:b/>
          <w:kern w:val="2"/>
          <w:sz w:val="24"/>
          <w:szCs w:val="20"/>
          <w:highlight w:val="none"/>
        </w:rPr>
        <w:t>1</w:t>
      </w:r>
      <w:r>
        <w:rPr>
          <w:rFonts w:hint="eastAsia" w:ascii="黑体" w:hAnsi="黑体" w:eastAsia="黑体" w:cs="黑体"/>
          <w:b/>
          <w:kern w:val="2"/>
          <w:sz w:val="24"/>
          <w:szCs w:val="20"/>
          <w:highlight w:val="none"/>
          <w:lang w:val="en-US" w:eastAsia="zh-CN"/>
        </w:rPr>
        <w:t>9</w:t>
      </w:r>
      <w:r>
        <w:rPr>
          <w:rFonts w:hint="eastAsia" w:ascii="黑体" w:hAnsi="黑体" w:eastAsia="黑体" w:cs="黑体"/>
          <w:b/>
          <w:kern w:val="2"/>
          <w:sz w:val="24"/>
          <w:szCs w:val="20"/>
          <w:highlight w:val="none"/>
        </w:rPr>
        <w:t>.</w:t>
      </w:r>
      <w:bookmarkEnd w:id="1122"/>
      <w:bookmarkEnd w:id="1123"/>
      <w:bookmarkEnd w:id="1124"/>
      <w:r>
        <w:rPr>
          <w:rFonts w:hint="eastAsia" w:ascii="黑体" w:hAnsi="黑体" w:eastAsia="黑体" w:cs="黑体"/>
          <w:b/>
          <w:kern w:val="2"/>
          <w:sz w:val="24"/>
          <w:szCs w:val="20"/>
          <w:highlight w:val="none"/>
        </w:rPr>
        <w:t>争议解决方式</w:t>
      </w:r>
    </w:p>
    <w:bookmarkEnd w:id="1125"/>
    <w:p>
      <w:pPr>
        <w:tabs>
          <w:tab w:val="left" w:pos="540"/>
          <w:tab w:val="left" w:pos="960"/>
        </w:tabs>
        <w:spacing w:before="0" w:after="0" w:afterAutospacing="0"/>
        <w:ind w:left="0" w:leftChars="0" w:right="0" w:firstLine="420" w:firstLineChars="200"/>
        <w:rPr>
          <w:rFonts w:hint="eastAsia" w:ascii="宋体" w:hAnsi="宋体"/>
          <w:highlight w:val="none"/>
        </w:rPr>
      </w:pPr>
      <w:bookmarkStart w:id="1126" w:name="_Toc21022"/>
      <w:bookmarkStart w:id="1127" w:name="_Toc5360"/>
      <w:bookmarkStart w:id="1128" w:name="_Toc437544554"/>
      <w:bookmarkStart w:id="1129" w:name="_Toc369787001"/>
      <w:r>
        <w:rPr>
          <w:rFonts w:hint="eastAsia" w:ascii="宋体" w:hAnsi="宋体"/>
          <w:highlight w:val="none"/>
          <w:lang w:val="en-US" w:eastAsia="zh-CN"/>
        </w:rPr>
        <w:t>19</w:t>
      </w:r>
      <w:r>
        <w:rPr>
          <w:rFonts w:hint="eastAsia" w:ascii="宋体" w:hAnsi="宋体"/>
          <w:highlight w:val="none"/>
        </w:rPr>
        <w:t>.1甲乙双方履行合同中发生争议的，可以先通过友好协商解决。</w:t>
      </w:r>
    </w:p>
    <w:p>
      <w:pPr>
        <w:tabs>
          <w:tab w:val="left" w:pos="540"/>
          <w:tab w:val="left" w:pos="960"/>
        </w:tabs>
        <w:spacing w:before="0" w:after="0" w:afterAutospacing="0"/>
        <w:ind w:left="0" w:leftChars="0" w:right="0" w:firstLine="420" w:firstLineChars="200"/>
        <w:rPr>
          <w:rFonts w:hint="eastAsia" w:ascii="宋体" w:hAnsi="宋体"/>
          <w:highlight w:val="none"/>
        </w:rPr>
      </w:pPr>
      <w:r>
        <w:rPr>
          <w:rFonts w:hint="eastAsia" w:ascii="宋体" w:hAnsi="宋体"/>
          <w:highlight w:val="none"/>
          <w:lang w:val="en-US" w:eastAsia="zh-CN"/>
        </w:rPr>
        <w:t>19</w:t>
      </w:r>
      <w:r>
        <w:rPr>
          <w:rFonts w:hint="eastAsia" w:ascii="宋体" w:hAnsi="宋体"/>
          <w:highlight w:val="none"/>
        </w:rPr>
        <w:t>.2双方协商不成的，应当按下列第（2）种方式解决：</w:t>
      </w:r>
    </w:p>
    <w:p>
      <w:pPr>
        <w:tabs>
          <w:tab w:val="left" w:pos="540"/>
          <w:tab w:val="left" w:pos="960"/>
        </w:tabs>
        <w:spacing w:before="0" w:after="0" w:afterAutospacing="0"/>
        <w:ind w:left="0" w:leftChars="0" w:right="0" w:firstLine="420" w:firstLineChars="200"/>
        <w:rPr>
          <w:rFonts w:hint="eastAsia" w:ascii="宋体" w:hAnsi="宋体"/>
          <w:highlight w:val="none"/>
        </w:rPr>
      </w:pPr>
      <w:r>
        <w:rPr>
          <w:rFonts w:hint="eastAsia" w:ascii="宋体" w:hAnsi="宋体"/>
          <w:highlight w:val="none"/>
        </w:rPr>
        <w:t>（1）提交南宁仲裁委员会仲裁；</w:t>
      </w:r>
    </w:p>
    <w:p>
      <w:pPr>
        <w:tabs>
          <w:tab w:val="left" w:pos="540"/>
          <w:tab w:val="left" w:pos="960"/>
        </w:tabs>
        <w:spacing w:before="0" w:after="0" w:afterAutospacing="0"/>
        <w:ind w:left="0" w:leftChars="0" w:right="0" w:firstLine="420" w:firstLineChars="200"/>
        <w:rPr>
          <w:rFonts w:hint="eastAsia" w:ascii="宋体" w:hAnsi="宋体"/>
          <w:highlight w:val="none"/>
        </w:rPr>
      </w:pPr>
      <w:r>
        <w:rPr>
          <w:rFonts w:hint="eastAsia" w:ascii="宋体" w:hAnsi="宋体"/>
          <w:highlight w:val="none"/>
        </w:rPr>
        <w:t>（2）依法向甲方所在地人民法院起诉。</w:t>
      </w:r>
    </w:p>
    <w:p>
      <w:pPr>
        <w:tabs>
          <w:tab w:val="left" w:pos="540"/>
          <w:tab w:val="left" w:pos="960"/>
        </w:tabs>
        <w:spacing w:before="0" w:after="0" w:afterAutospacing="0"/>
        <w:ind w:left="0" w:leftChars="0" w:right="0" w:firstLine="420" w:firstLineChars="200"/>
        <w:rPr>
          <w:rFonts w:hint="eastAsia" w:ascii="宋体" w:hAnsi="宋体"/>
          <w:highlight w:val="none"/>
        </w:rPr>
      </w:pPr>
      <w:r>
        <w:rPr>
          <w:rFonts w:hint="eastAsia" w:ascii="宋体" w:hAnsi="宋体"/>
          <w:highlight w:val="none"/>
          <w:lang w:val="en-US" w:eastAsia="zh-CN"/>
        </w:rPr>
        <w:t>19</w:t>
      </w:r>
      <w:r>
        <w:rPr>
          <w:rFonts w:hint="eastAsia" w:ascii="宋体" w:hAnsi="宋体"/>
          <w:highlight w:val="none"/>
        </w:rPr>
        <w:t>.3发生争议后，除非出现下列情况的，双方都应继续履行合同，保持施工连续并保护好已完项目：</w:t>
      </w:r>
    </w:p>
    <w:p>
      <w:pPr>
        <w:tabs>
          <w:tab w:val="left" w:pos="540"/>
          <w:tab w:val="left" w:pos="960"/>
        </w:tabs>
        <w:spacing w:before="0" w:after="0" w:afterAutospacing="0"/>
        <w:ind w:left="0" w:leftChars="0" w:right="0" w:firstLine="420" w:firstLineChars="200"/>
        <w:rPr>
          <w:rFonts w:hint="eastAsia" w:ascii="宋体" w:hAnsi="宋体"/>
          <w:highlight w:val="none"/>
        </w:rPr>
      </w:pPr>
      <w:r>
        <w:rPr>
          <w:rFonts w:hint="eastAsia" w:ascii="宋体" w:hAnsi="宋体"/>
          <w:highlight w:val="none"/>
        </w:rPr>
        <w:t>（1）单方违约导致合同确己无法履行，双方协议停止施工；</w:t>
      </w:r>
    </w:p>
    <w:p>
      <w:pPr>
        <w:tabs>
          <w:tab w:val="left" w:pos="540"/>
          <w:tab w:val="left" w:pos="960"/>
        </w:tabs>
        <w:spacing w:before="0" w:after="0" w:afterAutospacing="0"/>
        <w:ind w:left="0" w:leftChars="0" w:right="0" w:firstLine="420" w:firstLineChars="200"/>
        <w:rPr>
          <w:rFonts w:hint="eastAsia" w:ascii="宋体" w:hAnsi="宋体"/>
          <w:highlight w:val="none"/>
        </w:rPr>
      </w:pPr>
      <w:r>
        <w:rPr>
          <w:rFonts w:hint="eastAsia" w:ascii="宋体" w:hAnsi="宋体"/>
          <w:highlight w:val="none"/>
        </w:rPr>
        <w:t>（2）不可抗力导致合同无法履行；</w:t>
      </w:r>
    </w:p>
    <w:p>
      <w:pPr>
        <w:tabs>
          <w:tab w:val="left" w:pos="540"/>
          <w:tab w:val="left" w:pos="960"/>
        </w:tabs>
        <w:spacing w:before="0" w:after="0" w:afterAutospacing="0"/>
        <w:ind w:left="0" w:leftChars="0" w:right="0" w:firstLine="420" w:firstLineChars="200"/>
        <w:rPr>
          <w:rFonts w:hint="eastAsia" w:ascii="宋体" w:hAnsi="宋体"/>
          <w:highlight w:val="none"/>
        </w:rPr>
      </w:pPr>
      <w:r>
        <w:rPr>
          <w:rFonts w:hint="eastAsia" w:ascii="宋体" w:hAnsi="宋体"/>
          <w:highlight w:val="none"/>
        </w:rPr>
        <w:t>（3）调解要求停止施工，且为双方接受；</w:t>
      </w:r>
    </w:p>
    <w:p>
      <w:pPr>
        <w:tabs>
          <w:tab w:val="left" w:pos="540"/>
          <w:tab w:val="left" w:pos="960"/>
        </w:tabs>
        <w:spacing w:before="0" w:after="0" w:afterAutospacing="0"/>
        <w:ind w:left="0" w:leftChars="0" w:right="0" w:firstLine="420" w:firstLineChars="200"/>
        <w:rPr>
          <w:rFonts w:hint="eastAsia" w:ascii="宋体" w:hAnsi="宋体"/>
          <w:highlight w:val="none"/>
        </w:rPr>
      </w:pPr>
      <w:r>
        <w:rPr>
          <w:rFonts w:hint="eastAsia" w:ascii="宋体" w:hAnsi="宋体"/>
          <w:highlight w:val="none"/>
        </w:rPr>
        <w:t>（4）仲裁机关要求停止施工；</w:t>
      </w:r>
    </w:p>
    <w:p>
      <w:pPr>
        <w:tabs>
          <w:tab w:val="left" w:pos="540"/>
          <w:tab w:val="left" w:pos="960"/>
        </w:tabs>
        <w:spacing w:before="0" w:after="0" w:afterAutospacing="0"/>
        <w:ind w:left="0" w:leftChars="0" w:right="0" w:firstLine="420" w:firstLineChars="200"/>
        <w:rPr>
          <w:rFonts w:hint="eastAsia" w:ascii="宋体" w:hAnsi="宋体"/>
          <w:highlight w:val="none"/>
        </w:rPr>
      </w:pPr>
      <w:r>
        <w:rPr>
          <w:rFonts w:hint="eastAsia" w:ascii="宋体" w:hAnsi="宋体"/>
          <w:highlight w:val="none"/>
        </w:rPr>
        <w:t>（5）法院要求停止施工。</w:t>
      </w:r>
    </w:p>
    <w:p>
      <w:pPr>
        <w:keepNext/>
        <w:keepLines/>
        <w:widowControl w:val="0"/>
        <w:spacing w:before="240" w:beforeLines="100" w:after="120" w:afterLines="50" w:afterAutospacing="0" w:line="240" w:lineRule="auto"/>
        <w:ind w:left="0" w:right="0" w:firstLine="482" w:firstLineChars="200"/>
        <w:outlineLvl w:val="2"/>
        <w:rPr>
          <w:rFonts w:ascii="黑体" w:hAnsi="黑体" w:eastAsia="黑体" w:cs="黑体"/>
          <w:b/>
          <w:kern w:val="2"/>
          <w:sz w:val="24"/>
          <w:szCs w:val="20"/>
          <w:highlight w:val="none"/>
        </w:rPr>
      </w:pPr>
      <w:r>
        <w:rPr>
          <w:rFonts w:hint="eastAsia" w:ascii="黑体" w:hAnsi="黑体" w:eastAsia="黑体" w:cs="黑体"/>
          <w:b/>
          <w:kern w:val="2"/>
          <w:sz w:val="24"/>
          <w:szCs w:val="20"/>
          <w:highlight w:val="none"/>
          <w:lang w:val="en-US" w:eastAsia="zh-CN"/>
        </w:rPr>
        <w:t>20</w:t>
      </w:r>
      <w:r>
        <w:rPr>
          <w:rFonts w:hint="eastAsia" w:ascii="黑体" w:hAnsi="黑体" w:eastAsia="黑体" w:cs="黑体"/>
          <w:b/>
          <w:kern w:val="2"/>
          <w:sz w:val="24"/>
          <w:szCs w:val="20"/>
          <w:highlight w:val="none"/>
        </w:rPr>
        <w:t>.合同生效及其它</w:t>
      </w:r>
      <w:bookmarkEnd w:id="1126"/>
      <w:bookmarkEnd w:id="1127"/>
      <w:bookmarkEnd w:id="1128"/>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val="en-US" w:eastAsia="zh-CN"/>
        </w:rPr>
        <w:t>20</w:t>
      </w:r>
      <w:r>
        <w:rPr>
          <w:rFonts w:hint="eastAsia" w:ascii="宋体" w:hAnsi="宋体" w:cs="Arial"/>
          <w:highlight w:val="none"/>
        </w:rPr>
        <w:t>.1本合同生效的时间以双方签署的协议书上的最后日期为准。</w:t>
      </w:r>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val="en-US" w:eastAsia="zh-CN"/>
        </w:rPr>
        <w:t>20</w:t>
      </w:r>
      <w:r>
        <w:rPr>
          <w:rFonts w:hint="eastAsia" w:ascii="宋体" w:hAnsi="宋体" w:cs="Arial"/>
          <w:highlight w:val="none"/>
        </w:rPr>
        <w:t>.2本合同签约地为中华人民共和国广西壮族自治区南宁市青秀区。</w:t>
      </w:r>
    </w:p>
    <w:p>
      <w:pPr>
        <w:spacing w:before="0" w:after="0" w:afterAutospacing="0"/>
        <w:ind w:left="0" w:right="0" w:firstLine="420" w:firstLineChars="200"/>
        <w:rPr>
          <w:rFonts w:ascii="宋体" w:hAnsi="宋体" w:cs="Arial"/>
          <w:highlight w:val="none"/>
        </w:rPr>
      </w:pPr>
      <w:r>
        <w:rPr>
          <w:rFonts w:hint="eastAsia" w:ascii="宋体" w:hAnsi="宋体" w:cs="Arial"/>
          <w:highlight w:val="none"/>
          <w:lang w:val="en-US" w:eastAsia="zh-CN"/>
        </w:rPr>
        <w:t>20</w:t>
      </w:r>
      <w:r>
        <w:rPr>
          <w:rFonts w:hint="eastAsia" w:ascii="宋体" w:hAnsi="宋体" w:cs="Arial"/>
          <w:highlight w:val="none"/>
        </w:rPr>
        <w:t>.3本合同经双方法定代表人或授权代表签字、加盖单位公章后生效。</w:t>
      </w:r>
    </w:p>
    <w:p>
      <w:pPr>
        <w:spacing w:before="0" w:after="0" w:afterAutospacing="0"/>
        <w:ind w:left="0" w:right="0" w:firstLine="420" w:firstLineChars="200"/>
        <w:rPr>
          <w:rFonts w:hint="eastAsia" w:ascii="宋体" w:hAnsi="宋体" w:cs="Arial"/>
          <w:highlight w:val="none"/>
        </w:rPr>
      </w:pPr>
      <w:r>
        <w:rPr>
          <w:rFonts w:hint="eastAsia" w:ascii="宋体" w:hAnsi="宋体" w:cs="Arial"/>
          <w:highlight w:val="none"/>
          <w:lang w:val="en-US" w:eastAsia="zh-CN"/>
        </w:rPr>
        <w:t>20</w:t>
      </w:r>
      <w:r>
        <w:rPr>
          <w:rFonts w:hint="eastAsia" w:ascii="宋体" w:hAnsi="宋体" w:cs="Arial"/>
          <w:highlight w:val="none"/>
        </w:rPr>
        <w:t>.4所有合同附件为合同不可分割的一部分。所有附件、修改、补充、改动条款和执行合同的条件均应以书面形式列明，双方经过协商达成一致意见，并由双方授权代表签字，是合同执行中不可分割的一部分，与合同具有同等效力。</w:t>
      </w:r>
      <w:bookmarkEnd w:id="1129"/>
      <w:bookmarkStart w:id="1130" w:name="_Toc27316"/>
      <w:bookmarkStart w:id="1131" w:name="_Toc29249"/>
      <w:bookmarkStart w:id="1132" w:name="_Toc16716"/>
      <w:bookmarkStart w:id="1133" w:name="_Toc19448"/>
      <w:bookmarkStart w:id="1134" w:name="_Toc21659"/>
      <w:bookmarkStart w:id="1135" w:name="_Toc12983548"/>
      <w:bookmarkStart w:id="1136" w:name="_Toc16443"/>
      <w:bookmarkStart w:id="1137" w:name="_Toc27258"/>
      <w:bookmarkStart w:id="1138" w:name="_Toc5644"/>
      <w:bookmarkStart w:id="1139" w:name="_Toc21033"/>
      <w:bookmarkStart w:id="1140" w:name="_Toc5186"/>
      <w:bookmarkStart w:id="1141" w:name="_Toc14997"/>
      <w:bookmarkStart w:id="1142" w:name="_Toc21372"/>
      <w:bookmarkStart w:id="1143" w:name="_Toc21635"/>
      <w:bookmarkStart w:id="1144" w:name="_Toc6194"/>
      <w:bookmarkStart w:id="1145" w:name="_Toc12470"/>
      <w:bookmarkStart w:id="1146" w:name="_Toc13288"/>
      <w:bookmarkStart w:id="1147" w:name="_Toc2753"/>
    </w:p>
    <w:p>
      <w:pPr>
        <w:keepNext/>
        <w:keepLines/>
        <w:widowControl w:val="0"/>
        <w:spacing w:before="240" w:beforeLines="100" w:after="120" w:afterLines="50" w:afterAutospacing="0" w:line="240" w:lineRule="auto"/>
        <w:ind w:left="0" w:right="0" w:firstLine="482" w:firstLineChars="200"/>
        <w:outlineLvl w:val="2"/>
        <w:rPr>
          <w:rFonts w:hint="eastAsia" w:ascii="黑体" w:hAnsi="黑体" w:eastAsia="黑体" w:cs="黑体"/>
          <w:b/>
          <w:kern w:val="2"/>
          <w:sz w:val="24"/>
          <w:szCs w:val="20"/>
          <w:highlight w:val="none"/>
          <w:lang w:val="en-US" w:eastAsia="zh-CN"/>
        </w:rPr>
      </w:pPr>
      <w:r>
        <w:rPr>
          <w:rFonts w:hint="eastAsia" w:ascii="黑体" w:hAnsi="黑体" w:eastAsia="黑体" w:cs="黑体"/>
          <w:b/>
          <w:kern w:val="2"/>
          <w:sz w:val="24"/>
          <w:szCs w:val="20"/>
          <w:highlight w:val="none"/>
          <w:lang w:val="en-US" w:eastAsia="zh-CN"/>
        </w:rPr>
        <w:t>21.廉洁条款特别约定</w:t>
      </w:r>
    </w:p>
    <w:p>
      <w:pPr>
        <w:spacing w:before="0" w:after="0" w:afterAutospacing="0"/>
        <w:ind w:left="0" w:right="0" w:firstLine="420" w:firstLineChars="200"/>
        <w:rPr>
          <w:rFonts w:hint="eastAsia" w:ascii="宋体" w:hAnsi="宋体" w:cs="Arial"/>
          <w:highlight w:val="none"/>
          <w:lang w:val="en-US" w:eastAsia="zh-CN"/>
        </w:rPr>
      </w:pPr>
      <w:r>
        <w:rPr>
          <w:rFonts w:hint="eastAsia" w:ascii="宋体" w:hAnsi="宋体" w:cs="Arial"/>
          <w:highlight w:val="none"/>
          <w:lang w:val="en-US" w:eastAsia="zh-CN"/>
        </w:rPr>
        <w:t>20.1严格遵守国家有关法律法规以及廉洁条款的有关规定。</w:t>
      </w:r>
    </w:p>
    <w:p>
      <w:pPr>
        <w:spacing w:before="0" w:after="0" w:afterAutospacing="0"/>
        <w:ind w:left="0" w:right="0" w:firstLine="420" w:firstLineChars="200"/>
        <w:rPr>
          <w:rFonts w:hint="eastAsia" w:ascii="宋体" w:hAnsi="宋体" w:cs="Arial"/>
          <w:highlight w:val="none"/>
          <w:lang w:val="en-US" w:eastAsia="zh-CN"/>
        </w:rPr>
      </w:pPr>
      <w:r>
        <w:rPr>
          <w:rFonts w:hint="eastAsia" w:ascii="宋体" w:hAnsi="宋体" w:cs="Arial"/>
          <w:highlight w:val="none"/>
          <w:lang w:val="en-US" w:eastAsia="zh-CN"/>
        </w:rPr>
        <w:t>20.2严格遵守商业道德和市场规则，共同营造公平公正的商业交易环境。</w:t>
      </w:r>
    </w:p>
    <w:p>
      <w:pPr>
        <w:spacing w:before="0" w:after="0" w:afterAutospacing="0"/>
        <w:ind w:left="0" w:right="0" w:firstLine="420" w:firstLineChars="200"/>
        <w:rPr>
          <w:rFonts w:hint="eastAsia" w:ascii="宋体" w:hAnsi="宋体" w:cs="Arial"/>
          <w:highlight w:val="none"/>
          <w:lang w:val="en-US" w:eastAsia="zh-CN"/>
        </w:rPr>
      </w:pPr>
      <w:r>
        <w:rPr>
          <w:rFonts w:hint="eastAsia" w:ascii="宋体" w:hAnsi="宋体" w:cs="Arial"/>
          <w:highlight w:val="none"/>
          <w:lang w:val="en-US" w:eastAsia="zh-CN"/>
        </w:rPr>
        <w:t>20.3不向甲方及其人员提供回扣、礼金、有价证券、支付凭证、贵重物品等。</w:t>
      </w:r>
    </w:p>
    <w:p>
      <w:pPr>
        <w:spacing w:before="0" w:after="0" w:afterAutospacing="0"/>
        <w:ind w:left="0" w:right="0" w:firstLine="420" w:firstLineChars="200"/>
        <w:rPr>
          <w:rFonts w:hint="eastAsia" w:ascii="宋体" w:hAnsi="宋体" w:cs="Arial"/>
          <w:highlight w:val="none"/>
          <w:lang w:val="en-US" w:eastAsia="zh-CN"/>
        </w:rPr>
      </w:pPr>
      <w:r>
        <w:rPr>
          <w:rFonts w:hint="eastAsia" w:ascii="宋体" w:hAnsi="宋体" w:cs="Arial"/>
          <w:highlight w:val="none"/>
          <w:lang w:val="en-US" w:eastAsia="zh-CN"/>
        </w:rPr>
        <w:t>20.4不为甲方及其人员报销应由贵公司或个人支付的费用。</w:t>
      </w:r>
    </w:p>
    <w:p>
      <w:pPr>
        <w:spacing w:before="0" w:after="0" w:afterAutospacing="0"/>
        <w:ind w:left="0" w:right="0" w:firstLine="420" w:firstLineChars="200"/>
        <w:rPr>
          <w:rFonts w:hint="eastAsia" w:ascii="宋体" w:hAnsi="宋体" w:cs="Arial"/>
          <w:highlight w:val="none"/>
          <w:lang w:val="en-US" w:eastAsia="zh-CN"/>
        </w:rPr>
      </w:pPr>
      <w:r>
        <w:rPr>
          <w:rFonts w:hint="eastAsia" w:ascii="宋体" w:hAnsi="宋体" w:cs="Arial"/>
          <w:highlight w:val="none"/>
          <w:lang w:val="en-US" w:eastAsia="zh-CN"/>
        </w:rPr>
        <w:t>20.5不为甲方人员投资入股，个人借款或买卖股票、债券等提供方便。</w:t>
      </w:r>
    </w:p>
    <w:p>
      <w:pPr>
        <w:spacing w:before="0" w:after="0" w:afterAutospacing="0"/>
        <w:ind w:left="0" w:right="0" w:firstLine="420" w:firstLineChars="200"/>
        <w:rPr>
          <w:rFonts w:hint="eastAsia" w:ascii="宋体" w:hAnsi="宋体" w:cs="Arial"/>
          <w:highlight w:val="none"/>
          <w:lang w:val="en-US" w:eastAsia="zh-CN"/>
        </w:rPr>
      </w:pPr>
      <w:r>
        <w:rPr>
          <w:rFonts w:hint="eastAsia" w:ascii="宋体" w:hAnsi="宋体" w:cs="Arial"/>
          <w:highlight w:val="none"/>
          <w:lang w:val="en-US" w:eastAsia="zh-CN"/>
        </w:rPr>
        <w:t>20.6不为甲方人员购买或装修住房、婚丧嫁娶、配偶和子女上学或工作安排以及出国（境）、旅游等提供方便。</w:t>
      </w:r>
    </w:p>
    <w:p>
      <w:pPr>
        <w:spacing w:before="0" w:after="0" w:afterAutospacing="0"/>
        <w:ind w:left="0" w:right="0" w:firstLine="420" w:firstLineChars="200"/>
        <w:rPr>
          <w:rFonts w:hint="eastAsia" w:ascii="宋体" w:hAnsi="宋体" w:cs="Arial"/>
          <w:highlight w:val="none"/>
          <w:lang w:val="en-US" w:eastAsia="zh-CN"/>
        </w:rPr>
      </w:pPr>
      <w:r>
        <w:rPr>
          <w:rFonts w:hint="eastAsia" w:ascii="宋体" w:hAnsi="宋体" w:cs="Arial"/>
          <w:highlight w:val="none"/>
          <w:lang w:val="en-US" w:eastAsia="zh-CN"/>
        </w:rPr>
        <w:t>20.7不为甲方人员安排的有可能影响履行合同的宴请、健身、娱乐等活动。</w:t>
      </w:r>
    </w:p>
    <w:p>
      <w:pPr>
        <w:spacing w:before="0" w:after="0" w:afterAutospacing="0"/>
        <w:ind w:left="0" w:right="0" w:firstLine="420" w:firstLineChars="200"/>
        <w:rPr>
          <w:rFonts w:hint="eastAsia" w:ascii="宋体" w:hAnsi="宋体" w:cs="Arial"/>
          <w:highlight w:val="none"/>
          <w:lang w:val="en-US" w:eastAsia="zh-CN"/>
        </w:rPr>
      </w:pPr>
      <w:r>
        <w:rPr>
          <w:rFonts w:hint="eastAsia" w:ascii="宋体" w:hAnsi="宋体" w:cs="Arial"/>
          <w:highlight w:val="none"/>
          <w:lang w:val="en-US" w:eastAsia="zh-CN"/>
        </w:rPr>
        <w:t>20.8不为甲方及其人员购置或提供通讯工具、交通工具和高档办公用品。</w:t>
      </w:r>
    </w:p>
    <w:p>
      <w:pPr>
        <w:spacing w:before="0" w:after="0" w:afterAutospacing="0"/>
        <w:ind w:left="0" w:right="0" w:firstLine="420" w:firstLineChars="200"/>
        <w:rPr>
          <w:rFonts w:hint="eastAsia" w:ascii="宋体" w:hAnsi="宋体" w:cs="Arial"/>
          <w:highlight w:val="none"/>
          <w:lang w:val="en-US" w:eastAsia="zh-CN"/>
        </w:rPr>
      </w:pPr>
      <w:r>
        <w:rPr>
          <w:rFonts w:hint="eastAsia" w:ascii="宋体" w:hAnsi="宋体" w:cs="Arial"/>
          <w:highlight w:val="none"/>
          <w:lang w:val="en-US" w:eastAsia="zh-CN"/>
        </w:rPr>
        <w:t>20.9不为甲方人员的配偶、子女及其他人亲属谋取不正当利益提供方便。</w:t>
      </w:r>
    </w:p>
    <w:p>
      <w:pPr>
        <w:spacing w:before="0" w:after="0" w:afterAutospacing="0"/>
        <w:ind w:left="0" w:right="0" w:firstLine="420" w:firstLineChars="200"/>
        <w:rPr>
          <w:rFonts w:hint="eastAsia" w:ascii="宋体" w:hAnsi="宋体" w:cs="Arial"/>
          <w:highlight w:val="none"/>
          <w:lang w:val="en-US" w:eastAsia="zh-CN"/>
        </w:rPr>
      </w:pPr>
      <w:r>
        <w:rPr>
          <w:rFonts w:hint="eastAsia" w:ascii="宋体" w:hAnsi="宋体" w:cs="Arial"/>
          <w:highlight w:val="none"/>
          <w:lang w:val="en-US" w:eastAsia="zh-CN"/>
        </w:rPr>
        <w:t>20.10不违反规定安排甲方人员在乙方或乙方相关企业兼职和领取兼职工资及报酬；不得利用非法手段向甲方打探有关涉及贵公司的商业秘密、业务渠道等。</w:t>
      </w:r>
    </w:p>
    <w:p>
      <w:pPr>
        <w:spacing w:before="0" w:after="0" w:afterAutospacing="0"/>
        <w:ind w:left="0" w:right="0" w:firstLine="420" w:firstLineChars="200"/>
        <w:rPr>
          <w:rFonts w:hint="eastAsia" w:ascii="宋体" w:hAnsi="宋体" w:cs="Arial"/>
          <w:highlight w:val="none"/>
          <w:lang w:val="en-US" w:eastAsia="zh-CN"/>
        </w:rPr>
      </w:pPr>
      <w:r>
        <w:rPr>
          <w:rFonts w:hint="eastAsia" w:ascii="宋体" w:hAnsi="宋体" w:cs="Arial"/>
          <w:highlight w:val="none"/>
          <w:lang w:val="en-US" w:eastAsia="zh-CN"/>
        </w:rPr>
        <w:t>20.11甲方对涉嫌不廉洁的商业行为进行调查时，乙方应配合甲方提供证据、作证的义务。</w:t>
      </w:r>
    </w:p>
    <w:p>
      <w:pPr>
        <w:spacing w:before="0" w:after="0" w:afterAutospacing="0"/>
        <w:ind w:left="0" w:right="0" w:firstLine="420" w:firstLineChars="200"/>
        <w:rPr>
          <w:rFonts w:hint="eastAsia" w:ascii="宋体" w:hAnsi="宋体" w:cs="Arial"/>
          <w:highlight w:val="none"/>
          <w:lang w:val="en-US" w:eastAsia="zh-CN"/>
        </w:rPr>
      </w:pPr>
      <w:r>
        <w:rPr>
          <w:rFonts w:hint="eastAsia" w:ascii="宋体" w:hAnsi="宋体" w:cs="Arial"/>
          <w:highlight w:val="none"/>
          <w:lang w:val="en-US" w:eastAsia="zh-CN"/>
        </w:rPr>
        <w:t>20.12未经甲方书面同意，乙方不得向任何新闻媒体、第三人述及有关甲方人员廉洁从业方面的评价、信息。</w:t>
      </w:r>
    </w:p>
    <w:p>
      <w:pPr>
        <w:spacing w:before="0" w:after="0" w:afterAutospacing="0"/>
        <w:ind w:left="0" w:right="0" w:firstLine="420" w:firstLineChars="200"/>
        <w:rPr>
          <w:rFonts w:hint="eastAsia" w:ascii="宋体" w:hAnsi="宋体" w:cs="Arial"/>
          <w:highlight w:val="none"/>
          <w:lang w:val="en-US" w:eastAsia="zh-CN"/>
        </w:rPr>
      </w:pPr>
      <w:r>
        <w:rPr>
          <w:rFonts w:hint="eastAsia" w:ascii="宋体" w:hAnsi="宋体" w:cs="Arial"/>
          <w:highlight w:val="none"/>
          <w:lang w:val="en-US" w:eastAsia="zh-CN"/>
        </w:rPr>
        <w:t>20.13如有违反的，一经发现，甲方可以立即终止与乙方之间合作业务并无须承担任何经济和法律责任。</w:t>
      </w:r>
    </w:p>
    <w:p>
      <w:pPr>
        <w:keepNext/>
        <w:keepLines/>
        <w:widowControl w:val="0"/>
        <w:spacing w:before="240" w:beforeLines="100" w:after="120" w:afterLines="50" w:afterAutospacing="0" w:line="240" w:lineRule="auto"/>
        <w:ind w:left="0" w:right="0" w:firstLine="482" w:firstLineChars="200"/>
        <w:outlineLvl w:val="2"/>
        <w:rPr>
          <w:rFonts w:ascii="黑体" w:hAnsi="黑体" w:eastAsia="黑体" w:cs="黑体"/>
          <w:b/>
          <w:kern w:val="2"/>
          <w:sz w:val="24"/>
          <w:szCs w:val="20"/>
          <w:highlight w:val="none"/>
        </w:rPr>
      </w:pPr>
      <w:r>
        <w:rPr>
          <w:rFonts w:hint="eastAsia" w:ascii="黑体" w:hAnsi="黑体" w:eastAsia="黑体" w:cs="黑体"/>
          <w:b/>
          <w:kern w:val="2"/>
          <w:sz w:val="24"/>
          <w:szCs w:val="20"/>
          <w:highlight w:val="none"/>
        </w:rPr>
        <w:t>2</w:t>
      </w:r>
      <w:r>
        <w:rPr>
          <w:rFonts w:hint="eastAsia" w:ascii="黑体" w:hAnsi="黑体" w:eastAsia="黑体" w:cs="黑体"/>
          <w:b/>
          <w:kern w:val="2"/>
          <w:sz w:val="24"/>
          <w:szCs w:val="20"/>
          <w:highlight w:val="none"/>
          <w:lang w:val="en-US" w:eastAsia="zh-CN"/>
        </w:rPr>
        <w:t>2</w:t>
      </w:r>
      <w:r>
        <w:rPr>
          <w:rFonts w:hint="eastAsia" w:ascii="黑体" w:hAnsi="黑体" w:eastAsia="黑体" w:cs="黑体"/>
          <w:b/>
          <w:kern w:val="2"/>
          <w:sz w:val="24"/>
          <w:szCs w:val="20"/>
          <w:highlight w:val="none"/>
        </w:rPr>
        <w:t>.其他</w:t>
      </w:r>
    </w:p>
    <w:p>
      <w:pPr>
        <w:spacing w:before="0" w:after="0" w:afterAutospacing="0"/>
        <w:ind w:left="0" w:right="0" w:firstLine="420" w:firstLineChars="200"/>
        <w:rPr>
          <w:rFonts w:hint="eastAsia" w:ascii="宋体" w:hAnsi="宋体" w:cs="Arial"/>
          <w:highlight w:val="none"/>
        </w:rPr>
      </w:pPr>
      <w:r>
        <w:rPr>
          <w:rFonts w:hint="eastAsia" w:ascii="宋体" w:hAnsi="宋体" w:cs="Arial"/>
          <w:highlight w:val="none"/>
        </w:rPr>
        <w:t>22.1本项目的附属设施若有损坏，本着“谁损坏，谁赔偿”的原则解决。</w:t>
      </w:r>
    </w:p>
    <w:p>
      <w:pPr>
        <w:spacing w:before="0" w:after="0" w:afterAutospacing="0"/>
        <w:ind w:left="0" w:right="0" w:firstLine="420" w:firstLineChars="200"/>
        <w:rPr>
          <w:rFonts w:hint="eastAsia" w:ascii="宋体" w:hAnsi="宋体" w:cs="Arial"/>
          <w:highlight w:val="none"/>
        </w:rPr>
      </w:pPr>
      <w:r>
        <w:rPr>
          <w:rFonts w:hint="eastAsia" w:ascii="宋体" w:hAnsi="宋体" w:cs="Arial"/>
          <w:highlight w:val="none"/>
        </w:rPr>
        <w:t>22.2本合同未尽事宜，由双方协商解决，必要时可签订补充合同。</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22.3 乙方不得利用本合同开展质押或其他融资业务；不得就本合同项下发生应收账款业务向其他第三方机构或个人办理应收账款保理业务；不得将本合同权利义务全部或部分进行转让，甲方对发票和应收账款金额等信息的确认不具有特殊认可的效力。如乙方违反本条款约定的，应赔偿由此给甲方造成的损失，同时甲方有权解除本合同。</w:t>
      </w:r>
    </w:p>
    <w:p>
      <w:pPr>
        <w:spacing w:before="0" w:after="0" w:afterAutospacing="0"/>
        <w:ind w:left="0" w:right="0" w:firstLine="420" w:firstLineChars="200"/>
        <w:rPr>
          <w:rFonts w:ascii="宋体" w:hAnsi="宋体" w:cs="Arial"/>
          <w:highlight w:val="none"/>
        </w:rPr>
        <w:sectPr>
          <w:pgSz w:w="11905" w:h="16838"/>
          <w:pgMar w:top="1417" w:right="1417" w:bottom="1417" w:left="1417" w:header="454" w:footer="567" w:gutter="0"/>
          <w:pgNumType w:start="1"/>
          <w:cols w:space="720" w:num="1"/>
          <w:docGrid w:linePitch="312" w:charSpace="0"/>
        </w:sectPr>
      </w:pPr>
    </w:p>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Pr>
        <w:pStyle w:val="12"/>
        <w:pageBreakBefore/>
        <w:ind w:right="-57"/>
        <w:jc w:val="center"/>
        <w:outlineLvl w:val="0"/>
        <w:rPr>
          <w:rStyle w:val="41"/>
          <w:rFonts w:ascii="宋体" w:hAnsi="宋体" w:eastAsia="宋体"/>
          <w:highlight w:val="none"/>
        </w:rPr>
      </w:pPr>
      <w:bookmarkStart w:id="1148" w:name="_Toc13167"/>
      <w:bookmarkStart w:id="1149" w:name="_Toc28285"/>
      <w:bookmarkStart w:id="1150" w:name="_Toc6151"/>
      <w:bookmarkStart w:id="1151" w:name="_Toc17396"/>
      <w:bookmarkStart w:id="1152" w:name="_Toc32021"/>
      <w:bookmarkStart w:id="1153" w:name="_Toc28677"/>
      <w:bookmarkStart w:id="1154" w:name="_Toc11320"/>
      <w:bookmarkStart w:id="1155" w:name="_Toc29546"/>
      <w:bookmarkStart w:id="1156" w:name="_Toc30920"/>
      <w:bookmarkStart w:id="1157" w:name="_Toc14790"/>
      <w:bookmarkStart w:id="1158" w:name="_Toc31574"/>
      <w:bookmarkStart w:id="1159" w:name="_Toc25750673"/>
      <w:bookmarkStart w:id="1160" w:name="_Toc4374"/>
      <w:bookmarkStart w:id="1161" w:name="_Toc27263"/>
      <w:bookmarkStart w:id="1162" w:name="_Toc17261"/>
      <w:bookmarkStart w:id="1163" w:name="_Toc31873"/>
      <w:bookmarkStart w:id="1164" w:name="_Toc32011"/>
      <w:bookmarkStart w:id="1165" w:name="_Toc25306"/>
      <w:bookmarkStart w:id="1166" w:name="_Toc21689"/>
      <w:r>
        <w:rPr>
          <w:rStyle w:val="41"/>
          <w:rFonts w:hint="eastAsia" w:ascii="宋体" w:hAnsi="宋体" w:eastAsia="宋体"/>
          <w:highlight w:val="none"/>
        </w:rPr>
        <w:t>第四章比选申请文件格式</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pPr>
        <w:pStyle w:val="5"/>
        <w:spacing w:after="100"/>
        <w:ind w:right="-57"/>
        <w:jc w:val="center"/>
        <w:rPr>
          <w:sz w:val="24"/>
          <w:szCs w:val="24"/>
          <w:highlight w:val="none"/>
        </w:rPr>
      </w:pPr>
      <w:bookmarkStart w:id="1167" w:name="_Toc25750674"/>
      <w:bookmarkStart w:id="1168" w:name="_Toc4255"/>
      <w:bookmarkStart w:id="1169" w:name="_Toc32185"/>
      <w:bookmarkStart w:id="1170" w:name="_Toc19412"/>
      <w:bookmarkStart w:id="1171" w:name="_Toc21274"/>
      <w:bookmarkStart w:id="1172" w:name="_Toc492478802"/>
      <w:bookmarkStart w:id="1173" w:name="_Toc414290520"/>
      <w:bookmarkStart w:id="1174" w:name="_Toc23261"/>
      <w:bookmarkStart w:id="1175" w:name="_Toc12983549"/>
      <w:bookmarkStart w:id="1176" w:name="_Toc361"/>
      <w:bookmarkStart w:id="1177" w:name="_Toc31535"/>
      <w:bookmarkStart w:id="1178" w:name="_Toc12984805"/>
      <w:bookmarkStart w:id="1179" w:name="_Toc4873"/>
      <w:bookmarkStart w:id="1180" w:name="_Toc22709"/>
      <w:bookmarkStart w:id="1181" w:name="_Toc24453"/>
      <w:bookmarkStart w:id="1182" w:name="_Toc4027"/>
      <w:bookmarkStart w:id="1183" w:name="_Toc6941"/>
      <w:bookmarkStart w:id="1184" w:name="_Toc24824"/>
      <w:bookmarkStart w:id="1185" w:name="_Toc30705"/>
      <w:bookmarkStart w:id="1186" w:name="_Toc25325"/>
      <w:bookmarkStart w:id="1187" w:name="_Toc31624"/>
      <w:bookmarkStart w:id="1188" w:name="_Toc3396"/>
      <w:bookmarkStart w:id="1189" w:name="_Toc16671"/>
      <w:r>
        <w:rPr>
          <w:sz w:val="24"/>
          <w:szCs w:val="24"/>
          <w:highlight w:val="none"/>
        </w:rPr>
        <w:t>A  资格审查</w:t>
      </w:r>
      <w:r>
        <w:rPr>
          <w:rFonts w:hint="eastAsia"/>
          <w:sz w:val="24"/>
          <w:szCs w:val="24"/>
          <w:highlight w:val="none"/>
        </w:rPr>
        <w:t>文件</w:t>
      </w:r>
      <w:bookmarkEnd w:id="1167"/>
      <w:bookmarkEnd w:id="1168"/>
    </w:p>
    <w:p>
      <w:pPr>
        <w:spacing w:before="0" w:after="0" w:afterAutospacing="0"/>
        <w:ind w:left="0" w:right="0" w:firstLine="422" w:firstLineChars="200"/>
        <w:jc w:val="left"/>
        <w:rPr>
          <w:rFonts w:ascii="宋体" w:hAnsi="宋体"/>
          <w:b/>
          <w:highlight w:val="none"/>
        </w:rPr>
      </w:pPr>
      <w:r>
        <w:rPr>
          <w:rFonts w:ascii="宋体" w:hAnsi="宋体"/>
          <w:b/>
          <w:highlight w:val="none"/>
        </w:rPr>
        <w:t>资格审查文件格式</w:t>
      </w:r>
    </w:p>
    <w:p>
      <w:pPr>
        <w:tabs>
          <w:tab w:val="left" w:pos="1134"/>
        </w:tabs>
        <w:spacing w:before="0" w:after="0" w:afterAutospacing="0"/>
        <w:ind w:left="0" w:right="0" w:firstLine="420" w:firstLineChars="200"/>
        <w:rPr>
          <w:rFonts w:ascii="宋体" w:hAnsi="宋体" w:cs="宋体"/>
          <w:highlight w:val="none"/>
        </w:rPr>
      </w:pPr>
      <w:r>
        <w:rPr>
          <w:rFonts w:hint="eastAsia" w:ascii="宋体" w:hAnsi="宋体" w:cs="宋体"/>
          <w:highlight w:val="none"/>
        </w:rPr>
        <w:t>（1）法定代表人授权书（格式见A1）及法定代表人资格证明书（如无授权时，只需提供法定代表人资格证明书，格式见A2），法定代表人及被授权人身份证复印件；</w:t>
      </w:r>
    </w:p>
    <w:p>
      <w:pPr>
        <w:tabs>
          <w:tab w:val="left" w:pos="1134"/>
        </w:tabs>
        <w:spacing w:before="0" w:after="0" w:afterAutospacing="0"/>
        <w:ind w:left="0" w:right="0" w:firstLine="420" w:firstLineChars="200"/>
        <w:rPr>
          <w:rFonts w:ascii="宋体" w:hAnsi="宋体" w:cs="宋体"/>
          <w:color w:val="auto"/>
          <w:highlight w:val="none"/>
        </w:rPr>
      </w:pPr>
      <w:r>
        <w:rPr>
          <w:rFonts w:hint="eastAsia" w:ascii="宋体" w:hAnsi="宋体" w:cs="宋体"/>
          <w:highlight w:val="none"/>
        </w:rPr>
        <w:t>（2）</w:t>
      </w:r>
      <w:r>
        <w:rPr>
          <w:rFonts w:hint="eastAsia" w:ascii="宋体" w:hAnsi="宋体" w:cs="宋体"/>
          <w:color w:val="auto"/>
          <w:highlight w:val="none"/>
        </w:rPr>
        <w:t>比选申请人有效的营业执照副本复印件或事业单位法人证书复印件等证明文件；</w:t>
      </w:r>
    </w:p>
    <w:p>
      <w:pPr>
        <w:spacing w:before="0" w:after="0" w:afterAutospacing="0"/>
        <w:ind w:left="0" w:right="0" w:firstLine="420" w:firstLineChars="200"/>
        <w:rPr>
          <w:rFonts w:ascii="宋体" w:hAnsi="宋体" w:cs="宋体"/>
          <w:color w:val="auto"/>
          <w:highlight w:val="none"/>
        </w:rPr>
      </w:pPr>
      <w:r>
        <w:rPr>
          <w:rFonts w:hint="eastAsia" w:ascii="宋体" w:hAnsi="宋体" w:cs="宋体"/>
          <w:color w:val="auto"/>
          <w:highlight w:val="none"/>
        </w:rPr>
        <w:t>（3）承诺书（格式见A3）；</w:t>
      </w:r>
    </w:p>
    <w:p>
      <w:pPr>
        <w:spacing w:before="0" w:after="0" w:afterAutospacing="0"/>
        <w:ind w:left="0" w:right="0" w:firstLine="420" w:firstLineChars="200"/>
        <w:rPr>
          <w:rFonts w:ascii="宋体" w:hAnsi="宋体" w:cs="宋体"/>
          <w:color w:val="auto"/>
          <w:highlight w:val="none"/>
        </w:rPr>
      </w:pPr>
      <w:r>
        <w:rPr>
          <w:rFonts w:hint="eastAsia" w:ascii="宋体" w:hAnsi="宋体" w:cs="宋体"/>
          <w:color w:val="auto"/>
          <w:highlight w:val="none"/>
        </w:rPr>
        <w:t>（4）比选申请人业绩[比选申请人自2017年1月1日（备注：近5年）至比选申请截止时间前至少承接过1项合同金额不少于10万元的生活给水设备安装项目或参与</w:t>
      </w:r>
      <w:r>
        <w:rPr>
          <w:rFonts w:hint="eastAsia" w:ascii="宋体" w:hAnsi="宋体" w:cs="宋体"/>
          <w:color w:val="auto"/>
          <w:highlight w:val="none"/>
          <w:lang w:eastAsia="zh-CN"/>
        </w:rPr>
        <w:t>1项轨道交通（车站数量不少于10座或者线路长度不少于12公里）综合机电设备（至少包含给排水专业）维修保养项目业绩</w:t>
      </w:r>
      <w:r>
        <w:rPr>
          <w:rFonts w:hint="eastAsia" w:ascii="宋体" w:hAnsi="宋体" w:cs="宋体"/>
          <w:color w:val="auto"/>
          <w:highlight w:val="none"/>
        </w:rPr>
        <w:t>。</w:t>
      </w:r>
    </w:p>
    <w:p>
      <w:pPr>
        <w:spacing w:before="0" w:after="0" w:afterAutospacing="0"/>
        <w:ind w:left="0" w:right="0" w:firstLine="420" w:firstLineChars="200"/>
        <w:rPr>
          <w:rFonts w:ascii="宋体" w:hAnsi="宋体" w:cs="宋体"/>
          <w:highlight w:val="none"/>
        </w:rPr>
      </w:pPr>
      <w:r>
        <w:rPr>
          <w:rFonts w:hint="eastAsia" w:ascii="宋体" w:hAnsi="宋体" w:cs="宋体"/>
          <w:highlight w:val="none"/>
        </w:rPr>
        <w:t>（5）比选申请人认为应提交的其他比选申请资料（如有）。</w:t>
      </w:r>
    </w:p>
    <w:p>
      <w:pPr>
        <w:spacing w:before="0" w:after="0" w:afterAutospacing="0"/>
        <w:ind w:left="0" w:right="0" w:firstLine="420" w:firstLineChars="200"/>
        <w:rPr>
          <w:rFonts w:ascii="宋体" w:hAnsi="宋体" w:cs="宋体"/>
          <w:highlight w:val="none"/>
        </w:rPr>
      </w:pPr>
      <w:r>
        <w:rPr>
          <w:rFonts w:hint="eastAsia" w:ascii="宋体" w:hAnsi="宋体" w:cs="宋体"/>
          <w:highlight w:val="none"/>
        </w:rPr>
        <w:t>注：以上提供的复印件必须加盖比选申请人公章。</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pPr>
        <w:rPr>
          <w:rFonts w:ascii="宋体" w:hAnsi="宋体"/>
          <w:b/>
          <w:highlight w:val="none"/>
        </w:rPr>
      </w:pPr>
      <w:r>
        <w:rPr>
          <w:rFonts w:ascii="宋体" w:hAnsi="宋体"/>
          <w:b/>
          <w:highlight w:val="none"/>
        </w:rPr>
        <w:br w:type="page"/>
      </w:r>
    </w:p>
    <w:p>
      <w:pPr>
        <w:numPr>
          <w:ilvl w:val="1"/>
          <w:numId w:val="5"/>
        </w:numPr>
        <w:snapToGrid w:val="0"/>
        <w:spacing w:before="0" w:line="240" w:lineRule="auto"/>
        <w:ind w:right="0" w:firstLine="0"/>
        <w:jc w:val="left"/>
        <w:outlineLvl w:val="2"/>
        <w:rPr>
          <w:rFonts w:ascii="宋体" w:hAnsi="宋体"/>
          <w:b/>
          <w:highlight w:val="none"/>
        </w:rPr>
      </w:pPr>
      <w:r>
        <w:rPr>
          <w:rFonts w:ascii="宋体" w:hAnsi="宋体"/>
          <w:b/>
          <w:highlight w:val="none"/>
        </w:rPr>
        <w:t>法定代表人授权书格式</w:t>
      </w:r>
    </w:p>
    <w:p>
      <w:pPr>
        <w:spacing w:before="240" w:after="240"/>
        <w:ind w:right="0" w:firstLine="0"/>
        <w:jc w:val="center"/>
        <w:rPr>
          <w:rFonts w:ascii="宋体" w:hAnsi="宋体"/>
          <w:b/>
          <w:sz w:val="32"/>
          <w:szCs w:val="32"/>
          <w:highlight w:val="none"/>
        </w:rPr>
      </w:pPr>
      <w:r>
        <w:rPr>
          <w:rFonts w:ascii="宋体" w:hAnsi="宋体"/>
          <w:b/>
          <w:sz w:val="32"/>
          <w:szCs w:val="32"/>
          <w:highlight w:val="none"/>
        </w:rPr>
        <w:t>法定代表人授权书</w:t>
      </w:r>
    </w:p>
    <w:p>
      <w:pPr>
        <w:tabs>
          <w:tab w:val="left" w:pos="8364"/>
        </w:tabs>
        <w:snapToGrid w:val="0"/>
        <w:ind w:left="500" w:right="0" w:hanging="499"/>
        <w:rPr>
          <w:rFonts w:ascii="宋体" w:hAnsi="宋体"/>
          <w:highlight w:val="none"/>
        </w:rPr>
      </w:pPr>
      <w:r>
        <w:rPr>
          <w:rFonts w:ascii="宋体" w:hAnsi="宋体"/>
          <w:highlight w:val="none"/>
        </w:rPr>
        <w:t>致：</w:t>
      </w:r>
      <w:r>
        <w:rPr>
          <w:rFonts w:hint="eastAsia" w:ascii="宋体" w:hAnsi="宋体"/>
          <w:highlight w:val="none"/>
        </w:rPr>
        <w:t>南宁轨道交通运营有限公司</w:t>
      </w:r>
    </w:p>
    <w:p>
      <w:pPr>
        <w:tabs>
          <w:tab w:val="left" w:pos="8364"/>
        </w:tabs>
        <w:snapToGrid w:val="0"/>
        <w:ind w:right="0" w:firstLine="200"/>
        <w:rPr>
          <w:rFonts w:ascii="宋体" w:hAnsi="宋体"/>
          <w:highlight w:val="none"/>
        </w:rPr>
      </w:pPr>
      <w:r>
        <w:rPr>
          <w:rFonts w:ascii="宋体" w:hAnsi="宋体"/>
          <w:highlight w:val="none"/>
        </w:rPr>
        <w:t>本授权书声明：注册于</w:t>
      </w:r>
      <w:r>
        <w:rPr>
          <w:rFonts w:ascii="宋体" w:hAnsi="宋体"/>
          <w:highlight w:val="none"/>
          <w:u w:val="single"/>
        </w:rPr>
        <w:t>(国家或地区)</w:t>
      </w:r>
      <w:r>
        <w:rPr>
          <w:rFonts w:ascii="宋体" w:hAnsi="宋体"/>
          <w:highlight w:val="none"/>
        </w:rPr>
        <w:t>的</w:t>
      </w:r>
      <w:r>
        <w:rPr>
          <w:rFonts w:ascii="宋体" w:hAnsi="宋体"/>
          <w:highlight w:val="none"/>
          <w:u w:val="single"/>
        </w:rPr>
        <w:t>（比选申请人名称）</w:t>
      </w:r>
      <w:r>
        <w:rPr>
          <w:rFonts w:ascii="宋体" w:hAnsi="宋体"/>
          <w:highlight w:val="none"/>
        </w:rPr>
        <w:t>在下面签字</w:t>
      </w:r>
      <w:r>
        <w:rPr>
          <w:rFonts w:hint="eastAsia" w:ascii="宋体" w:hAnsi="宋体"/>
          <w:highlight w:val="none"/>
        </w:rPr>
        <w:t>或盖章</w:t>
      </w:r>
      <w:r>
        <w:rPr>
          <w:rFonts w:ascii="宋体" w:hAnsi="宋体"/>
          <w:highlight w:val="none"/>
        </w:rPr>
        <w:t>的</w:t>
      </w:r>
      <w:r>
        <w:rPr>
          <w:rFonts w:ascii="宋体" w:hAnsi="宋体"/>
          <w:highlight w:val="none"/>
          <w:u w:val="single"/>
        </w:rPr>
        <w:t>（法定代表人姓名、职务）</w:t>
      </w:r>
      <w:r>
        <w:rPr>
          <w:rFonts w:ascii="宋体" w:hAnsi="宋体"/>
          <w:highlight w:val="none"/>
        </w:rPr>
        <w:t>代表本公司授权在下面签字</w:t>
      </w:r>
      <w:r>
        <w:rPr>
          <w:rFonts w:hint="eastAsia" w:ascii="宋体" w:hAnsi="宋体"/>
          <w:highlight w:val="none"/>
        </w:rPr>
        <w:t>或盖章</w:t>
      </w:r>
      <w:r>
        <w:rPr>
          <w:rFonts w:ascii="宋体" w:hAnsi="宋体"/>
          <w:highlight w:val="none"/>
        </w:rPr>
        <w:t>的</w:t>
      </w:r>
      <w:r>
        <w:rPr>
          <w:rFonts w:ascii="宋体" w:hAnsi="宋体"/>
          <w:highlight w:val="none"/>
          <w:u w:val="single"/>
        </w:rPr>
        <w:t>（被授权人的姓名、职务）</w:t>
      </w:r>
      <w:r>
        <w:rPr>
          <w:rFonts w:ascii="宋体" w:hAnsi="宋体"/>
          <w:highlight w:val="none"/>
        </w:rPr>
        <w:t>为本公司的合法代理人，就项目编号为的项目的服务的比选申请和合同执行，作为比选申请人代表以本公司的名义处理一切与之有关的事宜。</w:t>
      </w:r>
    </w:p>
    <w:p>
      <w:pPr>
        <w:tabs>
          <w:tab w:val="left" w:pos="8364"/>
        </w:tabs>
        <w:snapToGrid w:val="0"/>
        <w:ind w:right="0" w:firstLine="200"/>
        <w:rPr>
          <w:rFonts w:ascii="宋体" w:hAnsi="宋体"/>
          <w:highlight w:val="none"/>
        </w:rPr>
      </w:pPr>
      <w:r>
        <w:rPr>
          <w:rFonts w:ascii="宋体" w:hAnsi="宋体"/>
          <w:highlight w:val="none"/>
        </w:rPr>
        <w:t>本授权书于年月日签字生效，特此声明。</w:t>
      </w:r>
    </w:p>
    <w:p>
      <w:pPr>
        <w:tabs>
          <w:tab w:val="left" w:pos="8364"/>
        </w:tabs>
        <w:snapToGrid w:val="0"/>
        <w:ind w:right="0" w:firstLine="200"/>
        <w:rPr>
          <w:rFonts w:ascii="宋体" w:hAnsi="宋体"/>
          <w:highlight w:val="none"/>
        </w:rPr>
      </w:pPr>
    </w:p>
    <w:p>
      <w:pPr>
        <w:tabs>
          <w:tab w:val="left" w:pos="8364"/>
        </w:tabs>
        <w:snapToGrid w:val="0"/>
        <w:ind w:right="0" w:firstLine="200"/>
        <w:rPr>
          <w:rFonts w:ascii="宋体" w:hAnsi="宋体"/>
          <w:highlight w:val="none"/>
          <w:u w:val="single"/>
        </w:rPr>
      </w:pPr>
      <w:r>
        <w:rPr>
          <w:rFonts w:ascii="宋体" w:hAnsi="宋体"/>
          <w:highlight w:val="none"/>
        </w:rPr>
        <w:t>法定代表人签字或盖章：</w:t>
      </w:r>
    </w:p>
    <w:p>
      <w:pPr>
        <w:tabs>
          <w:tab w:val="left" w:pos="8364"/>
        </w:tabs>
        <w:snapToGrid w:val="0"/>
        <w:ind w:right="0" w:firstLine="200"/>
        <w:rPr>
          <w:rFonts w:ascii="宋体" w:hAnsi="宋体"/>
          <w:highlight w:val="none"/>
          <w:u w:val="single"/>
        </w:rPr>
      </w:pPr>
      <w:r>
        <w:rPr>
          <w:rFonts w:ascii="宋体" w:hAnsi="宋体"/>
          <w:highlight w:val="none"/>
        </w:rPr>
        <w:t>职务：</w:t>
      </w:r>
    </w:p>
    <w:p>
      <w:pPr>
        <w:tabs>
          <w:tab w:val="left" w:pos="8364"/>
        </w:tabs>
        <w:snapToGrid w:val="0"/>
        <w:ind w:right="0" w:firstLine="200"/>
        <w:rPr>
          <w:rFonts w:ascii="宋体" w:hAnsi="宋体"/>
          <w:highlight w:val="none"/>
        </w:rPr>
      </w:pPr>
      <w:r>
        <w:rPr>
          <w:rFonts w:ascii="宋体" w:hAnsi="宋体"/>
          <w:highlight w:val="none"/>
        </w:rPr>
        <w:t>单位名称：</w:t>
      </w:r>
      <w:r>
        <w:rPr>
          <w:rFonts w:ascii="宋体" w:hAnsi="宋体"/>
          <w:highlight w:val="none"/>
          <w:u w:val="single"/>
        </w:rPr>
        <w:t>（公章）</w:t>
      </w:r>
    </w:p>
    <w:p>
      <w:pPr>
        <w:tabs>
          <w:tab w:val="left" w:pos="8364"/>
        </w:tabs>
        <w:snapToGrid w:val="0"/>
        <w:ind w:right="0" w:firstLine="200"/>
        <w:rPr>
          <w:rFonts w:ascii="宋体" w:hAnsi="宋体"/>
          <w:highlight w:val="none"/>
          <w:u w:val="single"/>
        </w:rPr>
      </w:pPr>
      <w:r>
        <w:rPr>
          <w:rFonts w:ascii="宋体" w:hAnsi="宋体"/>
          <w:highlight w:val="none"/>
        </w:rPr>
        <w:t>地址：</w:t>
      </w:r>
    </w:p>
    <w:p>
      <w:pPr>
        <w:tabs>
          <w:tab w:val="left" w:pos="8364"/>
        </w:tabs>
        <w:snapToGrid w:val="0"/>
        <w:ind w:right="0" w:firstLine="200"/>
        <w:rPr>
          <w:rFonts w:ascii="宋体" w:hAnsi="宋体"/>
          <w:highlight w:val="none"/>
        </w:rPr>
      </w:pPr>
    </w:p>
    <w:p>
      <w:pPr>
        <w:tabs>
          <w:tab w:val="left" w:pos="8364"/>
        </w:tabs>
        <w:snapToGrid w:val="0"/>
        <w:ind w:right="0" w:firstLine="200"/>
        <w:rPr>
          <w:rFonts w:ascii="宋体" w:hAnsi="宋体"/>
          <w:highlight w:val="none"/>
          <w:u w:val="single"/>
        </w:rPr>
      </w:pPr>
      <w:r>
        <w:rPr>
          <w:rFonts w:ascii="宋体" w:hAnsi="宋体"/>
          <w:highlight w:val="none"/>
        </w:rPr>
        <w:t>比选申请人代表（被授权人）签字或盖章：</w:t>
      </w:r>
    </w:p>
    <w:p>
      <w:pPr>
        <w:tabs>
          <w:tab w:val="left" w:pos="8364"/>
        </w:tabs>
        <w:snapToGrid w:val="0"/>
        <w:ind w:right="0" w:firstLine="200"/>
        <w:rPr>
          <w:rFonts w:ascii="宋体" w:hAnsi="宋体"/>
          <w:highlight w:val="none"/>
          <w:u w:val="single"/>
        </w:rPr>
      </w:pPr>
      <w:r>
        <w:rPr>
          <w:rFonts w:ascii="宋体" w:hAnsi="宋体"/>
          <w:highlight w:val="none"/>
        </w:rPr>
        <w:t>职务：</w:t>
      </w:r>
    </w:p>
    <w:p>
      <w:pPr>
        <w:tabs>
          <w:tab w:val="left" w:pos="8364"/>
        </w:tabs>
        <w:snapToGrid w:val="0"/>
        <w:ind w:right="0" w:firstLine="200"/>
        <w:rPr>
          <w:rFonts w:ascii="宋体" w:hAnsi="宋体"/>
          <w:highlight w:val="none"/>
        </w:rPr>
      </w:pPr>
      <w:r>
        <w:rPr>
          <w:rFonts w:ascii="宋体" w:hAnsi="宋体"/>
          <w:highlight w:val="none"/>
        </w:rPr>
        <w:t>单位名称：</w:t>
      </w:r>
      <w:r>
        <w:rPr>
          <w:rFonts w:ascii="宋体" w:hAnsi="宋体"/>
          <w:highlight w:val="none"/>
          <w:u w:val="single"/>
        </w:rPr>
        <w:t>（公章）</w:t>
      </w:r>
    </w:p>
    <w:p>
      <w:pPr>
        <w:tabs>
          <w:tab w:val="left" w:pos="8364"/>
        </w:tabs>
        <w:snapToGrid w:val="0"/>
        <w:ind w:right="0" w:firstLine="200"/>
        <w:rPr>
          <w:rFonts w:ascii="宋体" w:hAnsi="宋体"/>
          <w:highlight w:val="none"/>
          <w:u w:val="single"/>
        </w:rPr>
      </w:pPr>
      <w:r>
        <w:rPr>
          <w:rFonts w:ascii="宋体" w:hAnsi="宋体"/>
          <w:highlight w:val="none"/>
        </w:rPr>
        <w:t>地址：</w:t>
      </w:r>
    </w:p>
    <w:p>
      <w:pPr>
        <w:rPr>
          <w:rFonts w:hint="eastAsia" w:ascii="宋体" w:hAnsi="宋体"/>
          <w:b/>
          <w:highlight w:val="none"/>
        </w:rPr>
      </w:pPr>
      <w:r>
        <w:rPr>
          <w:rFonts w:hint="eastAsia" w:ascii="宋体" w:hAnsi="宋体"/>
          <w:b/>
          <w:highlight w:val="none"/>
        </w:rPr>
        <w:br w:type="page"/>
      </w:r>
    </w:p>
    <w:p>
      <w:pPr>
        <w:spacing w:before="0"/>
        <w:ind w:right="0" w:firstLine="135"/>
        <w:rPr>
          <w:rFonts w:ascii="宋体" w:hAnsi="宋体"/>
          <w:b/>
          <w:highlight w:val="none"/>
        </w:rPr>
      </w:pPr>
      <w:r>
        <w:rPr>
          <w:rFonts w:hint="eastAsia" w:ascii="宋体" w:hAnsi="宋体"/>
          <w:b/>
          <w:highlight w:val="none"/>
        </w:rPr>
        <w:t>附：授权代理人身份证复印件</w:t>
      </w:r>
    </w:p>
    <w:p>
      <w:pPr>
        <w:tabs>
          <w:tab w:val="left" w:pos="8364"/>
        </w:tabs>
        <w:snapToGrid w:val="0"/>
        <w:ind w:right="0" w:firstLine="200"/>
        <w:rPr>
          <w:rFonts w:ascii="宋体" w:hAnsi="宋体"/>
          <w:highlight w:val="none"/>
          <w:u w:val="single"/>
        </w:rPr>
      </w:pPr>
    </w:p>
    <w:p>
      <w:pPr>
        <w:rPr>
          <w:rFonts w:ascii="宋体" w:hAnsi="宋体"/>
          <w:b/>
          <w:highlight w:val="none"/>
        </w:rPr>
      </w:pPr>
      <w:r>
        <w:rPr>
          <w:rFonts w:ascii="宋体" w:hAnsi="宋体"/>
          <w:b/>
          <w:highlight w:val="none"/>
        </w:rPr>
        <w:br w:type="page"/>
      </w:r>
    </w:p>
    <w:p>
      <w:pPr>
        <w:numPr>
          <w:ilvl w:val="1"/>
          <w:numId w:val="5"/>
        </w:numPr>
        <w:snapToGrid w:val="0"/>
        <w:spacing w:before="0" w:line="240" w:lineRule="auto"/>
        <w:ind w:right="0" w:firstLine="0"/>
        <w:jc w:val="left"/>
        <w:outlineLvl w:val="2"/>
        <w:rPr>
          <w:rFonts w:ascii="宋体" w:hAnsi="宋体"/>
          <w:b/>
          <w:highlight w:val="none"/>
        </w:rPr>
      </w:pPr>
      <w:r>
        <w:rPr>
          <w:rFonts w:ascii="宋体" w:hAnsi="宋体"/>
          <w:b/>
          <w:highlight w:val="none"/>
        </w:rPr>
        <w:t>法定代表人资格证明书格式</w:t>
      </w:r>
    </w:p>
    <w:p>
      <w:pPr>
        <w:ind w:right="0" w:firstLine="200"/>
        <w:rPr>
          <w:rFonts w:ascii="宋体" w:hAnsi="宋体"/>
          <w:highlight w:val="none"/>
        </w:rPr>
      </w:pPr>
    </w:p>
    <w:p>
      <w:pPr>
        <w:spacing w:before="240" w:after="240"/>
        <w:ind w:right="0" w:firstLine="0"/>
        <w:jc w:val="center"/>
        <w:rPr>
          <w:rFonts w:ascii="宋体" w:hAnsi="宋体"/>
          <w:b/>
          <w:sz w:val="32"/>
          <w:szCs w:val="32"/>
          <w:highlight w:val="none"/>
        </w:rPr>
      </w:pPr>
      <w:r>
        <w:rPr>
          <w:rFonts w:ascii="宋体" w:hAnsi="宋体"/>
          <w:b/>
          <w:sz w:val="32"/>
          <w:szCs w:val="32"/>
          <w:highlight w:val="none"/>
        </w:rPr>
        <w:t>法定代表人资格证明书</w:t>
      </w:r>
    </w:p>
    <w:p>
      <w:pPr>
        <w:ind w:right="0" w:firstLine="200"/>
        <w:rPr>
          <w:rFonts w:ascii="宋体" w:hAnsi="宋体"/>
          <w:highlight w:val="none"/>
          <w:u w:val="single"/>
        </w:rPr>
      </w:pPr>
      <w:r>
        <w:rPr>
          <w:rFonts w:ascii="宋体" w:hAnsi="宋体"/>
          <w:highlight w:val="none"/>
        </w:rPr>
        <w:t>单位名称：</w:t>
      </w:r>
    </w:p>
    <w:p>
      <w:pPr>
        <w:ind w:right="0" w:firstLine="200"/>
        <w:rPr>
          <w:rFonts w:ascii="宋体" w:hAnsi="宋体"/>
          <w:highlight w:val="none"/>
          <w:u w:val="single"/>
        </w:rPr>
      </w:pPr>
      <w:r>
        <w:rPr>
          <w:rFonts w:ascii="宋体" w:hAnsi="宋体"/>
          <w:highlight w:val="none"/>
        </w:rPr>
        <w:t>地址：</w:t>
      </w:r>
    </w:p>
    <w:p>
      <w:pPr>
        <w:ind w:right="0" w:firstLine="200"/>
        <w:rPr>
          <w:rFonts w:ascii="宋体" w:hAnsi="宋体"/>
          <w:highlight w:val="none"/>
          <w:u w:val="single"/>
        </w:rPr>
      </w:pPr>
      <w:r>
        <w:rPr>
          <w:rFonts w:ascii="宋体" w:hAnsi="宋体"/>
          <w:highlight w:val="none"/>
        </w:rPr>
        <w:t>姓名：性别：年龄：职务：</w:t>
      </w:r>
    </w:p>
    <w:p>
      <w:pPr>
        <w:ind w:right="0" w:firstLine="200"/>
        <w:rPr>
          <w:rFonts w:ascii="宋体" w:hAnsi="宋体"/>
          <w:highlight w:val="none"/>
        </w:rPr>
      </w:pPr>
      <w:r>
        <w:rPr>
          <w:rFonts w:ascii="宋体" w:hAnsi="宋体"/>
          <w:highlight w:val="none"/>
        </w:rPr>
        <w:t>系的法定代表人。</w:t>
      </w:r>
    </w:p>
    <w:p>
      <w:pPr>
        <w:ind w:right="0" w:firstLine="200"/>
        <w:rPr>
          <w:rFonts w:ascii="宋体" w:hAnsi="宋体"/>
          <w:highlight w:val="none"/>
        </w:rPr>
      </w:pPr>
      <w:r>
        <w:rPr>
          <w:rFonts w:ascii="宋体" w:hAnsi="宋体"/>
          <w:highlight w:val="none"/>
        </w:rPr>
        <w:t>特此证明。</w:t>
      </w:r>
    </w:p>
    <w:p>
      <w:pPr>
        <w:ind w:right="0" w:firstLine="200"/>
        <w:rPr>
          <w:rFonts w:ascii="宋体" w:hAnsi="宋体"/>
          <w:highlight w:val="none"/>
        </w:rPr>
      </w:pPr>
    </w:p>
    <w:p>
      <w:pPr>
        <w:ind w:right="0" w:firstLine="200"/>
        <w:rPr>
          <w:rFonts w:ascii="宋体" w:hAnsi="宋体"/>
          <w:highlight w:val="none"/>
          <w:u w:val="single"/>
        </w:rPr>
      </w:pPr>
      <w:r>
        <w:rPr>
          <w:rFonts w:ascii="宋体" w:hAnsi="宋体"/>
          <w:highlight w:val="none"/>
        </w:rPr>
        <w:t>比选申请人：（盖章）</w:t>
      </w:r>
    </w:p>
    <w:p>
      <w:pPr>
        <w:ind w:right="0" w:firstLine="200"/>
        <w:rPr>
          <w:rFonts w:ascii="宋体" w:hAnsi="宋体"/>
          <w:highlight w:val="none"/>
        </w:rPr>
      </w:pPr>
      <w:r>
        <w:rPr>
          <w:rFonts w:ascii="宋体" w:hAnsi="宋体"/>
          <w:highlight w:val="none"/>
        </w:rPr>
        <w:t>日期：</w:t>
      </w:r>
      <w:r>
        <w:rPr>
          <w:rFonts w:hint="eastAsia" w:ascii="宋体" w:hAnsi="宋体"/>
          <w:highlight w:val="none"/>
          <w:lang w:val="en-US" w:eastAsia="zh-CN"/>
        </w:rPr>
        <w:t xml:space="preserve">    </w:t>
      </w:r>
      <w:r>
        <w:rPr>
          <w:rFonts w:ascii="宋体" w:hAnsi="宋体"/>
          <w:highlight w:val="none"/>
        </w:rPr>
        <w:t>年</w:t>
      </w:r>
      <w:r>
        <w:rPr>
          <w:rFonts w:hint="eastAsia" w:ascii="宋体" w:hAnsi="宋体"/>
          <w:highlight w:val="none"/>
          <w:lang w:val="en-US" w:eastAsia="zh-CN"/>
        </w:rPr>
        <w:t xml:space="preserve">   </w:t>
      </w:r>
      <w:r>
        <w:rPr>
          <w:rFonts w:ascii="宋体" w:hAnsi="宋体"/>
          <w:highlight w:val="none"/>
        </w:rPr>
        <w:t>月</w:t>
      </w:r>
      <w:r>
        <w:rPr>
          <w:rFonts w:hint="eastAsia" w:ascii="宋体" w:hAnsi="宋体"/>
          <w:highlight w:val="none"/>
          <w:lang w:val="en-US" w:eastAsia="zh-CN"/>
        </w:rPr>
        <w:t xml:space="preserve">    </w:t>
      </w:r>
      <w:r>
        <w:rPr>
          <w:rFonts w:ascii="宋体" w:hAnsi="宋体"/>
          <w:highlight w:val="none"/>
        </w:rPr>
        <w:t>日</w:t>
      </w:r>
    </w:p>
    <w:p>
      <w:pPr>
        <w:rPr>
          <w:rFonts w:hint="eastAsia" w:ascii="宋体" w:hAnsi="宋体"/>
          <w:b/>
          <w:highlight w:val="none"/>
        </w:rPr>
      </w:pPr>
      <w:r>
        <w:rPr>
          <w:rFonts w:hint="eastAsia" w:ascii="宋体" w:hAnsi="宋体"/>
          <w:b/>
          <w:highlight w:val="none"/>
        </w:rPr>
        <w:br w:type="page"/>
      </w:r>
    </w:p>
    <w:p>
      <w:pPr>
        <w:rPr>
          <w:rFonts w:ascii="宋体" w:hAnsi="宋体"/>
          <w:b/>
          <w:highlight w:val="none"/>
        </w:rPr>
      </w:pPr>
      <w:r>
        <w:rPr>
          <w:rFonts w:hint="eastAsia" w:ascii="宋体" w:hAnsi="宋体"/>
          <w:b/>
          <w:highlight w:val="none"/>
        </w:rPr>
        <w:t>附</w:t>
      </w:r>
      <w:r>
        <w:rPr>
          <w:rFonts w:ascii="宋体" w:hAnsi="宋体"/>
          <w:b/>
          <w:highlight w:val="none"/>
        </w:rPr>
        <w:t xml:space="preserve">: </w:t>
      </w:r>
      <w:r>
        <w:rPr>
          <w:rFonts w:hint="eastAsia" w:ascii="宋体" w:hAnsi="宋体"/>
          <w:b/>
          <w:highlight w:val="none"/>
        </w:rPr>
        <w:t>法人身份证复印件</w:t>
      </w:r>
    </w:p>
    <w:p>
      <w:pPr>
        <w:pageBreakBefore/>
        <w:snapToGrid w:val="0"/>
        <w:ind w:right="0" w:firstLine="0"/>
        <w:jc w:val="left"/>
        <w:outlineLvl w:val="2"/>
        <w:rPr>
          <w:rFonts w:ascii="宋体" w:hAnsi="宋体"/>
          <w:b/>
          <w:highlight w:val="none"/>
        </w:rPr>
      </w:pPr>
      <w:r>
        <w:rPr>
          <w:rFonts w:hint="eastAsia" w:ascii="宋体" w:hAnsi="宋体"/>
          <w:b/>
          <w:highlight w:val="none"/>
        </w:rPr>
        <w:t xml:space="preserve">A3 </w:t>
      </w:r>
      <w:r>
        <w:rPr>
          <w:rFonts w:ascii="宋体" w:hAnsi="宋体"/>
          <w:b/>
          <w:highlight w:val="none"/>
        </w:rPr>
        <w:t>承诺书格式</w:t>
      </w:r>
    </w:p>
    <w:p>
      <w:pPr>
        <w:spacing w:before="240" w:after="240" w:line="360" w:lineRule="exact"/>
        <w:ind w:right="0" w:firstLine="0"/>
        <w:jc w:val="center"/>
        <w:rPr>
          <w:rFonts w:ascii="宋体" w:hAnsi="宋体"/>
          <w:b/>
          <w:sz w:val="32"/>
          <w:szCs w:val="32"/>
          <w:highlight w:val="none"/>
        </w:rPr>
      </w:pPr>
      <w:r>
        <w:rPr>
          <w:rFonts w:ascii="宋体" w:hAnsi="宋体"/>
          <w:b/>
          <w:sz w:val="32"/>
          <w:szCs w:val="32"/>
          <w:highlight w:val="none"/>
        </w:rPr>
        <w:t>承诺书</w:t>
      </w:r>
    </w:p>
    <w:p>
      <w:pPr>
        <w:spacing w:before="0" w:after="0" w:afterAutospacing="0"/>
        <w:ind w:left="0" w:right="0" w:firstLine="420" w:firstLineChars="200"/>
        <w:jc w:val="left"/>
        <w:rPr>
          <w:rFonts w:ascii="宋体" w:hAnsi="宋体"/>
          <w:highlight w:val="none"/>
        </w:rPr>
      </w:pPr>
      <w:r>
        <w:rPr>
          <w:rFonts w:ascii="宋体" w:hAnsi="宋体"/>
          <w:highlight w:val="none"/>
        </w:rPr>
        <w:t>致：</w:t>
      </w:r>
      <w:r>
        <w:rPr>
          <w:rFonts w:hint="eastAsia" w:ascii="宋体" w:hAnsi="宋体"/>
          <w:highlight w:val="none"/>
          <w:u w:val="single"/>
        </w:rPr>
        <w:t>南宁轨道交通运营有限公司</w:t>
      </w:r>
    </w:p>
    <w:p>
      <w:pPr>
        <w:spacing w:before="0" w:after="0" w:afterAutospacing="0"/>
        <w:ind w:left="0" w:right="0" w:firstLine="420" w:firstLineChars="200"/>
        <w:jc w:val="left"/>
        <w:rPr>
          <w:rFonts w:ascii="宋体" w:hAnsi="宋体"/>
          <w:highlight w:val="none"/>
        </w:rPr>
      </w:pPr>
      <w:r>
        <w:rPr>
          <w:rFonts w:ascii="宋体" w:hAnsi="宋体"/>
          <w:highlight w:val="none"/>
        </w:rPr>
        <w:t>1、在认真研读</w:t>
      </w:r>
      <w:r>
        <w:rPr>
          <w:rFonts w:hint="eastAsia" w:ascii="宋体" w:hAnsi="宋体"/>
          <w:highlight w:val="none"/>
        </w:rPr>
        <w:t>南宁轨道交通运营有限公司的比选文件</w:t>
      </w:r>
      <w:r>
        <w:rPr>
          <w:rFonts w:ascii="宋体" w:hAnsi="宋体"/>
          <w:highlight w:val="none"/>
        </w:rPr>
        <w:t>后，我方经慎重考虑，郑重承诺参加</w:t>
      </w:r>
      <w:r>
        <w:rPr>
          <w:rFonts w:hint="eastAsia" w:ascii="宋体" w:hAnsi="宋体"/>
          <w:highlight w:val="none"/>
        </w:rPr>
        <w:t>项目的招比选申请</w:t>
      </w:r>
      <w:r>
        <w:rPr>
          <w:rFonts w:ascii="宋体" w:hAnsi="宋体"/>
          <w:highlight w:val="none"/>
        </w:rPr>
        <w:t>活动。</w:t>
      </w:r>
    </w:p>
    <w:p>
      <w:pPr>
        <w:spacing w:before="0" w:after="0" w:afterAutospacing="0"/>
        <w:ind w:left="0" w:right="0" w:firstLine="420" w:firstLineChars="200"/>
        <w:jc w:val="left"/>
        <w:rPr>
          <w:rFonts w:ascii="宋体" w:hAnsi="宋体"/>
          <w:highlight w:val="none"/>
        </w:rPr>
      </w:pPr>
      <w:r>
        <w:rPr>
          <w:rFonts w:ascii="宋体" w:hAnsi="宋体"/>
          <w:highlight w:val="none"/>
        </w:rPr>
        <w:t>2、我方按照贵方</w:t>
      </w:r>
      <w:r>
        <w:rPr>
          <w:rFonts w:hint="eastAsia" w:ascii="宋体" w:hAnsi="宋体"/>
          <w:highlight w:val="none"/>
        </w:rPr>
        <w:t>比选文件</w:t>
      </w:r>
      <w:r>
        <w:rPr>
          <w:rFonts w:ascii="宋体" w:hAnsi="宋体"/>
          <w:highlight w:val="none"/>
        </w:rPr>
        <w:t>要求的内容与格式，已编制完成</w:t>
      </w:r>
      <w:r>
        <w:rPr>
          <w:rFonts w:hint="eastAsia" w:ascii="宋体" w:hAnsi="宋体"/>
          <w:highlight w:val="none"/>
        </w:rPr>
        <w:t>比选申请文件</w:t>
      </w:r>
      <w:r>
        <w:rPr>
          <w:rFonts w:ascii="宋体" w:hAnsi="宋体"/>
          <w:highlight w:val="none"/>
        </w:rPr>
        <w:t>，现报上。</w:t>
      </w:r>
    </w:p>
    <w:p>
      <w:pPr>
        <w:spacing w:before="0" w:after="0" w:afterAutospacing="0"/>
        <w:ind w:left="0" w:right="0" w:firstLine="420" w:firstLineChars="200"/>
        <w:jc w:val="left"/>
        <w:rPr>
          <w:rFonts w:ascii="宋体" w:hAnsi="宋体"/>
          <w:highlight w:val="none"/>
        </w:rPr>
      </w:pPr>
      <w:r>
        <w:rPr>
          <w:rFonts w:hint="eastAsia" w:ascii="宋体" w:hAnsi="宋体"/>
          <w:highlight w:val="none"/>
        </w:rPr>
        <w:t>3</w:t>
      </w:r>
      <w:r>
        <w:rPr>
          <w:rFonts w:ascii="宋体" w:hAnsi="宋体"/>
          <w:highlight w:val="none"/>
        </w:rPr>
        <w:t>、</w:t>
      </w:r>
      <w:r>
        <w:rPr>
          <w:rFonts w:hint="eastAsia" w:ascii="宋体" w:hAnsi="宋体"/>
          <w:highlight w:val="none"/>
        </w:rPr>
        <w:t>我方</w:t>
      </w:r>
      <w:r>
        <w:rPr>
          <w:rFonts w:ascii="宋体" w:hAnsi="宋体"/>
          <w:highlight w:val="none"/>
        </w:rPr>
        <w:t>承诺：在</w:t>
      </w:r>
      <w:r>
        <w:rPr>
          <w:rFonts w:hint="eastAsia" w:ascii="宋体" w:hAnsi="宋体"/>
          <w:highlight w:val="none"/>
        </w:rPr>
        <w:t>评审</w:t>
      </w:r>
      <w:r>
        <w:rPr>
          <w:rFonts w:ascii="宋体" w:hAnsi="宋体"/>
          <w:highlight w:val="none"/>
        </w:rPr>
        <w:t>过程中，贵方可调查、审核我方提交的与本</w:t>
      </w:r>
      <w:r>
        <w:rPr>
          <w:rFonts w:hint="eastAsia" w:ascii="宋体" w:hAnsi="宋体"/>
          <w:highlight w:val="none"/>
        </w:rPr>
        <w:t>比选申请文件</w:t>
      </w:r>
      <w:r>
        <w:rPr>
          <w:rFonts w:ascii="宋体" w:hAnsi="宋体"/>
          <w:highlight w:val="none"/>
        </w:rPr>
        <w:t>相关的声明、文件和资料，我方准备随时解答贵方提出的疑问。为此，我们授权任何相关的个人和公司向贵方提供要求的和必要的真实情况和资料以证实我们所填报的各项内容。</w:t>
      </w:r>
    </w:p>
    <w:p>
      <w:pPr>
        <w:spacing w:before="0" w:after="0" w:afterAutospacing="0"/>
        <w:ind w:left="0" w:right="0" w:firstLine="420" w:firstLineChars="200"/>
        <w:jc w:val="left"/>
        <w:rPr>
          <w:rFonts w:ascii="宋体" w:hAnsi="宋体"/>
          <w:b/>
          <w:highlight w:val="none"/>
        </w:rPr>
      </w:pPr>
      <w:r>
        <w:rPr>
          <w:rFonts w:hint="eastAsia" w:ascii="宋体" w:hAnsi="宋体"/>
          <w:highlight w:val="none"/>
        </w:rPr>
        <w:t>4</w:t>
      </w:r>
      <w:r>
        <w:rPr>
          <w:rFonts w:ascii="宋体" w:hAnsi="宋体"/>
          <w:highlight w:val="none"/>
        </w:rPr>
        <w:t>、</w:t>
      </w:r>
      <w:r>
        <w:rPr>
          <w:rFonts w:hint="eastAsia" w:ascii="宋体" w:hAnsi="宋体"/>
          <w:highlight w:val="none"/>
        </w:rPr>
        <w:t>我方</w:t>
      </w:r>
      <w:r>
        <w:rPr>
          <w:rFonts w:ascii="宋体" w:hAnsi="宋体"/>
          <w:highlight w:val="none"/>
        </w:rPr>
        <w:t>郑重承诺：</w:t>
      </w:r>
      <w:r>
        <w:rPr>
          <w:rFonts w:ascii="宋体" w:hAnsi="宋体"/>
          <w:b/>
          <w:highlight w:val="none"/>
        </w:rPr>
        <w:t>我方保证</w:t>
      </w:r>
      <w:r>
        <w:rPr>
          <w:rFonts w:hint="eastAsia" w:ascii="宋体" w:hAnsi="宋体"/>
          <w:b/>
          <w:highlight w:val="none"/>
        </w:rPr>
        <w:t>没有处于被责令停业，或比选申请资格被住建部、国家安监总局、广西区或南宁市建设行政主管部门取消，或财产被接管、破产状态</w:t>
      </w:r>
      <w:r>
        <w:rPr>
          <w:rFonts w:ascii="宋体" w:hAnsi="宋体"/>
          <w:b/>
          <w:highlight w:val="none"/>
        </w:rPr>
        <w:t>；在</w:t>
      </w:r>
      <w:r>
        <w:rPr>
          <w:rFonts w:hint="eastAsia" w:ascii="宋体" w:hAnsi="宋体"/>
          <w:b/>
          <w:highlight w:val="none"/>
        </w:rPr>
        <w:t>比选申请截止时间前</w:t>
      </w:r>
      <w:r>
        <w:rPr>
          <w:rFonts w:ascii="宋体" w:hAnsi="宋体"/>
          <w:b/>
          <w:highlight w:val="none"/>
        </w:rPr>
        <w:t>3年内没有骗取中选</w:t>
      </w:r>
      <w:r>
        <w:rPr>
          <w:rFonts w:hint="eastAsia" w:ascii="宋体" w:hAnsi="宋体"/>
          <w:b/>
          <w:highlight w:val="none"/>
        </w:rPr>
        <w:t>、严重违约或重大质量安全责任事故</w:t>
      </w:r>
      <w:r>
        <w:rPr>
          <w:rFonts w:hint="eastAsia" w:ascii="宋体" w:hAnsi="宋体"/>
          <w:b/>
          <w:highlight w:val="none"/>
          <w:lang w:eastAsia="zh-CN"/>
        </w:rPr>
        <w:t>。我方与其他比选申请人之间不存在单位负责人为同一人或者控股、管理关系的情况；我方未列入比选人不良信用名单</w:t>
      </w:r>
      <w:r>
        <w:rPr>
          <w:rFonts w:hint="eastAsia" w:ascii="宋体" w:hAnsi="宋体"/>
          <w:b/>
          <w:highlight w:val="none"/>
        </w:rPr>
        <w:t>。</w:t>
      </w:r>
    </w:p>
    <w:p>
      <w:pPr>
        <w:spacing w:before="0" w:after="0" w:afterAutospacing="0"/>
        <w:ind w:left="0" w:right="0" w:firstLine="422" w:firstLineChars="200"/>
        <w:jc w:val="left"/>
        <w:rPr>
          <w:rFonts w:ascii="宋体" w:hAnsi="宋体"/>
          <w:highlight w:val="none"/>
        </w:rPr>
      </w:pPr>
      <w:r>
        <w:rPr>
          <w:rFonts w:hint="eastAsia" w:ascii="宋体" w:hAnsi="宋体"/>
          <w:b/>
          <w:highlight w:val="none"/>
        </w:rPr>
        <w:t>5、</w:t>
      </w:r>
      <w:r>
        <w:rPr>
          <w:rFonts w:ascii="宋体" w:hAnsi="宋体"/>
          <w:highlight w:val="none"/>
        </w:rPr>
        <w:t>如果</w:t>
      </w:r>
      <w:r>
        <w:rPr>
          <w:rFonts w:hint="eastAsia" w:ascii="宋体" w:hAnsi="宋体"/>
          <w:highlight w:val="none"/>
        </w:rPr>
        <w:t>我公司</w:t>
      </w:r>
      <w:r>
        <w:rPr>
          <w:rFonts w:ascii="宋体" w:hAnsi="宋体"/>
          <w:highlight w:val="none"/>
        </w:rPr>
        <w:t>在该项目</w:t>
      </w:r>
      <w:r>
        <w:rPr>
          <w:rFonts w:hint="eastAsia" w:ascii="宋体" w:hAnsi="宋体"/>
          <w:highlight w:val="none"/>
        </w:rPr>
        <w:t>报名、</w:t>
      </w:r>
      <w:r>
        <w:rPr>
          <w:rFonts w:ascii="宋体" w:hAnsi="宋体"/>
          <w:highlight w:val="none"/>
        </w:rPr>
        <w:t>比选申请过程中或者在中选后，</w:t>
      </w:r>
      <w:r>
        <w:rPr>
          <w:rFonts w:hint="eastAsia" w:ascii="宋体" w:hAnsi="宋体"/>
          <w:highlight w:val="none"/>
        </w:rPr>
        <w:t>比选人</w:t>
      </w:r>
      <w:r>
        <w:rPr>
          <w:rFonts w:ascii="宋体" w:hAnsi="宋体"/>
          <w:highlight w:val="none"/>
        </w:rPr>
        <w:t>或者有管辖权的行政监管机构发现并查实我公司在所填报的该项目</w:t>
      </w:r>
      <w:r>
        <w:rPr>
          <w:rFonts w:hint="eastAsia" w:ascii="宋体" w:hAnsi="宋体"/>
          <w:highlight w:val="none"/>
        </w:rPr>
        <w:t>比选申请文件</w:t>
      </w:r>
      <w:r>
        <w:rPr>
          <w:rFonts w:ascii="宋体" w:hAnsi="宋体"/>
          <w:highlight w:val="none"/>
        </w:rPr>
        <w:t>中存在提供虚假或不真实的信息或者伪造数据、资料或证书等情况，</w:t>
      </w:r>
      <w:r>
        <w:rPr>
          <w:rFonts w:hint="eastAsia" w:ascii="宋体" w:hAnsi="宋体"/>
          <w:highlight w:val="none"/>
        </w:rPr>
        <w:t>视为我公司违约，我公司愿意接受比选人</w:t>
      </w:r>
      <w:r>
        <w:rPr>
          <w:rFonts w:ascii="宋体" w:hAnsi="宋体"/>
          <w:highlight w:val="none"/>
        </w:rPr>
        <w:t>或有管辖权的监管机构的处罚；如果我公司已</w:t>
      </w:r>
      <w:r>
        <w:rPr>
          <w:rFonts w:hint="eastAsia" w:ascii="宋体" w:hAnsi="宋体"/>
          <w:highlight w:val="none"/>
        </w:rPr>
        <w:t>与比选人签订合同，则视为我公司违约</w:t>
      </w:r>
      <w:r>
        <w:rPr>
          <w:rFonts w:ascii="宋体" w:hAnsi="宋体"/>
          <w:highlight w:val="none"/>
        </w:rPr>
        <w:t>；由此造成的任何后果和损失均由我公司承担。本段承诺既是我公司</w:t>
      </w:r>
      <w:r>
        <w:rPr>
          <w:rFonts w:hint="eastAsia" w:ascii="宋体" w:hAnsi="宋体"/>
          <w:highlight w:val="none"/>
        </w:rPr>
        <w:t>比选申请文件</w:t>
      </w:r>
      <w:r>
        <w:rPr>
          <w:rFonts w:ascii="宋体" w:hAnsi="宋体"/>
          <w:highlight w:val="none"/>
        </w:rPr>
        <w:t>的有效组成内容，也是我公司真实意思的表示，对我公司在与该项目有关的任何行为中始终具有优先的法律约束力。</w:t>
      </w:r>
    </w:p>
    <w:p>
      <w:pPr>
        <w:spacing w:before="0" w:after="0" w:afterAutospacing="0"/>
        <w:ind w:left="0" w:right="0" w:firstLine="420" w:firstLineChars="200"/>
        <w:rPr>
          <w:rFonts w:ascii="宋体" w:hAnsi="宋体"/>
          <w:highlight w:val="none"/>
        </w:rPr>
      </w:pPr>
      <w:r>
        <w:rPr>
          <w:rFonts w:hint="eastAsia" w:ascii="宋体" w:hAnsi="宋体"/>
          <w:highlight w:val="none"/>
        </w:rPr>
        <w:t>6</w:t>
      </w:r>
      <w:r>
        <w:rPr>
          <w:rFonts w:ascii="宋体" w:hAnsi="宋体"/>
          <w:highlight w:val="none"/>
        </w:rPr>
        <w:t>、我方了解：无论</w:t>
      </w:r>
      <w:r>
        <w:rPr>
          <w:rFonts w:hint="eastAsia" w:ascii="宋体" w:hAnsi="宋体"/>
          <w:highlight w:val="none"/>
        </w:rPr>
        <w:t>是否中选</w:t>
      </w:r>
      <w:r>
        <w:rPr>
          <w:rFonts w:ascii="宋体" w:hAnsi="宋体"/>
          <w:highlight w:val="none"/>
        </w:rPr>
        <w:t>，我方将自行承担与</w:t>
      </w:r>
      <w:r>
        <w:rPr>
          <w:rFonts w:hint="eastAsia" w:ascii="宋体" w:hAnsi="宋体"/>
          <w:highlight w:val="none"/>
        </w:rPr>
        <w:t>招比选申请</w:t>
      </w:r>
      <w:r>
        <w:rPr>
          <w:rFonts w:ascii="宋体" w:hAnsi="宋体"/>
          <w:highlight w:val="none"/>
        </w:rPr>
        <w:t>活动所需的一切费用。</w:t>
      </w:r>
    </w:p>
    <w:p>
      <w:pPr>
        <w:spacing w:before="0" w:after="0" w:afterAutospacing="0"/>
        <w:ind w:left="0" w:right="0" w:firstLine="420" w:firstLineChars="200"/>
        <w:rPr>
          <w:rFonts w:ascii="宋体" w:hAnsi="宋体"/>
          <w:highlight w:val="none"/>
        </w:rPr>
      </w:pPr>
      <w:r>
        <w:rPr>
          <w:rFonts w:hint="eastAsia" w:ascii="宋体" w:hAnsi="宋体"/>
          <w:highlight w:val="none"/>
        </w:rPr>
        <w:t>7、我方保证本次比选申请的产品拥有合法的生产或销售权，并保证比选人在中华人民共和国使用该比选申请服务或其任何一部分时，免受第三方提出侵犯其任何专利权、著作权、注册商标专有使用权或计算机软件登记或反不正当竞争的起诉及索赔。</w:t>
      </w:r>
    </w:p>
    <w:p>
      <w:pPr>
        <w:spacing w:before="0" w:after="0" w:afterAutospacing="0"/>
        <w:ind w:left="0" w:right="0" w:firstLine="420" w:firstLineChars="200"/>
        <w:jc w:val="left"/>
        <w:rPr>
          <w:rFonts w:ascii="宋体" w:hAnsi="宋体"/>
          <w:highlight w:val="none"/>
        </w:rPr>
      </w:pPr>
      <w:r>
        <w:rPr>
          <w:rFonts w:ascii="宋体" w:hAnsi="宋体"/>
          <w:highlight w:val="none"/>
        </w:rPr>
        <w:t>我</w:t>
      </w:r>
      <w:r>
        <w:rPr>
          <w:rFonts w:hint="eastAsia" w:ascii="宋体" w:hAnsi="宋体"/>
          <w:highlight w:val="none"/>
        </w:rPr>
        <w:t>方</w:t>
      </w:r>
      <w:r>
        <w:rPr>
          <w:rFonts w:ascii="宋体" w:hAnsi="宋体"/>
          <w:highlight w:val="none"/>
        </w:rPr>
        <w:t>声明，我们所填报的资料是完全真实和准确的，并愿为此承担任何相关的法律责任。</w:t>
      </w:r>
    </w:p>
    <w:p>
      <w:pPr>
        <w:spacing w:before="0" w:after="0" w:afterAutospacing="0" w:line="480" w:lineRule="auto"/>
        <w:ind w:left="0" w:right="0" w:firstLine="200"/>
        <w:rPr>
          <w:rFonts w:ascii="宋体" w:hAnsi="宋体"/>
          <w:highlight w:val="none"/>
          <w:u w:val="single"/>
        </w:rPr>
      </w:pPr>
      <w:r>
        <w:rPr>
          <w:rFonts w:hint="eastAsia" w:ascii="宋体" w:hAnsi="宋体"/>
          <w:highlight w:val="none"/>
        </w:rPr>
        <w:t>比选申请人</w:t>
      </w:r>
      <w:r>
        <w:rPr>
          <w:rFonts w:ascii="宋体" w:hAnsi="宋体"/>
          <w:highlight w:val="none"/>
        </w:rPr>
        <w:t>地址：</w:t>
      </w:r>
    </w:p>
    <w:p>
      <w:pPr>
        <w:spacing w:before="0" w:after="0" w:afterAutospacing="0" w:line="480" w:lineRule="auto"/>
        <w:ind w:left="0" w:right="0" w:firstLine="200"/>
        <w:rPr>
          <w:rFonts w:ascii="宋体" w:hAnsi="宋体"/>
          <w:highlight w:val="none"/>
        </w:rPr>
      </w:pPr>
      <w:r>
        <w:rPr>
          <w:rFonts w:hint="eastAsia" w:ascii="宋体" w:hAnsi="宋体"/>
          <w:highlight w:val="none"/>
        </w:rPr>
        <w:t>比选申请人</w:t>
      </w:r>
      <w:r>
        <w:rPr>
          <w:rFonts w:ascii="宋体" w:hAnsi="宋体"/>
          <w:highlight w:val="none"/>
          <w:u w:val="single"/>
        </w:rPr>
        <w:t xml:space="preserve">    (</w:t>
      </w:r>
      <w:r>
        <w:rPr>
          <w:rFonts w:hint="eastAsia" w:ascii="宋体" w:hAnsi="宋体"/>
          <w:highlight w:val="none"/>
          <w:u w:val="single"/>
        </w:rPr>
        <w:t>盖单位公章</w:t>
      </w:r>
      <w:r>
        <w:rPr>
          <w:rFonts w:ascii="宋体" w:hAnsi="宋体"/>
          <w:highlight w:val="none"/>
          <w:u w:val="single"/>
        </w:rPr>
        <w:t>)</w:t>
      </w:r>
    </w:p>
    <w:p>
      <w:pPr>
        <w:spacing w:before="0" w:after="0" w:afterAutospacing="0" w:line="480" w:lineRule="auto"/>
        <w:ind w:left="0" w:right="0" w:firstLine="200"/>
        <w:rPr>
          <w:rFonts w:ascii="宋体" w:hAnsi="宋体"/>
          <w:highlight w:val="none"/>
          <w:u w:val="single"/>
        </w:rPr>
      </w:pPr>
      <w:r>
        <w:rPr>
          <w:rFonts w:ascii="宋体" w:hAnsi="宋体"/>
          <w:highlight w:val="none"/>
        </w:rPr>
        <w:t>邮政编码：</w:t>
      </w:r>
    </w:p>
    <w:p>
      <w:pPr>
        <w:spacing w:before="0" w:after="0" w:afterAutospacing="0" w:line="480" w:lineRule="auto"/>
        <w:ind w:left="0" w:right="0" w:firstLine="200"/>
        <w:rPr>
          <w:rFonts w:ascii="宋体" w:hAnsi="宋体"/>
          <w:highlight w:val="none"/>
          <w:u w:val="single"/>
        </w:rPr>
      </w:pPr>
      <w:r>
        <w:rPr>
          <w:rFonts w:hint="eastAsia" w:ascii="宋体" w:hAnsi="宋体"/>
          <w:highlight w:val="none"/>
        </w:rPr>
        <w:t>法定代表人（或委托代理人）：</w:t>
      </w:r>
      <w:r>
        <w:rPr>
          <w:rFonts w:ascii="宋体" w:hAnsi="宋体"/>
          <w:highlight w:val="none"/>
          <w:u w:val="single"/>
        </w:rPr>
        <w:t>(签字</w:t>
      </w:r>
      <w:r>
        <w:rPr>
          <w:rFonts w:hint="eastAsia" w:ascii="宋体" w:hAnsi="宋体"/>
          <w:highlight w:val="none"/>
          <w:u w:val="single"/>
        </w:rPr>
        <w:t>或盖章</w:t>
      </w:r>
      <w:r>
        <w:rPr>
          <w:rFonts w:ascii="宋体" w:hAnsi="宋体"/>
          <w:highlight w:val="none"/>
          <w:u w:val="single"/>
        </w:rPr>
        <w:t>)</w:t>
      </w:r>
    </w:p>
    <w:p>
      <w:pPr>
        <w:spacing w:before="0" w:after="0" w:afterAutospacing="0" w:line="480" w:lineRule="auto"/>
        <w:ind w:left="0" w:right="0" w:firstLine="200"/>
        <w:rPr>
          <w:rFonts w:ascii="宋体" w:hAnsi="宋体"/>
          <w:highlight w:val="none"/>
          <w:u w:val="single"/>
        </w:rPr>
      </w:pPr>
      <w:r>
        <w:rPr>
          <w:rFonts w:ascii="宋体" w:hAnsi="宋体"/>
          <w:highlight w:val="none"/>
        </w:rPr>
        <w:t>电话：</w:t>
      </w:r>
    </w:p>
    <w:p>
      <w:pPr>
        <w:spacing w:before="0" w:after="0" w:afterAutospacing="0" w:line="480" w:lineRule="auto"/>
        <w:ind w:left="0" w:right="0" w:firstLine="200"/>
        <w:rPr>
          <w:rFonts w:ascii="宋体" w:hAnsi="宋体"/>
          <w:highlight w:val="none"/>
          <w:u w:val="single"/>
        </w:rPr>
      </w:pPr>
      <w:r>
        <w:rPr>
          <w:rFonts w:ascii="宋体" w:hAnsi="宋体"/>
          <w:highlight w:val="none"/>
        </w:rPr>
        <w:t>传真：</w:t>
      </w:r>
    </w:p>
    <w:p>
      <w:pPr>
        <w:spacing w:before="0" w:after="0" w:afterAutospacing="0" w:line="480" w:lineRule="auto"/>
        <w:ind w:left="0" w:right="0" w:firstLine="200"/>
        <w:rPr>
          <w:rFonts w:ascii="宋体" w:hAnsi="宋体"/>
          <w:highlight w:val="none"/>
        </w:rPr>
      </w:pPr>
      <w:r>
        <w:rPr>
          <w:rFonts w:ascii="宋体" w:hAnsi="宋体"/>
          <w:highlight w:val="none"/>
        </w:rPr>
        <w:t>日期：</w:t>
      </w:r>
      <w:r>
        <w:rPr>
          <w:rFonts w:hint="eastAsia" w:ascii="宋体" w:hAnsi="宋体"/>
          <w:highlight w:val="none"/>
          <w:lang w:val="en-US" w:eastAsia="zh-CN"/>
        </w:rPr>
        <w:t xml:space="preserve">   </w:t>
      </w:r>
      <w:r>
        <w:rPr>
          <w:rFonts w:ascii="宋体" w:hAnsi="宋体"/>
          <w:highlight w:val="none"/>
        </w:rPr>
        <w:t>年</w:t>
      </w:r>
      <w:r>
        <w:rPr>
          <w:rFonts w:hint="eastAsia" w:ascii="宋体" w:hAnsi="宋体"/>
          <w:highlight w:val="none"/>
          <w:lang w:val="en-US" w:eastAsia="zh-CN"/>
        </w:rPr>
        <w:t xml:space="preserve">  </w:t>
      </w:r>
      <w:r>
        <w:rPr>
          <w:rFonts w:ascii="宋体" w:hAnsi="宋体"/>
          <w:highlight w:val="none"/>
        </w:rPr>
        <w:t>月</w:t>
      </w:r>
      <w:r>
        <w:rPr>
          <w:rFonts w:hint="eastAsia" w:ascii="宋体" w:hAnsi="宋体"/>
          <w:highlight w:val="none"/>
          <w:lang w:val="en-US" w:eastAsia="zh-CN"/>
        </w:rPr>
        <w:t xml:space="preserve">  </w:t>
      </w:r>
      <w:r>
        <w:rPr>
          <w:rFonts w:ascii="宋体" w:hAnsi="宋体"/>
          <w:highlight w:val="none"/>
        </w:rPr>
        <w:t>日</w:t>
      </w:r>
    </w:p>
    <w:p>
      <w:pPr>
        <w:pStyle w:val="5"/>
        <w:spacing w:after="100"/>
        <w:ind w:right="-57" w:firstLine="0"/>
        <w:jc w:val="center"/>
        <w:rPr>
          <w:sz w:val="24"/>
          <w:szCs w:val="24"/>
          <w:highlight w:val="none"/>
        </w:rPr>
      </w:pPr>
      <w:bookmarkStart w:id="1190" w:name="_Toc5040"/>
      <w:r>
        <w:rPr>
          <w:rFonts w:hint="eastAsia"/>
          <w:sz w:val="24"/>
          <w:szCs w:val="24"/>
          <w:highlight w:val="none"/>
        </w:rPr>
        <w:t>B 价格文件</w:t>
      </w:r>
      <w:bookmarkEnd w:id="1190"/>
    </w:p>
    <w:p>
      <w:pPr>
        <w:spacing w:before="0" w:after="0" w:afterAutospacing="0"/>
        <w:ind w:left="0" w:right="0" w:firstLine="422" w:firstLineChars="200"/>
        <w:jc w:val="left"/>
        <w:rPr>
          <w:rFonts w:ascii="宋体" w:hAnsi="宋体"/>
          <w:b/>
          <w:highlight w:val="none"/>
        </w:rPr>
      </w:pPr>
      <w:r>
        <w:rPr>
          <w:rFonts w:hint="eastAsia" w:ascii="宋体" w:hAnsi="宋体"/>
          <w:b/>
          <w:highlight w:val="none"/>
        </w:rPr>
        <w:t>价格文件格式</w:t>
      </w:r>
    </w:p>
    <w:p>
      <w:pPr>
        <w:spacing w:before="0" w:after="0" w:afterAutospacing="0" w:line="276" w:lineRule="auto"/>
        <w:ind w:left="0" w:right="0" w:firstLine="420" w:firstLineChars="200"/>
        <w:rPr>
          <w:highlight w:val="none"/>
        </w:rPr>
      </w:pPr>
      <w:r>
        <w:rPr>
          <w:rFonts w:hint="eastAsia"/>
          <w:highlight w:val="none"/>
        </w:rPr>
        <w:t>（</w:t>
      </w:r>
      <w:r>
        <w:rPr>
          <w:highlight w:val="none"/>
        </w:rPr>
        <w:t>1</w:t>
      </w:r>
      <w:r>
        <w:rPr>
          <w:rFonts w:hint="eastAsia"/>
          <w:highlight w:val="none"/>
        </w:rPr>
        <w:t>）比选申请报价一览表（格式见B1）；</w:t>
      </w:r>
    </w:p>
    <w:p>
      <w:pPr>
        <w:spacing w:before="0" w:after="0" w:afterAutospacing="0" w:line="276" w:lineRule="auto"/>
        <w:ind w:left="0" w:right="0" w:firstLine="420" w:firstLineChars="200"/>
        <w:rPr>
          <w:highlight w:val="none"/>
        </w:rPr>
      </w:pPr>
      <w:r>
        <w:rPr>
          <w:rFonts w:hint="eastAsia"/>
          <w:highlight w:val="none"/>
        </w:rPr>
        <w:t>（</w:t>
      </w:r>
      <w:r>
        <w:rPr>
          <w:highlight w:val="none"/>
        </w:rPr>
        <w:t>2</w:t>
      </w:r>
      <w:r>
        <w:rPr>
          <w:rFonts w:hint="eastAsia"/>
          <w:highlight w:val="none"/>
        </w:rPr>
        <w:t>）比选申请函（格式见B2）；</w:t>
      </w:r>
    </w:p>
    <w:p>
      <w:pPr>
        <w:spacing w:before="0" w:after="0" w:afterAutospacing="0" w:line="276" w:lineRule="auto"/>
        <w:ind w:left="0" w:right="0" w:firstLine="420" w:firstLineChars="200"/>
        <w:rPr>
          <w:highlight w:val="none"/>
        </w:rPr>
      </w:pPr>
      <w:r>
        <w:rPr>
          <w:rFonts w:hint="eastAsia"/>
          <w:highlight w:val="none"/>
        </w:rPr>
        <w:t>（</w:t>
      </w:r>
      <w:r>
        <w:rPr>
          <w:highlight w:val="none"/>
        </w:rPr>
        <w:t>3</w:t>
      </w:r>
      <w:r>
        <w:rPr>
          <w:rFonts w:hint="eastAsia"/>
          <w:highlight w:val="none"/>
        </w:rPr>
        <w:t>）比选申请报价表（格式见B3）；</w:t>
      </w:r>
    </w:p>
    <w:p>
      <w:pPr>
        <w:spacing w:before="0" w:after="0" w:afterAutospacing="0"/>
        <w:ind w:left="0" w:right="0" w:firstLine="420" w:firstLineChars="200"/>
        <w:rPr>
          <w:rFonts w:ascii="宋体" w:hAnsi="宋体" w:cs="Arial"/>
          <w:highlight w:val="none"/>
        </w:rPr>
      </w:pPr>
      <w:r>
        <w:rPr>
          <w:rFonts w:hint="eastAsia"/>
          <w:highlight w:val="none"/>
        </w:rPr>
        <w:t>（4）比选申请人认为应提交的其他比选申请资料（如有）。</w:t>
      </w:r>
    </w:p>
    <w:p>
      <w:pPr>
        <w:pStyle w:val="6"/>
        <w:tabs>
          <w:tab w:val="left" w:pos="567"/>
          <w:tab w:val="left" w:pos="720"/>
        </w:tabs>
        <w:snapToGrid w:val="0"/>
        <w:spacing w:after="100" w:line="360" w:lineRule="auto"/>
        <w:ind w:right="-57" w:firstLine="0"/>
        <w:jc w:val="left"/>
        <w:rPr>
          <w:rFonts w:ascii="宋体" w:hAnsi="宋体" w:eastAsia="宋体"/>
          <w:sz w:val="21"/>
          <w:szCs w:val="21"/>
          <w:highlight w:val="none"/>
        </w:rPr>
      </w:pPr>
      <w:r>
        <w:rPr>
          <w:rFonts w:ascii="宋体" w:hAnsi="宋体" w:eastAsia="宋体"/>
          <w:highlight w:val="none"/>
        </w:rPr>
        <w:br w:type="page"/>
      </w:r>
      <w:r>
        <w:rPr>
          <w:rFonts w:ascii="宋体" w:hAnsi="宋体" w:eastAsia="宋体"/>
          <w:sz w:val="21"/>
          <w:szCs w:val="21"/>
          <w:highlight w:val="none"/>
        </w:rPr>
        <w:t>B1比选申请报价一览表</w:t>
      </w:r>
    </w:p>
    <w:p>
      <w:pPr>
        <w:snapToGrid w:val="0"/>
        <w:spacing w:after="50"/>
        <w:ind w:right="-57" w:firstLine="0"/>
        <w:jc w:val="center"/>
        <w:rPr>
          <w:rFonts w:ascii="宋体" w:hAnsi="宋体"/>
          <w:b/>
          <w:sz w:val="24"/>
          <w:szCs w:val="24"/>
          <w:highlight w:val="none"/>
        </w:rPr>
      </w:pPr>
      <w:r>
        <w:rPr>
          <w:rFonts w:hint="eastAsia" w:ascii="宋体" w:hAnsi="宋体"/>
          <w:b/>
          <w:sz w:val="24"/>
          <w:szCs w:val="24"/>
          <w:highlight w:val="none"/>
        </w:rPr>
        <w:t>比选申请报价一览表</w:t>
      </w:r>
    </w:p>
    <w:p>
      <w:pPr>
        <w:widowControl w:val="0"/>
        <w:snapToGrid w:val="0"/>
        <w:spacing w:before="0" w:after="0" w:afterAutospacing="0"/>
        <w:ind w:left="0" w:right="-57" w:rightChars="-27" w:firstLine="0"/>
        <w:rPr>
          <w:rFonts w:ascii="宋体" w:hAnsi="宋体"/>
          <w:kern w:val="2"/>
          <w:highlight w:val="none"/>
          <w:u w:val="single"/>
        </w:rPr>
      </w:pPr>
      <w:r>
        <w:rPr>
          <w:rFonts w:hint="eastAsia" w:ascii="宋体" w:hAnsi="宋体"/>
          <w:kern w:val="2"/>
          <w:highlight w:val="none"/>
        </w:rPr>
        <w:t>项目名称：</w:t>
      </w:r>
    </w:p>
    <w:p>
      <w:pPr>
        <w:widowControl w:val="0"/>
        <w:snapToGrid w:val="0"/>
        <w:spacing w:before="0" w:after="0" w:afterAutospacing="0"/>
        <w:ind w:left="0" w:right="-57" w:rightChars="-27" w:firstLine="0"/>
        <w:rPr>
          <w:rFonts w:ascii="宋体" w:hAnsi="宋体"/>
          <w:kern w:val="2"/>
          <w:highlight w:val="none"/>
        </w:rPr>
      </w:pPr>
      <w:r>
        <w:rPr>
          <w:rFonts w:hint="eastAsia" w:ascii="宋体" w:hAnsi="宋体"/>
          <w:kern w:val="2"/>
          <w:highlight w:val="none"/>
        </w:rPr>
        <w:t>项目编号：</w:t>
      </w:r>
    </w:p>
    <w:p>
      <w:pPr>
        <w:widowControl w:val="0"/>
        <w:snapToGrid w:val="0"/>
        <w:spacing w:before="0" w:after="0" w:afterAutospacing="0"/>
        <w:ind w:right="-57" w:rightChars="-27"/>
        <w:rPr>
          <w:rFonts w:ascii="宋体" w:hAnsi="宋体"/>
          <w:kern w:val="2"/>
          <w:highlight w:val="none"/>
        </w:rPr>
      </w:pPr>
      <w:r>
        <w:rPr>
          <w:rFonts w:hint="eastAsia" w:ascii="宋体" w:hAnsi="宋体"/>
          <w:kern w:val="2"/>
          <w:highlight w:val="none"/>
        </w:rPr>
        <w:t>比选申请人名称：                   单位：元</w:t>
      </w:r>
    </w:p>
    <w:tbl>
      <w:tblPr>
        <w:tblStyle w:val="27"/>
        <w:tblW w:w="827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96"/>
        <w:gridCol w:w="1425"/>
        <w:gridCol w:w="3004"/>
        <w:gridCol w:w="1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44" w:hRule="atLeast"/>
          <w:jc w:val="center"/>
        </w:trPr>
        <w:tc>
          <w:tcPr>
            <w:tcW w:w="1996" w:type="dxa"/>
            <w:vMerge w:val="restart"/>
            <w:vAlign w:val="center"/>
          </w:tcPr>
          <w:p>
            <w:pPr>
              <w:snapToGrid w:val="0"/>
              <w:spacing w:after="50" w:line="300" w:lineRule="exact"/>
              <w:ind w:right="-57"/>
              <w:jc w:val="center"/>
              <w:rPr>
                <w:rFonts w:ascii="宋体" w:hAnsi="宋体"/>
                <w:b/>
                <w:color w:val="auto"/>
                <w:sz w:val="24"/>
                <w:highlight w:val="none"/>
              </w:rPr>
            </w:pPr>
            <w:r>
              <w:rPr>
                <w:rFonts w:hint="eastAsia" w:ascii="宋体" w:hAnsi="宋体"/>
                <w:b/>
                <w:bCs/>
                <w:color w:val="auto"/>
                <w:sz w:val="24"/>
                <w:highlight w:val="none"/>
              </w:rPr>
              <w:t>比选申请报价</w:t>
            </w:r>
          </w:p>
        </w:tc>
        <w:tc>
          <w:tcPr>
            <w:tcW w:w="1425" w:type="dxa"/>
            <w:vMerge w:val="restart"/>
            <w:vAlign w:val="center"/>
          </w:tcPr>
          <w:p>
            <w:pPr>
              <w:snapToGrid w:val="0"/>
              <w:spacing w:after="50" w:line="300" w:lineRule="exact"/>
              <w:ind w:right="-57"/>
              <w:jc w:val="center"/>
              <w:rPr>
                <w:rFonts w:ascii="宋体" w:hAnsi="宋体"/>
                <w:b/>
                <w:color w:val="auto"/>
                <w:sz w:val="24"/>
                <w:highlight w:val="none"/>
              </w:rPr>
            </w:pPr>
            <w:r>
              <w:rPr>
                <w:rFonts w:hint="eastAsia" w:ascii="宋体" w:hAnsi="宋体"/>
                <w:b/>
                <w:color w:val="auto"/>
                <w:sz w:val="24"/>
                <w:highlight w:val="none"/>
              </w:rPr>
              <w:t>不含税价格</w:t>
            </w:r>
          </w:p>
        </w:tc>
        <w:tc>
          <w:tcPr>
            <w:tcW w:w="3004" w:type="dxa"/>
            <w:vMerge w:val="restart"/>
            <w:vAlign w:val="center"/>
          </w:tcPr>
          <w:p>
            <w:pPr>
              <w:snapToGrid w:val="0"/>
              <w:spacing w:after="50" w:line="300" w:lineRule="exact"/>
              <w:ind w:right="-57"/>
              <w:jc w:val="left"/>
              <w:rPr>
                <w:rFonts w:ascii="宋体" w:hAnsi="宋体"/>
                <w:b/>
                <w:color w:val="auto"/>
                <w:sz w:val="24"/>
                <w:highlight w:val="none"/>
                <w:u w:val="single"/>
              </w:rPr>
            </w:pPr>
            <w:r>
              <w:rPr>
                <w:rFonts w:hint="eastAsia" w:ascii="宋体" w:hAnsi="宋体"/>
                <w:b/>
                <w:color w:val="auto"/>
                <w:sz w:val="24"/>
                <w:highlight w:val="none"/>
              </w:rPr>
              <w:t>小写：</w:t>
            </w:r>
            <w:r>
              <w:rPr>
                <w:rFonts w:hint="eastAsia" w:ascii="宋体" w:hAnsi="宋体"/>
                <w:b/>
                <w:color w:val="auto"/>
                <w:sz w:val="24"/>
                <w:highlight w:val="none"/>
                <w:u w:val="single"/>
              </w:rPr>
              <w:t xml:space="preserve">        </w:t>
            </w:r>
          </w:p>
          <w:p>
            <w:pPr>
              <w:snapToGrid w:val="0"/>
              <w:spacing w:after="50" w:line="300" w:lineRule="exact"/>
              <w:ind w:right="-57"/>
              <w:jc w:val="left"/>
              <w:rPr>
                <w:rFonts w:ascii="宋体" w:hAnsi="宋体"/>
                <w:b/>
                <w:color w:val="auto"/>
                <w:sz w:val="24"/>
                <w:highlight w:val="none"/>
                <w:u w:val="single"/>
              </w:rPr>
            </w:pPr>
            <w:r>
              <w:rPr>
                <w:rFonts w:hint="eastAsia" w:ascii="宋体" w:hAnsi="宋体"/>
                <w:b/>
                <w:color w:val="auto"/>
                <w:sz w:val="24"/>
                <w:highlight w:val="none"/>
              </w:rPr>
              <w:t>大写：</w:t>
            </w:r>
            <w:r>
              <w:rPr>
                <w:rFonts w:hint="eastAsia" w:ascii="宋体" w:hAnsi="宋体"/>
                <w:b/>
                <w:color w:val="auto"/>
                <w:sz w:val="24"/>
                <w:highlight w:val="none"/>
                <w:u w:val="single"/>
              </w:rPr>
              <w:t xml:space="preserve">        </w:t>
            </w:r>
          </w:p>
        </w:tc>
        <w:tc>
          <w:tcPr>
            <w:tcW w:w="1850" w:type="dxa"/>
          </w:tcPr>
          <w:p>
            <w:pPr>
              <w:snapToGrid w:val="0"/>
              <w:spacing w:after="50" w:line="300" w:lineRule="exact"/>
              <w:ind w:right="-57"/>
              <w:jc w:val="center"/>
              <w:rPr>
                <w:rFonts w:hint="eastAsia" w:ascii="宋体" w:hAnsi="宋体" w:eastAsia="宋体"/>
                <w:b/>
                <w:color w:val="auto"/>
                <w:sz w:val="24"/>
                <w:highlight w:val="none"/>
                <w:lang w:val="en-US" w:eastAsia="zh-CN"/>
              </w:rPr>
            </w:pPr>
            <w:r>
              <w:rPr>
                <w:rFonts w:hint="eastAsia" w:ascii="宋体" w:hAnsi="宋体"/>
                <w:b/>
                <w:color w:val="auto"/>
                <w:sz w:val="24"/>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5" w:hRule="atLeast"/>
          <w:jc w:val="center"/>
        </w:trPr>
        <w:tc>
          <w:tcPr>
            <w:tcW w:w="1996" w:type="dxa"/>
            <w:vMerge w:val="continue"/>
          </w:tcPr>
          <w:p>
            <w:pPr>
              <w:snapToGrid w:val="0"/>
              <w:spacing w:after="50" w:line="300" w:lineRule="exact"/>
              <w:ind w:right="-57"/>
              <w:jc w:val="center"/>
              <w:rPr>
                <w:rFonts w:ascii="宋体" w:hAnsi="宋体"/>
                <w:b/>
                <w:color w:val="auto"/>
                <w:sz w:val="24"/>
                <w:highlight w:val="none"/>
              </w:rPr>
            </w:pPr>
          </w:p>
        </w:tc>
        <w:tc>
          <w:tcPr>
            <w:tcW w:w="1425" w:type="dxa"/>
            <w:vMerge w:val="continue"/>
          </w:tcPr>
          <w:p>
            <w:pPr>
              <w:snapToGrid w:val="0"/>
              <w:spacing w:after="50" w:line="300" w:lineRule="exact"/>
              <w:ind w:right="-57"/>
              <w:jc w:val="center"/>
              <w:rPr>
                <w:rFonts w:ascii="宋体" w:hAnsi="宋体"/>
                <w:b/>
                <w:color w:val="auto"/>
                <w:sz w:val="24"/>
                <w:highlight w:val="none"/>
              </w:rPr>
            </w:pPr>
          </w:p>
        </w:tc>
        <w:tc>
          <w:tcPr>
            <w:tcW w:w="3004" w:type="dxa"/>
            <w:vMerge w:val="continue"/>
          </w:tcPr>
          <w:p>
            <w:pPr>
              <w:snapToGrid w:val="0"/>
              <w:spacing w:after="50" w:line="300" w:lineRule="exact"/>
              <w:ind w:right="-57"/>
              <w:jc w:val="center"/>
              <w:rPr>
                <w:rFonts w:ascii="宋体" w:hAnsi="宋体"/>
                <w:b/>
                <w:color w:val="auto"/>
                <w:sz w:val="24"/>
                <w:highlight w:val="none"/>
              </w:rPr>
            </w:pPr>
          </w:p>
        </w:tc>
        <w:tc>
          <w:tcPr>
            <w:tcW w:w="1850" w:type="dxa"/>
          </w:tcPr>
          <w:p>
            <w:pPr>
              <w:snapToGrid w:val="0"/>
              <w:spacing w:after="50" w:line="300" w:lineRule="exact"/>
              <w:ind w:right="-57"/>
              <w:jc w:val="center"/>
              <w:rPr>
                <w:rFonts w:ascii="宋体" w:hAnsi="宋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7" w:hRule="atLeast"/>
          <w:jc w:val="center"/>
        </w:trPr>
        <w:tc>
          <w:tcPr>
            <w:tcW w:w="1996" w:type="dxa"/>
            <w:vAlign w:val="center"/>
          </w:tcPr>
          <w:p>
            <w:pPr>
              <w:snapToGrid w:val="0"/>
              <w:spacing w:after="50" w:line="300" w:lineRule="exact"/>
              <w:ind w:right="-57"/>
              <w:jc w:val="center"/>
              <w:rPr>
                <w:rFonts w:hint="eastAsia" w:ascii="宋体" w:hAnsi="宋体" w:eastAsia="宋体"/>
                <w:b/>
                <w:color w:val="auto"/>
                <w:sz w:val="24"/>
                <w:highlight w:val="none"/>
                <w:lang w:eastAsia="zh-CN"/>
              </w:rPr>
            </w:pPr>
            <w:r>
              <w:rPr>
                <w:rFonts w:hint="eastAsia" w:ascii="宋体" w:hAnsi="宋体"/>
                <w:b/>
                <w:color w:val="auto"/>
                <w:sz w:val="24"/>
                <w:highlight w:val="none"/>
                <w:lang w:eastAsia="zh-CN"/>
              </w:rPr>
              <w:t>税率</w:t>
            </w:r>
          </w:p>
        </w:tc>
        <w:tc>
          <w:tcPr>
            <w:tcW w:w="6279" w:type="dxa"/>
            <w:gridSpan w:val="3"/>
            <w:vAlign w:val="center"/>
          </w:tcPr>
          <w:p>
            <w:pPr>
              <w:snapToGrid w:val="0"/>
              <w:spacing w:after="50" w:line="300" w:lineRule="exact"/>
              <w:ind w:right="-57"/>
              <w:jc w:val="center"/>
              <w:rPr>
                <w:rFonts w:hint="eastAsia" w:ascii="宋体" w:hAnsi="宋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7" w:hRule="atLeast"/>
          <w:jc w:val="center"/>
        </w:trPr>
        <w:tc>
          <w:tcPr>
            <w:tcW w:w="1996" w:type="dxa"/>
            <w:vAlign w:val="center"/>
          </w:tcPr>
          <w:p>
            <w:pPr>
              <w:snapToGrid w:val="0"/>
              <w:spacing w:after="50" w:line="300" w:lineRule="exact"/>
              <w:ind w:right="-57"/>
              <w:jc w:val="center"/>
              <w:rPr>
                <w:rFonts w:ascii="宋体" w:hAnsi="宋体"/>
                <w:b/>
                <w:color w:val="auto"/>
                <w:sz w:val="24"/>
                <w:highlight w:val="none"/>
              </w:rPr>
            </w:pPr>
            <w:r>
              <w:rPr>
                <w:rFonts w:hint="eastAsia" w:ascii="宋体" w:hAnsi="宋体"/>
                <w:b/>
                <w:color w:val="auto"/>
                <w:sz w:val="24"/>
                <w:highlight w:val="none"/>
              </w:rPr>
              <w:t>工期</w:t>
            </w:r>
          </w:p>
        </w:tc>
        <w:tc>
          <w:tcPr>
            <w:tcW w:w="6279" w:type="dxa"/>
            <w:gridSpan w:val="3"/>
            <w:vAlign w:val="center"/>
          </w:tcPr>
          <w:p>
            <w:pPr>
              <w:snapToGrid w:val="0"/>
              <w:spacing w:after="50" w:line="300" w:lineRule="exact"/>
              <w:ind w:right="-57"/>
              <w:jc w:val="center"/>
              <w:rPr>
                <w:rFonts w:ascii="宋体" w:hAnsi="宋体"/>
                <w:b/>
                <w:color w:val="auto"/>
                <w:sz w:val="24"/>
                <w:highlight w:val="none"/>
              </w:rPr>
            </w:pPr>
            <w:r>
              <w:rPr>
                <w:rFonts w:hint="eastAsia" w:ascii="宋体" w:hAnsi="宋体"/>
                <w:b/>
                <w:color w:val="auto"/>
                <w:sz w:val="24"/>
                <w:highlight w:val="none"/>
              </w:rPr>
              <w:t>共</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天，具体开工日期以比选人开工令发布时间为准。</w:t>
            </w:r>
          </w:p>
        </w:tc>
      </w:tr>
    </w:tbl>
    <w:p>
      <w:pPr>
        <w:spacing w:before="0" w:after="0" w:afterAutospacing="0"/>
        <w:ind w:left="0" w:right="0" w:firstLine="0"/>
        <w:rPr>
          <w:rFonts w:ascii="宋体" w:hAnsi="宋体"/>
          <w:highlight w:val="none"/>
        </w:rPr>
      </w:pPr>
      <w:r>
        <w:rPr>
          <w:rFonts w:hint="eastAsia" w:ascii="宋体" w:hAnsi="宋体"/>
          <w:color w:val="auto"/>
          <w:highlight w:val="none"/>
        </w:rPr>
        <w:t>注</w:t>
      </w:r>
      <w:r>
        <w:rPr>
          <w:rFonts w:ascii="宋体" w:hAnsi="宋体"/>
          <w:color w:val="auto"/>
          <w:highlight w:val="none"/>
        </w:rPr>
        <w:t>:</w:t>
      </w:r>
      <w:r>
        <w:rPr>
          <w:rFonts w:hint="eastAsia" w:ascii="宋体" w:hAnsi="宋体"/>
          <w:color w:val="auto"/>
          <w:highlight w:val="none"/>
        </w:rPr>
        <w:t xml:space="preserve"> 比选申请报价应包括</w:t>
      </w:r>
      <w:r>
        <w:rPr>
          <w:rFonts w:hint="eastAsia"/>
          <w:color w:val="auto"/>
          <w:highlight w:val="none"/>
        </w:rPr>
        <w:t>设备费、耗材费、人工费、机械费、管理费、人员保险费、运输费、措施费、利润、风险、安全文明施工费</w:t>
      </w:r>
      <w:r>
        <w:rPr>
          <w:rFonts w:hint="eastAsia" w:ascii="宋体" w:hAnsi="宋体"/>
          <w:color w:val="auto"/>
          <w:highlight w:val="none"/>
        </w:rPr>
        <w:t>及合同包含的所有风险</w:t>
      </w:r>
      <w:r>
        <w:rPr>
          <w:color w:val="auto"/>
          <w:highlight w:val="none"/>
        </w:rPr>
        <w:fldChar w:fldCharType="begin"/>
      </w:r>
      <w:r>
        <w:rPr>
          <w:color w:val="auto"/>
          <w:highlight w:val="none"/>
        </w:rPr>
        <w:instrText xml:space="preserve"> HYPERLINK "http://www.so.com/s?q=%E8%B4%A3%E4%BB%BB&amp;ie=utf-8&amp;src=internal_wenda_recommend_textn" \t "https://wenda.so.com/q/_blank" </w:instrText>
      </w:r>
      <w:r>
        <w:rPr>
          <w:color w:val="auto"/>
          <w:highlight w:val="none"/>
        </w:rPr>
        <w:fldChar w:fldCharType="separate"/>
      </w:r>
      <w:r>
        <w:rPr>
          <w:rFonts w:hint="eastAsia" w:ascii="宋体" w:hAnsi="宋体"/>
          <w:color w:val="auto"/>
          <w:highlight w:val="none"/>
        </w:rPr>
        <w:t>责任</w:t>
      </w:r>
      <w:r>
        <w:rPr>
          <w:rFonts w:hint="eastAsia" w:ascii="宋体" w:hAnsi="宋体"/>
          <w:color w:val="auto"/>
          <w:highlight w:val="none"/>
        </w:rPr>
        <w:fldChar w:fldCharType="end"/>
      </w:r>
      <w:r>
        <w:rPr>
          <w:rFonts w:hint="eastAsia" w:ascii="宋体" w:hAnsi="宋体"/>
          <w:color w:val="auto"/>
          <w:highlight w:val="none"/>
        </w:rPr>
        <w:t>等履行合同标的全过程产生的所</w:t>
      </w:r>
      <w:r>
        <w:rPr>
          <w:rFonts w:hint="eastAsia" w:ascii="宋体" w:hAnsi="宋体"/>
          <w:highlight w:val="none"/>
        </w:rPr>
        <w:t>有成本和费用以及比选申请人应承担的费用；未列项目的费用均已包含在内。</w:t>
      </w:r>
      <w:r>
        <w:rPr>
          <w:rFonts w:hint="eastAsia" w:ascii="宋体" w:hAnsi="宋体"/>
          <w:bCs/>
          <w:highlight w:val="none"/>
        </w:rPr>
        <w:t>中选后，投标报价不予调整。比选申请人在填报投标报价时，应充分考虑合同实施过程中因人力成本的增加、材料的价格上涨、国家宏观调控、经济环境变化等因素所产生费用的增加</w:t>
      </w:r>
      <w:r>
        <w:rPr>
          <w:rStyle w:val="34"/>
          <w:rFonts w:hint="eastAsia"/>
          <w:highlight w:val="none"/>
        </w:rPr>
        <w:t>。</w:t>
      </w:r>
    </w:p>
    <w:p>
      <w:pPr>
        <w:ind w:right="-57" w:firstLine="420"/>
        <w:rPr>
          <w:rFonts w:ascii="宋体" w:hAnsi="宋体"/>
          <w:sz w:val="24"/>
          <w:szCs w:val="24"/>
          <w:highlight w:val="none"/>
        </w:rPr>
      </w:pPr>
    </w:p>
    <w:p>
      <w:pPr>
        <w:snapToGrid w:val="0"/>
        <w:spacing w:after="50" w:line="280" w:lineRule="exact"/>
        <w:ind w:left="953" w:right="-817" w:firstLine="1443"/>
        <w:rPr>
          <w:rFonts w:ascii="宋体" w:hAnsi="宋体"/>
          <w:highlight w:val="none"/>
        </w:rPr>
      </w:pPr>
    </w:p>
    <w:p>
      <w:pPr>
        <w:snapToGrid w:val="0"/>
        <w:spacing w:after="50" w:line="280" w:lineRule="exact"/>
        <w:ind w:left="955" w:right="-817" w:firstLine="2625" w:firstLineChars="1250"/>
        <w:rPr>
          <w:rFonts w:ascii="宋体" w:hAnsi="宋体"/>
          <w:highlight w:val="none"/>
          <w:u w:val="single"/>
        </w:rPr>
      </w:pPr>
      <w:r>
        <w:rPr>
          <w:rFonts w:hint="eastAsia" w:ascii="宋体" w:hAnsi="宋体"/>
          <w:highlight w:val="none"/>
        </w:rPr>
        <w:t>比选申请人名称（盖章）：</w:t>
      </w:r>
    </w:p>
    <w:p>
      <w:pPr>
        <w:snapToGrid w:val="0"/>
        <w:spacing w:after="50" w:line="280" w:lineRule="exact"/>
        <w:ind w:left="707" w:right="-817" w:firstLine="2835" w:firstLineChars="1350"/>
        <w:rPr>
          <w:rFonts w:ascii="宋体" w:hAnsi="宋体"/>
          <w:highlight w:val="none"/>
          <w:u w:val="single"/>
        </w:rPr>
      </w:pPr>
      <w:r>
        <w:rPr>
          <w:rFonts w:hint="eastAsia" w:ascii="宋体" w:hAnsi="宋体"/>
          <w:highlight w:val="none"/>
        </w:rPr>
        <w:t>法定代表人或被授权人（签字或盖章）：</w:t>
      </w:r>
    </w:p>
    <w:p>
      <w:pPr>
        <w:spacing w:before="0"/>
        <w:ind w:right="-57" w:firstLine="0"/>
        <w:jc w:val="center"/>
        <w:rPr>
          <w:rFonts w:ascii="宋体" w:hAnsi="宋体"/>
          <w:highlight w:val="none"/>
        </w:rPr>
      </w:pPr>
      <w:r>
        <w:rPr>
          <w:rFonts w:hint="eastAsia" w:ascii="宋体" w:hAnsi="宋体"/>
          <w:highlight w:val="none"/>
          <w:lang w:val="en-US" w:eastAsia="zh-CN"/>
        </w:rPr>
        <w:t xml:space="preserve">    </w:t>
      </w:r>
      <w:r>
        <w:rPr>
          <w:rFonts w:hint="eastAsia" w:ascii="宋体" w:hAnsi="宋体"/>
          <w:highlight w:val="none"/>
        </w:rPr>
        <w:t>日  期：</w:t>
      </w:r>
      <w:r>
        <w:rPr>
          <w:rFonts w:hint="eastAsia" w:ascii="宋体" w:hAnsi="宋体"/>
          <w:highlight w:val="none"/>
          <w:lang w:val="en-US" w:eastAsia="zh-CN"/>
        </w:rPr>
        <w:t xml:space="preserve">   </w:t>
      </w:r>
      <w:r>
        <w:rPr>
          <w:rFonts w:hint="eastAsia" w:ascii="宋体" w:hAnsi="宋体"/>
          <w:highlight w:val="none"/>
        </w:rPr>
        <w:t>年</w:t>
      </w:r>
      <w:r>
        <w:rPr>
          <w:rFonts w:hint="eastAsia" w:ascii="宋体" w:hAnsi="宋体"/>
          <w:highlight w:val="none"/>
          <w:lang w:val="en-US" w:eastAsia="zh-CN"/>
        </w:rPr>
        <w:t xml:space="preserve">   </w:t>
      </w:r>
      <w:r>
        <w:rPr>
          <w:rFonts w:hint="eastAsia" w:ascii="宋体" w:hAnsi="宋体"/>
          <w:highlight w:val="none"/>
        </w:rPr>
        <w:t>月</w:t>
      </w:r>
      <w:r>
        <w:rPr>
          <w:rFonts w:hint="eastAsia" w:ascii="宋体" w:hAnsi="宋体"/>
          <w:highlight w:val="none"/>
          <w:lang w:val="en-US" w:eastAsia="zh-CN"/>
        </w:rPr>
        <w:t xml:space="preserve">   </w:t>
      </w:r>
      <w:r>
        <w:rPr>
          <w:rFonts w:hint="eastAsia" w:ascii="宋体" w:hAnsi="宋体"/>
          <w:highlight w:val="none"/>
        </w:rPr>
        <w:t>日</w:t>
      </w:r>
    </w:p>
    <w:p>
      <w:pPr>
        <w:pStyle w:val="6"/>
        <w:tabs>
          <w:tab w:val="left" w:pos="567"/>
          <w:tab w:val="left" w:pos="720"/>
        </w:tabs>
        <w:snapToGrid w:val="0"/>
        <w:spacing w:after="0" w:line="360" w:lineRule="auto"/>
        <w:ind w:right="0" w:firstLine="0"/>
        <w:jc w:val="left"/>
        <w:rPr>
          <w:rFonts w:ascii="宋体" w:hAnsi="宋体" w:eastAsia="宋体" w:cs="Arial"/>
          <w:highlight w:val="none"/>
        </w:rPr>
      </w:pPr>
      <w:r>
        <w:rPr>
          <w:rFonts w:ascii="宋体" w:hAnsi="宋体" w:eastAsia="宋体"/>
          <w:highlight w:val="none"/>
        </w:rPr>
        <w:br w:type="page"/>
      </w:r>
      <w:r>
        <w:rPr>
          <w:rFonts w:ascii="宋体" w:hAnsi="宋体" w:eastAsia="宋体"/>
          <w:sz w:val="21"/>
          <w:szCs w:val="21"/>
          <w:highlight w:val="none"/>
        </w:rPr>
        <w:t>B2比选申请函格式</w:t>
      </w:r>
    </w:p>
    <w:p>
      <w:pPr>
        <w:spacing w:before="0" w:after="0" w:afterAutospacing="0"/>
        <w:ind w:right="0" w:firstLine="0"/>
        <w:jc w:val="center"/>
        <w:rPr>
          <w:rFonts w:ascii="宋体" w:hAnsi="宋体"/>
          <w:b/>
          <w:sz w:val="32"/>
          <w:szCs w:val="32"/>
          <w:highlight w:val="none"/>
        </w:rPr>
      </w:pPr>
      <w:r>
        <w:rPr>
          <w:rFonts w:ascii="宋体" w:hAnsi="宋体"/>
          <w:b/>
          <w:sz w:val="32"/>
          <w:szCs w:val="32"/>
          <w:highlight w:val="none"/>
        </w:rPr>
        <w:t>比选申请函</w:t>
      </w:r>
    </w:p>
    <w:p>
      <w:pPr>
        <w:spacing w:before="0" w:after="0" w:afterAutospacing="0"/>
        <w:ind w:left="0" w:right="0" w:firstLine="0"/>
        <w:rPr>
          <w:rFonts w:ascii="宋体" w:hAnsi="宋体"/>
          <w:highlight w:val="none"/>
        </w:rPr>
      </w:pPr>
      <w:r>
        <w:rPr>
          <w:rFonts w:ascii="宋体" w:hAnsi="宋体"/>
          <w:highlight w:val="none"/>
        </w:rPr>
        <w:t>致：</w:t>
      </w:r>
      <w:r>
        <w:rPr>
          <w:rFonts w:hint="eastAsia" w:ascii="宋体" w:hAnsi="宋体"/>
          <w:highlight w:val="none"/>
        </w:rPr>
        <w:t>南宁轨道交通运营有限公司</w:t>
      </w:r>
    </w:p>
    <w:p>
      <w:pPr>
        <w:spacing w:before="0" w:after="0" w:afterAutospacing="0"/>
        <w:ind w:left="0" w:right="0" w:firstLine="420" w:firstLineChars="200"/>
        <w:rPr>
          <w:rFonts w:ascii="宋体" w:hAnsi="宋体"/>
          <w:highlight w:val="none"/>
        </w:rPr>
      </w:pPr>
      <w:r>
        <w:rPr>
          <w:rFonts w:ascii="宋体" w:hAnsi="宋体"/>
          <w:highlight w:val="none"/>
        </w:rPr>
        <w:t>根据贵方为</w:t>
      </w:r>
      <w:r>
        <w:rPr>
          <w:rFonts w:hint="eastAsia" w:ascii="宋体" w:hAnsi="宋体"/>
          <w:highlight w:val="none"/>
        </w:rPr>
        <w:t>采购项目比选</w:t>
      </w:r>
      <w:r>
        <w:rPr>
          <w:rFonts w:ascii="宋体" w:hAnsi="宋体"/>
          <w:highlight w:val="none"/>
        </w:rPr>
        <w:t>采购服务的比选申请邀请(项目编号：)，签字人</w:t>
      </w:r>
      <w:r>
        <w:rPr>
          <w:rFonts w:ascii="宋体" w:hAnsi="宋体"/>
          <w:highlight w:val="none"/>
          <w:u w:val="single"/>
        </w:rPr>
        <w:t>(全名、职务)</w:t>
      </w:r>
      <w:r>
        <w:rPr>
          <w:rFonts w:ascii="宋体" w:hAnsi="宋体"/>
          <w:highlight w:val="none"/>
        </w:rPr>
        <w:t>经正式授权并代表比选申请人</w:t>
      </w:r>
      <w:r>
        <w:rPr>
          <w:rFonts w:ascii="宋体" w:hAnsi="宋体"/>
          <w:highlight w:val="none"/>
          <w:u w:val="single"/>
        </w:rPr>
        <w:t>（比选申请人名称、地址）</w:t>
      </w:r>
      <w:r>
        <w:rPr>
          <w:rFonts w:ascii="宋体" w:hAnsi="宋体"/>
          <w:highlight w:val="none"/>
        </w:rPr>
        <w:t>提交</w:t>
      </w:r>
      <w:r>
        <w:rPr>
          <w:rFonts w:hint="eastAsia" w:ascii="宋体" w:hAnsi="宋体"/>
          <w:highlight w:val="none"/>
        </w:rPr>
        <w:t>比选申请文件</w:t>
      </w:r>
      <w:r>
        <w:rPr>
          <w:rFonts w:ascii="宋体" w:hAnsi="宋体"/>
          <w:highlight w:val="none"/>
        </w:rPr>
        <w:t>正本</w:t>
      </w:r>
      <w:r>
        <w:rPr>
          <w:rFonts w:ascii="宋体" w:hAnsi="宋体"/>
          <w:highlight w:val="none"/>
          <w:u w:val="single"/>
        </w:rPr>
        <w:t>1</w:t>
      </w:r>
      <w:r>
        <w:rPr>
          <w:rFonts w:ascii="宋体" w:hAnsi="宋体"/>
          <w:highlight w:val="none"/>
        </w:rPr>
        <w:t>份、副本</w:t>
      </w:r>
      <w:r>
        <w:rPr>
          <w:rFonts w:ascii="宋体" w:hAnsi="宋体"/>
          <w:highlight w:val="none"/>
          <w:u w:val="single"/>
        </w:rPr>
        <w:t xml:space="preserve"> 4</w:t>
      </w:r>
      <w:r>
        <w:rPr>
          <w:rFonts w:ascii="宋体" w:hAnsi="宋体"/>
          <w:highlight w:val="none"/>
        </w:rPr>
        <w:t>份及电子文件</w:t>
      </w:r>
      <w:r>
        <w:rPr>
          <w:rFonts w:hint="eastAsia" w:ascii="宋体" w:hAnsi="宋体"/>
          <w:highlight w:val="none"/>
          <w:u w:val="single"/>
        </w:rPr>
        <w:t>1</w:t>
      </w:r>
      <w:r>
        <w:rPr>
          <w:rFonts w:ascii="宋体" w:hAnsi="宋体"/>
          <w:highlight w:val="none"/>
        </w:rPr>
        <w:t>份（U盘）。</w:t>
      </w:r>
    </w:p>
    <w:p>
      <w:pPr>
        <w:spacing w:before="0" w:after="0" w:afterAutospacing="0"/>
        <w:ind w:left="0" w:right="0" w:firstLine="420" w:firstLineChars="200"/>
        <w:rPr>
          <w:rFonts w:ascii="宋体" w:hAnsi="宋体"/>
          <w:highlight w:val="none"/>
        </w:rPr>
      </w:pPr>
      <w:r>
        <w:rPr>
          <w:rFonts w:ascii="宋体" w:hAnsi="宋体"/>
          <w:highlight w:val="none"/>
        </w:rPr>
        <w:t>据此，签字人宣布同意如下：</w:t>
      </w:r>
    </w:p>
    <w:p>
      <w:pPr>
        <w:spacing w:before="0" w:after="0" w:afterAutospacing="0"/>
        <w:ind w:left="0" w:right="0" w:firstLine="420" w:firstLineChars="200"/>
        <w:rPr>
          <w:rFonts w:ascii="宋体" w:hAnsi="宋体"/>
          <w:highlight w:val="none"/>
        </w:rPr>
      </w:pPr>
      <w:r>
        <w:rPr>
          <w:rFonts w:ascii="宋体" w:hAnsi="宋体"/>
          <w:highlight w:val="none"/>
        </w:rPr>
        <w:t>1. 按比选文件要求规定的应提交和交付的服务并履行全部合同义务的比选申请总价如本比选申请文件</w:t>
      </w:r>
      <w:r>
        <w:rPr>
          <w:rFonts w:hint="eastAsia" w:ascii="宋体" w:hAnsi="宋体"/>
          <w:highlight w:val="none"/>
        </w:rPr>
        <w:t>价格文件</w:t>
      </w:r>
      <w:r>
        <w:rPr>
          <w:rFonts w:ascii="宋体" w:hAnsi="宋体"/>
          <w:highlight w:val="none"/>
        </w:rPr>
        <w:t>“比选申请报价一览表”中“比选申请报价”一栏所述。</w:t>
      </w:r>
    </w:p>
    <w:p>
      <w:pPr>
        <w:spacing w:before="0" w:after="0" w:afterAutospacing="0"/>
        <w:ind w:left="0" w:right="0" w:firstLine="420" w:firstLineChars="200"/>
        <w:rPr>
          <w:rFonts w:ascii="宋体" w:hAnsi="宋体"/>
          <w:highlight w:val="none"/>
        </w:rPr>
      </w:pPr>
      <w:r>
        <w:rPr>
          <w:rFonts w:hint="eastAsia" w:ascii="宋体" w:hAnsi="宋体"/>
          <w:highlight w:val="none"/>
        </w:rPr>
        <w:t>2</w:t>
      </w:r>
      <w:r>
        <w:rPr>
          <w:rFonts w:ascii="宋体" w:hAnsi="宋体"/>
          <w:highlight w:val="none"/>
        </w:rPr>
        <w:t>.按比选文件的规定履行合同责任和义务。</w:t>
      </w:r>
    </w:p>
    <w:p>
      <w:pPr>
        <w:spacing w:before="0" w:after="0" w:afterAutospacing="0"/>
        <w:ind w:left="0" w:right="0" w:firstLine="420" w:firstLineChars="200"/>
        <w:rPr>
          <w:rFonts w:ascii="宋体" w:hAnsi="宋体"/>
          <w:highlight w:val="none"/>
        </w:rPr>
      </w:pPr>
      <w:r>
        <w:rPr>
          <w:rFonts w:hint="eastAsia" w:ascii="宋体" w:hAnsi="宋体"/>
          <w:highlight w:val="none"/>
        </w:rPr>
        <w:t>3</w:t>
      </w:r>
      <w:r>
        <w:rPr>
          <w:rFonts w:ascii="宋体" w:hAnsi="宋体"/>
          <w:highlight w:val="none"/>
        </w:rPr>
        <w:t>.已详细审查全部比选文件，包括修改文件（如有的话）以及全部接口资料和有关附件。我们完全理解并同意放弃对这方面有不明及误解的权利。</w:t>
      </w:r>
    </w:p>
    <w:p>
      <w:pPr>
        <w:spacing w:before="0" w:after="0" w:afterAutospacing="0"/>
        <w:ind w:left="0" w:right="0" w:firstLine="420" w:firstLineChars="200"/>
        <w:rPr>
          <w:rFonts w:ascii="宋体" w:hAnsi="宋体"/>
          <w:highlight w:val="none"/>
        </w:rPr>
      </w:pPr>
      <w:r>
        <w:rPr>
          <w:rFonts w:hint="eastAsia" w:ascii="宋体" w:hAnsi="宋体"/>
          <w:highlight w:val="none"/>
        </w:rPr>
        <w:t>4</w:t>
      </w:r>
      <w:r>
        <w:rPr>
          <w:rFonts w:ascii="宋体" w:hAnsi="宋体"/>
          <w:highlight w:val="none"/>
        </w:rPr>
        <w:t>.本比选申请有效期为比选申请截止日起</w:t>
      </w:r>
      <w:r>
        <w:rPr>
          <w:rFonts w:hint="eastAsia" w:ascii="宋体" w:hAnsi="宋体"/>
          <w:bCs/>
          <w:color w:val="000000" w:themeColor="text1"/>
          <w:highlight w:val="none"/>
          <w:u w:val="single"/>
          <w14:textFill>
            <w14:solidFill>
              <w14:schemeClr w14:val="tx1"/>
            </w14:solidFill>
          </w14:textFill>
        </w:rPr>
        <w:t>90</w:t>
      </w:r>
      <w:r>
        <w:rPr>
          <w:rFonts w:ascii="宋体" w:hAnsi="宋体"/>
          <w:highlight w:val="none"/>
        </w:rPr>
        <w:t>日历天内。</w:t>
      </w:r>
    </w:p>
    <w:p>
      <w:pPr>
        <w:spacing w:before="0" w:after="0" w:afterAutospacing="0"/>
        <w:ind w:left="0" w:right="0" w:firstLine="420" w:firstLineChars="200"/>
        <w:rPr>
          <w:rFonts w:ascii="宋体" w:hAnsi="宋体"/>
          <w:highlight w:val="none"/>
        </w:rPr>
      </w:pPr>
      <w:r>
        <w:rPr>
          <w:rFonts w:hint="eastAsia" w:ascii="宋体" w:hAnsi="宋体"/>
          <w:highlight w:val="none"/>
        </w:rPr>
        <w:t>5</w:t>
      </w:r>
      <w:r>
        <w:rPr>
          <w:rFonts w:ascii="宋体" w:hAnsi="宋体"/>
          <w:highlight w:val="none"/>
        </w:rPr>
        <w:t>.如果在规定的</w:t>
      </w:r>
      <w:r>
        <w:rPr>
          <w:rFonts w:hint="eastAsia" w:ascii="宋体" w:hAnsi="宋体"/>
          <w:highlight w:val="none"/>
        </w:rPr>
        <w:t>比选文件递交</w:t>
      </w:r>
      <w:r>
        <w:rPr>
          <w:rFonts w:ascii="宋体" w:hAnsi="宋体"/>
          <w:highlight w:val="none"/>
        </w:rPr>
        <w:t>时间后，</w:t>
      </w:r>
      <w:r>
        <w:rPr>
          <w:rFonts w:hint="eastAsia" w:ascii="宋体" w:hAnsi="宋体"/>
          <w:highlight w:val="none"/>
        </w:rPr>
        <w:t>我公司</w:t>
      </w:r>
      <w:r>
        <w:rPr>
          <w:rFonts w:ascii="宋体" w:hAnsi="宋体"/>
          <w:highlight w:val="none"/>
        </w:rPr>
        <w:t>在比选申请有效期内撤销比选申请，</w:t>
      </w:r>
      <w:r>
        <w:rPr>
          <w:rFonts w:hint="eastAsia" w:ascii="宋体" w:hAnsi="宋体"/>
          <w:highlight w:val="none"/>
        </w:rPr>
        <w:t>所造成的损失我公司承担</w:t>
      </w:r>
      <w:r>
        <w:rPr>
          <w:rFonts w:ascii="宋体" w:hAnsi="宋体"/>
          <w:highlight w:val="none"/>
        </w:rPr>
        <w:t>。</w:t>
      </w:r>
    </w:p>
    <w:p>
      <w:pPr>
        <w:spacing w:before="0" w:after="0" w:afterAutospacing="0"/>
        <w:ind w:left="0" w:right="0" w:firstLine="420" w:firstLineChars="200"/>
        <w:rPr>
          <w:rFonts w:ascii="宋体" w:hAnsi="宋体"/>
          <w:highlight w:val="none"/>
        </w:rPr>
      </w:pPr>
      <w:r>
        <w:rPr>
          <w:rFonts w:hint="eastAsia" w:ascii="宋体" w:hAnsi="宋体"/>
          <w:highlight w:val="none"/>
        </w:rPr>
        <w:t>6</w:t>
      </w:r>
      <w:r>
        <w:rPr>
          <w:rFonts w:ascii="宋体" w:hAnsi="宋体"/>
          <w:highlight w:val="none"/>
        </w:rPr>
        <w:t>.同意按照贵方的要求提供与本比选申请有关的一切数据或资料，完全理解贵方不一定要接受最低价的比选申请或收到的任何比选申请。</w:t>
      </w:r>
    </w:p>
    <w:p>
      <w:pPr>
        <w:spacing w:before="0" w:after="0" w:afterAutospacing="0"/>
        <w:ind w:left="0" w:right="0" w:firstLine="420" w:firstLineChars="200"/>
        <w:rPr>
          <w:rFonts w:ascii="宋体" w:hAnsi="宋体"/>
          <w:highlight w:val="none"/>
        </w:rPr>
      </w:pPr>
      <w:r>
        <w:rPr>
          <w:rFonts w:hint="eastAsia" w:ascii="宋体" w:hAnsi="宋体"/>
          <w:highlight w:val="none"/>
        </w:rPr>
        <w:t>7</w:t>
      </w:r>
      <w:r>
        <w:rPr>
          <w:rFonts w:ascii="宋体" w:hAnsi="宋体"/>
          <w:highlight w:val="none"/>
        </w:rPr>
        <w:t xml:space="preserve">. </w:t>
      </w:r>
      <w:r>
        <w:rPr>
          <w:rFonts w:ascii="宋体" w:hAnsi="宋体"/>
          <w:b/>
          <w:highlight w:val="none"/>
        </w:rPr>
        <w:t>本项目采用不含税报价</w:t>
      </w:r>
      <w:r>
        <w:rPr>
          <w:rFonts w:hint="eastAsia" w:ascii="宋体" w:hAnsi="宋体"/>
          <w:b/>
          <w:highlight w:val="none"/>
        </w:rPr>
        <w:t>。</w:t>
      </w:r>
      <w:r>
        <w:rPr>
          <w:rFonts w:ascii="宋体" w:hAnsi="宋体"/>
          <w:b/>
          <w:highlight w:val="none"/>
        </w:rPr>
        <w:t>在签订本项目合同时，</w:t>
      </w:r>
      <w:r>
        <w:rPr>
          <w:rFonts w:hint="eastAsia" w:ascii="宋体" w:hAnsi="宋体"/>
          <w:b/>
          <w:highlight w:val="none"/>
        </w:rPr>
        <w:t>遵循国家现行税法的相关规定</w:t>
      </w:r>
      <w:r>
        <w:rPr>
          <w:rFonts w:ascii="宋体" w:hAnsi="宋体"/>
          <w:b/>
          <w:highlight w:val="none"/>
        </w:rPr>
        <w:t>在中选人不含税</w:t>
      </w:r>
      <w:r>
        <w:rPr>
          <w:rFonts w:hint="eastAsia" w:ascii="宋体" w:hAnsi="宋体"/>
          <w:b/>
          <w:highlight w:val="none"/>
        </w:rPr>
        <w:t>单</w:t>
      </w:r>
      <w:r>
        <w:rPr>
          <w:rFonts w:ascii="宋体" w:hAnsi="宋体"/>
          <w:b/>
          <w:highlight w:val="none"/>
        </w:rPr>
        <w:t>价</w:t>
      </w:r>
      <w:r>
        <w:rPr>
          <w:rFonts w:hint="eastAsia" w:ascii="宋体" w:hAnsi="宋体"/>
          <w:b/>
          <w:highlight w:val="none"/>
        </w:rPr>
        <w:t>和合价</w:t>
      </w:r>
      <w:r>
        <w:rPr>
          <w:rFonts w:ascii="宋体" w:hAnsi="宋体"/>
          <w:b/>
          <w:highlight w:val="none"/>
        </w:rPr>
        <w:t>的基础上</w:t>
      </w:r>
      <w:r>
        <w:rPr>
          <w:rFonts w:hint="eastAsia" w:ascii="宋体" w:hAnsi="宋体"/>
          <w:b/>
          <w:highlight w:val="none"/>
        </w:rPr>
        <w:t>逐项</w:t>
      </w:r>
      <w:r>
        <w:rPr>
          <w:rFonts w:ascii="宋体" w:hAnsi="宋体"/>
          <w:b/>
          <w:highlight w:val="none"/>
        </w:rPr>
        <w:t>增加</w:t>
      </w:r>
      <w:r>
        <w:rPr>
          <w:rFonts w:hint="eastAsia" w:ascii="宋体" w:hAnsi="宋体"/>
          <w:b/>
          <w:highlight w:val="none"/>
        </w:rPr>
        <w:t>含税单价</w:t>
      </w:r>
      <w:r>
        <w:rPr>
          <w:rFonts w:ascii="宋体" w:hAnsi="宋体"/>
          <w:b/>
          <w:highlight w:val="none"/>
        </w:rPr>
        <w:t>和</w:t>
      </w:r>
      <w:r>
        <w:rPr>
          <w:rFonts w:hint="eastAsia" w:ascii="宋体" w:hAnsi="宋体"/>
          <w:b/>
          <w:highlight w:val="none"/>
        </w:rPr>
        <w:t>合价，并</w:t>
      </w:r>
      <w:r>
        <w:rPr>
          <w:rFonts w:ascii="宋体" w:hAnsi="宋体"/>
          <w:b/>
          <w:highlight w:val="none"/>
        </w:rPr>
        <w:t>明确相应税率和税金。</w:t>
      </w:r>
      <w:r>
        <w:rPr>
          <w:rFonts w:hint="eastAsia" w:ascii="宋体" w:hAnsi="宋体"/>
          <w:b/>
          <w:highlight w:val="none"/>
        </w:rPr>
        <w:t>含税价格计算保留小数点后两位，含税合价为含税单价与数量的乘积，项目总价为分项合价之和。合同的最终税金在结算阶段，按实际产生的税金进行核算，但合同不含税价格不因国家税率调整而调整。</w:t>
      </w:r>
    </w:p>
    <w:p>
      <w:pPr>
        <w:spacing w:before="0" w:after="0" w:afterAutospacing="0"/>
        <w:ind w:left="0" w:right="0" w:firstLine="420" w:firstLineChars="200"/>
        <w:rPr>
          <w:rFonts w:ascii="宋体" w:hAnsi="宋体"/>
          <w:highlight w:val="none"/>
        </w:rPr>
      </w:pPr>
      <w:r>
        <w:rPr>
          <w:rFonts w:hint="eastAsia" w:ascii="宋体" w:hAnsi="宋体"/>
          <w:highlight w:val="none"/>
        </w:rPr>
        <w:t>8</w:t>
      </w:r>
      <w:r>
        <w:rPr>
          <w:rFonts w:ascii="宋体" w:hAnsi="宋体"/>
          <w:highlight w:val="none"/>
        </w:rPr>
        <w:t>.与本比选申请有关的一切正式往来通讯请发往：</w:t>
      </w:r>
      <w:r>
        <w:rPr>
          <w:rFonts w:ascii="宋体" w:hAnsi="宋体"/>
          <w:highlight w:val="none"/>
        </w:rPr>
        <w:tab/>
      </w:r>
    </w:p>
    <w:p>
      <w:pPr>
        <w:spacing w:before="0" w:after="0" w:afterAutospacing="0"/>
        <w:ind w:left="0" w:right="0" w:firstLine="420" w:firstLineChars="200"/>
        <w:rPr>
          <w:rFonts w:ascii="宋体" w:hAnsi="宋体"/>
          <w:highlight w:val="none"/>
          <w:u w:val="single"/>
        </w:rPr>
      </w:pPr>
      <w:r>
        <w:rPr>
          <w:rFonts w:ascii="宋体" w:hAnsi="宋体"/>
          <w:highlight w:val="none"/>
        </w:rPr>
        <w:t>地址：</w:t>
      </w:r>
    </w:p>
    <w:p>
      <w:pPr>
        <w:spacing w:before="0" w:after="0" w:afterAutospacing="0"/>
        <w:ind w:left="0" w:right="0" w:firstLine="420" w:firstLineChars="200"/>
        <w:rPr>
          <w:rFonts w:ascii="宋体" w:hAnsi="宋体"/>
          <w:highlight w:val="none"/>
        </w:rPr>
      </w:pPr>
      <w:r>
        <w:rPr>
          <w:rFonts w:ascii="宋体" w:hAnsi="宋体"/>
          <w:highlight w:val="none"/>
        </w:rPr>
        <w:t>邮编：传真：</w:t>
      </w:r>
    </w:p>
    <w:p>
      <w:pPr>
        <w:spacing w:before="0" w:after="0" w:afterAutospacing="0"/>
        <w:ind w:left="0" w:right="0" w:firstLine="420" w:firstLineChars="200"/>
        <w:rPr>
          <w:rFonts w:ascii="宋体" w:hAnsi="宋体"/>
          <w:highlight w:val="none"/>
        </w:rPr>
      </w:pPr>
      <w:r>
        <w:rPr>
          <w:rFonts w:ascii="宋体" w:hAnsi="宋体"/>
          <w:highlight w:val="none"/>
        </w:rPr>
        <w:t>电话：电子邮件：</w:t>
      </w:r>
    </w:p>
    <w:p>
      <w:pPr>
        <w:spacing w:before="0" w:after="0" w:afterAutospacing="0"/>
        <w:ind w:left="0" w:right="0" w:firstLine="420" w:firstLineChars="200"/>
        <w:rPr>
          <w:rFonts w:ascii="宋体" w:hAnsi="宋体"/>
          <w:highlight w:val="none"/>
          <w:u w:val="single"/>
        </w:rPr>
      </w:pPr>
      <w:r>
        <w:rPr>
          <w:rFonts w:ascii="宋体" w:hAnsi="宋体"/>
          <w:highlight w:val="none"/>
        </w:rPr>
        <w:t>比选申请人名称：</w:t>
      </w:r>
      <w:r>
        <w:rPr>
          <w:rFonts w:ascii="宋体" w:hAnsi="宋体"/>
          <w:highlight w:val="none"/>
          <w:u w:val="single"/>
        </w:rPr>
        <w:t>（全称并加盖公章）</w:t>
      </w:r>
    </w:p>
    <w:p>
      <w:pPr>
        <w:spacing w:before="0" w:after="0" w:afterAutospacing="0"/>
        <w:ind w:left="0" w:right="0" w:firstLine="420" w:firstLineChars="200"/>
        <w:rPr>
          <w:rFonts w:ascii="宋体" w:hAnsi="宋体" w:cs="Arial"/>
          <w:highlight w:val="none"/>
        </w:rPr>
      </w:pPr>
      <w:r>
        <w:rPr>
          <w:rFonts w:ascii="宋体" w:hAnsi="宋体"/>
          <w:highlight w:val="none"/>
        </w:rPr>
        <w:t>比选申请人法定代表人（或其委托代理人）签字</w:t>
      </w:r>
      <w:r>
        <w:rPr>
          <w:rFonts w:hint="eastAsia" w:ascii="宋体" w:hAnsi="宋体"/>
          <w:highlight w:val="none"/>
        </w:rPr>
        <w:t>或盖章</w:t>
      </w:r>
      <w:r>
        <w:rPr>
          <w:rFonts w:hint="eastAsia" w:ascii="宋体" w:hAnsi="宋体" w:cs="Arial"/>
          <w:highlight w:val="none"/>
        </w:rPr>
        <w:t>：</w:t>
      </w:r>
    </w:p>
    <w:p>
      <w:pPr>
        <w:spacing w:before="0" w:after="0" w:afterAutospacing="0"/>
        <w:ind w:left="0" w:right="0" w:firstLine="420" w:firstLineChars="200"/>
        <w:rPr>
          <w:rFonts w:ascii="宋体" w:hAnsi="宋体"/>
          <w:highlight w:val="none"/>
        </w:rPr>
      </w:pPr>
      <w:r>
        <w:rPr>
          <w:rFonts w:hint="eastAsia" w:ascii="宋体" w:hAnsi="宋体" w:cs="Arial"/>
          <w:highlight w:val="none"/>
        </w:rPr>
        <w:t>日期：</w:t>
      </w:r>
      <w:r>
        <w:rPr>
          <w:rFonts w:hint="eastAsia" w:ascii="宋体" w:hAnsi="宋体" w:cs="Arial"/>
          <w:highlight w:val="none"/>
          <w:lang w:val="en-US" w:eastAsia="zh-CN"/>
        </w:rPr>
        <w:t xml:space="preserve">   </w:t>
      </w:r>
      <w:r>
        <w:rPr>
          <w:rFonts w:ascii="宋体" w:hAnsi="宋体"/>
          <w:highlight w:val="none"/>
        </w:rPr>
        <w:t>年</w:t>
      </w:r>
      <w:r>
        <w:rPr>
          <w:rFonts w:hint="eastAsia" w:ascii="宋体" w:hAnsi="宋体"/>
          <w:highlight w:val="none"/>
          <w:lang w:val="en-US" w:eastAsia="zh-CN"/>
        </w:rPr>
        <w:t xml:space="preserve">   </w:t>
      </w:r>
      <w:r>
        <w:rPr>
          <w:rFonts w:ascii="宋体" w:hAnsi="宋体"/>
          <w:highlight w:val="none"/>
        </w:rPr>
        <w:t>月</w:t>
      </w:r>
      <w:r>
        <w:rPr>
          <w:rFonts w:hint="eastAsia" w:ascii="宋体" w:hAnsi="宋体"/>
          <w:highlight w:val="none"/>
          <w:lang w:val="en-US" w:eastAsia="zh-CN"/>
        </w:rPr>
        <w:t xml:space="preserve">   </w:t>
      </w:r>
      <w:r>
        <w:rPr>
          <w:rFonts w:ascii="宋体" w:hAnsi="宋体"/>
          <w:highlight w:val="none"/>
        </w:rPr>
        <w:t>日</w:t>
      </w:r>
    </w:p>
    <w:p>
      <w:pPr>
        <w:rPr>
          <w:rFonts w:ascii="宋体" w:hAnsi="宋体"/>
          <w:highlight w:val="none"/>
        </w:rPr>
      </w:pPr>
    </w:p>
    <w:p>
      <w:pPr>
        <w:rPr>
          <w:rFonts w:ascii="宋体" w:hAnsi="宋体" w:eastAsia="宋体"/>
          <w:sz w:val="21"/>
          <w:szCs w:val="21"/>
          <w:highlight w:val="none"/>
        </w:rPr>
      </w:pPr>
      <w:r>
        <w:rPr>
          <w:rFonts w:ascii="宋体" w:hAnsi="宋体" w:eastAsia="宋体"/>
          <w:sz w:val="21"/>
          <w:szCs w:val="21"/>
          <w:highlight w:val="none"/>
        </w:rPr>
        <w:br w:type="page"/>
      </w:r>
    </w:p>
    <w:p>
      <w:pPr>
        <w:pStyle w:val="6"/>
        <w:tabs>
          <w:tab w:val="left" w:pos="567"/>
          <w:tab w:val="left" w:pos="720"/>
        </w:tabs>
        <w:snapToGrid w:val="0"/>
        <w:spacing w:after="100" w:line="360" w:lineRule="auto"/>
        <w:ind w:right="0" w:firstLine="0"/>
        <w:jc w:val="left"/>
        <w:rPr>
          <w:rFonts w:ascii="宋体" w:hAnsi="宋体" w:eastAsia="宋体"/>
          <w:sz w:val="21"/>
          <w:szCs w:val="21"/>
          <w:highlight w:val="none"/>
        </w:rPr>
      </w:pPr>
      <w:r>
        <w:rPr>
          <w:rFonts w:ascii="宋体" w:hAnsi="宋体" w:eastAsia="宋体"/>
          <w:sz w:val="21"/>
          <w:szCs w:val="21"/>
          <w:highlight w:val="none"/>
        </w:rPr>
        <w:t>B3比选申请报价表格式</w:t>
      </w:r>
    </w:p>
    <w:p>
      <w:pPr>
        <w:snapToGrid w:val="0"/>
        <w:spacing w:before="0" w:after="0" w:afterAutospacing="0"/>
        <w:ind w:left="0" w:right="-57" w:firstLine="0"/>
        <w:jc w:val="center"/>
        <w:rPr>
          <w:rFonts w:ascii="宋体" w:hAnsi="宋体"/>
          <w:b/>
          <w:highlight w:val="none"/>
        </w:rPr>
      </w:pPr>
      <w:r>
        <w:rPr>
          <w:rFonts w:hint="eastAsia" w:ascii="宋体" w:hAnsi="宋体"/>
          <w:b/>
          <w:highlight w:val="none"/>
        </w:rPr>
        <w:t>比选申请报价表</w:t>
      </w:r>
    </w:p>
    <w:tbl>
      <w:tblPr>
        <w:tblStyle w:val="27"/>
        <w:tblW w:w="9924" w:type="dxa"/>
        <w:jc w:val="center"/>
        <w:tblLayout w:type="fixed"/>
        <w:tblCellMar>
          <w:top w:w="0" w:type="dxa"/>
          <w:left w:w="108" w:type="dxa"/>
          <w:bottom w:w="0" w:type="dxa"/>
          <w:right w:w="108" w:type="dxa"/>
        </w:tblCellMar>
      </w:tblPr>
      <w:tblGrid>
        <w:gridCol w:w="620"/>
        <w:gridCol w:w="961"/>
        <w:gridCol w:w="2863"/>
        <w:gridCol w:w="700"/>
        <w:gridCol w:w="933"/>
        <w:gridCol w:w="984"/>
        <w:gridCol w:w="1152"/>
        <w:gridCol w:w="1711"/>
      </w:tblGrid>
      <w:tr>
        <w:tblPrEx>
          <w:tblCellMar>
            <w:top w:w="0" w:type="dxa"/>
            <w:left w:w="108" w:type="dxa"/>
            <w:bottom w:w="0" w:type="dxa"/>
            <w:right w:w="108" w:type="dxa"/>
          </w:tblCellMar>
        </w:tblPrEx>
        <w:trPr>
          <w:trHeight w:val="510" w:hRule="atLeast"/>
          <w:tblHeader/>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left"/>
              <w:textAlignment w:val="center"/>
              <w:rPr>
                <w:rFonts w:ascii="宋体" w:hAnsi="宋体" w:cs="宋体"/>
                <w:b/>
                <w:bCs/>
                <w:highlight w:val="none"/>
              </w:rPr>
            </w:pPr>
            <w:r>
              <w:rPr>
                <w:rFonts w:hint="eastAsia" w:ascii="宋体" w:hAnsi="宋体" w:cs="宋体"/>
                <w:b/>
                <w:bCs/>
                <w:highlight w:val="none"/>
              </w:rPr>
              <w:t>序号</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b/>
                <w:bCs/>
                <w:highlight w:val="none"/>
              </w:rPr>
            </w:pPr>
            <w:r>
              <w:rPr>
                <w:rFonts w:hint="eastAsia" w:ascii="宋体" w:hAnsi="宋体" w:cs="宋体"/>
                <w:b/>
                <w:bCs/>
                <w:highlight w:val="none"/>
              </w:rPr>
              <w:t>物料名称</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b/>
                <w:bCs/>
                <w:highlight w:val="none"/>
              </w:rPr>
            </w:pPr>
            <w:r>
              <w:rPr>
                <w:rFonts w:hint="eastAsia" w:ascii="宋体" w:hAnsi="宋体" w:cs="宋体"/>
                <w:b/>
                <w:bCs/>
                <w:highlight w:val="none"/>
              </w:rPr>
              <w:t>参数/规格</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b/>
                <w:bCs/>
                <w:highlight w:val="none"/>
              </w:rPr>
            </w:pPr>
            <w:r>
              <w:rPr>
                <w:rFonts w:hint="eastAsia" w:ascii="宋体" w:hAnsi="宋体" w:cs="宋体"/>
                <w:b/>
                <w:bCs/>
                <w:highlight w:val="none"/>
              </w:rPr>
              <w:t>单位</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hint="eastAsia" w:ascii="宋体" w:hAnsi="宋体" w:eastAsia="宋体" w:cs="宋体"/>
                <w:b/>
                <w:bCs/>
                <w:highlight w:val="none"/>
                <w:lang w:eastAsia="zh-CN"/>
              </w:rPr>
            </w:pPr>
            <w:r>
              <w:rPr>
                <w:rFonts w:hint="eastAsia" w:ascii="宋体" w:hAnsi="宋体" w:cs="宋体"/>
                <w:b/>
                <w:bCs/>
                <w:highlight w:val="none"/>
              </w:rPr>
              <w:t>数量</w:t>
            </w:r>
            <w:r>
              <w:rPr>
                <w:rFonts w:hint="eastAsia" w:ascii="宋体" w:hAnsi="宋体" w:cs="宋体"/>
                <w:b/>
                <w:bCs/>
                <w:highlight w:val="none"/>
                <w:lang w:eastAsia="zh-CN"/>
              </w:rPr>
              <w:t>①</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hint="eastAsia" w:ascii="宋体" w:hAnsi="宋体" w:eastAsia="宋体" w:cs="宋体"/>
                <w:b/>
                <w:bCs/>
                <w:highlight w:val="none"/>
                <w:lang w:eastAsia="zh-CN"/>
              </w:rPr>
            </w:pPr>
            <w:r>
              <w:rPr>
                <w:rFonts w:hint="eastAsia" w:ascii="宋体" w:hAnsi="宋体" w:cs="宋体"/>
                <w:b/>
                <w:bCs/>
                <w:highlight w:val="none"/>
              </w:rPr>
              <w:t>不含税单价</w:t>
            </w:r>
            <w:r>
              <w:rPr>
                <w:rFonts w:hint="eastAsia" w:ascii="宋体" w:hAnsi="宋体" w:cs="宋体"/>
                <w:b/>
                <w:bCs/>
                <w:highlight w:val="none"/>
                <w:lang w:eastAsia="zh-CN"/>
              </w:rPr>
              <w:t>（元）②</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hint="default" w:ascii="宋体" w:hAnsi="宋体" w:eastAsia="宋体" w:cs="宋体"/>
                <w:b/>
                <w:bCs/>
                <w:highlight w:val="none"/>
                <w:lang w:val="en-US" w:eastAsia="zh-CN"/>
              </w:rPr>
            </w:pPr>
            <w:r>
              <w:rPr>
                <w:rFonts w:hint="eastAsia" w:ascii="宋体" w:hAnsi="宋体" w:cs="宋体"/>
                <w:b/>
                <w:bCs/>
                <w:highlight w:val="none"/>
              </w:rPr>
              <w:t>不含税合价（元）</w:t>
            </w:r>
            <w:r>
              <w:rPr>
                <w:rFonts w:hint="eastAsia" w:ascii="宋体" w:hAnsi="宋体" w:cs="宋体"/>
                <w:b/>
                <w:bCs/>
                <w:highlight w:val="none"/>
                <w:lang w:eastAsia="zh-CN"/>
              </w:rPr>
              <w:t>③</w:t>
            </w:r>
            <w:r>
              <w:rPr>
                <w:rFonts w:hint="eastAsia" w:ascii="宋体" w:hAnsi="宋体" w:cs="宋体"/>
                <w:b/>
                <w:bCs/>
                <w:highlight w:val="none"/>
                <w:lang w:val="en-US" w:eastAsia="zh-CN"/>
              </w:rPr>
              <w:t>=②*①</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b/>
                <w:bCs/>
                <w:highlight w:val="none"/>
              </w:rPr>
            </w:pPr>
            <w:r>
              <w:rPr>
                <w:rFonts w:hint="eastAsia" w:ascii="宋体" w:hAnsi="宋体" w:cs="宋体"/>
                <w:b/>
                <w:bCs/>
                <w:highlight w:val="none"/>
              </w:rPr>
              <w:t>备注</w:t>
            </w:r>
          </w:p>
        </w:tc>
      </w:tr>
      <w:tr>
        <w:tblPrEx>
          <w:tblCellMar>
            <w:top w:w="0" w:type="dxa"/>
            <w:left w:w="108" w:type="dxa"/>
            <w:bottom w:w="0" w:type="dxa"/>
            <w:right w:w="108" w:type="dxa"/>
          </w:tblCellMar>
        </w:tblPrEx>
        <w:trPr>
          <w:cantSplit/>
          <w:trHeight w:val="62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highlight w:val="none"/>
              </w:rPr>
            </w:pPr>
            <w:r>
              <w:rPr>
                <w:rFonts w:hint="eastAsia" w:ascii="宋体" w:hAnsi="宋体" w:cs="宋体"/>
                <w:highlight w:val="none"/>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firstLine="0"/>
              <w:jc w:val="center"/>
              <w:textAlignment w:val="center"/>
              <w:rPr>
                <w:rFonts w:ascii="宋体" w:hAnsi="宋体" w:cs="宋体"/>
                <w:sz w:val="22"/>
                <w:szCs w:val="22"/>
                <w:highlight w:val="none"/>
              </w:rPr>
            </w:pPr>
            <w:r>
              <w:rPr>
                <w:rFonts w:ascii="宋体" w:hAnsi="宋体" w:cs="宋体"/>
                <w:sz w:val="22"/>
                <w:szCs w:val="22"/>
                <w:highlight w:val="none"/>
                <w:lang w:bidi="ar"/>
              </w:rPr>
              <w:t>双外丝直接</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firstLine="0"/>
              <w:jc w:val="center"/>
              <w:textAlignment w:val="center"/>
              <w:rPr>
                <w:rFonts w:ascii="宋体" w:hAnsi="宋体" w:cs="宋体"/>
                <w:sz w:val="22"/>
                <w:szCs w:val="22"/>
                <w:highlight w:val="none"/>
              </w:rPr>
            </w:pPr>
            <w:r>
              <w:rPr>
                <w:rFonts w:ascii="宋体" w:hAnsi="宋体" w:cs="宋体"/>
                <w:sz w:val="22"/>
                <w:szCs w:val="22"/>
                <w:highlight w:val="none"/>
                <w:lang w:bidi="ar"/>
              </w:rPr>
              <w:t>304不锈钢，DN25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textAlignment w:val="center"/>
              <w:rPr>
                <w:rFonts w:ascii="宋体" w:hAnsi="宋体" w:cs="宋体"/>
                <w:sz w:val="22"/>
                <w:szCs w:val="22"/>
                <w:highlight w:val="none"/>
              </w:rPr>
            </w:pPr>
            <w:r>
              <w:rPr>
                <w:rFonts w:ascii="宋体" w:hAnsi="宋体" w:cs="宋体"/>
                <w:sz w:val="22"/>
                <w:szCs w:val="22"/>
                <w:highlight w:val="none"/>
                <w:lang w:bidi="ar"/>
              </w:rPr>
              <w:t>个</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textAlignment w:val="center"/>
              <w:rPr>
                <w:rFonts w:ascii="宋体" w:hAnsi="宋体" w:cs="宋体"/>
                <w:sz w:val="22"/>
                <w:szCs w:val="22"/>
                <w:highlight w:val="none"/>
              </w:rPr>
            </w:pPr>
            <w:r>
              <w:rPr>
                <w:rFonts w:ascii="宋体" w:hAnsi="宋体" w:cs="宋体"/>
                <w:sz w:val="22"/>
                <w:szCs w:val="22"/>
                <w:highlight w:val="none"/>
                <w:lang w:bidi="ar"/>
              </w:rPr>
              <w:t>624</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highlight w:val="none"/>
              </w:rPr>
            </w:pPr>
          </w:p>
        </w:tc>
        <w:tc>
          <w:tcPr>
            <w:tcW w:w="1152" w:type="dxa"/>
            <w:tcBorders>
              <w:top w:val="single" w:color="000000" w:sz="4" w:space="0"/>
              <w:left w:val="single" w:color="000000" w:sz="4" w:space="0"/>
              <w:bottom w:val="single" w:color="auto"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highlight w:val="none"/>
              </w:rPr>
            </w:pPr>
          </w:p>
        </w:tc>
        <w:tc>
          <w:tcPr>
            <w:tcW w:w="1711" w:type="dxa"/>
            <w:tcBorders>
              <w:top w:val="single" w:color="000000" w:sz="4" w:space="0"/>
              <w:left w:val="single" w:color="000000" w:sz="4" w:space="0"/>
              <w:bottom w:val="single" w:color="auto"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highlight w:val="none"/>
              </w:rPr>
            </w:pPr>
          </w:p>
        </w:tc>
      </w:tr>
      <w:tr>
        <w:tblPrEx>
          <w:tblCellMar>
            <w:top w:w="0" w:type="dxa"/>
            <w:left w:w="108" w:type="dxa"/>
            <w:bottom w:w="0" w:type="dxa"/>
            <w:right w:w="108" w:type="dxa"/>
          </w:tblCellMar>
        </w:tblPrEx>
        <w:trPr>
          <w:cantSplit/>
          <w:trHeight w:val="62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highlight w:val="none"/>
              </w:rPr>
            </w:pPr>
            <w:r>
              <w:rPr>
                <w:rFonts w:hint="eastAsia" w:ascii="宋体" w:hAnsi="宋体" w:cs="宋体"/>
                <w:highlight w:val="none"/>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firstLine="0"/>
              <w:jc w:val="center"/>
              <w:textAlignment w:val="center"/>
              <w:rPr>
                <w:rFonts w:ascii="宋体" w:hAnsi="宋体" w:cs="宋体"/>
                <w:sz w:val="22"/>
                <w:szCs w:val="22"/>
                <w:highlight w:val="none"/>
              </w:rPr>
            </w:pPr>
            <w:r>
              <w:rPr>
                <w:rFonts w:ascii="宋体" w:hAnsi="宋体" w:cs="宋体"/>
                <w:sz w:val="22"/>
                <w:szCs w:val="22"/>
                <w:highlight w:val="none"/>
                <w:lang w:bidi="ar"/>
              </w:rPr>
              <w:t>双内丝直接</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firstLine="0"/>
              <w:jc w:val="center"/>
              <w:textAlignment w:val="center"/>
              <w:rPr>
                <w:rFonts w:ascii="宋体" w:hAnsi="宋体" w:cs="宋体"/>
                <w:sz w:val="22"/>
                <w:szCs w:val="22"/>
                <w:highlight w:val="none"/>
              </w:rPr>
            </w:pPr>
            <w:r>
              <w:rPr>
                <w:rFonts w:ascii="宋体" w:hAnsi="宋体" w:cs="宋体"/>
                <w:sz w:val="22"/>
                <w:szCs w:val="22"/>
                <w:highlight w:val="none"/>
                <w:lang w:bidi="ar"/>
              </w:rPr>
              <w:t>304不锈钢，DN25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textAlignment w:val="center"/>
              <w:rPr>
                <w:rFonts w:ascii="宋体" w:hAnsi="宋体" w:cs="宋体"/>
                <w:sz w:val="22"/>
                <w:szCs w:val="22"/>
                <w:highlight w:val="none"/>
              </w:rPr>
            </w:pPr>
            <w:r>
              <w:rPr>
                <w:rFonts w:ascii="宋体" w:hAnsi="宋体" w:cs="宋体"/>
                <w:sz w:val="22"/>
                <w:szCs w:val="22"/>
                <w:highlight w:val="none"/>
                <w:lang w:bidi="ar"/>
              </w:rPr>
              <w:t>个</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textAlignment w:val="center"/>
              <w:rPr>
                <w:rFonts w:ascii="宋体" w:hAnsi="宋体" w:cs="宋体"/>
                <w:sz w:val="22"/>
                <w:szCs w:val="22"/>
                <w:highlight w:val="none"/>
              </w:rPr>
            </w:pPr>
            <w:r>
              <w:rPr>
                <w:rFonts w:ascii="宋体" w:hAnsi="宋体" w:cs="宋体"/>
                <w:sz w:val="22"/>
                <w:szCs w:val="22"/>
                <w:highlight w:val="none"/>
                <w:lang w:bidi="ar"/>
              </w:rPr>
              <w:t>468</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highlight w:val="none"/>
              </w:rPr>
            </w:pPr>
          </w:p>
        </w:tc>
        <w:tc>
          <w:tcPr>
            <w:tcW w:w="1152"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highlight w:val="none"/>
              </w:rPr>
            </w:pPr>
          </w:p>
        </w:tc>
        <w:tc>
          <w:tcPr>
            <w:tcW w:w="1711"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before="0" w:after="0" w:afterAutospacing="0" w:line="240" w:lineRule="auto"/>
              <w:ind w:left="0" w:right="0" w:firstLine="0"/>
              <w:jc w:val="center"/>
              <w:rPr>
                <w:rFonts w:ascii="宋体" w:hAnsi="宋体" w:cs="宋体"/>
                <w:highlight w:val="none"/>
              </w:rPr>
            </w:pPr>
          </w:p>
        </w:tc>
      </w:tr>
      <w:tr>
        <w:tblPrEx>
          <w:tblCellMar>
            <w:top w:w="0" w:type="dxa"/>
            <w:left w:w="108" w:type="dxa"/>
            <w:bottom w:w="0" w:type="dxa"/>
            <w:right w:w="108" w:type="dxa"/>
          </w:tblCellMar>
        </w:tblPrEx>
        <w:trPr>
          <w:cantSplit/>
          <w:trHeight w:val="62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highlight w:val="none"/>
              </w:rPr>
            </w:pPr>
            <w:r>
              <w:rPr>
                <w:rFonts w:hint="eastAsia" w:ascii="宋体" w:hAnsi="宋体" w:cs="宋体"/>
                <w:highlight w:val="none"/>
              </w:rPr>
              <w:t>3</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firstLine="0"/>
              <w:jc w:val="center"/>
              <w:textAlignment w:val="center"/>
              <w:rPr>
                <w:rFonts w:ascii="宋体" w:hAnsi="宋体" w:cs="宋体"/>
                <w:sz w:val="22"/>
                <w:szCs w:val="22"/>
                <w:highlight w:val="none"/>
              </w:rPr>
            </w:pPr>
            <w:r>
              <w:rPr>
                <w:rFonts w:ascii="宋体" w:hAnsi="宋体" w:cs="宋体"/>
                <w:sz w:val="22"/>
                <w:szCs w:val="22"/>
                <w:highlight w:val="none"/>
                <w:lang w:bidi="ar"/>
              </w:rPr>
              <w:t>不锈钢管</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firstLine="0"/>
              <w:jc w:val="center"/>
              <w:textAlignment w:val="center"/>
              <w:rPr>
                <w:rFonts w:ascii="宋体" w:hAnsi="宋体" w:cs="宋体"/>
                <w:sz w:val="22"/>
                <w:szCs w:val="22"/>
                <w:highlight w:val="none"/>
              </w:rPr>
            </w:pPr>
            <w:r>
              <w:rPr>
                <w:rFonts w:ascii="宋体" w:hAnsi="宋体" w:cs="宋体"/>
                <w:sz w:val="22"/>
                <w:szCs w:val="22"/>
                <w:highlight w:val="none"/>
                <w:lang w:bidi="ar"/>
              </w:rPr>
              <w:t>304不锈钢，DN25，壁厚不小于1.5mm</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textAlignment w:val="center"/>
              <w:rPr>
                <w:rFonts w:ascii="宋体" w:hAnsi="宋体" w:cs="宋体"/>
                <w:sz w:val="22"/>
                <w:szCs w:val="22"/>
                <w:highlight w:val="none"/>
              </w:rPr>
            </w:pPr>
            <w:r>
              <w:rPr>
                <w:rFonts w:ascii="宋体" w:hAnsi="宋体" w:cs="宋体"/>
                <w:sz w:val="22"/>
                <w:szCs w:val="22"/>
                <w:highlight w:val="none"/>
                <w:lang w:bidi="ar"/>
              </w:rPr>
              <w:t>m</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textAlignment w:val="center"/>
              <w:rPr>
                <w:rFonts w:ascii="宋体" w:hAnsi="宋体" w:cs="宋体"/>
                <w:sz w:val="22"/>
                <w:szCs w:val="22"/>
                <w:highlight w:val="none"/>
              </w:rPr>
            </w:pPr>
            <w:r>
              <w:rPr>
                <w:rFonts w:ascii="宋体" w:hAnsi="宋体" w:cs="宋体"/>
                <w:sz w:val="22"/>
                <w:szCs w:val="22"/>
                <w:highlight w:val="none"/>
                <w:lang w:bidi="ar"/>
              </w:rPr>
              <w:t>78</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highlight w:val="none"/>
              </w:rPr>
            </w:pPr>
          </w:p>
        </w:tc>
        <w:tc>
          <w:tcPr>
            <w:tcW w:w="1152"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highlight w:val="none"/>
              </w:rPr>
            </w:pPr>
          </w:p>
        </w:tc>
        <w:tc>
          <w:tcPr>
            <w:tcW w:w="1711"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before="0" w:after="0" w:afterAutospacing="0" w:line="240" w:lineRule="auto"/>
              <w:ind w:left="0" w:right="0" w:firstLine="0"/>
              <w:jc w:val="center"/>
              <w:rPr>
                <w:rFonts w:ascii="宋体" w:hAnsi="宋体" w:cs="宋体"/>
                <w:highlight w:val="none"/>
              </w:rPr>
            </w:pPr>
          </w:p>
        </w:tc>
      </w:tr>
      <w:tr>
        <w:tblPrEx>
          <w:tblCellMar>
            <w:top w:w="0" w:type="dxa"/>
            <w:left w:w="108" w:type="dxa"/>
            <w:bottom w:w="0" w:type="dxa"/>
            <w:right w:w="108" w:type="dxa"/>
          </w:tblCellMar>
        </w:tblPrEx>
        <w:trPr>
          <w:cantSplit/>
          <w:trHeight w:val="565"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highlight w:val="none"/>
              </w:rPr>
            </w:pPr>
            <w:r>
              <w:rPr>
                <w:rFonts w:hint="eastAsia" w:ascii="宋体" w:hAnsi="宋体" w:cs="宋体"/>
                <w:highlight w:val="none"/>
              </w:rPr>
              <w:t>4</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firstLine="0"/>
              <w:jc w:val="center"/>
              <w:textAlignment w:val="center"/>
              <w:rPr>
                <w:rFonts w:ascii="宋体" w:hAnsi="宋体" w:cs="宋体"/>
                <w:sz w:val="22"/>
                <w:szCs w:val="22"/>
                <w:highlight w:val="none"/>
              </w:rPr>
            </w:pPr>
            <w:r>
              <w:rPr>
                <w:rFonts w:ascii="宋体" w:hAnsi="宋体" w:cs="宋体"/>
                <w:sz w:val="22"/>
                <w:szCs w:val="22"/>
                <w:highlight w:val="none"/>
                <w:lang w:bidi="ar"/>
              </w:rPr>
              <w:t>90°内丝弯头</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firstLine="0"/>
              <w:jc w:val="center"/>
              <w:textAlignment w:val="center"/>
              <w:rPr>
                <w:sz w:val="22"/>
                <w:szCs w:val="22"/>
                <w:highlight w:val="none"/>
              </w:rPr>
            </w:pPr>
            <w:r>
              <w:rPr>
                <w:rFonts w:ascii="宋体" w:hAnsi="宋体" w:cs="宋体"/>
                <w:sz w:val="22"/>
                <w:szCs w:val="22"/>
                <w:highlight w:val="none"/>
                <w:lang w:bidi="ar"/>
              </w:rPr>
              <w:t>304不锈钢，DN25</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textAlignment w:val="center"/>
              <w:rPr>
                <w:rFonts w:ascii="宋体" w:hAnsi="宋体" w:cs="宋体"/>
                <w:sz w:val="22"/>
                <w:szCs w:val="22"/>
                <w:highlight w:val="none"/>
              </w:rPr>
            </w:pPr>
            <w:r>
              <w:rPr>
                <w:rFonts w:ascii="宋体" w:hAnsi="宋体" w:cs="宋体"/>
                <w:sz w:val="22"/>
                <w:szCs w:val="22"/>
                <w:highlight w:val="none"/>
                <w:lang w:bidi="ar"/>
              </w:rPr>
              <w:t>个</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textAlignment w:val="center"/>
              <w:rPr>
                <w:rFonts w:ascii="宋体" w:hAnsi="宋体" w:cs="宋体"/>
                <w:sz w:val="22"/>
                <w:szCs w:val="22"/>
                <w:highlight w:val="none"/>
              </w:rPr>
            </w:pPr>
            <w:r>
              <w:rPr>
                <w:rFonts w:ascii="宋体" w:hAnsi="宋体" w:cs="宋体"/>
                <w:sz w:val="22"/>
                <w:szCs w:val="22"/>
                <w:highlight w:val="none"/>
                <w:lang w:bidi="ar"/>
              </w:rPr>
              <w:t>156</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highlight w:val="none"/>
              </w:rPr>
            </w:pPr>
          </w:p>
        </w:tc>
        <w:tc>
          <w:tcPr>
            <w:tcW w:w="1152"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highlight w:val="none"/>
              </w:rPr>
            </w:pPr>
          </w:p>
        </w:tc>
        <w:tc>
          <w:tcPr>
            <w:tcW w:w="1711"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before="0" w:after="0" w:afterAutospacing="0" w:line="240" w:lineRule="auto"/>
              <w:ind w:left="0" w:right="0" w:firstLine="0"/>
              <w:jc w:val="center"/>
              <w:rPr>
                <w:rFonts w:ascii="宋体" w:hAnsi="宋体" w:cs="宋体"/>
                <w:highlight w:val="none"/>
              </w:rPr>
            </w:pPr>
          </w:p>
        </w:tc>
      </w:tr>
      <w:tr>
        <w:tblPrEx>
          <w:tblCellMar>
            <w:top w:w="0" w:type="dxa"/>
            <w:left w:w="108" w:type="dxa"/>
            <w:bottom w:w="0" w:type="dxa"/>
            <w:right w:w="108" w:type="dxa"/>
          </w:tblCellMar>
        </w:tblPrEx>
        <w:trPr>
          <w:cantSplit/>
          <w:trHeight w:val="1359"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highlight w:val="none"/>
              </w:rPr>
            </w:pPr>
            <w:r>
              <w:rPr>
                <w:rFonts w:hint="eastAsia" w:ascii="宋体" w:hAnsi="宋体" w:cs="宋体"/>
                <w:highlight w:val="none"/>
              </w:rPr>
              <w:t>5</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firstLine="0"/>
              <w:jc w:val="center"/>
              <w:textAlignment w:val="center"/>
              <w:rPr>
                <w:rFonts w:ascii="宋体" w:hAnsi="宋体" w:cs="宋体"/>
                <w:sz w:val="22"/>
                <w:szCs w:val="22"/>
                <w:highlight w:val="none"/>
              </w:rPr>
            </w:pPr>
            <w:r>
              <w:rPr>
                <w:rFonts w:ascii="宋体" w:hAnsi="宋体" w:cs="宋体"/>
                <w:sz w:val="22"/>
                <w:szCs w:val="22"/>
                <w:highlight w:val="none"/>
                <w:lang w:bidi="ar"/>
              </w:rPr>
              <w:t>脚踏式延时冲水阀</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firstLine="0"/>
              <w:jc w:val="center"/>
              <w:textAlignment w:val="center"/>
              <w:rPr>
                <w:rFonts w:ascii="宋体" w:hAnsi="宋体" w:cs="宋体"/>
                <w:sz w:val="22"/>
                <w:szCs w:val="22"/>
                <w:highlight w:val="none"/>
              </w:rPr>
            </w:pPr>
            <w:r>
              <w:rPr>
                <w:rFonts w:ascii="宋体" w:hAnsi="宋体" w:cs="宋体"/>
                <w:sz w:val="22"/>
                <w:szCs w:val="22"/>
                <w:highlight w:val="none"/>
                <w:lang w:bidi="ar"/>
              </w:rPr>
              <w:t>直角型，DN25，表面镀硌，铜质阀芯，进出水口径均为DN25，要求可正常踩踏使用20万次以上(需配套1根长约30cm、材质为304不锈钢的90°冲洗弯管及1套密封胶垫圈)</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textAlignment w:val="center"/>
              <w:rPr>
                <w:rFonts w:ascii="宋体" w:hAnsi="宋体" w:cs="宋体"/>
                <w:sz w:val="22"/>
                <w:szCs w:val="22"/>
                <w:highlight w:val="none"/>
              </w:rPr>
            </w:pPr>
            <w:r>
              <w:rPr>
                <w:rFonts w:ascii="宋体" w:hAnsi="宋体" w:cs="宋体"/>
                <w:sz w:val="22"/>
                <w:szCs w:val="22"/>
                <w:highlight w:val="none"/>
                <w:lang w:bidi="ar"/>
              </w:rPr>
              <w:t>个</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textAlignment w:val="center"/>
              <w:rPr>
                <w:rFonts w:ascii="宋体" w:hAnsi="宋体" w:cs="宋体"/>
                <w:sz w:val="22"/>
                <w:szCs w:val="22"/>
                <w:highlight w:val="none"/>
              </w:rPr>
            </w:pPr>
            <w:r>
              <w:rPr>
                <w:rFonts w:ascii="宋体" w:hAnsi="宋体" w:cs="宋体"/>
                <w:sz w:val="22"/>
                <w:szCs w:val="22"/>
                <w:highlight w:val="none"/>
                <w:lang w:bidi="ar"/>
              </w:rPr>
              <w:t>156</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highlight w:val="none"/>
              </w:rPr>
            </w:pPr>
          </w:p>
        </w:tc>
        <w:tc>
          <w:tcPr>
            <w:tcW w:w="1152"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highlight w:val="none"/>
              </w:rPr>
            </w:pPr>
          </w:p>
        </w:tc>
        <w:tc>
          <w:tcPr>
            <w:tcW w:w="1711"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before="0" w:after="0" w:afterAutospacing="0" w:line="240" w:lineRule="auto"/>
              <w:ind w:left="0" w:right="0" w:firstLine="0"/>
              <w:jc w:val="center"/>
              <w:rPr>
                <w:rFonts w:ascii="宋体" w:hAnsi="宋体" w:cs="宋体"/>
                <w:highlight w:val="none"/>
              </w:rPr>
            </w:pPr>
          </w:p>
        </w:tc>
      </w:tr>
      <w:tr>
        <w:tblPrEx>
          <w:tblCellMar>
            <w:top w:w="0" w:type="dxa"/>
            <w:left w:w="108" w:type="dxa"/>
            <w:bottom w:w="0" w:type="dxa"/>
            <w:right w:w="108" w:type="dxa"/>
          </w:tblCellMar>
        </w:tblPrEx>
        <w:trPr>
          <w:cantSplit/>
          <w:trHeight w:val="62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highlight w:val="none"/>
              </w:rPr>
            </w:pPr>
            <w:r>
              <w:rPr>
                <w:rFonts w:hint="eastAsia" w:ascii="宋体" w:hAnsi="宋体" w:cs="宋体"/>
                <w:highlight w:val="none"/>
              </w:rPr>
              <w:t>6</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firstLine="0"/>
              <w:jc w:val="center"/>
              <w:textAlignment w:val="center"/>
              <w:rPr>
                <w:rFonts w:ascii="宋体" w:hAnsi="宋体" w:cs="宋体"/>
                <w:sz w:val="22"/>
                <w:szCs w:val="22"/>
                <w:highlight w:val="none"/>
              </w:rPr>
            </w:pPr>
            <w:r>
              <w:rPr>
                <w:rFonts w:ascii="宋体" w:hAnsi="宋体" w:cs="宋体"/>
                <w:sz w:val="22"/>
                <w:szCs w:val="22"/>
                <w:highlight w:val="none"/>
                <w:lang w:bidi="ar"/>
              </w:rPr>
              <w:t>一字磁性锁闭球阀</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firstLine="0"/>
              <w:jc w:val="center"/>
              <w:textAlignment w:val="center"/>
              <w:rPr>
                <w:rFonts w:ascii="宋体" w:hAnsi="宋体" w:cs="宋体"/>
                <w:sz w:val="22"/>
                <w:szCs w:val="22"/>
                <w:highlight w:val="none"/>
              </w:rPr>
            </w:pPr>
            <w:r>
              <w:rPr>
                <w:rFonts w:ascii="宋体" w:hAnsi="宋体" w:cs="宋体"/>
                <w:sz w:val="22"/>
                <w:szCs w:val="22"/>
                <w:highlight w:val="none"/>
                <w:lang w:bidi="ar"/>
              </w:rPr>
              <w:t>DN25，材质:黄铜；连接方式：双内螺纹连接</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textAlignment w:val="center"/>
              <w:rPr>
                <w:rFonts w:ascii="宋体" w:hAnsi="宋体" w:cs="宋体"/>
                <w:sz w:val="22"/>
                <w:szCs w:val="22"/>
                <w:highlight w:val="none"/>
              </w:rPr>
            </w:pPr>
            <w:r>
              <w:rPr>
                <w:rFonts w:ascii="宋体" w:hAnsi="宋体" w:cs="宋体"/>
                <w:sz w:val="22"/>
                <w:szCs w:val="22"/>
                <w:highlight w:val="none"/>
                <w:lang w:bidi="ar"/>
              </w:rPr>
              <w:t>个</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textAlignment w:val="center"/>
              <w:rPr>
                <w:rFonts w:ascii="宋体" w:hAnsi="宋体" w:cs="宋体"/>
                <w:sz w:val="22"/>
                <w:szCs w:val="22"/>
                <w:highlight w:val="none"/>
              </w:rPr>
            </w:pPr>
            <w:r>
              <w:rPr>
                <w:rFonts w:ascii="宋体" w:hAnsi="宋体" w:cs="宋体"/>
                <w:sz w:val="22"/>
                <w:szCs w:val="22"/>
                <w:highlight w:val="none"/>
                <w:lang w:bidi="ar"/>
              </w:rPr>
              <w:t>156</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highlight w:val="none"/>
              </w:rPr>
            </w:pPr>
          </w:p>
        </w:tc>
        <w:tc>
          <w:tcPr>
            <w:tcW w:w="1152"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highlight w:val="none"/>
              </w:rPr>
            </w:pPr>
          </w:p>
        </w:tc>
        <w:tc>
          <w:tcPr>
            <w:tcW w:w="1711"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rPr>
                <w:rFonts w:ascii="宋体" w:hAnsi="宋体" w:cs="宋体"/>
                <w:highlight w:val="none"/>
              </w:rPr>
            </w:pPr>
          </w:p>
        </w:tc>
      </w:tr>
      <w:tr>
        <w:tblPrEx>
          <w:tblCellMar>
            <w:top w:w="0" w:type="dxa"/>
            <w:left w:w="108" w:type="dxa"/>
            <w:bottom w:w="0" w:type="dxa"/>
            <w:right w:w="108" w:type="dxa"/>
          </w:tblCellMar>
        </w:tblPrEx>
        <w:trPr>
          <w:cantSplit/>
          <w:trHeight w:val="62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highlight w:val="none"/>
              </w:rPr>
            </w:pPr>
            <w:r>
              <w:rPr>
                <w:rFonts w:hint="eastAsia" w:ascii="宋体" w:hAnsi="宋体" w:cs="宋体"/>
                <w:highlight w:val="none"/>
              </w:rPr>
              <w:t>7</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firstLine="0"/>
              <w:jc w:val="center"/>
              <w:textAlignment w:val="center"/>
              <w:rPr>
                <w:rFonts w:ascii="宋体" w:hAnsi="宋体" w:cs="宋体"/>
                <w:sz w:val="22"/>
                <w:szCs w:val="22"/>
                <w:highlight w:val="none"/>
              </w:rPr>
            </w:pPr>
            <w:r>
              <w:rPr>
                <w:rFonts w:ascii="宋体" w:hAnsi="宋体" w:cs="宋体"/>
                <w:sz w:val="22"/>
                <w:szCs w:val="22"/>
                <w:highlight w:val="none"/>
                <w:lang w:bidi="ar"/>
              </w:rPr>
              <w:t>不锈钢暗装底盒（带盖板）</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firstLine="0"/>
              <w:jc w:val="center"/>
              <w:textAlignment w:val="center"/>
              <w:rPr>
                <w:rFonts w:hint="eastAsia" w:ascii="宋体" w:hAnsi="宋体" w:eastAsia="宋体" w:cs="宋体"/>
                <w:sz w:val="22"/>
                <w:szCs w:val="22"/>
                <w:highlight w:val="none"/>
                <w:lang w:eastAsia="zh-CN" w:bidi="ar"/>
              </w:rPr>
            </w:pPr>
            <w:r>
              <w:rPr>
                <w:rFonts w:ascii="宋体" w:hAnsi="宋体" w:cs="宋体"/>
                <w:sz w:val="22"/>
                <w:szCs w:val="22"/>
                <w:highlight w:val="none"/>
                <w:lang w:bidi="ar"/>
              </w:rPr>
              <w:t>底盒及盖板均为304不锈钢材质，厚度不小于1mm；</w:t>
            </w:r>
          </w:p>
          <w:p>
            <w:pPr>
              <w:spacing w:line="240" w:lineRule="auto"/>
              <w:ind w:left="0" w:firstLine="0"/>
              <w:jc w:val="center"/>
              <w:textAlignment w:val="center"/>
              <w:rPr>
                <w:rFonts w:hint="eastAsia" w:ascii="宋体" w:hAnsi="宋体" w:eastAsia="宋体" w:cs="宋体"/>
                <w:sz w:val="22"/>
                <w:szCs w:val="22"/>
                <w:highlight w:val="none"/>
                <w:lang w:eastAsia="zh-CN" w:bidi="ar"/>
              </w:rPr>
            </w:pPr>
            <w:r>
              <w:rPr>
                <w:rFonts w:ascii="宋体" w:hAnsi="宋体" w:cs="宋体"/>
                <w:sz w:val="22"/>
                <w:szCs w:val="22"/>
                <w:highlight w:val="none"/>
                <w:lang w:bidi="ar"/>
              </w:rPr>
              <w:t>底盒长宽深：150mm*150mm*110mm，进、出水管孔中心点位于中线，孔径：39mm，四角设安装盖板的螺纹连接孔（孔径：3mm）；</w:t>
            </w:r>
          </w:p>
          <w:p>
            <w:pPr>
              <w:spacing w:line="240" w:lineRule="auto"/>
              <w:ind w:left="0" w:firstLine="0"/>
              <w:jc w:val="center"/>
              <w:textAlignment w:val="center"/>
              <w:rPr>
                <w:rFonts w:ascii="宋体" w:hAnsi="宋体" w:cs="宋体"/>
                <w:sz w:val="22"/>
                <w:szCs w:val="22"/>
                <w:highlight w:val="none"/>
              </w:rPr>
            </w:pPr>
            <w:r>
              <w:rPr>
                <w:rFonts w:ascii="宋体" w:hAnsi="宋体" w:cs="宋体"/>
                <w:sz w:val="22"/>
                <w:szCs w:val="22"/>
                <w:highlight w:val="none"/>
                <w:lang w:bidi="ar"/>
              </w:rPr>
              <w:t>盖板长宽：150mm*150mm，四边平整光滑，四角设安装盖板的连接孔</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textAlignment w:val="center"/>
              <w:rPr>
                <w:rFonts w:ascii="宋体" w:hAnsi="宋体" w:cs="宋体"/>
                <w:sz w:val="22"/>
                <w:szCs w:val="22"/>
                <w:highlight w:val="none"/>
              </w:rPr>
            </w:pPr>
            <w:r>
              <w:rPr>
                <w:rFonts w:ascii="宋体" w:hAnsi="宋体" w:cs="宋体"/>
                <w:sz w:val="22"/>
                <w:szCs w:val="22"/>
                <w:highlight w:val="none"/>
                <w:lang w:bidi="ar"/>
              </w:rPr>
              <w:t>个</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textAlignment w:val="center"/>
              <w:rPr>
                <w:rFonts w:ascii="宋体" w:hAnsi="宋体" w:cs="宋体"/>
                <w:sz w:val="22"/>
                <w:szCs w:val="22"/>
                <w:highlight w:val="none"/>
              </w:rPr>
            </w:pPr>
            <w:r>
              <w:rPr>
                <w:rFonts w:ascii="宋体" w:hAnsi="宋体" w:cs="宋体"/>
                <w:sz w:val="22"/>
                <w:szCs w:val="22"/>
                <w:highlight w:val="none"/>
                <w:lang w:bidi="ar"/>
              </w:rPr>
              <w:t>156</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highlight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highlight w:val="none"/>
              </w:rPr>
            </w:pPr>
          </w:p>
        </w:tc>
        <w:tc>
          <w:tcPr>
            <w:tcW w:w="1711" w:type="dxa"/>
            <w:tcBorders>
              <w:top w:val="nil"/>
              <w:left w:val="single" w:color="000000" w:sz="4" w:space="0"/>
              <w:bottom w:val="single" w:color="auto" w:sz="4" w:space="0"/>
              <w:right w:val="single" w:color="000000" w:sz="4" w:space="0"/>
            </w:tcBorders>
            <w:shd w:val="clear" w:color="auto" w:fill="auto"/>
            <w:vAlign w:val="center"/>
          </w:tcPr>
          <w:p>
            <w:pPr>
              <w:spacing w:line="240" w:lineRule="auto"/>
              <w:ind w:left="0" w:firstLine="0"/>
              <w:jc w:val="center"/>
              <w:textAlignment w:val="center"/>
              <w:rPr>
                <w:rFonts w:ascii="宋体" w:hAnsi="宋体" w:cs="宋体"/>
                <w:highlight w:val="none"/>
              </w:rPr>
            </w:pPr>
            <w:r>
              <w:rPr>
                <w:rFonts w:hint="eastAsia" w:ascii="宋体" w:hAnsi="宋体" w:cs="宋体"/>
                <w:sz w:val="22"/>
                <w:szCs w:val="22"/>
                <w:highlight w:val="none"/>
                <w:lang w:bidi="ar"/>
              </w:rPr>
              <w:t>包含十字螺钉、螺帽等安装固定用材</w:t>
            </w:r>
          </w:p>
        </w:tc>
      </w:tr>
      <w:tr>
        <w:tblPrEx>
          <w:tblCellMar>
            <w:top w:w="0" w:type="dxa"/>
            <w:left w:w="108" w:type="dxa"/>
            <w:bottom w:w="0" w:type="dxa"/>
            <w:right w:w="108" w:type="dxa"/>
          </w:tblCellMar>
        </w:tblPrEx>
        <w:trPr>
          <w:cantSplit/>
          <w:trHeight w:val="62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highlight w:val="none"/>
              </w:rPr>
            </w:pPr>
            <w:r>
              <w:rPr>
                <w:rFonts w:hint="eastAsia" w:ascii="宋体" w:hAnsi="宋体" w:cs="宋体"/>
                <w:highlight w:val="none"/>
              </w:rPr>
              <w:t>8</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firstLine="0"/>
              <w:jc w:val="center"/>
              <w:textAlignment w:val="center"/>
              <w:rPr>
                <w:rFonts w:ascii="宋体" w:hAnsi="宋体" w:cs="宋体"/>
                <w:sz w:val="22"/>
                <w:szCs w:val="22"/>
                <w:highlight w:val="none"/>
              </w:rPr>
            </w:pPr>
            <w:r>
              <w:rPr>
                <w:rFonts w:ascii="宋体" w:hAnsi="宋体" w:cs="宋体"/>
                <w:sz w:val="22"/>
                <w:szCs w:val="22"/>
                <w:highlight w:val="none"/>
                <w:lang w:bidi="ar"/>
              </w:rPr>
              <w:t>墙面瓷砖</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firstLine="0"/>
              <w:jc w:val="center"/>
              <w:textAlignment w:val="center"/>
              <w:rPr>
                <w:rFonts w:hint="eastAsia" w:ascii="宋体" w:hAnsi="宋体" w:eastAsia="宋体" w:cs="宋体"/>
                <w:sz w:val="22"/>
                <w:szCs w:val="22"/>
                <w:highlight w:val="none"/>
                <w:lang w:eastAsia="zh-CN" w:bidi="ar"/>
              </w:rPr>
            </w:pPr>
            <w:r>
              <w:rPr>
                <w:rFonts w:ascii="宋体" w:hAnsi="宋体" w:cs="宋体"/>
                <w:sz w:val="22"/>
                <w:szCs w:val="22"/>
                <w:highlight w:val="none"/>
                <w:lang w:bidi="ar"/>
              </w:rPr>
              <w:t>颜色：白色；尺寸300mm*600mm/片（2片/蹲位）</w:t>
            </w:r>
          </w:p>
          <w:p>
            <w:pPr>
              <w:spacing w:line="240" w:lineRule="auto"/>
              <w:ind w:left="0" w:firstLine="0"/>
              <w:jc w:val="center"/>
              <w:textAlignment w:val="center"/>
              <w:rPr>
                <w:rFonts w:hint="eastAsia" w:ascii="宋体" w:hAnsi="宋体" w:eastAsia="宋体" w:cs="宋体"/>
                <w:sz w:val="22"/>
                <w:szCs w:val="22"/>
                <w:highlight w:val="none"/>
                <w:lang w:eastAsia="zh-CN" w:bidi="ar"/>
              </w:rPr>
            </w:pPr>
            <w:r>
              <w:rPr>
                <w:rFonts w:ascii="宋体" w:hAnsi="宋体" w:cs="宋体"/>
                <w:sz w:val="22"/>
                <w:szCs w:val="22"/>
                <w:highlight w:val="none"/>
                <w:lang w:bidi="ar"/>
              </w:rPr>
              <w:t>1. 8~10mm厚300*600m釉面砖；</w:t>
            </w:r>
          </w:p>
          <w:p>
            <w:pPr>
              <w:spacing w:line="240" w:lineRule="auto"/>
              <w:ind w:left="0" w:firstLine="0"/>
              <w:jc w:val="center"/>
              <w:textAlignment w:val="center"/>
              <w:rPr>
                <w:rFonts w:ascii="宋体" w:hAnsi="宋体" w:cs="宋体"/>
                <w:sz w:val="22"/>
                <w:szCs w:val="22"/>
                <w:highlight w:val="none"/>
              </w:rPr>
            </w:pPr>
            <w:r>
              <w:rPr>
                <w:rFonts w:ascii="宋体" w:hAnsi="宋体" w:cs="宋体"/>
                <w:sz w:val="22"/>
                <w:szCs w:val="22"/>
                <w:highlight w:val="none"/>
                <w:lang w:bidi="ar"/>
              </w:rPr>
              <w:t>2. 品牌参照或相当于“东鹏、马可波罗、冠珠”；</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textAlignment w:val="center"/>
              <w:rPr>
                <w:rFonts w:ascii="宋体" w:hAnsi="宋体" w:cs="宋体"/>
                <w:sz w:val="22"/>
                <w:szCs w:val="22"/>
                <w:highlight w:val="none"/>
              </w:rPr>
            </w:pPr>
            <w:r>
              <w:rPr>
                <w:rFonts w:ascii="宋体" w:hAnsi="宋体" w:cs="宋体"/>
                <w:sz w:val="22"/>
                <w:szCs w:val="22"/>
                <w:highlight w:val="none"/>
                <w:lang w:bidi="ar"/>
              </w:rPr>
              <w:t>㎡</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textAlignment w:val="center"/>
              <w:rPr>
                <w:rFonts w:ascii="宋体" w:hAnsi="宋体" w:cs="宋体"/>
                <w:sz w:val="22"/>
                <w:szCs w:val="22"/>
                <w:highlight w:val="none"/>
              </w:rPr>
            </w:pPr>
            <w:r>
              <w:rPr>
                <w:rFonts w:ascii="宋体" w:hAnsi="宋体" w:cs="宋体"/>
                <w:sz w:val="22"/>
                <w:szCs w:val="22"/>
                <w:highlight w:val="none"/>
                <w:lang w:bidi="ar"/>
              </w:rPr>
              <w:t>56.16</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highlight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highlight w:val="none"/>
              </w:rPr>
            </w:pPr>
          </w:p>
        </w:tc>
        <w:tc>
          <w:tcPr>
            <w:tcW w:w="1711"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240" w:lineRule="auto"/>
              <w:ind w:left="0" w:firstLine="0"/>
              <w:jc w:val="center"/>
              <w:textAlignment w:val="center"/>
              <w:rPr>
                <w:rFonts w:ascii="宋体" w:hAnsi="宋体" w:cs="宋体"/>
                <w:highlight w:val="none"/>
              </w:rPr>
            </w:pPr>
            <w:r>
              <w:rPr>
                <w:rFonts w:hint="eastAsia" w:ascii="宋体" w:hAnsi="宋体" w:cs="宋体"/>
                <w:sz w:val="22"/>
                <w:szCs w:val="22"/>
                <w:highlight w:val="none"/>
                <w:lang w:bidi="ar"/>
              </w:rPr>
              <w:t>具体色号、材质以现场原墙面瓷砖材质确定</w:t>
            </w:r>
          </w:p>
        </w:tc>
      </w:tr>
      <w:tr>
        <w:tblPrEx>
          <w:tblCellMar>
            <w:top w:w="0" w:type="dxa"/>
            <w:left w:w="108" w:type="dxa"/>
            <w:bottom w:w="0" w:type="dxa"/>
            <w:right w:w="108" w:type="dxa"/>
          </w:tblCellMar>
        </w:tblPrEx>
        <w:trPr>
          <w:cantSplit/>
          <w:trHeight w:val="62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highlight w:val="none"/>
              </w:rPr>
            </w:pPr>
            <w:r>
              <w:rPr>
                <w:rFonts w:hint="eastAsia" w:ascii="宋体" w:hAnsi="宋体" w:cs="宋体"/>
                <w:highlight w:val="none"/>
              </w:rPr>
              <w:t>9</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firstLine="0"/>
              <w:jc w:val="center"/>
              <w:textAlignment w:val="center"/>
              <w:rPr>
                <w:rFonts w:ascii="宋体" w:hAnsi="宋体" w:cs="宋体"/>
                <w:sz w:val="22"/>
                <w:szCs w:val="22"/>
                <w:highlight w:val="none"/>
              </w:rPr>
            </w:pPr>
            <w:r>
              <w:rPr>
                <w:rFonts w:ascii="宋体" w:hAnsi="宋体" w:cs="宋体"/>
                <w:sz w:val="22"/>
                <w:szCs w:val="22"/>
                <w:highlight w:val="none"/>
                <w:lang w:bidi="ar"/>
              </w:rPr>
              <w:t>防滑地砖</w:t>
            </w:r>
          </w:p>
        </w:tc>
        <w:tc>
          <w:tcPr>
            <w:tcW w:w="28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firstLine="0"/>
              <w:jc w:val="center"/>
              <w:textAlignment w:val="center"/>
              <w:rPr>
                <w:rFonts w:hint="eastAsia" w:ascii="宋体" w:hAnsi="宋体" w:eastAsia="宋体" w:cs="宋体"/>
                <w:sz w:val="22"/>
                <w:szCs w:val="22"/>
                <w:highlight w:val="none"/>
                <w:lang w:eastAsia="zh-CN" w:bidi="ar"/>
              </w:rPr>
            </w:pPr>
            <w:r>
              <w:rPr>
                <w:rFonts w:ascii="宋体" w:hAnsi="宋体" w:cs="宋体"/>
                <w:sz w:val="22"/>
                <w:szCs w:val="22"/>
                <w:highlight w:val="none"/>
                <w:lang w:bidi="ar"/>
              </w:rPr>
              <w:t>颜色：米黄色；尺寸300mm*300mm/片（2片/蹲位）</w:t>
            </w:r>
          </w:p>
          <w:p>
            <w:pPr>
              <w:spacing w:line="240" w:lineRule="auto"/>
              <w:ind w:left="0" w:firstLine="0"/>
              <w:jc w:val="center"/>
              <w:textAlignment w:val="center"/>
              <w:rPr>
                <w:rFonts w:hint="eastAsia" w:ascii="宋体" w:hAnsi="宋体" w:eastAsia="宋体" w:cs="宋体"/>
                <w:sz w:val="22"/>
                <w:szCs w:val="22"/>
                <w:highlight w:val="none"/>
                <w:lang w:eastAsia="zh-CN" w:bidi="ar"/>
              </w:rPr>
            </w:pPr>
            <w:r>
              <w:rPr>
                <w:rFonts w:ascii="宋体" w:hAnsi="宋体" w:cs="宋体"/>
                <w:sz w:val="22"/>
                <w:szCs w:val="22"/>
                <w:highlight w:val="none"/>
                <w:lang w:bidi="ar"/>
              </w:rPr>
              <w:t>1. 8~10mm厚300*300防滑地砖。</w:t>
            </w:r>
          </w:p>
          <w:p>
            <w:pPr>
              <w:spacing w:line="240" w:lineRule="auto"/>
              <w:ind w:left="0" w:firstLine="0"/>
              <w:jc w:val="center"/>
              <w:textAlignment w:val="center"/>
              <w:rPr>
                <w:rFonts w:ascii="宋体" w:hAnsi="宋体" w:cs="宋体"/>
                <w:sz w:val="22"/>
                <w:szCs w:val="22"/>
                <w:highlight w:val="none"/>
              </w:rPr>
            </w:pPr>
            <w:r>
              <w:rPr>
                <w:rFonts w:ascii="宋体" w:hAnsi="宋体" w:cs="宋体"/>
                <w:sz w:val="22"/>
                <w:szCs w:val="22"/>
                <w:highlight w:val="none"/>
                <w:lang w:bidi="ar"/>
              </w:rPr>
              <w:t>2. 品牌参照或相当于“东鹏、马可波罗、冠珠”。</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textAlignment w:val="center"/>
              <w:rPr>
                <w:rFonts w:ascii="宋体" w:hAnsi="宋体" w:cs="宋体"/>
                <w:sz w:val="22"/>
                <w:szCs w:val="22"/>
                <w:highlight w:val="none"/>
              </w:rPr>
            </w:pPr>
            <w:r>
              <w:rPr>
                <w:rFonts w:ascii="宋体" w:hAnsi="宋体" w:cs="宋体"/>
                <w:sz w:val="22"/>
                <w:szCs w:val="22"/>
                <w:highlight w:val="none"/>
                <w:lang w:bidi="ar"/>
              </w:rPr>
              <w:t>㎡</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textAlignment w:val="center"/>
              <w:rPr>
                <w:rFonts w:ascii="宋体" w:hAnsi="宋体" w:cs="宋体"/>
                <w:sz w:val="22"/>
                <w:szCs w:val="22"/>
                <w:highlight w:val="none"/>
              </w:rPr>
            </w:pPr>
            <w:r>
              <w:rPr>
                <w:rFonts w:ascii="宋体" w:hAnsi="宋体" w:cs="宋体"/>
                <w:sz w:val="22"/>
                <w:szCs w:val="22"/>
                <w:highlight w:val="none"/>
                <w:lang w:bidi="ar"/>
              </w:rPr>
              <w:t>28.08</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highlight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ascii="宋体" w:hAnsi="宋体" w:cs="宋体"/>
                <w:highlight w:val="none"/>
              </w:rPr>
            </w:pPr>
          </w:p>
        </w:tc>
        <w:tc>
          <w:tcPr>
            <w:tcW w:w="1711"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240" w:lineRule="auto"/>
              <w:ind w:left="0" w:firstLine="0"/>
              <w:jc w:val="center"/>
              <w:textAlignment w:val="center"/>
              <w:rPr>
                <w:rFonts w:ascii="宋体" w:hAnsi="宋体" w:cs="宋体"/>
                <w:highlight w:val="none"/>
              </w:rPr>
            </w:pPr>
            <w:r>
              <w:rPr>
                <w:rFonts w:hint="eastAsia" w:ascii="宋体" w:hAnsi="宋体" w:cs="宋体"/>
                <w:sz w:val="22"/>
                <w:szCs w:val="22"/>
                <w:highlight w:val="none"/>
                <w:lang w:bidi="ar"/>
              </w:rPr>
              <w:t>具体色号、材质以现场原地面砖材质确定</w:t>
            </w:r>
          </w:p>
        </w:tc>
      </w:tr>
      <w:tr>
        <w:tblPrEx>
          <w:tblCellMar>
            <w:top w:w="0" w:type="dxa"/>
            <w:left w:w="108" w:type="dxa"/>
            <w:bottom w:w="0" w:type="dxa"/>
            <w:right w:w="108" w:type="dxa"/>
          </w:tblCellMar>
        </w:tblPrEx>
        <w:trPr>
          <w:cantSplit/>
          <w:trHeight w:val="620" w:hRule="atLeast"/>
          <w:jc w:val="center"/>
        </w:trPr>
        <w:tc>
          <w:tcPr>
            <w:tcW w:w="70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rFonts w:hint="eastAsia" w:ascii="宋体" w:hAnsi="宋体" w:eastAsia="宋体" w:cs="宋体"/>
                <w:highlight w:val="none"/>
                <w:lang w:eastAsia="zh-CN"/>
              </w:rPr>
            </w:pPr>
            <w:r>
              <w:rPr>
                <w:rFonts w:hint="eastAsia" w:ascii="宋体" w:hAnsi="宋体" w:cs="宋体"/>
                <w:highlight w:val="none"/>
                <w:lang w:eastAsia="zh-CN"/>
              </w:rPr>
              <w:t>合计</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0" w:after="0" w:afterAutospacing="0" w:line="240" w:lineRule="auto"/>
              <w:ind w:left="0" w:right="0" w:firstLine="0"/>
              <w:jc w:val="center"/>
              <w:textAlignment w:val="center"/>
              <w:rPr>
                <w:highlight w:val="none"/>
              </w:rPr>
            </w:pPr>
          </w:p>
        </w:tc>
        <w:tc>
          <w:tcPr>
            <w:tcW w:w="1711"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240" w:lineRule="auto"/>
              <w:ind w:left="0" w:firstLine="0"/>
              <w:jc w:val="center"/>
              <w:textAlignment w:val="center"/>
              <w:rPr>
                <w:rFonts w:hint="eastAsia" w:ascii="宋体" w:hAnsi="宋体" w:cs="宋体"/>
                <w:sz w:val="22"/>
                <w:szCs w:val="22"/>
                <w:highlight w:val="none"/>
                <w:lang w:bidi="ar"/>
              </w:rPr>
            </w:pPr>
          </w:p>
        </w:tc>
      </w:tr>
    </w:tbl>
    <w:p>
      <w:pPr>
        <w:snapToGrid w:val="0"/>
        <w:spacing w:before="0" w:after="0" w:afterAutospacing="0" w:line="240" w:lineRule="auto"/>
        <w:ind w:right="-57" w:firstLine="0"/>
        <w:jc w:val="left"/>
        <w:rPr>
          <w:rFonts w:ascii="宋体" w:hAnsi="宋体"/>
          <w:b/>
          <w:highlight w:val="none"/>
        </w:rPr>
      </w:pPr>
    </w:p>
    <w:p>
      <w:pPr>
        <w:snapToGrid w:val="0"/>
        <w:spacing w:before="0" w:after="0" w:afterAutospacing="0"/>
        <w:ind w:right="-57" w:firstLine="0"/>
        <w:jc w:val="right"/>
        <w:rPr>
          <w:rFonts w:ascii="宋体" w:hAnsi="宋体"/>
          <w:color w:val="auto"/>
          <w:highlight w:val="none"/>
        </w:rPr>
      </w:pPr>
      <w:r>
        <w:rPr>
          <w:rFonts w:ascii="宋体" w:hAnsi="宋体"/>
          <w:color w:val="auto"/>
          <w:highlight w:val="none"/>
        </w:rPr>
        <w:t xml:space="preserve"> 单位：元</w:t>
      </w:r>
    </w:p>
    <w:p>
      <w:pPr>
        <w:snapToGrid w:val="0"/>
        <w:spacing w:after="0" w:afterAutospacing="0"/>
        <w:ind w:right="-816" w:firstLine="0"/>
        <w:jc w:val="center"/>
        <w:rPr>
          <w:rFonts w:ascii="宋体" w:hAnsi="宋体"/>
          <w:color w:val="auto"/>
          <w:highlight w:val="none"/>
          <w:u w:val="single"/>
        </w:rPr>
      </w:pPr>
      <w:r>
        <w:rPr>
          <w:rFonts w:hint="eastAsia" w:ascii="宋体" w:hAnsi="宋体"/>
          <w:color w:val="auto"/>
          <w:highlight w:val="none"/>
        </w:rPr>
        <w:t>比选申请人名称（盖章）：</w:t>
      </w:r>
    </w:p>
    <w:p>
      <w:pPr>
        <w:snapToGrid w:val="0"/>
        <w:spacing w:before="0" w:after="0" w:afterAutospacing="0"/>
        <w:ind w:left="0" w:right="-57" w:firstLine="0"/>
        <w:jc w:val="center"/>
        <w:rPr>
          <w:rFonts w:hint="eastAsia" w:ascii="宋体" w:hAnsi="宋体"/>
          <w:color w:val="auto"/>
          <w:highlight w:val="none"/>
        </w:rPr>
        <w:sectPr>
          <w:pgSz w:w="11905" w:h="16838"/>
          <w:pgMar w:top="1417" w:right="1417" w:bottom="1417" w:left="1417" w:header="454" w:footer="567" w:gutter="0"/>
          <w:cols w:space="720" w:num="1"/>
          <w:docGrid w:linePitch="312" w:charSpace="0"/>
        </w:sectPr>
      </w:pPr>
      <w:r>
        <w:rPr>
          <w:rFonts w:hint="eastAsia" w:ascii="宋体" w:hAnsi="宋体"/>
          <w:color w:val="auto"/>
          <w:highlight w:val="none"/>
        </w:rPr>
        <w:t xml:space="preserve">  </w:t>
      </w:r>
      <w:r>
        <w:rPr>
          <w:rFonts w:hint="eastAsia" w:ascii="宋体" w:hAnsi="宋体"/>
          <w:color w:val="auto"/>
          <w:highlight w:val="none"/>
          <w:lang w:val="en-US" w:eastAsia="zh-CN"/>
        </w:rPr>
        <w:t xml:space="preserve">          </w:t>
      </w:r>
      <w:r>
        <w:rPr>
          <w:rFonts w:hint="eastAsia" w:ascii="宋体" w:hAnsi="宋体"/>
          <w:color w:val="auto"/>
          <w:highlight w:val="none"/>
        </w:rPr>
        <w:t>日期：</w:t>
      </w:r>
      <w:r>
        <w:rPr>
          <w:rFonts w:hint="eastAsia" w:ascii="宋体" w:hAnsi="宋体"/>
          <w:color w:val="auto"/>
          <w:highlight w:val="none"/>
          <w:lang w:val="en-US" w:eastAsia="zh-CN"/>
        </w:rPr>
        <w:t xml:space="preserve">   </w:t>
      </w:r>
      <w:r>
        <w:rPr>
          <w:rFonts w:hint="eastAsia" w:ascii="宋体" w:hAnsi="宋体"/>
          <w:color w:val="auto"/>
          <w:highlight w:val="none"/>
        </w:rPr>
        <w:t xml:space="preserve">年 </w:t>
      </w:r>
      <w:r>
        <w:rPr>
          <w:rFonts w:hint="eastAsia" w:ascii="宋体" w:hAnsi="宋体"/>
          <w:color w:val="auto"/>
          <w:highlight w:val="none"/>
          <w:lang w:val="en-US" w:eastAsia="zh-CN"/>
        </w:rPr>
        <w:t xml:space="preserve">  </w:t>
      </w:r>
      <w:r>
        <w:rPr>
          <w:rFonts w:hint="eastAsia" w:ascii="宋体" w:hAnsi="宋体"/>
          <w:color w:val="auto"/>
          <w:highlight w:val="none"/>
        </w:rPr>
        <w:t>月</w:t>
      </w:r>
      <w:r>
        <w:rPr>
          <w:rFonts w:hint="eastAsia" w:ascii="宋体" w:hAnsi="宋体"/>
          <w:color w:val="auto"/>
          <w:highlight w:val="none"/>
          <w:lang w:val="en-US" w:eastAsia="zh-CN"/>
        </w:rPr>
        <w:t xml:space="preserve"> </w:t>
      </w:r>
      <w:r>
        <w:rPr>
          <w:rFonts w:hint="eastAsia" w:ascii="宋体" w:hAnsi="宋体"/>
          <w:color w:val="auto"/>
          <w:highlight w:val="none"/>
        </w:rPr>
        <w:t xml:space="preserve"> </w:t>
      </w:r>
      <w:r>
        <w:rPr>
          <w:rFonts w:hint="eastAsia" w:ascii="宋体" w:hAnsi="宋体"/>
          <w:color w:val="auto"/>
          <w:highlight w:val="none"/>
          <w:lang w:val="en-US" w:eastAsia="zh-CN"/>
        </w:rPr>
        <w:t xml:space="preserve">  </w:t>
      </w:r>
      <w:r>
        <w:rPr>
          <w:rFonts w:hint="eastAsia" w:ascii="宋体" w:hAnsi="宋体"/>
          <w:color w:val="auto"/>
          <w:highlight w:val="none"/>
        </w:rPr>
        <w:t>日</w:t>
      </w:r>
    </w:p>
    <w:p>
      <w:pPr>
        <w:pStyle w:val="5"/>
        <w:pageBreakBefore/>
        <w:spacing w:after="100"/>
        <w:ind w:right="-57" w:firstLine="0"/>
        <w:jc w:val="center"/>
        <w:rPr>
          <w:rFonts w:hAnsi="宋体"/>
          <w:b w:val="0"/>
          <w:sz w:val="24"/>
          <w:szCs w:val="24"/>
          <w:highlight w:val="none"/>
        </w:rPr>
      </w:pPr>
      <w:bookmarkStart w:id="1191" w:name="_Toc30194"/>
      <w:r>
        <w:rPr>
          <w:rFonts w:hint="eastAsia"/>
          <w:sz w:val="24"/>
          <w:szCs w:val="24"/>
          <w:highlight w:val="none"/>
        </w:rPr>
        <w:t>C</w:t>
      </w:r>
      <w:r>
        <w:rPr>
          <w:rFonts w:hAnsi="宋体"/>
          <w:sz w:val="24"/>
          <w:szCs w:val="24"/>
          <w:highlight w:val="none"/>
        </w:rPr>
        <w:t>技术</w:t>
      </w:r>
      <w:r>
        <w:rPr>
          <w:rFonts w:hint="eastAsia" w:hAnsi="宋体"/>
          <w:sz w:val="24"/>
          <w:szCs w:val="24"/>
          <w:highlight w:val="none"/>
        </w:rPr>
        <w:t>文件</w:t>
      </w:r>
      <w:bookmarkEnd w:id="1191"/>
    </w:p>
    <w:p>
      <w:pPr>
        <w:spacing w:before="0" w:after="0" w:afterAutospacing="0"/>
        <w:ind w:left="0" w:right="0" w:firstLine="422" w:firstLineChars="200"/>
        <w:jc w:val="left"/>
        <w:rPr>
          <w:rFonts w:hAnsi="宋体"/>
          <w:b/>
          <w:sz w:val="44"/>
          <w:szCs w:val="44"/>
          <w:highlight w:val="none"/>
        </w:rPr>
      </w:pPr>
      <w:r>
        <w:rPr>
          <w:rFonts w:hint="eastAsia" w:hAnsi="宋体"/>
          <w:b/>
          <w:highlight w:val="none"/>
        </w:rPr>
        <w:t>技术文件格式</w:t>
      </w:r>
    </w:p>
    <w:p>
      <w:pPr>
        <w:spacing w:before="0" w:after="0" w:afterAutospacing="0"/>
        <w:ind w:left="0" w:right="0" w:firstLine="315" w:firstLineChars="150"/>
        <w:rPr>
          <w:rFonts w:hint="eastAsia" w:ascii="宋体" w:hAnsi="宋体" w:eastAsia="宋体" w:cs="Times New Roman"/>
          <w:sz w:val="21"/>
          <w:szCs w:val="21"/>
          <w:highlight w:val="none"/>
          <w:lang w:val="en-US" w:eastAsia="zh-CN"/>
        </w:rPr>
      </w:pPr>
      <w:r>
        <w:rPr>
          <w:rFonts w:hint="eastAsia" w:ascii="宋体" w:hAnsi="宋体" w:eastAsia="宋体" w:cs="Times New Roman"/>
          <w:sz w:val="21"/>
          <w:szCs w:val="21"/>
          <w:highlight w:val="none"/>
          <w:lang w:val="en-US" w:eastAsia="zh-CN"/>
        </w:rPr>
        <w:t>（1）技术响应表（格式见C1）；</w:t>
      </w:r>
    </w:p>
    <w:p>
      <w:pPr>
        <w:spacing w:before="0" w:after="0" w:afterAutospacing="0"/>
        <w:ind w:left="0" w:right="0" w:firstLine="315" w:firstLineChars="150"/>
        <w:rPr>
          <w:rFonts w:hint="eastAsia" w:ascii="宋体" w:hAnsi="宋体" w:eastAsia="宋体" w:cs="Times New Roman"/>
          <w:sz w:val="21"/>
          <w:szCs w:val="21"/>
          <w:highlight w:val="none"/>
          <w:lang w:val="en-US" w:eastAsia="zh-CN"/>
        </w:rPr>
      </w:pPr>
      <w:r>
        <w:rPr>
          <w:rFonts w:hint="eastAsia" w:ascii="宋体" w:hAnsi="宋体" w:eastAsia="宋体" w:cs="Times New Roman"/>
          <w:sz w:val="21"/>
          <w:szCs w:val="21"/>
          <w:highlight w:val="none"/>
          <w:lang w:val="en-US" w:eastAsia="zh-CN"/>
        </w:rPr>
        <w:t>（2）商务响应表（格式见C2）；</w:t>
      </w:r>
    </w:p>
    <w:p>
      <w:pPr>
        <w:spacing w:before="0" w:after="0" w:afterAutospacing="0"/>
        <w:ind w:left="0" w:right="0" w:firstLine="315" w:firstLineChars="150"/>
        <w:rPr>
          <w:rFonts w:hint="eastAsia" w:ascii="宋体" w:hAnsi="宋体" w:eastAsia="宋体" w:cs="Times New Roman"/>
          <w:sz w:val="21"/>
          <w:szCs w:val="21"/>
          <w:highlight w:val="none"/>
          <w:lang w:val="en-US" w:eastAsia="zh-CN"/>
        </w:rPr>
      </w:pPr>
      <w:r>
        <w:rPr>
          <w:rFonts w:hint="eastAsia" w:ascii="宋体" w:hAnsi="宋体" w:eastAsia="宋体" w:cs="Times New Roman"/>
          <w:sz w:val="21"/>
          <w:szCs w:val="21"/>
          <w:highlight w:val="none"/>
          <w:lang w:val="en-US" w:eastAsia="zh-CN"/>
        </w:rPr>
        <w:t>（3）售后服务承诺书（格式见C3）；</w:t>
      </w:r>
    </w:p>
    <w:p>
      <w:pPr>
        <w:spacing w:before="0" w:after="0" w:afterAutospacing="0"/>
        <w:ind w:left="0" w:right="0" w:firstLine="315" w:firstLineChars="150"/>
        <w:rPr>
          <w:rFonts w:hint="eastAsia" w:ascii="宋体" w:hAnsi="宋体" w:eastAsia="宋体" w:cs="Times New Roman"/>
          <w:sz w:val="21"/>
          <w:szCs w:val="21"/>
          <w:highlight w:val="none"/>
          <w:lang w:val="en-US" w:eastAsia="zh-CN"/>
        </w:rPr>
      </w:pPr>
      <w:r>
        <w:rPr>
          <w:rFonts w:hint="eastAsia" w:ascii="宋体" w:hAnsi="宋体" w:eastAsia="宋体" w:cs="Times New Roman"/>
          <w:sz w:val="21"/>
          <w:szCs w:val="21"/>
          <w:highlight w:val="none"/>
          <w:lang w:val="en-US" w:eastAsia="zh-CN"/>
        </w:rPr>
        <w:t>（4）质保方案（如何进行质保服务保障等）；</w:t>
      </w:r>
    </w:p>
    <w:p>
      <w:pPr>
        <w:spacing w:before="0" w:after="0" w:afterAutospacing="0"/>
        <w:ind w:left="0" w:right="0" w:firstLine="315" w:firstLineChars="150"/>
        <w:rPr>
          <w:rFonts w:hint="eastAsia" w:ascii="宋体" w:hAnsi="宋体" w:eastAsia="宋体" w:cs="Times New Roman"/>
          <w:sz w:val="21"/>
          <w:szCs w:val="21"/>
          <w:highlight w:val="none"/>
          <w:lang w:val="en-US" w:eastAsia="zh-CN"/>
        </w:rPr>
      </w:pPr>
      <w:r>
        <w:rPr>
          <w:rFonts w:hint="eastAsia" w:ascii="宋体" w:hAnsi="宋体" w:eastAsia="宋体" w:cs="Times New Roman"/>
          <w:sz w:val="21"/>
          <w:szCs w:val="21"/>
          <w:highlight w:val="none"/>
          <w:lang w:val="en-US" w:eastAsia="zh-CN"/>
        </w:rPr>
        <w:t>（5）施工方案；</w:t>
      </w:r>
    </w:p>
    <w:p>
      <w:pPr>
        <w:spacing w:before="0" w:after="0" w:afterAutospacing="0"/>
        <w:ind w:left="0" w:right="0" w:firstLine="315" w:firstLineChars="150"/>
        <w:rPr>
          <w:rFonts w:hint="eastAsia" w:ascii="宋体" w:hAnsi="宋体" w:eastAsia="宋体" w:cs="Times New Roman"/>
          <w:sz w:val="21"/>
          <w:szCs w:val="21"/>
          <w:highlight w:val="none"/>
          <w:lang w:val="en-US" w:eastAsia="zh-CN"/>
        </w:rPr>
      </w:pPr>
      <w:r>
        <w:rPr>
          <w:rFonts w:hint="eastAsia" w:ascii="宋体" w:hAnsi="宋体" w:eastAsia="宋体" w:cs="Times New Roman"/>
          <w:sz w:val="21"/>
          <w:szCs w:val="21"/>
          <w:highlight w:val="none"/>
          <w:lang w:val="en-US" w:eastAsia="zh-CN"/>
        </w:rPr>
        <w:t>（6）比选申请人认为应提交的其他比选申请资料（如有）。</w:t>
      </w:r>
    </w:p>
    <w:p>
      <w:pPr>
        <w:rPr>
          <w:rFonts w:hint="eastAsia" w:ascii="宋体" w:hAnsi="宋体"/>
          <w:sz w:val="21"/>
          <w:szCs w:val="21"/>
          <w:highlight w:val="none"/>
          <w:lang w:eastAsia="zh-CN"/>
        </w:rPr>
      </w:pPr>
      <w:r>
        <w:rPr>
          <w:rFonts w:hint="eastAsia" w:ascii="宋体" w:hAnsi="宋体"/>
          <w:sz w:val="21"/>
          <w:szCs w:val="21"/>
          <w:highlight w:val="none"/>
          <w:lang w:eastAsia="zh-CN"/>
        </w:rPr>
        <w:br w:type="page"/>
      </w:r>
    </w:p>
    <w:p>
      <w:pPr>
        <w:pStyle w:val="6"/>
        <w:tabs>
          <w:tab w:val="left" w:pos="567"/>
          <w:tab w:val="left" w:pos="720"/>
        </w:tabs>
        <w:snapToGrid w:val="0"/>
        <w:spacing w:beforeLines="0" w:after="100" w:afterLines="0" w:line="360" w:lineRule="auto"/>
        <w:ind w:right="-57" w:firstLine="0"/>
        <w:jc w:val="left"/>
        <w:rPr>
          <w:rFonts w:hint="default" w:ascii="宋体" w:hAnsi="宋体" w:eastAsia="宋体"/>
          <w:sz w:val="21"/>
          <w:szCs w:val="21"/>
          <w:highlight w:val="none"/>
        </w:rPr>
      </w:pPr>
      <w:r>
        <w:rPr>
          <w:rFonts w:hint="default" w:ascii="宋体" w:hAnsi="宋体" w:eastAsia="宋体"/>
          <w:sz w:val="21"/>
          <w:szCs w:val="21"/>
          <w:highlight w:val="none"/>
        </w:rPr>
        <w:t>C1 技术响应表格式</w:t>
      </w:r>
    </w:p>
    <w:p>
      <w:pPr>
        <w:spacing w:before="0" w:beforeLines="0" w:afterLines="0"/>
        <w:ind w:right="-57" w:firstLine="0"/>
        <w:jc w:val="center"/>
        <w:outlineLvl w:val="1"/>
        <w:rPr>
          <w:rFonts w:hint="default" w:ascii="宋体" w:hAnsi="宋体" w:eastAsia="宋体"/>
          <w:b/>
          <w:sz w:val="28"/>
          <w:szCs w:val="28"/>
          <w:highlight w:val="none"/>
        </w:rPr>
      </w:pPr>
      <w:bookmarkStart w:id="1192" w:name="_Toc6491"/>
      <w:r>
        <w:rPr>
          <w:rFonts w:hint="default" w:ascii="宋体" w:hAnsi="宋体" w:eastAsia="宋体"/>
          <w:b/>
          <w:sz w:val="21"/>
          <w:szCs w:val="21"/>
          <w:highlight w:val="none"/>
        </w:rPr>
        <w:t>技术响应表</w:t>
      </w:r>
      <w:r>
        <w:rPr>
          <w:rFonts w:hint="default" w:ascii="宋体" w:hAnsi="宋体" w:eastAsia="宋体" w:cs="宋体"/>
          <w:sz w:val="16"/>
          <w:szCs w:val="16"/>
          <w:highlight w:val="none"/>
        </w:rPr>
        <w:t>（不论有无偏离，均须逐项填写偏离情况）</w:t>
      </w:r>
      <w:bookmarkEnd w:id="1192"/>
    </w:p>
    <w:p>
      <w:pPr>
        <w:spacing w:before="0" w:beforeLines="0" w:after="0" w:afterLines="0" w:afterAutospacing="0"/>
        <w:ind w:right="0"/>
        <w:rPr>
          <w:rFonts w:hint="default" w:ascii="宋体" w:hAnsi="宋体" w:eastAsia="宋体"/>
          <w:sz w:val="21"/>
          <w:szCs w:val="21"/>
          <w:highlight w:val="none"/>
          <w:u w:val="single"/>
        </w:rPr>
      </w:pPr>
      <w:r>
        <w:rPr>
          <w:rFonts w:hint="default" w:ascii="宋体" w:hAnsi="宋体" w:eastAsia="宋体"/>
          <w:sz w:val="21"/>
          <w:szCs w:val="21"/>
          <w:highlight w:val="none"/>
        </w:rPr>
        <w:t>比选申请人名称：</w:t>
      </w:r>
    </w:p>
    <w:tbl>
      <w:tblPr>
        <w:tblStyle w:val="27"/>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4"/>
        <w:gridCol w:w="1836"/>
        <w:gridCol w:w="1846"/>
        <w:gridCol w:w="1979"/>
        <w:gridCol w:w="1418"/>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24"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jc w:val="center"/>
              <w:rPr>
                <w:rFonts w:hint="default" w:ascii="宋体" w:hAnsi="宋体" w:eastAsia="宋体"/>
                <w:sz w:val="21"/>
                <w:szCs w:val="21"/>
                <w:highlight w:val="none"/>
              </w:rPr>
            </w:pPr>
            <w:r>
              <w:rPr>
                <w:rFonts w:hint="default" w:ascii="宋体" w:hAnsi="宋体" w:eastAsia="宋体"/>
                <w:sz w:val="21"/>
                <w:szCs w:val="21"/>
                <w:highlight w:val="none"/>
              </w:rPr>
              <w:t>序号</w:t>
            </w:r>
          </w:p>
        </w:tc>
        <w:tc>
          <w:tcPr>
            <w:tcW w:w="1836"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pacing w:beforeLines="0" w:afterLines="0"/>
              <w:jc w:val="center"/>
              <w:rPr>
                <w:rFonts w:hint="default" w:ascii="宋体" w:hAnsi="宋体" w:eastAsia="宋体"/>
                <w:sz w:val="21"/>
                <w:szCs w:val="21"/>
                <w:highlight w:val="none"/>
              </w:rPr>
            </w:pPr>
            <w:r>
              <w:rPr>
                <w:rFonts w:hint="default" w:ascii="宋体" w:hAnsi="宋体" w:eastAsia="宋体"/>
                <w:sz w:val="21"/>
                <w:szCs w:val="21"/>
                <w:highlight w:val="none"/>
              </w:rPr>
              <w:t>用户需求书条目号</w:t>
            </w:r>
          </w:p>
        </w:tc>
        <w:tc>
          <w:tcPr>
            <w:tcW w:w="1846"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jc w:val="center"/>
              <w:rPr>
                <w:rFonts w:hint="default" w:ascii="宋体" w:hAnsi="宋体" w:eastAsia="宋体"/>
                <w:sz w:val="21"/>
                <w:szCs w:val="21"/>
                <w:highlight w:val="none"/>
              </w:rPr>
            </w:pPr>
            <w:r>
              <w:rPr>
                <w:rFonts w:hint="default" w:ascii="宋体" w:hAnsi="宋体" w:eastAsia="宋体"/>
                <w:sz w:val="21"/>
                <w:szCs w:val="21"/>
                <w:highlight w:val="none"/>
              </w:rPr>
              <w:t>用户需求书要求</w:t>
            </w:r>
          </w:p>
        </w:tc>
        <w:tc>
          <w:tcPr>
            <w:tcW w:w="1979"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pacing w:beforeLines="0" w:afterLines="0"/>
              <w:jc w:val="center"/>
              <w:rPr>
                <w:rFonts w:hint="default" w:ascii="宋体" w:hAnsi="宋体" w:eastAsia="宋体"/>
                <w:sz w:val="21"/>
                <w:szCs w:val="21"/>
                <w:highlight w:val="none"/>
              </w:rPr>
            </w:pPr>
            <w:r>
              <w:rPr>
                <w:rFonts w:hint="default" w:ascii="宋体" w:hAnsi="宋体" w:eastAsia="宋体"/>
                <w:sz w:val="21"/>
                <w:szCs w:val="21"/>
                <w:highlight w:val="none"/>
              </w:rPr>
              <w:t>比选申请文件响应</w:t>
            </w:r>
          </w:p>
        </w:tc>
        <w:tc>
          <w:tcPr>
            <w:tcW w:w="1418"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jc w:val="center"/>
              <w:rPr>
                <w:rFonts w:hint="default" w:ascii="宋体" w:hAnsi="宋体" w:eastAsia="宋体"/>
                <w:sz w:val="21"/>
                <w:szCs w:val="21"/>
                <w:highlight w:val="none"/>
              </w:rPr>
            </w:pPr>
            <w:r>
              <w:rPr>
                <w:rFonts w:hint="default" w:ascii="宋体" w:hAnsi="宋体" w:eastAsia="宋体"/>
                <w:sz w:val="21"/>
                <w:szCs w:val="21"/>
                <w:highlight w:val="none"/>
              </w:rPr>
              <w:t>偏离</w:t>
            </w:r>
          </w:p>
        </w:tc>
        <w:tc>
          <w:tcPr>
            <w:tcW w:w="1177"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jc w:val="center"/>
              <w:rPr>
                <w:rFonts w:hint="default" w:ascii="宋体" w:hAnsi="宋体" w:eastAsia="宋体"/>
                <w:sz w:val="21"/>
                <w:szCs w:val="21"/>
                <w:highlight w:val="none"/>
              </w:rPr>
            </w:pPr>
            <w:r>
              <w:rPr>
                <w:rFonts w:hint="default" w:ascii="宋体" w:hAnsi="宋体" w:eastAsia="宋体"/>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24"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line="240" w:lineRule="auto"/>
              <w:jc w:val="center"/>
              <w:rPr>
                <w:rFonts w:hint="default" w:ascii="宋体" w:hAnsi="宋体" w:eastAsia="宋体" w:cs="宋体"/>
                <w:kern w:val="2"/>
                <w:sz w:val="21"/>
                <w:szCs w:val="21"/>
                <w:highlight w:val="none"/>
              </w:rPr>
            </w:pPr>
            <w:r>
              <w:rPr>
                <w:rFonts w:hint="default" w:ascii="宋体" w:hAnsi="宋体" w:eastAsia="宋体" w:cs="宋体"/>
                <w:kern w:val="2"/>
                <w:sz w:val="21"/>
                <w:szCs w:val="21"/>
                <w:highlight w:val="none"/>
              </w:rPr>
              <w:t>1</w:t>
            </w:r>
          </w:p>
        </w:tc>
        <w:tc>
          <w:tcPr>
            <w:tcW w:w="1836"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line="240" w:lineRule="auto"/>
              <w:jc w:val="center"/>
              <w:rPr>
                <w:rFonts w:hint="default" w:ascii="宋体" w:hAnsi="宋体" w:eastAsia="宋体" w:cs="宋体"/>
                <w:color w:val="auto"/>
                <w:kern w:val="2"/>
                <w:sz w:val="21"/>
                <w:szCs w:val="21"/>
                <w:highlight w:val="none"/>
              </w:rPr>
            </w:pPr>
            <w:r>
              <w:rPr>
                <w:rFonts w:hint="default" w:ascii="宋体" w:hAnsi="宋体" w:eastAsia="宋体" w:cs="宋体"/>
                <w:color w:val="auto"/>
                <w:kern w:val="2"/>
                <w:sz w:val="21"/>
                <w:szCs w:val="21"/>
                <w:highlight w:val="none"/>
              </w:rPr>
              <w:t>2.2计划工期</w:t>
            </w:r>
          </w:p>
        </w:tc>
        <w:tc>
          <w:tcPr>
            <w:tcW w:w="1846"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line="240" w:lineRule="auto"/>
              <w:jc w:val="center"/>
              <w:rPr>
                <w:rFonts w:hint="default" w:ascii="宋体" w:hAnsi="宋体" w:eastAsia="宋体" w:cs="宋体"/>
                <w:color w:val="auto"/>
                <w:kern w:val="2"/>
                <w:sz w:val="21"/>
                <w:szCs w:val="21"/>
                <w:highlight w:val="none"/>
              </w:rPr>
            </w:pPr>
            <w:r>
              <w:rPr>
                <w:rFonts w:hint="default" w:ascii="宋体" w:hAnsi="宋体" w:eastAsia="宋体" w:cs="宋体"/>
                <w:color w:val="auto"/>
                <w:kern w:val="2"/>
                <w:sz w:val="21"/>
                <w:szCs w:val="21"/>
                <w:highlight w:val="none"/>
              </w:rPr>
              <w:t>90天</w:t>
            </w:r>
          </w:p>
        </w:tc>
        <w:tc>
          <w:tcPr>
            <w:tcW w:w="197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jc w:val="center"/>
              <w:rPr>
                <w:rFonts w:hint="eastAsia" w:cs="Arial"/>
                <w:color w:val="auto"/>
                <w:kern w:val="2"/>
                <w:sz w:val="21"/>
                <w:szCs w:val="21"/>
                <w:highlight w:val="none"/>
              </w:rPr>
            </w:pPr>
          </w:p>
        </w:tc>
        <w:tc>
          <w:tcPr>
            <w:tcW w:w="1418"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jc w:val="center"/>
              <w:rPr>
                <w:rFonts w:hint="eastAsia" w:cs="Arial"/>
                <w:kern w:val="2"/>
                <w:sz w:val="21"/>
                <w:szCs w:val="21"/>
                <w:highlight w:val="none"/>
              </w:rPr>
            </w:pPr>
          </w:p>
        </w:tc>
        <w:tc>
          <w:tcPr>
            <w:tcW w:w="1177"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adjustRightInd w:val="0"/>
              <w:spacing w:beforeLines="0" w:afterLines="0"/>
              <w:jc w:val="center"/>
              <w:rPr>
                <w:rFonts w:hint="eastAsia" w:cs="Arial"/>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24"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line="240" w:lineRule="auto"/>
              <w:jc w:val="center"/>
              <w:rPr>
                <w:rFonts w:hint="default" w:ascii="宋体" w:hAnsi="宋体" w:eastAsia="宋体" w:cs="宋体"/>
                <w:kern w:val="2"/>
                <w:sz w:val="21"/>
                <w:szCs w:val="21"/>
                <w:highlight w:val="none"/>
              </w:rPr>
            </w:pPr>
            <w:r>
              <w:rPr>
                <w:rFonts w:hint="default" w:ascii="宋体" w:hAnsi="宋体" w:eastAsia="宋体" w:cs="宋体"/>
                <w:kern w:val="2"/>
                <w:sz w:val="21"/>
                <w:szCs w:val="21"/>
                <w:highlight w:val="none"/>
              </w:rPr>
              <w:t>2</w:t>
            </w:r>
          </w:p>
        </w:tc>
        <w:tc>
          <w:tcPr>
            <w:tcW w:w="1836"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line="240" w:lineRule="auto"/>
              <w:ind w:left="0" w:leftChars="0" w:firstLine="0" w:firstLineChars="0"/>
              <w:jc w:val="center"/>
              <w:rPr>
                <w:rFonts w:hint="default" w:ascii="宋体" w:hAnsi="宋体" w:eastAsia="宋体" w:cs="宋体"/>
                <w:color w:val="auto"/>
                <w:kern w:val="2"/>
                <w:sz w:val="21"/>
                <w:szCs w:val="21"/>
                <w:highlight w:val="none"/>
              </w:rPr>
            </w:pPr>
            <w:r>
              <w:rPr>
                <w:rFonts w:hint="default" w:ascii="宋体" w:hAnsi="宋体" w:eastAsia="宋体" w:cs="宋体"/>
                <w:color w:val="auto"/>
                <w:kern w:val="2"/>
                <w:sz w:val="21"/>
                <w:szCs w:val="21"/>
                <w:highlight w:val="none"/>
              </w:rPr>
              <w:t>5.1.2</w:t>
            </w:r>
          </w:p>
        </w:tc>
        <w:tc>
          <w:tcPr>
            <w:tcW w:w="1846" w:type="dxa"/>
            <w:tcBorders>
              <w:top w:val="single" w:color="auto" w:sz="4" w:space="0"/>
              <w:left w:val="single" w:color="auto" w:sz="4" w:space="0"/>
              <w:bottom w:val="single" w:color="auto" w:sz="4" w:space="0"/>
              <w:right w:val="single" w:color="auto" w:sz="4" w:space="0"/>
              <w:tl2br w:val="nil"/>
              <w:tr2bl w:val="nil"/>
            </w:tcBorders>
            <w:noWrap w:val="0"/>
            <w:vAlign w:val="center"/>
          </w:tcPr>
          <w:p>
            <w:pPr>
              <w:numPr>
                <w:ilvl w:val="0"/>
                <w:numId w:val="0"/>
              </w:numPr>
              <w:spacing w:before="0" w:beforeLines="0" w:after="0" w:afterLines="0" w:afterAutospacing="0" w:line="240" w:lineRule="auto"/>
              <w:ind w:left="0" w:right="0" w:firstLine="0"/>
              <w:rPr>
                <w:rFonts w:hint="default" w:ascii="宋体" w:hAnsi="宋体" w:eastAsia="宋体" w:cs="宋体"/>
                <w:color w:val="auto"/>
                <w:sz w:val="21"/>
                <w:szCs w:val="21"/>
                <w:highlight w:val="none"/>
              </w:rPr>
            </w:pPr>
            <w:r>
              <w:rPr>
                <w:rFonts w:hint="default" w:ascii="宋体" w:hAnsi="宋体" w:eastAsia="宋体" w:cs="宋体"/>
                <w:color w:val="auto"/>
                <w:sz w:val="21"/>
                <w:szCs w:val="21"/>
                <w:highlight w:val="none"/>
              </w:rPr>
              <w:t>劳保配置要求包括但不限于表5.1.2-1中的内容。</w:t>
            </w:r>
          </w:p>
        </w:tc>
        <w:tc>
          <w:tcPr>
            <w:tcW w:w="197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jc w:val="center"/>
              <w:rPr>
                <w:rFonts w:hint="eastAsia" w:cs="Arial"/>
                <w:color w:val="auto"/>
                <w:kern w:val="2"/>
                <w:sz w:val="21"/>
                <w:szCs w:val="21"/>
                <w:highlight w:val="none"/>
              </w:rPr>
            </w:pPr>
          </w:p>
        </w:tc>
        <w:tc>
          <w:tcPr>
            <w:tcW w:w="1418"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jc w:val="center"/>
              <w:rPr>
                <w:rFonts w:hint="eastAsia" w:cs="Arial"/>
                <w:kern w:val="2"/>
                <w:sz w:val="21"/>
                <w:szCs w:val="21"/>
                <w:highlight w:val="none"/>
              </w:rPr>
            </w:pPr>
          </w:p>
        </w:tc>
        <w:tc>
          <w:tcPr>
            <w:tcW w:w="1177"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adjustRightInd w:val="0"/>
              <w:spacing w:beforeLines="0" w:afterLines="0"/>
              <w:jc w:val="center"/>
              <w:rPr>
                <w:rFonts w:hint="eastAsia" w:cs="Arial"/>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24"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line="240" w:lineRule="auto"/>
              <w:jc w:val="center"/>
              <w:rPr>
                <w:rFonts w:hint="default" w:ascii="宋体" w:hAnsi="宋体" w:eastAsia="宋体" w:cs="宋体"/>
                <w:kern w:val="2"/>
                <w:sz w:val="21"/>
                <w:szCs w:val="21"/>
                <w:highlight w:val="none"/>
              </w:rPr>
            </w:pPr>
            <w:r>
              <w:rPr>
                <w:rFonts w:hint="default" w:ascii="宋体" w:hAnsi="宋体" w:eastAsia="宋体" w:cs="宋体"/>
                <w:kern w:val="2"/>
                <w:sz w:val="21"/>
                <w:szCs w:val="21"/>
                <w:highlight w:val="none"/>
              </w:rPr>
              <w:t>3</w:t>
            </w:r>
          </w:p>
        </w:tc>
        <w:tc>
          <w:tcPr>
            <w:tcW w:w="183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0" w:beforeLines="0" w:after="0" w:afterLines="0" w:afterAutospacing="0" w:line="240" w:lineRule="auto"/>
              <w:ind w:left="0" w:leftChars="0" w:right="0" w:rightChars="0" w:firstLine="0" w:firstLineChars="0"/>
              <w:jc w:val="center"/>
              <w:rPr>
                <w:rFonts w:hint="default" w:ascii="宋体" w:hAnsi="宋体" w:eastAsia="宋体" w:cs="宋体"/>
                <w:color w:val="auto"/>
                <w:kern w:val="2"/>
                <w:sz w:val="21"/>
                <w:szCs w:val="21"/>
                <w:highlight w:val="none"/>
              </w:rPr>
            </w:pPr>
            <w:r>
              <w:rPr>
                <w:rFonts w:hint="default" w:ascii="宋体" w:hAnsi="宋体" w:cs="宋体"/>
                <w:color w:val="auto"/>
                <w:sz w:val="21"/>
                <w:szCs w:val="21"/>
                <w:highlight w:val="none"/>
              </w:rPr>
              <w:t>7.2.1</w:t>
            </w:r>
          </w:p>
        </w:tc>
        <w:tc>
          <w:tcPr>
            <w:tcW w:w="184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0" w:beforeLines="0" w:after="0" w:afterLines="0" w:afterAutospacing="0" w:line="240" w:lineRule="auto"/>
              <w:ind w:left="0" w:leftChars="0" w:right="0" w:rightChars="0" w:firstLine="0" w:firstLineChars="0"/>
              <w:rPr>
                <w:rFonts w:hint="default" w:ascii="宋体" w:hAnsi="宋体" w:eastAsia="宋体" w:cs="宋体"/>
                <w:color w:val="auto"/>
                <w:sz w:val="21"/>
                <w:szCs w:val="21"/>
                <w:highlight w:val="none"/>
              </w:rPr>
            </w:pPr>
            <w:r>
              <w:rPr>
                <w:rFonts w:hint="default" w:ascii="宋体" w:hAnsi="宋体" w:cs="宋体"/>
                <w:color w:val="auto"/>
                <w:sz w:val="21"/>
                <w:szCs w:val="21"/>
                <w:highlight w:val="none"/>
              </w:rPr>
              <w:t>整体脚踏阀套装有出厂检验合格证书，并应具有使用说明书和安装说明书。</w:t>
            </w:r>
          </w:p>
        </w:tc>
        <w:tc>
          <w:tcPr>
            <w:tcW w:w="197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jc w:val="center"/>
              <w:rPr>
                <w:rFonts w:hint="eastAsia" w:cs="Arial"/>
                <w:color w:val="auto"/>
                <w:kern w:val="2"/>
                <w:sz w:val="21"/>
                <w:szCs w:val="21"/>
                <w:highlight w:val="none"/>
              </w:rPr>
            </w:pPr>
          </w:p>
        </w:tc>
        <w:tc>
          <w:tcPr>
            <w:tcW w:w="1418"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jc w:val="center"/>
              <w:rPr>
                <w:rFonts w:hint="eastAsia" w:cs="Arial"/>
                <w:kern w:val="2"/>
                <w:sz w:val="21"/>
                <w:szCs w:val="21"/>
                <w:highlight w:val="none"/>
              </w:rPr>
            </w:pPr>
          </w:p>
        </w:tc>
        <w:tc>
          <w:tcPr>
            <w:tcW w:w="1177"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adjustRightInd w:val="0"/>
              <w:spacing w:beforeLines="0" w:afterLines="0"/>
              <w:jc w:val="center"/>
              <w:rPr>
                <w:rFonts w:hint="eastAsia" w:cs="Arial"/>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24"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line="240" w:lineRule="auto"/>
              <w:jc w:val="center"/>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4</w:t>
            </w:r>
          </w:p>
        </w:tc>
        <w:tc>
          <w:tcPr>
            <w:tcW w:w="1836"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line="240" w:lineRule="auto"/>
              <w:ind w:left="0" w:leftChars="0" w:right="-27" w:rightChars="0" w:firstLine="0" w:firstLineChars="0"/>
              <w:jc w:val="center"/>
              <w:rPr>
                <w:rFonts w:hint="default" w:ascii="宋体" w:hAnsi="宋体" w:eastAsia="宋体" w:cs="宋体"/>
                <w:color w:val="auto"/>
                <w:sz w:val="21"/>
                <w:szCs w:val="21"/>
                <w:highlight w:val="none"/>
              </w:rPr>
            </w:pPr>
            <w:r>
              <w:rPr>
                <w:rFonts w:hint="default" w:ascii="宋体" w:hAnsi="宋体" w:cs="宋体"/>
                <w:color w:val="auto"/>
                <w:kern w:val="2"/>
                <w:sz w:val="21"/>
                <w:szCs w:val="21"/>
                <w:highlight w:val="none"/>
              </w:rPr>
              <w:t>8.1</w:t>
            </w:r>
          </w:p>
        </w:tc>
        <w:tc>
          <w:tcPr>
            <w:tcW w:w="1846"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0" w:after="0" w:afterAutospacing="0" w:line="240" w:lineRule="auto"/>
              <w:ind w:left="0" w:leftChars="0" w:right="0" w:rightChars="0" w:firstLine="0" w:firstLineChars="0"/>
              <w:rPr>
                <w:rFonts w:hint="default" w:ascii="宋体" w:hAnsi="宋体" w:eastAsia="宋体" w:cs="宋体"/>
                <w:color w:val="auto"/>
                <w:sz w:val="21"/>
                <w:szCs w:val="21"/>
                <w:highlight w:val="none"/>
              </w:rPr>
            </w:pPr>
            <w:r>
              <w:rPr>
                <w:rFonts w:hint="default" w:ascii="宋体" w:hAnsi="宋体" w:cs="宋体"/>
                <w:color w:val="auto"/>
                <w:sz w:val="21"/>
                <w:szCs w:val="21"/>
                <w:highlight w:val="none"/>
              </w:rPr>
              <w:t>项目质保期为1年，自验收合格之日起计算；质保期内乙方需提供免费上门维修（包含所有配件的更换及服务）及保养服务。</w:t>
            </w:r>
          </w:p>
        </w:tc>
        <w:tc>
          <w:tcPr>
            <w:tcW w:w="197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jc w:val="center"/>
              <w:rPr>
                <w:rFonts w:hint="eastAsia" w:cs="Arial"/>
                <w:color w:val="auto"/>
                <w:kern w:val="2"/>
                <w:sz w:val="21"/>
                <w:szCs w:val="21"/>
                <w:highlight w:val="none"/>
              </w:rPr>
            </w:pPr>
          </w:p>
        </w:tc>
        <w:tc>
          <w:tcPr>
            <w:tcW w:w="1418"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jc w:val="center"/>
              <w:rPr>
                <w:rFonts w:hint="eastAsia" w:cs="Arial"/>
                <w:kern w:val="2"/>
                <w:sz w:val="21"/>
                <w:szCs w:val="21"/>
                <w:highlight w:val="none"/>
              </w:rPr>
            </w:pPr>
          </w:p>
        </w:tc>
        <w:tc>
          <w:tcPr>
            <w:tcW w:w="1177"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adjustRightInd w:val="0"/>
              <w:spacing w:beforeLines="0" w:afterLines="0"/>
              <w:jc w:val="center"/>
              <w:rPr>
                <w:rFonts w:hint="eastAsia" w:cs="Arial"/>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24"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line="240" w:lineRule="auto"/>
              <w:jc w:val="center"/>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5</w:t>
            </w:r>
          </w:p>
        </w:tc>
        <w:tc>
          <w:tcPr>
            <w:tcW w:w="183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0" w:after="0" w:afterAutospacing="0" w:line="240" w:lineRule="auto"/>
              <w:ind w:left="0" w:leftChars="0" w:right="0" w:rightChars="0" w:firstLine="0" w:firstLineChars="0"/>
              <w:jc w:val="center"/>
              <w:rPr>
                <w:rFonts w:hint="default" w:ascii="宋体" w:hAnsi="宋体" w:eastAsia="宋体" w:cs="宋体"/>
                <w:color w:val="auto"/>
                <w:sz w:val="21"/>
                <w:szCs w:val="21"/>
                <w:highlight w:val="none"/>
              </w:rPr>
            </w:pPr>
            <w:r>
              <w:rPr>
                <w:rFonts w:hint="default" w:ascii="宋体" w:hAnsi="宋体" w:cs="宋体"/>
                <w:color w:val="auto"/>
                <w:sz w:val="21"/>
                <w:szCs w:val="21"/>
                <w:highlight w:val="none"/>
              </w:rPr>
              <w:t>8.2</w:t>
            </w:r>
          </w:p>
        </w:tc>
        <w:tc>
          <w:tcPr>
            <w:tcW w:w="184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0" w:after="0" w:afterAutospacing="0" w:line="240" w:lineRule="auto"/>
              <w:ind w:left="0" w:leftChars="0" w:right="0" w:rightChars="0" w:firstLine="0" w:firstLineChars="0"/>
              <w:rPr>
                <w:rFonts w:hint="default" w:ascii="宋体" w:hAnsi="宋体" w:eastAsia="宋体" w:cs="宋体"/>
                <w:color w:val="auto"/>
                <w:sz w:val="21"/>
                <w:szCs w:val="21"/>
                <w:highlight w:val="none"/>
              </w:rPr>
            </w:pPr>
            <w:r>
              <w:rPr>
                <w:rFonts w:hint="eastAsia" w:ascii="宋体" w:hAnsi="宋体" w:cs="Arial"/>
                <w:bCs/>
                <w:color w:val="auto"/>
                <w:highlight w:val="none"/>
              </w:rPr>
              <w:t>质保期内出现的工程质量问题，</w:t>
            </w:r>
            <w:r>
              <w:rPr>
                <w:rFonts w:hint="eastAsia" w:ascii="宋体" w:hAnsi="宋体" w:cs="Arial"/>
                <w:bCs/>
                <w:color w:val="auto"/>
                <w:highlight w:val="none"/>
                <w:lang w:eastAsia="zh-CN"/>
              </w:rPr>
              <w:t>乙方</w:t>
            </w:r>
            <w:r>
              <w:rPr>
                <w:rFonts w:hint="eastAsia" w:ascii="宋体" w:hAnsi="宋体" w:cs="Arial"/>
                <w:bCs/>
                <w:color w:val="auto"/>
                <w:highlight w:val="none"/>
              </w:rPr>
              <w:t>需</w:t>
            </w:r>
            <w:r>
              <w:rPr>
                <w:rFonts w:hint="eastAsia" w:ascii="宋体" w:hAnsi="宋体" w:cs="Arial"/>
                <w:bCs/>
                <w:color w:val="auto"/>
                <w:highlight w:val="none"/>
                <w:lang w:val="en-US" w:eastAsia="zh-CN"/>
              </w:rPr>
              <w:t>在</w:t>
            </w:r>
            <w:r>
              <w:rPr>
                <w:rFonts w:hint="eastAsia" w:ascii="宋体" w:hAnsi="宋体" w:cs="Arial"/>
                <w:bCs/>
                <w:color w:val="auto"/>
                <w:highlight w:val="none"/>
                <w:lang w:eastAsia="zh-CN"/>
              </w:rPr>
              <w:t>甲方</w:t>
            </w:r>
            <w:r>
              <w:rPr>
                <w:rFonts w:hint="eastAsia" w:ascii="宋体" w:hAnsi="宋体" w:cs="Arial"/>
                <w:bCs/>
                <w:color w:val="auto"/>
                <w:highlight w:val="none"/>
              </w:rPr>
              <w:t>发出通知后1小时内做出响应，</w:t>
            </w:r>
            <w:r>
              <w:rPr>
                <w:rFonts w:hint="eastAsia" w:ascii="宋体" w:hAnsi="宋体" w:cs="Arial"/>
                <w:bCs/>
                <w:color w:val="auto"/>
                <w:highlight w:val="none"/>
                <w:lang w:val="en-US" w:eastAsia="zh-CN"/>
              </w:rPr>
              <w:t>4</w:t>
            </w:r>
            <w:r>
              <w:rPr>
                <w:rFonts w:hint="eastAsia" w:ascii="宋体" w:hAnsi="宋体" w:cs="Arial"/>
                <w:bCs/>
                <w:color w:val="auto"/>
                <w:highlight w:val="none"/>
              </w:rPr>
              <w:t>小时到达维修现场。一般问题应在</w:t>
            </w:r>
            <w:r>
              <w:rPr>
                <w:rFonts w:hint="eastAsia" w:ascii="宋体" w:hAnsi="宋体" w:cs="Arial"/>
                <w:bCs/>
                <w:color w:val="auto"/>
                <w:highlight w:val="none"/>
                <w:lang w:val="en-US" w:eastAsia="zh-CN"/>
              </w:rPr>
              <w:t>8小时</w:t>
            </w:r>
            <w:r>
              <w:rPr>
                <w:rFonts w:hint="eastAsia" w:ascii="宋体" w:hAnsi="宋体" w:cs="Arial"/>
                <w:bCs/>
                <w:color w:val="auto"/>
                <w:highlight w:val="none"/>
              </w:rPr>
              <w:t>内解决，</w:t>
            </w:r>
            <w:r>
              <w:rPr>
                <w:rFonts w:hint="eastAsia" w:ascii="宋体" w:hAnsi="宋体" w:cs="Arial"/>
                <w:bCs/>
                <w:strike w:val="0"/>
                <w:color w:val="auto"/>
                <w:highlight w:val="none"/>
              </w:rPr>
              <w:t>其它</w:t>
            </w:r>
            <w:r>
              <w:rPr>
                <w:rFonts w:hint="eastAsia" w:ascii="宋体" w:hAnsi="宋体" w:cs="Arial"/>
                <w:bCs/>
                <w:color w:val="auto"/>
                <w:highlight w:val="none"/>
              </w:rPr>
              <w:t>无法迅速解决的问题应在</w:t>
            </w:r>
            <w:r>
              <w:rPr>
                <w:rFonts w:hint="eastAsia" w:ascii="宋体" w:hAnsi="宋体" w:cs="Arial"/>
                <w:bCs/>
                <w:color w:val="auto"/>
                <w:highlight w:val="none"/>
                <w:lang w:val="en-US" w:eastAsia="zh-CN"/>
              </w:rPr>
              <w:t>96小时</w:t>
            </w:r>
            <w:r>
              <w:rPr>
                <w:rFonts w:hint="eastAsia" w:ascii="宋体" w:hAnsi="宋体" w:cs="Arial"/>
                <w:bCs/>
                <w:color w:val="auto"/>
                <w:highlight w:val="none"/>
              </w:rPr>
              <w:t>内解决。</w:t>
            </w:r>
          </w:p>
        </w:tc>
        <w:tc>
          <w:tcPr>
            <w:tcW w:w="197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jc w:val="center"/>
              <w:rPr>
                <w:rFonts w:hint="eastAsia" w:cs="Arial"/>
                <w:color w:val="auto"/>
                <w:kern w:val="2"/>
                <w:sz w:val="21"/>
                <w:szCs w:val="21"/>
                <w:highlight w:val="none"/>
              </w:rPr>
            </w:pPr>
          </w:p>
        </w:tc>
        <w:tc>
          <w:tcPr>
            <w:tcW w:w="1418"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jc w:val="center"/>
              <w:rPr>
                <w:rFonts w:hint="eastAsia" w:cs="Arial"/>
                <w:kern w:val="2"/>
                <w:sz w:val="21"/>
                <w:szCs w:val="21"/>
                <w:highlight w:val="none"/>
              </w:rPr>
            </w:pPr>
          </w:p>
        </w:tc>
        <w:tc>
          <w:tcPr>
            <w:tcW w:w="1177"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adjustRightInd w:val="0"/>
              <w:spacing w:beforeLines="0" w:afterLines="0"/>
              <w:jc w:val="center"/>
              <w:rPr>
                <w:rFonts w:hint="eastAsia" w:cs="Arial"/>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24"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line="240" w:lineRule="auto"/>
              <w:jc w:val="center"/>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6</w:t>
            </w:r>
          </w:p>
        </w:tc>
        <w:tc>
          <w:tcPr>
            <w:tcW w:w="183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0" w:after="0" w:afterAutospacing="0" w:line="240" w:lineRule="auto"/>
              <w:ind w:left="0" w:leftChars="0" w:right="0" w:rightChars="0" w:firstLine="0" w:firstLineChars="0"/>
              <w:jc w:val="center"/>
              <w:rPr>
                <w:rFonts w:hint="default" w:ascii="宋体" w:hAnsi="宋体" w:eastAsia="宋体" w:cs="宋体"/>
                <w:color w:val="auto"/>
                <w:sz w:val="21"/>
                <w:szCs w:val="21"/>
                <w:highlight w:val="none"/>
              </w:rPr>
            </w:pPr>
            <w:r>
              <w:rPr>
                <w:rFonts w:hint="default" w:ascii="宋体" w:hAnsi="宋体" w:cs="宋体"/>
                <w:color w:val="auto"/>
                <w:sz w:val="21"/>
                <w:szCs w:val="21"/>
                <w:highlight w:val="none"/>
              </w:rPr>
              <w:t>9附件1</w:t>
            </w:r>
          </w:p>
        </w:tc>
        <w:tc>
          <w:tcPr>
            <w:tcW w:w="184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0" w:after="0" w:afterAutospacing="0" w:line="240" w:lineRule="auto"/>
              <w:ind w:left="0" w:leftChars="0" w:right="0" w:rightChars="0" w:firstLine="0" w:firstLineChars="0"/>
              <w:rPr>
                <w:rFonts w:hint="default" w:ascii="宋体" w:hAnsi="宋体" w:eastAsia="宋体" w:cs="宋体"/>
                <w:color w:val="auto"/>
                <w:sz w:val="21"/>
                <w:szCs w:val="21"/>
                <w:highlight w:val="none"/>
              </w:rPr>
            </w:pPr>
            <w:r>
              <w:rPr>
                <w:rFonts w:hint="default" w:ascii="宋体" w:hAnsi="宋体" w:cs="宋体"/>
                <w:color w:val="auto"/>
                <w:sz w:val="21"/>
                <w:szCs w:val="21"/>
                <w:highlight w:val="none"/>
              </w:rPr>
              <w:t>采购的货物须满足附表1-1工程量清单内货物的性能参数要求。</w:t>
            </w:r>
          </w:p>
        </w:tc>
        <w:tc>
          <w:tcPr>
            <w:tcW w:w="197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jc w:val="center"/>
              <w:rPr>
                <w:rFonts w:hint="eastAsia" w:cs="Arial"/>
                <w:color w:val="auto"/>
                <w:kern w:val="2"/>
                <w:sz w:val="21"/>
                <w:szCs w:val="21"/>
                <w:highlight w:val="none"/>
              </w:rPr>
            </w:pPr>
          </w:p>
        </w:tc>
        <w:tc>
          <w:tcPr>
            <w:tcW w:w="1418"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adjustRightInd w:val="0"/>
              <w:spacing w:beforeLines="0" w:afterLines="0"/>
              <w:jc w:val="center"/>
              <w:rPr>
                <w:rFonts w:hint="eastAsia" w:cs="Arial"/>
                <w:kern w:val="2"/>
                <w:sz w:val="21"/>
                <w:szCs w:val="21"/>
                <w:highlight w:val="none"/>
              </w:rPr>
            </w:pPr>
          </w:p>
        </w:tc>
        <w:tc>
          <w:tcPr>
            <w:tcW w:w="1177"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adjustRightInd w:val="0"/>
              <w:spacing w:beforeLines="0" w:afterLines="0"/>
              <w:jc w:val="center"/>
              <w:rPr>
                <w:rFonts w:hint="eastAsia" w:cs="Arial"/>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83" w:hRule="atLeast"/>
          <w:jc w:val="center"/>
        </w:trPr>
        <w:tc>
          <w:tcPr>
            <w:tcW w:w="8880" w:type="dxa"/>
            <w:gridSpan w:val="6"/>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spacing w:beforeLines="0" w:afterLines="0"/>
              <w:rPr>
                <w:rFonts w:hint="eastAsia" w:cs="Arial"/>
                <w:kern w:val="2"/>
                <w:sz w:val="21"/>
                <w:szCs w:val="21"/>
                <w:highlight w:val="none"/>
              </w:rPr>
            </w:pPr>
            <w:r>
              <w:rPr>
                <w:rFonts w:hint="default" w:ascii="宋体" w:eastAsia="宋体" w:cs="Arial"/>
                <w:sz w:val="21"/>
                <w:szCs w:val="21"/>
                <w:highlight w:val="none"/>
              </w:rPr>
              <w:t>我方确认：除了表中所列的条款外，我方的比选申请函将依从比选文件对于技术的全部要求和规定。</w:t>
            </w:r>
          </w:p>
        </w:tc>
      </w:tr>
    </w:tbl>
    <w:p>
      <w:pPr>
        <w:spacing w:before="0" w:beforeLines="0" w:after="0" w:afterLines="0" w:afterAutospacing="0"/>
        <w:ind w:right="0"/>
        <w:rPr>
          <w:rFonts w:hint="default" w:ascii="宋体" w:hAnsi="宋体" w:eastAsia="宋体"/>
          <w:sz w:val="21"/>
          <w:szCs w:val="21"/>
          <w:highlight w:val="none"/>
          <w:u w:val="single"/>
        </w:rPr>
      </w:pPr>
    </w:p>
    <w:p>
      <w:pPr>
        <w:snapToGrid w:val="0"/>
        <w:spacing w:beforeLines="0" w:after="50" w:afterLines="0" w:line="280" w:lineRule="exact"/>
        <w:ind w:left="955" w:leftChars="455" w:right="-817" w:firstLine="2832" w:firstLineChars="1349"/>
        <w:rPr>
          <w:rFonts w:hint="default" w:ascii="宋体" w:hAnsi="宋体" w:eastAsia="宋体"/>
          <w:sz w:val="21"/>
          <w:szCs w:val="21"/>
          <w:highlight w:val="none"/>
          <w:u w:val="single"/>
        </w:rPr>
      </w:pPr>
      <w:r>
        <w:rPr>
          <w:rFonts w:hint="default" w:ascii="宋体" w:hAnsi="宋体" w:eastAsia="宋体"/>
          <w:sz w:val="21"/>
          <w:szCs w:val="21"/>
          <w:highlight w:val="none"/>
        </w:rPr>
        <w:t>比选申请人名称（盖章）：</w:t>
      </w:r>
    </w:p>
    <w:p>
      <w:pPr>
        <w:snapToGrid w:val="0"/>
        <w:spacing w:beforeLines="0" w:after="50" w:afterLines="0" w:line="280" w:lineRule="exact"/>
        <w:ind w:left="707" w:right="-817" w:firstLine="0"/>
        <w:jc w:val="center"/>
        <w:rPr>
          <w:rFonts w:hint="default" w:ascii="宋体" w:hAnsi="宋体" w:eastAsia="宋体"/>
          <w:sz w:val="21"/>
          <w:szCs w:val="21"/>
          <w:highlight w:val="none"/>
          <w:u w:val="single"/>
        </w:rPr>
      </w:pPr>
      <w:r>
        <w:rPr>
          <w:rFonts w:hint="default" w:ascii="宋体" w:hAnsi="宋体" w:eastAsia="宋体"/>
          <w:sz w:val="21"/>
          <w:szCs w:val="21"/>
          <w:highlight w:val="none"/>
        </w:rPr>
        <w:t xml:space="preserve"> 法定代表人或被授权人（签字）：</w:t>
      </w:r>
    </w:p>
    <w:p>
      <w:pPr>
        <w:spacing w:before="0" w:beforeLines="0" w:afterLines="0"/>
        <w:ind w:right="-57" w:firstLine="0"/>
        <w:jc w:val="center"/>
        <w:rPr>
          <w:rFonts w:hint="default" w:ascii="宋体" w:hAnsi="宋体" w:eastAsia="宋体"/>
          <w:sz w:val="21"/>
          <w:szCs w:val="21"/>
          <w:highlight w:val="none"/>
        </w:rPr>
      </w:pPr>
      <w:r>
        <w:rPr>
          <w:rFonts w:hint="eastAsia" w:ascii="宋体" w:hAnsi="宋体"/>
          <w:sz w:val="21"/>
          <w:szCs w:val="21"/>
          <w:highlight w:val="none"/>
          <w:lang w:val="en-US" w:eastAsia="zh-CN"/>
        </w:rPr>
        <w:t xml:space="preserve">    </w:t>
      </w:r>
      <w:r>
        <w:rPr>
          <w:rFonts w:hint="default" w:ascii="宋体" w:hAnsi="宋体" w:eastAsia="宋体"/>
          <w:sz w:val="21"/>
          <w:szCs w:val="21"/>
          <w:highlight w:val="none"/>
        </w:rPr>
        <w:t xml:space="preserve">日  期：  </w:t>
      </w:r>
      <w:r>
        <w:rPr>
          <w:rFonts w:hint="eastAsia" w:ascii="宋体" w:hAnsi="宋体"/>
          <w:sz w:val="21"/>
          <w:szCs w:val="21"/>
          <w:highlight w:val="none"/>
          <w:lang w:val="en-US" w:eastAsia="zh-CN"/>
        </w:rPr>
        <w:t xml:space="preserve">  </w:t>
      </w:r>
      <w:r>
        <w:rPr>
          <w:rFonts w:hint="default" w:ascii="宋体" w:hAnsi="宋体" w:eastAsia="宋体"/>
          <w:sz w:val="21"/>
          <w:szCs w:val="21"/>
          <w:highlight w:val="none"/>
        </w:rPr>
        <w:t xml:space="preserve">年  </w:t>
      </w:r>
      <w:r>
        <w:rPr>
          <w:rFonts w:hint="eastAsia" w:ascii="宋体" w:hAnsi="宋体"/>
          <w:sz w:val="21"/>
          <w:szCs w:val="21"/>
          <w:highlight w:val="none"/>
          <w:lang w:val="en-US" w:eastAsia="zh-CN"/>
        </w:rPr>
        <w:t xml:space="preserve">  </w:t>
      </w:r>
      <w:r>
        <w:rPr>
          <w:rFonts w:hint="default" w:ascii="宋体" w:hAnsi="宋体" w:eastAsia="宋体"/>
          <w:sz w:val="21"/>
          <w:szCs w:val="21"/>
          <w:highlight w:val="none"/>
        </w:rPr>
        <w:t xml:space="preserve">月  </w:t>
      </w:r>
      <w:r>
        <w:rPr>
          <w:rFonts w:hint="eastAsia" w:ascii="宋体" w:hAnsi="宋体"/>
          <w:sz w:val="21"/>
          <w:szCs w:val="21"/>
          <w:highlight w:val="none"/>
          <w:lang w:val="en-US" w:eastAsia="zh-CN"/>
        </w:rPr>
        <w:t xml:space="preserve">  </w:t>
      </w:r>
      <w:r>
        <w:rPr>
          <w:rFonts w:hint="default" w:ascii="宋体" w:hAnsi="宋体" w:eastAsia="宋体"/>
          <w:sz w:val="21"/>
          <w:szCs w:val="21"/>
          <w:highlight w:val="none"/>
        </w:rPr>
        <w:t>日</w:t>
      </w:r>
    </w:p>
    <w:p>
      <w:pPr>
        <w:spacing w:before="0" w:beforeLines="0" w:after="0" w:afterLines="0" w:afterAutospacing="0"/>
        <w:ind w:left="708" w:right="0" w:hanging="708" w:hangingChars="336"/>
        <w:rPr>
          <w:rFonts w:hint="default" w:ascii="宋体" w:hAnsi="宋体" w:eastAsia="宋体"/>
          <w:b/>
          <w:sz w:val="21"/>
          <w:szCs w:val="21"/>
          <w:highlight w:val="none"/>
        </w:rPr>
      </w:pPr>
      <w:r>
        <w:rPr>
          <w:rFonts w:hint="default" w:ascii="宋体" w:hAnsi="宋体" w:eastAsia="宋体"/>
          <w:b/>
          <w:sz w:val="21"/>
          <w:szCs w:val="21"/>
          <w:highlight w:val="none"/>
        </w:rPr>
        <w:t>说明：</w:t>
      </w:r>
    </w:p>
    <w:p>
      <w:pPr>
        <w:tabs>
          <w:tab w:val="left" w:pos="720"/>
        </w:tabs>
        <w:spacing w:before="0" w:beforeLines="0" w:after="0" w:afterLines="0" w:afterAutospacing="0"/>
        <w:ind w:left="0" w:right="0" w:firstLine="420" w:firstLineChars="200"/>
        <w:rPr>
          <w:rFonts w:hint="default" w:ascii="宋体" w:hAnsi="宋体" w:eastAsia="宋体"/>
          <w:sz w:val="21"/>
          <w:szCs w:val="21"/>
          <w:highlight w:val="none"/>
        </w:rPr>
      </w:pPr>
      <w:r>
        <w:rPr>
          <w:rFonts w:hint="default" w:ascii="宋体" w:hAnsi="宋体" w:eastAsia="宋体"/>
          <w:sz w:val="21"/>
          <w:szCs w:val="21"/>
          <w:highlight w:val="none"/>
        </w:rPr>
        <w:t>1.比选申请人必须对应根据比选文件的第五章用户需求书条款逐条应答并按要求填写上表。</w:t>
      </w:r>
    </w:p>
    <w:p>
      <w:pPr>
        <w:pStyle w:val="36"/>
        <w:tabs>
          <w:tab w:val="left" w:pos="720"/>
        </w:tabs>
        <w:spacing w:before="0" w:beforeLines="0" w:after="0" w:afterLines="0" w:afterAutospacing="0"/>
        <w:ind w:left="0" w:right="0" w:firstLine="420" w:firstLineChars="200"/>
        <w:rPr>
          <w:rFonts w:hint="default" w:ascii="宋体" w:hAnsi="宋体"/>
          <w:sz w:val="21"/>
          <w:szCs w:val="21"/>
          <w:highlight w:val="none"/>
        </w:rPr>
      </w:pPr>
      <w:r>
        <w:rPr>
          <w:rFonts w:hint="default" w:ascii="宋体" w:hAnsi="宋体"/>
          <w:sz w:val="21"/>
          <w:szCs w:val="21"/>
          <w:highlight w:val="none"/>
        </w:rPr>
        <w:t>2.对完全响应的条目在本表“偏离情况”列中选注“完全响应”。对有偏离的条目在本表“偏离情况”列中选注“正偏离”或“负偏离”，并对“正偏离”或“负偏离”加以说明。</w:t>
      </w:r>
    </w:p>
    <w:p>
      <w:pPr>
        <w:tabs>
          <w:tab w:val="left" w:pos="720"/>
        </w:tabs>
        <w:spacing w:before="0" w:beforeLines="0" w:after="0" w:afterLines="0" w:afterAutospacing="0"/>
        <w:ind w:left="0" w:right="0" w:firstLine="420" w:firstLineChars="200"/>
        <w:rPr>
          <w:rFonts w:hint="default" w:ascii="宋体" w:hAnsi="宋体" w:eastAsia="宋体"/>
          <w:sz w:val="21"/>
          <w:szCs w:val="21"/>
          <w:highlight w:val="none"/>
        </w:rPr>
      </w:pPr>
      <w:r>
        <w:rPr>
          <w:rFonts w:hint="default" w:ascii="宋体" w:hAnsi="宋体" w:eastAsia="宋体"/>
          <w:sz w:val="21"/>
          <w:szCs w:val="21"/>
          <w:highlight w:val="none"/>
        </w:rPr>
        <w:t>3.正偏离是指应答的条件高于比选文件要求，负偏离是指应答的条件低于比选文件要求。</w:t>
      </w:r>
    </w:p>
    <w:p>
      <w:pPr>
        <w:tabs>
          <w:tab w:val="left" w:pos="720"/>
        </w:tabs>
        <w:spacing w:before="0" w:beforeLines="0" w:after="0" w:afterLines="0" w:afterAutospacing="0"/>
        <w:ind w:left="0" w:right="0" w:firstLine="420" w:firstLineChars="200"/>
        <w:rPr>
          <w:rFonts w:hint="default" w:ascii="宋体" w:hAnsi="宋体" w:eastAsia="宋体"/>
          <w:sz w:val="21"/>
          <w:szCs w:val="21"/>
          <w:highlight w:val="none"/>
        </w:rPr>
      </w:pPr>
      <w:r>
        <w:rPr>
          <w:rFonts w:hint="default" w:ascii="宋体" w:hAnsi="宋体" w:eastAsia="宋体"/>
          <w:sz w:val="21"/>
          <w:szCs w:val="21"/>
          <w:highlight w:val="none"/>
        </w:rPr>
        <w:t>4.比选申请人须按照用户需求书逐条完整填写响应表。如果未完整填写响应表的各项内容则视作比选申请人已经对比选文件相关要求和内容完全理解并同意，其比选申请报价为在此基础上的完全价格。</w:t>
      </w:r>
    </w:p>
    <w:p>
      <w:pPr>
        <w:tabs>
          <w:tab w:val="left" w:pos="720"/>
        </w:tabs>
        <w:spacing w:before="0" w:beforeLines="0" w:after="0" w:afterLines="0" w:afterAutospacing="0"/>
        <w:ind w:left="0" w:right="0" w:firstLine="420" w:firstLineChars="200"/>
        <w:rPr>
          <w:rFonts w:hint="default" w:ascii="宋体" w:hAnsi="宋体" w:eastAsia="宋体"/>
          <w:sz w:val="21"/>
          <w:szCs w:val="21"/>
          <w:highlight w:val="none"/>
        </w:rPr>
      </w:pPr>
      <w:r>
        <w:rPr>
          <w:rFonts w:hint="default" w:ascii="宋体" w:hAnsi="宋体" w:eastAsia="宋体"/>
          <w:sz w:val="21"/>
          <w:szCs w:val="21"/>
          <w:highlight w:val="none"/>
        </w:rPr>
        <w:t xml:space="preserve">5.在比选人与中选人签订合同期间，中选人未在比选申请文件“响应表”中列出偏离说明，即使其在比选申请文件的其他部分说明与比选文件要求有所不同或回避不答，亦均视为完全符合比选文件中所要求的最佳值并写入合同。若中选人在定标后及合同签订前，以上述事项为借口而不履行合同签订手续及执行合同，则视作放弃中选资格。     </w:t>
      </w:r>
    </w:p>
    <w:p>
      <w:pPr>
        <w:spacing w:before="0" w:beforeLines="0" w:afterLines="0"/>
        <w:ind w:left="105" w:leftChars="50" w:right="-57" w:firstLine="316" w:firstLineChars="150"/>
        <w:rPr>
          <w:rFonts w:hint="default" w:ascii="宋体" w:hAnsi="宋体" w:eastAsia="宋体"/>
          <w:b/>
          <w:sz w:val="21"/>
          <w:szCs w:val="21"/>
          <w:highlight w:val="none"/>
        </w:rPr>
      </w:pPr>
      <w:r>
        <w:rPr>
          <w:rFonts w:hint="default" w:ascii="宋体" w:hAnsi="宋体" w:eastAsia="宋体"/>
          <w:b/>
          <w:sz w:val="21"/>
          <w:szCs w:val="21"/>
          <w:highlight w:val="none"/>
        </w:rPr>
        <w:t>6.如有任意一项负偏离，比选申请人将不能通过符合性评审。</w:t>
      </w:r>
    </w:p>
    <w:p>
      <w:pPr>
        <w:rPr>
          <w:rFonts w:hint="eastAsia" w:ascii="宋体" w:hAnsi="宋体" w:eastAsia="宋体"/>
          <w:sz w:val="21"/>
          <w:szCs w:val="21"/>
          <w:highlight w:val="none"/>
        </w:rPr>
      </w:pPr>
      <w:r>
        <w:rPr>
          <w:rFonts w:hint="eastAsia" w:ascii="宋体" w:hAnsi="宋体" w:eastAsia="宋体"/>
          <w:sz w:val="21"/>
          <w:szCs w:val="21"/>
          <w:highlight w:val="none"/>
        </w:rPr>
        <w:br w:type="page"/>
      </w:r>
    </w:p>
    <w:p>
      <w:pPr>
        <w:pStyle w:val="6"/>
        <w:tabs>
          <w:tab w:val="left" w:pos="567"/>
          <w:tab w:val="left" w:pos="720"/>
        </w:tabs>
        <w:snapToGrid w:val="0"/>
        <w:spacing w:before="120" w:after="100" w:line="360" w:lineRule="auto"/>
        <w:ind w:right="-57" w:firstLine="0"/>
        <w:jc w:val="left"/>
        <w:rPr>
          <w:rFonts w:ascii="宋体" w:hAnsi="宋体" w:eastAsia="宋体"/>
          <w:sz w:val="21"/>
          <w:szCs w:val="21"/>
          <w:highlight w:val="none"/>
        </w:rPr>
      </w:pPr>
      <w:r>
        <w:rPr>
          <w:rFonts w:hint="eastAsia" w:ascii="宋体" w:hAnsi="宋体" w:eastAsia="宋体"/>
          <w:sz w:val="21"/>
          <w:szCs w:val="21"/>
          <w:highlight w:val="none"/>
        </w:rPr>
        <w:t>C2商务响应表</w:t>
      </w:r>
      <w:r>
        <w:rPr>
          <w:rFonts w:ascii="宋体" w:hAnsi="宋体" w:eastAsia="宋体"/>
          <w:sz w:val="21"/>
          <w:szCs w:val="21"/>
          <w:highlight w:val="none"/>
        </w:rPr>
        <w:t>格式</w:t>
      </w:r>
    </w:p>
    <w:p>
      <w:pPr>
        <w:ind w:right="-57" w:firstLine="0"/>
        <w:jc w:val="center"/>
        <w:rPr>
          <w:rFonts w:ascii="宋体" w:hAnsi="宋体"/>
          <w:b/>
          <w:highlight w:val="none"/>
        </w:rPr>
      </w:pPr>
      <w:r>
        <w:rPr>
          <w:rFonts w:hint="eastAsia" w:ascii="宋体" w:hAnsi="宋体"/>
          <w:b/>
          <w:highlight w:val="none"/>
        </w:rPr>
        <w:t>商务响应表</w:t>
      </w:r>
    </w:p>
    <w:p>
      <w:pPr>
        <w:spacing w:before="0" w:after="0" w:afterAutospacing="0"/>
        <w:ind w:right="-57" w:firstLine="0"/>
        <w:jc w:val="left"/>
        <w:rPr>
          <w:rFonts w:ascii="宋体" w:hAnsi="宋体"/>
          <w:highlight w:val="none"/>
          <w:u w:val="single"/>
        </w:rPr>
      </w:pPr>
      <w:r>
        <w:rPr>
          <w:rFonts w:hint="eastAsia" w:ascii="宋体" w:hAnsi="宋体"/>
          <w:highlight w:val="none"/>
        </w:rPr>
        <w:t>项目名称：</w:t>
      </w:r>
    </w:p>
    <w:tbl>
      <w:tblPr>
        <w:tblStyle w:val="27"/>
        <w:tblW w:w="9464"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17"/>
        <w:gridCol w:w="2977"/>
        <w:gridCol w:w="2410"/>
        <w:gridCol w:w="1842"/>
        <w:gridCol w:w="1418"/>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比选文件要求内容所在章节</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包含内容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比选申请人承诺是否响应比选文件要求</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9464" w:type="dxa"/>
            <w:gridSpan w:val="5"/>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第二章</w:t>
            </w:r>
            <w:r>
              <w:rPr>
                <w:rFonts w:ascii="宋体" w:hAnsi="宋体"/>
                <w:highlight w:val="none"/>
              </w:rPr>
              <w:t> </w:t>
            </w:r>
            <w:r>
              <w:rPr>
                <w:rFonts w:hint="eastAsia" w:ascii="宋体" w:hAnsi="宋体"/>
                <w:highlight w:val="none"/>
              </w:rPr>
              <w:t>比选申请须知</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ascii="宋体" w:hAnsi="宋体"/>
                <w:highlight w:val="none"/>
              </w:rPr>
              <w:t>1</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比选申请须知前附表</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ascii="宋体" w:hAnsi="宋体"/>
                <w:highlight w:val="none"/>
              </w:rPr>
              <w:t>2</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比选申请须知正文</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9464" w:type="dxa"/>
            <w:gridSpan w:val="5"/>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第三章</w:t>
            </w:r>
            <w:r>
              <w:rPr>
                <w:rFonts w:ascii="宋体" w:hAnsi="宋体"/>
                <w:highlight w:val="none"/>
              </w:rPr>
              <w:t> </w:t>
            </w:r>
            <w:r>
              <w:rPr>
                <w:rFonts w:hint="eastAsia" w:ascii="宋体" w:hAnsi="宋体"/>
                <w:highlight w:val="none"/>
              </w:rPr>
              <w:t>合同条款</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ascii="宋体" w:hAnsi="宋体"/>
                <w:highlight w:val="none"/>
              </w:rPr>
              <w:t>1</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合同协议书</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ascii="宋体" w:hAnsi="宋体"/>
                <w:highlight w:val="none"/>
              </w:rPr>
              <w:t>2</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合同条款</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464" w:type="dxa"/>
            <w:gridSpan w:val="5"/>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第五章用户需求书</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ascii="宋体" w:hAnsi="宋体"/>
                <w:highlight w:val="none"/>
              </w:rPr>
              <w:t>1</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商务要求</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r>
              <w:rPr>
                <w:rFonts w:hint="eastAsia" w:ascii="宋体" w:hAnsi="宋体"/>
                <w:highlight w:val="none"/>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highlight w:val="none"/>
              </w:rPr>
            </w:pPr>
          </w:p>
        </w:tc>
      </w:tr>
    </w:tbl>
    <w:p>
      <w:pPr>
        <w:snapToGrid w:val="0"/>
        <w:spacing w:after="50"/>
        <w:ind w:right="-57" w:firstLine="0"/>
        <w:rPr>
          <w:rFonts w:ascii="宋体" w:hAnsi="宋体"/>
          <w:spacing w:val="20"/>
          <w:sz w:val="24"/>
          <w:szCs w:val="24"/>
          <w:highlight w:val="none"/>
        </w:rPr>
      </w:pPr>
      <w:r>
        <w:rPr>
          <w:rFonts w:hint="eastAsia" w:ascii="宋体" w:hAnsi="宋体"/>
          <w:b/>
          <w:highlight w:val="none"/>
        </w:rPr>
        <w:t>注：上述响应要求必须全部为“完全响应”，否则，比选申请人将不能通过符合性评审。</w:t>
      </w:r>
    </w:p>
    <w:p>
      <w:pPr>
        <w:snapToGrid w:val="0"/>
        <w:spacing w:after="50"/>
        <w:ind w:right="-57" w:firstLine="0"/>
        <w:rPr>
          <w:rFonts w:ascii="宋体" w:hAnsi="宋体"/>
          <w:spacing w:val="20"/>
          <w:sz w:val="24"/>
          <w:szCs w:val="24"/>
          <w:highlight w:val="none"/>
        </w:rPr>
      </w:pPr>
    </w:p>
    <w:p>
      <w:pPr>
        <w:snapToGrid w:val="0"/>
        <w:spacing w:after="50" w:line="280" w:lineRule="exact"/>
        <w:ind w:left="953" w:right="-817" w:firstLine="1443"/>
        <w:rPr>
          <w:rFonts w:ascii="宋体" w:hAnsi="宋体"/>
          <w:sz w:val="24"/>
          <w:szCs w:val="24"/>
          <w:highlight w:val="none"/>
        </w:rPr>
      </w:pPr>
    </w:p>
    <w:p>
      <w:pPr>
        <w:snapToGrid w:val="0"/>
        <w:spacing w:after="50" w:line="280" w:lineRule="exact"/>
        <w:ind w:left="955" w:right="-817" w:firstLine="2835" w:firstLineChars="1350"/>
        <w:rPr>
          <w:rFonts w:ascii="宋体" w:hAnsi="宋体"/>
          <w:highlight w:val="none"/>
          <w:u w:val="single"/>
        </w:rPr>
      </w:pPr>
      <w:r>
        <w:rPr>
          <w:rFonts w:hint="eastAsia" w:ascii="宋体" w:hAnsi="宋体"/>
          <w:highlight w:val="none"/>
        </w:rPr>
        <w:t>比选申请人名称（盖章）：</w:t>
      </w:r>
    </w:p>
    <w:p>
      <w:pPr>
        <w:snapToGrid w:val="0"/>
        <w:spacing w:after="50" w:line="280" w:lineRule="exact"/>
        <w:ind w:left="707" w:right="-817" w:firstLine="0"/>
        <w:jc w:val="center"/>
        <w:rPr>
          <w:rFonts w:ascii="宋体" w:hAnsi="宋体"/>
          <w:highlight w:val="none"/>
          <w:u w:val="single"/>
        </w:rPr>
      </w:pPr>
      <w:r>
        <w:rPr>
          <w:rFonts w:ascii="宋体" w:hAnsi="宋体"/>
          <w:highlight w:val="none"/>
        </w:rPr>
        <w:t xml:space="preserve"> 法定代表人或被授权人（</w:t>
      </w:r>
      <w:r>
        <w:rPr>
          <w:rFonts w:hint="eastAsia" w:ascii="宋体" w:hAnsi="宋体"/>
          <w:highlight w:val="none"/>
        </w:rPr>
        <w:t>签字或盖章</w:t>
      </w:r>
      <w:r>
        <w:rPr>
          <w:rFonts w:ascii="宋体" w:hAnsi="宋体"/>
          <w:highlight w:val="none"/>
        </w:rPr>
        <w:t>）：</w:t>
      </w:r>
    </w:p>
    <w:p>
      <w:pPr>
        <w:spacing w:before="0"/>
        <w:ind w:right="-57" w:firstLine="0"/>
        <w:jc w:val="center"/>
        <w:rPr>
          <w:rFonts w:ascii="宋体" w:hAnsi="宋体"/>
          <w:highlight w:val="none"/>
        </w:rPr>
      </w:pPr>
      <w:r>
        <w:rPr>
          <w:rFonts w:hint="eastAsia" w:ascii="宋体" w:hAnsi="宋体"/>
          <w:highlight w:val="none"/>
        </w:rPr>
        <w:t xml:space="preserve"> </w:t>
      </w:r>
      <w:r>
        <w:rPr>
          <w:rFonts w:hint="eastAsia" w:ascii="宋体" w:hAnsi="宋体"/>
          <w:highlight w:val="none"/>
          <w:lang w:val="en-US" w:eastAsia="zh-CN"/>
        </w:rPr>
        <w:t xml:space="preserve"> </w:t>
      </w:r>
      <w:r>
        <w:rPr>
          <w:rFonts w:hint="eastAsia" w:ascii="宋体" w:hAnsi="宋体"/>
          <w:highlight w:val="none"/>
        </w:rPr>
        <w:t>日期：</w:t>
      </w:r>
      <w:r>
        <w:rPr>
          <w:rFonts w:hint="eastAsia" w:ascii="宋体" w:hAnsi="宋体"/>
          <w:highlight w:val="none"/>
          <w:lang w:val="en-US" w:eastAsia="zh-CN"/>
        </w:rPr>
        <w:t xml:space="preserve">    </w:t>
      </w:r>
      <w:r>
        <w:rPr>
          <w:rFonts w:hint="eastAsia" w:ascii="宋体" w:hAnsi="宋体"/>
          <w:highlight w:val="none"/>
        </w:rPr>
        <w:t>年</w:t>
      </w:r>
      <w:r>
        <w:rPr>
          <w:rFonts w:hint="eastAsia" w:ascii="宋体" w:hAnsi="宋体"/>
          <w:highlight w:val="none"/>
          <w:lang w:val="en-US" w:eastAsia="zh-CN"/>
        </w:rPr>
        <w:t xml:space="preserve">   </w:t>
      </w:r>
      <w:r>
        <w:rPr>
          <w:rFonts w:hint="eastAsia" w:ascii="宋体" w:hAnsi="宋体"/>
          <w:highlight w:val="none"/>
        </w:rPr>
        <w:t>月</w:t>
      </w:r>
      <w:r>
        <w:rPr>
          <w:rFonts w:hint="eastAsia" w:ascii="宋体" w:hAnsi="宋体"/>
          <w:highlight w:val="none"/>
          <w:lang w:val="en-US" w:eastAsia="zh-CN"/>
        </w:rPr>
        <w:t xml:space="preserve">   </w:t>
      </w:r>
      <w:r>
        <w:rPr>
          <w:rFonts w:hint="eastAsia" w:ascii="宋体" w:hAnsi="宋体"/>
          <w:highlight w:val="none"/>
        </w:rPr>
        <w:t>日</w:t>
      </w:r>
    </w:p>
    <w:p>
      <w:pPr>
        <w:rPr>
          <w:rFonts w:hint="default" w:ascii="宋体" w:hAnsi="宋体" w:eastAsia="宋体"/>
          <w:sz w:val="21"/>
          <w:szCs w:val="21"/>
          <w:highlight w:val="none"/>
        </w:rPr>
      </w:pPr>
      <w:r>
        <w:rPr>
          <w:rFonts w:hint="default" w:ascii="宋体" w:hAnsi="宋体" w:eastAsia="宋体"/>
          <w:sz w:val="21"/>
          <w:szCs w:val="21"/>
          <w:highlight w:val="none"/>
        </w:rPr>
        <w:br w:type="page"/>
      </w:r>
    </w:p>
    <w:p>
      <w:pPr>
        <w:pStyle w:val="6"/>
        <w:tabs>
          <w:tab w:val="left" w:pos="567"/>
          <w:tab w:val="left" w:pos="720"/>
        </w:tabs>
        <w:snapToGrid w:val="0"/>
        <w:spacing w:beforeLines="0" w:after="100" w:afterLines="0" w:line="360" w:lineRule="auto"/>
        <w:ind w:right="-57" w:firstLine="0"/>
        <w:jc w:val="left"/>
        <w:rPr>
          <w:rFonts w:hint="default" w:ascii="宋体" w:hAnsi="宋体" w:eastAsia="宋体"/>
          <w:sz w:val="21"/>
          <w:szCs w:val="21"/>
          <w:highlight w:val="none"/>
        </w:rPr>
      </w:pPr>
      <w:r>
        <w:rPr>
          <w:rFonts w:hint="default" w:ascii="宋体" w:hAnsi="宋体" w:eastAsia="宋体"/>
          <w:sz w:val="21"/>
          <w:szCs w:val="21"/>
          <w:highlight w:val="none"/>
        </w:rPr>
        <w:t>C3售后服务承诺书</w:t>
      </w:r>
    </w:p>
    <w:p>
      <w:pPr>
        <w:widowControl w:val="0"/>
        <w:spacing w:before="240" w:beforeLines="100" w:after="240" w:afterLines="100"/>
        <w:ind w:left="948" w:right="-57" w:rightChars="-27" w:hanging="948"/>
        <w:jc w:val="center"/>
        <w:rPr>
          <w:rFonts w:hint="eastAsia" w:hAnsi="宋体"/>
          <w:b/>
          <w:kern w:val="2"/>
          <w:sz w:val="32"/>
          <w:szCs w:val="32"/>
          <w:highlight w:val="none"/>
        </w:rPr>
      </w:pPr>
      <w:r>
        <w:rPr>
          <w:rFonts w:hint="default" w:ascii="宋体" w:hAnsi="宋体" w:eastAsia="宋体"/>
          <w:b/>
          <w:kern w:val="2"/>
          <w:sz w:val="32"/>
          <w:szCs w:val="32"/>
          <w:highlight w:val="none"/>
        </w:rPr>
        <w:t>售后服务承诺书</w:t>
      </w:r>
    </w:p>
    <w:p>
      <w:pPr>
        <w:spacing w:before="0" w:beforeLines="0" w:after="0" w:afterLines="0" w:afterAutospacing="0"/>
        <w:ind w:left="619" w:right="0" w:hanging="619" w:hangingChars="295"/>
        <w:rPr>
          <w:rFonts w:hint="default" w:ascii="宋体" w:hAnsi="宋体" w:eastAsia="宋体"/>
          <w:sz w:val="21"/>
          <w:szCs w:val="21"/>
          <w:highlight w:val="none"/>
        </w:rPr>
      </w:pPr>
      <w:r>
        <w:rPr>
          <w:rFonts w:hint="default" w:ascii="宋体" w:hAnsi="宋体" w:eastAsia="宋体"/>
          <w:sz w:val="21"/>
          <w:szCs w:val="21"/>
          <w:highlight w:val="none"/>
        </w:rPr>
        <w:t>南宁轨道交通</w:t>
      </w:r>
      <w:r>
        <w:rPr>
          <w:rFonts w:hint="eastAsia" w:ascii="宋体" w:hAnsi="宋体"/>
          <w:sz w:val="21"/>
          <w:szCs w:val="21"/>
          <w:highlight w:val="none"/>
          <w:lang w:eastAsia="zh-CN"/>
        </w:rPr>
        <w:t>运营</w:t>
      </w:r>
      <w:r>
        <w:rPr>
          <w:rFonts w:hint="default" w:ascii="宋体" w:hAnsi="宋体" w:eastAsia="宋体"/>
          <w:sz w:val="21"/>
          <w:szCs w:val="21"/>
          <w:highlight w:val="none"/>
        </w:rPr>
        <w:t>有限公司：</w:t>
      </w:r>
    </w:p>
    <w:p>
      <w:pPr>
        <w:spacing w:before="0" w:beforeLines="0" w:after="0" w:afterLines="0" w:afterAutospacing="0"/>
        <w:ind w:left="0" w:right="0" w:firstLine="420" w:firstLineChars="200"/>
        <w:rPr>
          <w:rFonts w:hint="default" w:ascii="宋体" w:hAnsi="宋体" w:eastAsia="宋体"/>
          <w:sz w:val="21"/>
          <w:szCs w:val="21"/>
          <w:highlight w:val="none"/>
        </w:rPr>
      </w:pPr>
      <w:r>
        <w:rPr>
          <w:rFonts w:hint="default" w:ascii="宋体" w:hAnsi="宋体" w:eastAsia="宋体"/>
          <w:sz w:val="21"/>
          <w:szCs w:val="21"/>
          <w:highlight w:val="none"/>
        </w:rPr>
        <w:t>我方参与贵方采购项目的报价活动并做出以下承诺：</w:t>
      </w:r>
    </w:p>
    <w:p>
      <w:pPr>
        <w:pStyle w:val="36"/>
        <w:widowControl w:val="0"/>
        <w:spacing w:before="0" w:beforeLines="0" w:after="0" w:afterLines="0" w:afterAutospacing="0"/>
        <w:ind w:left="0" w:right="0" w:firstLine="420" w:firstLineChars="200"/>
        <w:rPr>
          <w:rFonts w:hint="default" w:ascii="宋体" w:hAnsi="宋体"/>
          <w:sz w:val="21"/>
          <w:szCs w:val="21"/>
          <w:highlight w:val="none"/>
        </w:rPr>
      </w:pPr>
      <w:r>
        <w:rPr>
          <w:rFonts w:hint="default" w:ascii="宋体" w:hAnsi="宋体"/>
          <w:sz w:val="21"/>
          <w:szCs w:val="21"/>
          <w:highlight w:val="none"/>
        </w:rPr>
        <w:t>1.所有产品的质量、质保期、售后服务等完全符合或优于贵方的采购要求，全部符合国家和行业相关标准，所有产品均为全新的正牌产品，具备产品合格证。货到验收如发现与产品描述不符或无产品合格证，我司接受无条件退货。如为假冒伪劣产品，造成损失的由我司承担全部法律责任。</w:t>
      </w:r>
    </w:p>
    <w:p>
      <w:pPr>
        <w:pStyle w:val="36"/>
        <w:widowControl w:val="0"/>
        <w:spacing w:before="0" w:beforeLines="0" w:after="0" w:afterLines="0" w:afterAutospacing="0"/>
        <w:ind w:left="0" w:right="0" w:firstLine="420" w:firstLineChars="200"/>
        <w:rPr>
          <w:rFonts w:hint="default" w:ascii="宋体" w:hAnsi="宋体"/>
          <w:sz w:val="21"/>
          <w:szCs w:val="21"/>
          <w:highlight w:val="none"/>
        </w:rPr>
      </w:pPr>
      <w:r>
        <w:rPr>
          <w:rFonts w:hint="default" w:ascii="宋体" w:hAnsi="宋体"/>
          <w:sz w:val="21"/>
          <w:szCs w:val="21"/>
          <w:highlight w:val="none"/>
        </w:rPr>
        <w:t>2.我方知悉，本次各货物的数量为贵方的预计采购数量，如有调整以贵方发出的交货通知为准。贵方可以根据实际使用情况及需求变更情况对未交货产品数量进行部分或全部调整，包括增加或减少，不论实际数量大于或低于预计数量，均按照成交单价执行。</w:t>
      </w:r>
    </w:p>
    <w:p>
      <w:pPr>
        <w:pStyle w:val="36"/>
        <w:widowControl w:val="0"/>
        <w:spacing w:before="0" w:beforeLines="0" w:after="0" w:afterLines="0" w:afterAutospacing="0"/>
        <w:ind w:left="0" w:right="0" w:firstLine="420" w:firstLineChars="200"/>
        <w:rPr>
          <w:rFonts w:hint="default" w:ascii="宋体" w:hAnsi="宋体"/>
          <w:sz w:val="21"/>
          <w:szCs w:val="21"/>
          <w:highlight w:val="none"/>
        </w:rPr>
      </w:pPr>
      <w:r>
        <w:rPr>
          <w:rFonts w:hint="default" w:ascii="宋体" w:hAnsi="宋体"/>
          <w:sz w:val="21"/>
          <w:szCs w:val="21"/>
          <w:highlight w:val="none"/>
        </w:rPr>
        <w:t>3.我方知悉，贵方的采购文件并未充分引用有关条文和标准规范，提出的是最基本的技术要求，我方保证所有产品符合工业制造标准，为优质的市场已有的成熟产品以满足使用可靠、技术先进、操作简单、维护方便的要求；除非贵方主动提出，贵方可无条件拒绝接受任何形式的改装或定制类产品。  </w:t>
      </w:r>
    </w:p>
    <w:p>
      <w:pPr>
        <w:pStyle w:val="36"/>
        <w:widowControl w:val="0"/>
        <w:spacing w:before="0" w:beforeLines="0" w:after="0" w:afterLines="0" w:afterAutospacing="0"/>
        <w:ind w:left="0" w:right="0" w:firstLine="420" w:firstLineChars="200"/>
        <w:rPr>
          <w:rFonts w:hint="default" w:ascii="宋体" w:hAnsi="宋体"/>
          <w:color w:val="auto"/>
          <w:sz w:val="21"/>
          <w:szCs w:val="21"/>
          <w:highlight w:val="none"/>
        </w:rPr>
      </w:pPr>
      <w:r>
        <w:rPr>
          <w:rFonts w:hint="default" w:ascii="宋体" w:hAnsi="宋体"/>
          <w:color w:val="auto"/>
          <w:sz w:val="21"/>
          <w:szCs w:val="21"/>
          <w:highlight w:val="none"/>
        </w:rPr>
        <w:t>4.交货前贵方有权要求我方提供样品；如贵方对样品不认可有权不签订合同或撤销、终止已签订的合同，如贵方对样品认可且样品未因检验检测而发生性能改变，则样品数量可计入交货数量。</w:t>
      </w:r>
    </w:p>
    <w:p>
      <w:pPr>
        <w:pStyle w:val="36"/>
        <w:widowControl w:val="0"/>
        <w:spacing w:before="0" w:beforeLines="0" w:after="0" w:afterLines="0" w:afterAutospacing="0"/>
        <w:ind w:left="0" w:right="0" w:firstLine="420" w:firstLineChars="200"/>
        <w:rPr>
          <w:rFonts w:hint="default" w:ascii="宋体" w:hAnsi="宋体"/>
          <w:color w:val="auto"/>
          <w:sz w:val="21"/>
          <w:szCs w:val="21"/>
          <w:highlight w:val="none"/>
        </w:rPr>
      </w:pPr>
      <w:r>
        <w:rPr>
          <w:rFonts w:hint="default" w:ascii="宋体" w:hAnsi="宋体"/>
          <w:color w:val="auto"/>
          <w:sz w:val="21"/>
          <w:szCs w:val="21"/>
          <w:highlight w:val="none"/>
        </w:rPr>
        <w:t>5.质保期内货物出现故障我公司承诺在</w:t>
      </w:r>
      <w:r>
        <w:rPr>
          <w:rFonts w:hint="eastAsia" w:ascii="宋体" w:hAnsi="宋体" w:cs="Arial"/>
          <w:bCs/>
          <w:color w:val="auto"/>
          <w:highlight w:val="none"/>
        </w:rPr>
        <w:t>1小时内做出响应，</w:t>
      </w:r>
      <w:r>
        <w:rPr>
          <w:rFonts w:hint="eastAsia" w:ascii="宋体" w:hAnsi="宋体" w:cs="Arial"/>
          <w:bCs/>
          <w:color w:val="auto"/>
          <w:highlight w:val="none"/>
          <w:lang w:val="en-US" w:eastAsia="zh-CN"/>
        </w:rPr>
        <w:t>4</w:t>
      </w:r>
      <w:r>
        <w:rPr>
          <w:rFonts w:hint="eastAsia" w:ascii="宋体" w:hAnsi="宋体" w:cs="Arial"/>
          <w:bCs/>
          <w:color w:val="auto"/>
          <w:highlight w:val="none"/>
        </w:rPr>
        <w:t>小时到达维修现场。一般问题应在</w:t>
      </w:r>
      <w:r>
        <w:rPr>
          <w:rFonts w:hint="eastAsia" w:ascii="宋体" w:hAnsi="宋体" w:cs="Arial"/>
          <w:bCs/>
          <w:color w:val="auto"/>
          <w:highlight w:val="none"/>
          <w:lang w:val="en-US" w:eastAsia="zh-CN"/>
        </w:rPr>
        <w:t>8小时</w:t>
      </w:r>
      <w:r>
        <w:rPr>
          <w:rFonts w:hint="eastAsia" w:ascii="宋体" w:hAnsi="宋体" w:cs="Arial"/>
          <w:bCs/>
          <w:color w:val="auto"/>
          <w:highlight w:val="none"/>
        </w:rPr>
        <w:t>内解决，</w:t>
      </w:r>
      <w:r>
        <w:rPr>
          <w:rFonts w:hint="eastAsia" w:ascii="宋体" w:hAnsi="宋体" w:cs="Arial"/>
          <w:bCs/>
          <w:strike w:val="0"/>
          <w:color w:val="auto"/>
          <w:highlight w:val="none"/>
        </w:rPr>
        <w:t>其它</w:t>
      </w:r>
      <w:r>
        <w:rPr>
          <w:rFonts w:hint="eastAsia" w:ascii="宋体" w:hAnsi="宋体" w:cs="Arial"/>
          <w:bCs/>
          <w:color w:val="auto"/>
          <w:highlight w:val="none"/>
        </w:rPr>
        <w:t>无法迅速解决的问题应在</w:t>
      </w:r>
      <w:r>
        <w:rPr>
          <w:rFonts w:hint="eastAsia" w:ascii="宋体" w:hAnsi="宋体" w:cs="Arial"/>
          <w:bCs/>
          <w:color w:val="auto"/>
          <w:highlight w:val="none"/>
          <w:lang w:val="en-US" w:eastAsia="zh-CN"/>
        </w:rPr>
        <w:t>96小时</w:t>
      </w:r>
      <w:r>
        <w:rPr>
          <w:rFonts w:hint="eastAsia" w:ascii="宋体" w:hAnsi="宋体" w:cs="Arial"/>
          <w:bCs/>
          <w:color w:val="auto"/>
          <w:highlight w:val="none"/>
        </w:rPr>
        <w:t>内解决</w:t>
      </w:r>
      <w:r>
        <w:rPr>
          <w:rFonts w:hint="eastAsia" w:ascii="宋体" w:hAnsi="宋体" w:cs="Arial"/>
          <w:bCs/>
          <w:color w:val="auto"/>
          <w:highlight w:val="none"/>
          <w:lang w:eastAsia="zh-CN"/>
        </w:rPr>
        <w:t>。</w:t>
      </w:r>
      <w:r>
        <w:rPr>
          <w:rFonts w:hint="default" w:ascii="宋体" w:hAnsi="宋体"/>
          <w:color w:val="auto"/>
          <w:sz w:val="21"/>
          <w:szCs w:val="21"/>
          <w:highlight w:val="none"/>
        </w:rPr>
        <w:t>质保期内的货物故障维修均为免费保修。</w:t>
      </w:r>
    </w:p>
    <w:p>
      <w:pPr>
        <w:pStyle w:val="36"/>
        <w:widowControl w:val="0"/>
        <w:spacing w:before="0" w:beforeLines="0" w:after="0" w:afterLines="0" w:afterAutospacing="0"/>
        <w:ind w:left="0" w:right="0" w:firstLine="420" w:firstLineChars="200"/>
        <w:rPr>
          <w:rFonts w:hint="default" w:ascii="宋体" w:hAnsi="宋体"/>
          <w:sz w:val="21"/>
          <w:szCs w:val="21"/>
          <w:highlight w:val="none"/>
        </w:rPr>
      </w:pPr>
      <w:r>
        <w:rPr>
          <w:rFonts w:hint="default" w:ascii="宋体" w:hAnsi="宋体"/>
          <w:color w:val="auto"/>
          <w:sz w:val="21"/>
          <w:szCs w:val="21"/>
          <w:highlight w:val="none"/>
        </w:rPr>
        <w:t>6.若我方因自身原因不能履约签订合同或履行合同的，贵方可取消我方的中选资格，并从后续</w:t>
      </w:r>
      <w:r>
        <w:rPr>
          <w:rFonts w:hint="default" w:ascii="宋体" w:hAnsi="宋体"/>
          <w:sz w:val="21"/>
          <w:szCs w:val="21"/>
          <w:highlight w:val="none"/>
        </w:rPr>
        <w:t>排名的其他候选供应商中依次向上递补确定供应商或重新组织采购，同时贵方有权将我公司列入黑名单。</w:t>
      </w:r>
    </w:p>
    <w:p>
      <w:pPr>
        <w:pStyle w:val="36"/>
        <w:widowControl w:val="0"/>
        <w:spacing w:before="0" w:beforeLines="0" w:after="0" w:afterLines="0" w:afterAutospacing="0"/>
        <w:ind w:left="480" w:right="0" w:firstLine="4200" w:firstLineChars="2000"/>
        <w:rPr>
          <w:rFonts w:hint="default" w:ascii="宋体" w:hAnsi="宋体"/>
          <w:sz w:val="21"/>
          <w:szCs w:val="21"/>
          <w:highlight w:val="none"/>
        </w:rPr>
      </w:pPr>
    </w:p>
    <w:p>
      <w:pPr>
        <w:pStyle w:val="36"/>
        <w:widowControl w:val="0"/>
        <w:spacing w:before="0" w:beforeLines="0" w:after="0" w:afterLines="0" w:afterAutospacing="0"/>
        <w:ind w:left="480" w:right="0" w:firstLine="4200" w:firstLineChars="2000"/>
        <w:rPr>
          <w:rFonts w:hint="default" w:ascii="宋体" w:hAnsi="宋体"/>
          <w:sz w:val="21"/>
          <w:szCs w:val="21"/>
          <w:highlight w:val="none"/>
        </w:rPr>
      </w:pPr>
      <w:r>
        <w:rPr>
          <w:rFonts w:hint="default" w:ascii="宋体" w:hAnsi="宋体"/>
          <w:sz w:val="21"/>
          <w:szCs w:val="21"/>
          <w:highlight w:val="none"/>
        </w:rPr>
        <w:t>联系人:</w:t>
      </w:r>
    </w:p>
    <w:p>
      <w:pPr>
        <w:pStyle w:val="36"/>
        <w:widowControl w:val="0"/>
        <w:spacing w:before="0" w:beforeLines="0" w:after="0" w:afterLines="0" w:afterAutospacing="0"/>
        <w:ind w:left="480" w:right="0" w:firstLine="4200" w:firstLineChars="2000"/>
        <w:rPr>
          <w:rFonts w:hint="default" w:ascii="宋体" w:hAnsi="宋体"/>
          <w:sz w:val="21"/>
          <w:szCs w:val="21"/>
          <w:highlight w:val="none"/>
        </w:rPr>
      </w:pPr>
      <w:r>
        <w:rPr>
          <w:rFonts w:hint="default" w:ascii="宋体" w:hAnsi="宋体"/>
          <w:sz w:val="21"/>
          <w:szCs w:val="21"/>
          <w:highlight w:val="none"/>
        </w:rPr>
        <w:t>联系方式:</w:t>
      </w:r>
    </w:p>
    <w:p>
      <w:pPr>
        <w:pStyle w:val="36"/>
        <w:widowControl w:val="0"/>
        <w:spacing w:before="0" w:beforeLines="0" w:after="0" w:afterLines="0" w:afterAutospacing="0"/>
        <w:ind w:left="480" w:right="0" w:firstLine="4200" w:firstLineChars="2000"/>
        <w:rPr>
          <w:rFonts w:hint="default" w:ascii="宋体" w:hAnsi="宋体"/>
          <w:sz w:val="21"/>
          <w:szCs w:val="21"/>
          <w:highlight w:val="none"/>
        </w:rPr>
      </w:pPr>
      <w:r>
        <w:rPr>
          <w:rFonts w:hint="default" w:ascii="宋体" w:hAnsi="宋体"/>
          <w:sz w:val="21"/>
          <w:szCs w:val="21"/>
          <w:highlight w:val="none"/>
        </w:rPr>
        <w:t>身份证号:</w:t>
      </w:r>
    </w:p>
    <w:p>
      <w:pPr>
        <w:spacing w:before="0" w:beforeLines="0" w:after="0" w:afterLines="0" w:afterAutospacing="0"/>
        <w:ind w:left="0" w:right="0" w:firstLine="4725" w:firstLineChars="2250"/>
        <w:rPr>
          <w:rFonts w:hint="default" w:ascii="宋体" w:hAnsi="宋体" w:eastAsia="宋体"/>
          <w:sz w:val="21"/>
          <w:szCs w:val="21"/>
          <w:highlight w:val="none"/>
        </w:rPr>
      </w:pPr>
      <w:r>
        <w:rPr>
          <w:rFonts w:hint="default" w:ascii="宋体" w:hAnsi="宋体" w:eastAsia="宋体"/>
          <w:sz w:val="21"/>
          <w:szCs w:val="21"/>
          <w:highlight w:val="none"/>
        </w:rPr>
        <w:t>承诺人：</w:t>
      </w:r>
      <w:r>
        <w:rPr>
          <w:rFonts w:hint="default" w:ascii="宋体" w:hAnsi="宋体" w:eastAsia="宋体"/>
          <w:sz w:val="21"/>
          <w:szCs w:val="21"/>
          <w:highlight w:val="none"/>
          <w:u w:val="single"/>
        </w:rPr>
        <w:t>　(比选申请人名称)</w:t>
      </w:r>
      <w:r>
        <w:rPr>
          <w:rFonts w:hint="default" w:ascii="宋体" w:hAnsi="宋体" w:eastAsia="宋体"/>
          <w:sz w:val="21"/>
          <w:szCs w:val="21"/>
          <w:highlight w:val="none"/>
        </w:rPr>
        <w:t>（盖章）</w:t>
      </w:r>
    </w:p>
    <w:p>
      <w:pPr>
        <w:spacing w:before="0" w:after="0" w:afterAutospacing="0"/>
        <w:ind w:left="0" w:right="0" w:firstLine="420" w:firstLineChars="200"/>
        <w:rPr>
          <w:rFonts w:ascii="宋体" w:hAnsi="宋体" w:cs="宋体"/>
          <w:highlight w:val="none"/>
        </w:rPr>
        <w:sectPr>
          <w:pgSz w:w="11905" w:h="16838"/>
          <w:pgMar w:top="1417" w:right="1417" w:bottom="1417" w:left="1417" w:header="454" w:footer="567" w:gutter="0"/>
          <w:cols w:space="720" w:num="1"/>
          <w:docGrid w:linePitch="312" w:charSpace="0"/>
        </w:sectPr>
      </w:pPr>
      <w:r>
        <w:rPr>
          <w:rFonts w:hint="default" w:ascii="宋体" w:hAnsi="宋体" w:eastAsia="宋体"/>
          <w:sz w:val="21"/>
          <w:szCs w:val="21"/>
          <w:highlight w:val="none"/>
        </w:rPr>
        <w:t xml:space="preserve">                                          日期：    年   月   日</w:t>
      </w:r>
    </w:p>
    <w:p>
      <w:pPr>
        <w:jc w:val="center"/>
        <w:outlineLvl w:val="0"/>
        <w:rPr>
          <w:rStyle w:val="41"/>
          <w:rFonts w:ascii="宋体" w:hAnsi="宋体" w:eastAsia="宋体"/>
          <w:highlight w:val="none"/>
        </w:rPr>
      </w:pPr>
      <w:bookmarkStart w:id="1193" w:name="_Toc15815"/>
      <w:bookmarkStart w:id="1194" w:name="_Toc12695"/>
      <w:bookmarkStart w:id="1195" w:name="_Toc25061"/>
      <w:bookmarkStart w:id="1196" w:name="_Toc6337"/>
      <w:bookmarkStart w:id="1197" w:name="_Toc31681"/>
      <w:bookmarkStart w:id="1198" w:name="_Toc16754"/>
      <w:bookmarkStart w:id="1199" w:name="_Toc6454"/>
      <w:bookmarkStart w:id="1200" w:name="_Toc14566"/>
      <w:bookmarkStart w:id="1201" w:name="_Toc5010"/>
      <w:bookmarkStart w:id="1202" w:name="_Toc13941"/>
      <w:bookmarkStart w:id="1203" w:name="_Toc328"/>
      <w:bookmarkStart w:id="1204" w:name="_Toc26409"/>
      <w:bookmarkStart w:id="1205" w:name="_Toc28135"/>
      <w:bookmarkStart w:id="1206" w:name="_Toc20298"/>
      <w:bookmarkStart w:id="1207" w:name="_Toc28535"/>
      <w:bookmarkStart w:id="1208" w:name="_Toc492478835"/>
      <w:bookmarkStart w:id="1209" w:name="_Toc9597"/>
      <w:bookmarkStart w:id="1210" w:name="_Toc25750688"/>
      <w:bookmarkStart w:id="1211" w:name="_Toc30897"/>
      <w:bookmarkStart w:id="1212" w:name="_Toc21321"/>
      <w:r>
        <w:rPr>
          <w:rStyle w:val="41"/>
          <w:rFonts w:hint="eastAsia" w:ascii="宋体" w:hAnsi="宋体" w:eastAsia="宋体"/>
          <w:highlight w:val="none"/>
        </w:rPr>
        <w:t>第五章用户需求书</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Start w:id="1213" w:name="_Toc4091"/>
      <w:bookmarkStart w:id="1214" w:name="_Toc15050599"/>
    </w:p>
    <w:p>
      <w:pPr>
        <w:outlineLvl w:val="1"/>
        <w:rPr>
          <w:rFonts w:ascii="黑体" w:hAnsi="黑体" w:eastAsia="黑体" w:cs="黑体"/>
          <w:b/>
          <w:sz w:val="24"/>
          <w:szCs w:val="24"/>
          <w:highlight w:val="none"/>
        </w:rPr>
      </w:pPr>
      <w:bookmarkStart w:id="1215" w:name="_Toc7487"/>
      <w:r>
        <w:rPr>
          <w:rFonts w:hint="eastAsia" w:ascii="黑体" w:hAnsi="黑体" w:eastAsia="黑体" w:cs="黑体"/>
          <w:b/>
          <w:sz w:val="24"/>
          <w:szCs w:val="24"/>
          <w:highlight w:val="none"/>
        </w:rPr>
        <w:t>1 项目概述</w:t>
      </w:r>
      <w:bookmarkEnd w:id="1213"/>
      <w:bookmarkEnd w:id="1215"/>
    </w:p>
    <w:p>
      <w:pPr>
        <w:outlineLvl w:val="2"/>
        <w:rPr>
          <w:rFonts w:ascii="宋体" w:hAnsi="宋体" w:cs="宋体"/>
          <w:b/>
          <w:highlight w:val="none"/>
        </w:rPr>
      </w:pPr>
      <w:bookmarkStart w:id="1216" w:name="_Toc22420"/>
      <w:bookmarkStart w:id="1217" w:name="_Toc7052"/>
      <w:bookmarkStart w:id="1218" w:name="_Toc32684"/>
      <w:bookmarkStart w:id="1219" w:name="_Toc10534"/>
      <w:bookmarkStart w:id="1220" w:name="_Toc24084"/>
      <w:bookmarkStart w:id="1221" w:name="_Toc5047"/>
      <w:r>
        <w:rPr>
          <w:rFonts w:ascii="宋体" w:hAnsi="宋体" w:cs="宋体"/>
          <w:b/>
          <w:highlight w:val="none"/>
        </w:rPr>
        <w:t>1.1工程概况</w:t>
      </w:r>
      <w:bookmarkEnd w:id="1216"/>
      <w:bookmarkEnd w:id="1217"/>
      <w:bookmarkEnd w:id="1218"/>
      <w:bookmarkEnd w:id="1219"/>
      <w:bookmarkEnd w:id="1220"/>
      <w:bookmarkEnd w:id="1221"/>
    </w:p>
    <w:p>
      <w:pPr>
        <w:ind w:left="0" w:firstLine="420" w:firstLineChars="200"/>
        <w:rPr>
          <w:highlight w:val="none"/>
        </w:rPr>
      </w:pPr>
      <w:bookmarkStart w:id="1222" w:name="_Toc17055"/>
      <w:bookmarkStart w:id="1223" w:name="_Toc534969204"/>
      <w:r>
        <w:rPr>
          <w:rFonts w:ascii="宋体" w:hAnsi="宋体" w:cs="宋体"/>
          <w:highlight w:val="none"/>
        </w:rPr>
        <w:t>南宁轨道交通1号线西起石埠站，东至火车东站截止，线路全长约32.1公里，共设车站25座，均为地下车站，于2016年12月28日全线开通试运营。</w:t>
      </w:r>
    </w:p>
    <w:p>
      <w:pPr>
        <w:outlineLvl w:val="2"/>
        <w:rPr>
          <w:rFonts w:ascii="宋体" w:hAnsi="宋体" w:cs="宋体"/>
          <w:b/>
          <w:highlight w:val="none"/>
        </w:rPr>
      </w:pPr>
      <w:bookmarkStart w:id="1224" w:name="_Toc7839"/>
      <w:bookmarkStart w:id="1225" w:name="_Toc4270"/>
      <w:bookmarkStart w:id="1226" w:name="_Toc12894"/>
      <w:bookmarkStart w:id="1227" w:name="_Toc2236"/>
      <w:bookmarkStart w:id="1228" w:name="_Toc25736"/>
      <w:bookmarkStart w:id="1229" w:name="_Toc8116"/>
      <w:r>
        <w:rPr>
          <w:rFonts w:ascii="宋体" w:hAnsi="宋体" w:cs="宋体"/>
          <w:b/>
          <w:highlight w:val="none"/>
        </w:rPr>
        <w:t>1.2项目概况</w:t>
      </w:r>
      <w:bookmarkEnd w:id="1224"/>
      <w:bookmarkEnd w:id="1225"/>
      <w:bookmarkEnd w:id="1226"/>
      <w:bookmarkEnd w:id="1227"/>
      <w:bookmarkEnd w:id="1228"/>
      <w:bookmarkEnd w:id="1229"/>
    </w:p>
    <w:p>
      <w:pPr>
        <w:ind w:left="0" w:firstLine="420" w:firstLineChars="200"/>
        <w:rPr>
          <w:rFonts w:ascii="宋体" w:hAnsi="宋体" w:cs="宋体"/>
          <w:b/>
          <w:highlight w:val="none"/>
        </w:rPr>
      </w:pPr>
      <w:bookmarkStart w:id="1230" w:name="_Toc5064"/>
      <w:bookmarkStart w:id="1231" w:name="_Toc22998"/>
      <w:bookmarkStart w:id="1232" w:name="_Toc978"/>
      <w:bookmarkStart w:id="1233" w:name="_Toc3643"/>
      <w:bookmarkStart w:id="1234" w:name="_Toc14559"/>
      <w:bookmarkStart w:id="1235" w:name="_Toc26352"/>
      <w:bookmarkStart w:id="1236" w:name="_Toc12823"/>
      <w:bookmarkStart w:id="1237" w:name="_Toc20057"/>
      <w:bookmarkStart w:id="1238" w:name="_Toc14867"/>
      <w:bookmarkStart w:id="1239" w:name="_Toc11456"/>
      <w:bookmarkStart w:id="1240" w:name="_Toc22576"/>
      <w:bookmarkStart w:id="1241" w:name="_Toc9647"/>
      <w:bookmarkStart w:id="1242" w:name="_Toc26624"/>
      <w:bookmarkStart w:id="1243" w:name="_Toc20832"/>
      <w:bookmarkStart w:id="1244" w:name="_Toc19117"/>
      <w:r>
        <w:rPr>
          <w:rFonts w:ascii="宋体" w:hAnsi="宋体"/>
          <w:highlight w:val="none"/>
        </w:rPr>
        <w:t>南宁轨道交通1号线麻村站至石埠站卫生间蹲便感应式冲洗阀设备技术改造项目</w:t>
      </w:r>
      <w:r>
        <w:rPr>
          <w:rFonts w:ascii="宋体"/>
          <w:highlight w:val="none"/>
        </w:rPr>
        <w:t>是将</w:t>
      </w:r>
      <w:r>
        <w:rPr>
          <w:rFonts w:ascii="宋体" w:hAnsi="宋体" w:cs="宋体"/>
          <w:highlight w:val="none"/>
        </w:rPr>
        <w:t>南宁轨道交通1号线石埠站至麻村站（不含南职院站、民族大学站、白苍岭站、新民路站）11个站的156套卫生间蹲便感应式冲洗阀改造为脚踏式冲水阀。</w:t>
      </w:r>
    </w:p>
    <w:p>
      <w:pPr>
        <w:ind w:left="0" w:firstLine="0"/>
        <w:outlineLvl w:val="2"/>
        <w:rPr>
          <w:rFonts w:ascii="宋体" w:hAnsi="宋体" w:cs="宋体"/>
          <w:b/>
          <w:highlight w:val="none"/>
        </w:rPr>
      </w:pPr>
      <w:bookmarkStart w:id="1245" w:name="_Toc15445"/>
      <w:bookmarkStart w:id="1246" w:name="_Toc13213"/>
      <w:bookmarkStart w:id="1247" w:name="_Toc10153"/>
      <w:bookmarkStart w:id="1248" w:name="_Toc12566"/>
      <w:r>
        <w:rPr>
          <w:rFonts w:ascii="宋体" w:hAnsi="宋体" w:cs="宋体"/>
          <w:b/>
          <w:highlight w:val="none"/>
        </w:rPr>
        <w:t>1.</w:t>
      </w:r>
      <w:bookmarkEnd w:id="1222"/>
      <w:bookmarkEnd w:id="1223"/>
      <w:r>
        <w:rPr>
          <w:rFonts w:ascii="宋体" w:hAnsi="宋体" w:cs="宋体"/>
          <w:b/>
          <w:highlight w:val="none"/>
        </w:rPr>
        <w:t>3甲方及</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r>
        <w:rPr>
          <w:rFonts w:ascii="宋体" w:hAnsi="宋体" w:cs="宋体"/>
          <w:b/>
          <w:highlight w:val="none"/>
        </w:rPr>
        <w:t>乙方</w:t>
      </w:r>
      <w:bookmarkEnd w:id="1247"/>
      <w:bookmarkEnd w:id="1248"/>
    </w:p>
    <w:p>
      <w:pPr>
        <w:ind w:left="705" w:leftChars="200" w:hanging="285" w:hangingChars="136"/>
        <w:rPr>
          <w:rFonts w:ascii="宋体" w:hAnsi="宋体" w:cs="宋体"/>
          <w:highlight w:val="none"/>
        </w:rPr>
      </w:pPr>
      <w:r>
        <w:rPr>
          <w:rFonts w:ascii="宋体" w:hAnsi="宋体" w:cs="宋体"/>
          <w:highlight w:val="none"/>
        </w:rPr>
        <w:t>甲方：</w:t>
      </w:r>
      <w:r>
        <w:rPr>
          <w:rFonts w:ascii="宋体" w:hAnsi="宋体"/>
          <w:highlight w:val="none"/>
        </w:rPr>
        <w:t>南宁轨道交通运营有限公司</w:t>
      </w:r>
      <w:r>
        <w:rPr>
          <w:rFonts w:ascii="宋体" w:hAnsi="宋体" w:cs="宋体"/>
          <w:highlight w:val="none"/>
        </w:rPr>
        <w:t>。</w:t>
      </w:r>
    </w:p>
    <w:p>
      <w:pPr>
        <w:ind w:left="705" w:leftChars="200" w:hanging="285" w:hangingChars="136"/>
        <w:rPr>
          <w:rFonts w:ascii="宋体" w:hAnsi="宋体" w:cs="宋体"/>
          <w:highlight w:val="none"/>
        </w:rPr>
      </w:pPr>
      <w:r>
        <w:rPr>
          <w:rFonts w:ascii="宋体" w:hAnsi="宋体" w:cs="宋体"/>
          <w:highlight w:val="none"/>
        </w:rPr>
        <w:t>乙方：</w:t>
      </w:r>
      <w:r>
        <w:rPr>
          <w:rFonts w:ascii="宋体" w:hAnsi="宋体"/>
          <w:highlight w:val="none"/>
        </w:rPr>
        <w:t>响应比选、参加比选竞争的法人</w:t>
      </w:r>
      <w:r>
        <w:rPr>
          <w:rFonts w:ascii="宋体" w:hAnsi="宋体" w:cs="宋体"/>
          <w:highlight w:val="none"/>
        </w:rPr>
        <w:t>或组织。</w:t>
      </w:r>
    </w:p>
    <w:p>
      <w:pPr>
        <w:outlineLvl w:val="1"/>
        <w:rPr>
          <w:rFonts w:ascii="宋体" w:hAnsi="宋体" w:eastAsia="黑体" w:cs="宋体"/>
          <w:b/>
          <w:sz w:val="24"/>
          <w:szCs w:val="44"/>
          <w:highlight w:val="none"/>
        </w:rPr>
      </w:pPr>
      <w:bookmarkStart w:id="1249" w:name="_Toc11746"/>
      <w:bookmarkStart w:id="1250" w:name="_Toc481482229"/>
      <w:bookmarkStart w:id="1251" w:name="_Toc27658"/>
      <w:bookmarkStart w:id="1252" w:name="_Toc312"/>
      <w:bookmarkStart w:id="1253" w:name="_Toc497122885"/>
      <w:bookmarkStart w:id="1254" w:name="_Toc7166"/>
      <w:bookmarkStart w:id="1255" w:name="_Toc23"/>
      <w:bookmarkStart w:id="1256" w:name="_Toc534969205"/>
      <w:bookmarkStart w:id="1257" w:name="_Toc21285"/>
      <w:bookmarkStart w:id="1258" w:name="_Toc28947"/>
      <w:bookmarkStart w:id="1259" w:name="_Toc467076702"/>
      <w:bookmarkStart w:id="1260" w:name="_Toc24890"/>
      <w:bookmarkStart w:id="1261" w:name="_Toc481565831"/>
      <w:bookmarkStart w:id="1262" w:name="_Toc377652889"/>
      <w:bookmarkStart w:id="1263" w:name="_Toc13298"/>
      <w:bookmarkStart w:id="1264" w:name="_Toc6126"/>
      <w:bookmarkStart w:id="1265" w:name="_Toc1959"/>
      <w:bookmarkStart w:id="1266" w:name="_Toc22375"/>
      <w:bookmarkStart w:id="1267" w:name="_Toc26008"/>
      <w:bookmarkStart w:id="1268" w:name="_Toc13920"/>
      <w:bookmarkStart w:id="1269" w:name="_Toc13047"/>
      <w:bookmarkStart w:id="1270" w:name="_Toc32247"/>
      <w:bookmarkStart w:id="1271" w:name="_Toc427229175"/>
      <w:bookmarkStart w:id="1272" w:name="_Toc4536"/>
      <w:bookmarkStart w:id="1273" w:name="_Toc18844"/>
      <w:bookmarkStart w:id="1274" w:name="_Toc31269"/>
      <w:bookmarkStart w:id="1275" w:name="_Toc23852"/>
      <w:bookmarkStart w:id="1276" w:name="_Toc22973"/>
      <w:bookmarkStart w:id="1277" w:name="_Toc28304"/>
      <w:bookmarkStart w:id="1278" w:name="_Toc10879"/>
      <w:r>
        <w:rPr>
          <w:rFonts w:hint="eastAsia" w:ascii="黑体" w:hAnsi="黑体" w:eastAsia="黑体" w:cs="黑体"/>
          <w:b/>
          <w:sz w:val="24"/>
          <w:szCs w:val="24"/>
          <w:highlight w:val="none"/>
        </w:rPr>
        <w:t>2项目范围</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r>
        <w:rPr>
          <w:rFonts w:hint="eastAsia" w:ascii="黑体" w:hAnsi="黑体" w:eastAsia="黑体" w:cs="黑体"/>
          <w:b/>
          <w:sz w:val="24"/>
          <w:szCs w:val="24"/>
          <w:highlight w:val="none"/>
        </w:rPr>
        <w:t>、内容及要求</w:t>
      </w:r>
      <w:bookmarkEnd w:id="1272"/>
      <w:bookmarkEnd w:id="1273"/>
      <w:bookmarkEnd w:id="1274"/>
      <w:bookmarkEnd w:id="1275"/>
      <w:bookmarkEnd w:id="1276"/>
      <w:bookmarkEnd w:id="1277"/>
      <w:bookmarkEnd w:id="1278"/>
    </w:p>
    <w:p>
      <w:pPr>
        <w:outlineLvl w:val="2"/>
        <w:rPr>
          <w:rFonts w:ascii="宋体" w:hAnsi="宋体" w:cs="宋体"/>
          <w:b/>
          <w:highlight w:val="none"/>
        </w:rPr>
      </w:pPr>
      <w:bookmarkStart w:id="1279" w:name="_Toc15666"/>
      <w:bookmarkStart w:id="1280" w:name="_Toc27312"/>
      <w:bookmarkStart w:id="1281" w:name="_Toc932"/>
      <w:bookmarkStart w:id="1282" w:name="_Toc24256"/>
      <w:bookmarkStart w:id="1283" w:name="_Toc8063"/>
      <w:bookmarkStart w:id="1284" w:name="_Toc11868"/>
      <w:bookmarkStart w:id="1285" w:name="_Toc31091"/>
      <w:bookmarkStart w:id="1286" w:name="_Toc30395"/>
      <w:bookmarkStart w:id="1287" w:name="_Toc882"/>
      <w:bookmarkStart w:id="1288" w:name="_Toc119"/>
      <w:r>
        <w:rPr>
          <w:rFonts w:ascii="宋体" w:hAnsi="宋体" w:cs="宋体"/>
          <w:b/>
          <w:highlight w:val="none"/>
        </w:rPr>
        <w:t>2.1项目名称</w:t>
      </w:r>
      <w:bookmarkEnd w:id="1279"/>
      <w:bookmarkEnd w:id="1280"/>
      <w:bookmarkEnd w:id="1281"/>
      <w:bookmarkEnd w:id="1282"/>
      <w:bookmarkEnd w:id="1283"/>
      <w:bookmarkEnd w:id="1284"/>
      <w:bookmarkEnd w:id="1285"/>
      <w:bookmarkEnd w:id="1286"/>
      <w:bookmarkEnd w:id="1287"/>
      <w:bookmarkEnd w:id="1288"/>
    </w:p>
    <w:p>
      <w:pPr>
        <w:ind w:left="705" w:leftChars="200" w:hanging="285" w:hangingChars="136"/>
        <w:rPr>
          <w:rFonts w:ascii="宋体" w:hAnsi="宋体"/>
          <w:highlight w:val="none"/>
        </w:rPr>
      </w:pPr>
      <w:r>
        <w:rPr>
          <w:rFonts w:ascii="宋体" w:hAnsi="宋体"/>
          <w:highlight w:val="none"/>
        </w:rPr>
        <w:t>南宁轨道交通1号线麻村站至石埠站卫生间蹲便感应式冲洗阀设备技术改造项目</w:t>
      </w:r>
    </w:p>
    <w:p>
      <w:pPr>
        <w:outlineLvl w:val="2"/>
        <w:rPr>
          <w:rFonts w:ascii="宋体" w:hAnsi="宋体" w:cs="宋体"/>
          <w:b/>
          <w:highlight w:val="none"/>
        </w:rPr>
      </w:pPr>
      <w:bookmarkStart w:id="1289" w:name="_Toc3800"/>
      <w:bookmarkStart w:id="1290" w:name="_Toc22274"/>
      <w:bookmarkStart w:id="1291" w:name="_Toc26081"/>
      <w:bookmarkStart w:id="1292" w:name="_Toc24002"/>
      <w:bookmarkStart w:id="1293" w:name="_Toc8939"/>
      <w:bookmarkStart w:id="1294" w:name="_Toc29077"/>
      <w:bookmarkStart w:id="1295" w:name="_Toc23418"/>
      <w:bookmarkStart w:id="1296" w:name="_Toc7843"/>
      <w:bookmarkStart w:id="1297" w:name="_Toc18675"/>
      <w:bookmarkStart w:id="1298" w:name="_Toc26468"/>
      <w:r>
        <w:rPr>
          <w:rFonts w:ascii="宋体" w:hAnsi="宋体" w:cs="宋体"/>
          <w:b/>
          <w:highlight w:val="none"/>
        </w:rPr>
        <w:t>2.2</w:t>
      </w:r>
      <w:bookmarkEnd w:id="1289"/>
      <w:bookmarkEnd w:id="1290"/>
      <w:bookmarkEnd w:id="1291"/>
      <w:bookmarkEnd w:id="1292"/>
      <w:bookmarkEnd w:id="1293"/>
      <w:bookmarkEnd w:id="1294"/>
      <w:bookmarkEnd w:id="1295"/>
      <w:bookmarkEnd w:id="1296"/>
      <w:r>
        <w:rPr>
          <w:rFonts w:ascii="宋体" w:hAnsi="宋体" w:cs="宋体"/>
          <w:b/>
          <w:highlight w:val="none"/>
        </w:rPr>
        <w:t>计划工期</w:t>
      </w:r>
      <w:bookmarkEnd w:id="1297"/>
      <w:bookmarkEnd w:id="1298"/>
    </w:p>
    <w:p>
      <w:pPr>
        <w:ind w:left="0" w:firstLine="420" w:firstLineChars="200"/>
        <w:rPr>
          <w:rFonts w:ascii="宋体" w:hAnsi="宋体"/>
          <w:highlight w:val="none"/>
        </w:rPr>
      </w:pPr>
      <w:r>
        <w:rPr>
          <w:rFonts w:ascii="宋体" w:hAnsi="宋体"/>
          <w:highlight w:val="none"/>
        </w:rPr>
        <w:t>202</w:t>
      </w:r>
      <w:r>
        <w:rPr>
          <w:rFonts w:hint="eastAsia" w:ascii="宋体" w:hAnsi="宋体"/>
          <w:highlight w:val="none"/>
          <w:lang w:val="en-US" w:eastAsia="zh-CN"/>
        </w:rPr>
        <w:t>3</w:t>
      </w:r>
      <w:r>
        <w:rPr>
          <w:rFonts w:ascii="宋体" w:hAnsi="宋体"/>
          <w:highlight w:val="none"/>
        </w:rPr>
        <w:t>年</w:t>
      </w:r>
      <w:r>
        <w:rPr>
          <w:rFonts w:hint="eastAsia" w:ascii="宋体" w:hAnsi="宋体"/>
          <w:highlight w:val="none"/>
          <w:lang w:val="en-US" w:eastAsia="zh-CN"/>
        </w:rPr>
        <w:t>1</w:t>
      </w:r>
      <w:r>
        <w:rPr>
          <w:rFonts w:ascii="宋体" w:hAnsi="宋体"/>
          <w:highlight w:val="none"/>
        </w:rPr>
        <w:t>月15日至2023年</w:t>
      </w:r>
      <w:r>
        <w:rPr>
          <w:rFonts w:hint="eastAsia" w:ascii="宋体" w:hAnsi="宋体"/>
          <w:highlight w:val="none"/>
          <w:lang w:val="en-US" w:eastAsia="zh-CN"/>
        </w:rPr>
        <w:t>4</w:t>
      </w:r>
      <w:r>
        <w:rPr>
          <w:rFonts w:ascii="宋体" w:hAnsi="宋体"/>
          <w:highlight w:val="none"/>
        </w:rPr>
        <w:t>月13日（90天，如遇特殊情况或极端天气则工期顺延），具体开工日期以甲方开工令发布时间为准。</w:t>
      </w:r>
    </w:p>
    <w:p>
      <w:pPr>
        <w:outlineLvl w:val="2"/>
        <w:rPr>
          <w:rFonts w:ascii="宋体" w:hAnsi="宋体" w:cs="宋体"/>
          <w:b/>
          <w:highlight w:val="none"/>
        </w:rPr>
      </w:pPr>
      <w:bookmarkStart w:id="1299" w:name="_Toc2030"/>
      <w:bookmarkStart w:id="1300" w:name="_Toc20944"/>
      <w:bookmarkStart w:id="1301" w:name="_Toc19581"/>
      <w:bookmarkStart w:id="1302" w:name="_Toc21119"/>
      <w:bookmarkStart w:id="1303" w:name="_Toc2612"/>
      <w:r>
        <w:rPr>
          <w:rFonts w:ascii="宋体" w:hAnsi="宋体" w:cs="宋体"/>
          <w:b/>
          <w:highlight w:val="none"/>
        </w:rPr>
        <w:t>2.3项目地点</w:t>
      </w:r>
      <w:bookmarkEnd w:id="1299"/>
      <w:bookmarkEnd w:id="1300"/>
      <w:bookmarkEnd w:id="1301"/>
      <w:bookmarkEnd w:id="1302"/>
      <w:bookmarkEnd w:id="1303"/>
    </w:p>
    <w:p>
      <w:pPr>
        <w:ind w:left="0" w:firstLine="420" w:firstLineChars="200"/>
        <w:rPr>
          <w:rFonts w:ascii="宋体" w:hAnsi="宋体"/>
          <w:highlight w:val="none"/>
        </w:rPr>
      </w:pPr>
      <w:bookmarkStart w:id="1304" w:name="_Toc12152"/>
      <w:bookmarkStart w:id="1305" w:name="_Toc26755"/>
      <w:bookmarkStart w:id="1306" w:name="_Toc24308"/>
      <w:bookmarkStart w:id="1307" w:name="_Toc2252"/>
      <w:bookmarkStart w:id="1308" w:name="_Toc6"/>
      <w:bookmarkStart w:id="1309" w:name="_Toc21488"/>
      <w:r>
        <w:rPr>
          <w:rFonts w:ascii="宋体" w:hAnsi="宋体" w:cs="宋体"/>
          <w:highlight w:val="none"/>
        </w:rPr>
        <w:t>南宁轨道</w:t>
      </w:r>
      <w:r>
        <w:rPr>
          <w:rFonts w:ascii="宋体" w:hAnsi="宋体"/>
          <w:highlight w:val="none"/>
        </w:rPr>
        <w:t>交通</w:t>
      </w:r>
      <w:r>
        <w:rPr>
          <w:rFonts w:ascii="宋体" w:hAnsi="宋体" w:cs="宋体"/>
          <w:highlight w:val="none"/>
        </w:rPr>
        <w:t>1号线石埠站、鹏飞路站、西乡塘客运站、清川站、动物园站、鲁班路站、广西大学站、火车站、朝阳广场站、民族广场站、麻村站共计11个站点公共区、设备区卫生间</w:t>
      </w:r>
      <w:r>
        <w:rPr>
          <w:rFonts w:ascii="宋体" w:hAnsi="宋体"/>
          <w:highlight w:val="none"/>
        </w:rPr>
        <w:t>。</w:t>
      </w:r>
    </w:p>
    <w:p>
      <w:pPr>
        <w:outlineLvl w:val="2"/>
        <w:rPr>
          <w:rFonts w:ascii="宋体" w:hAnsi="宋体" w:cs="宋体"/>
          <w:b/>
          <w:highlight w:val="none"/>
        </w:rPr>
      </w:pPr>
      <w:bookmarkStart w:id="1310" w:name="_Toc9405"/>
      <w:r>
        <w:rPr>
          <w:rFonts w:ascii="宋体" w:hAnsi="宋体" w:cs="宋体"/>
          <w:b/>
          <w:highlight w:val="none"/>
        </w:rPr>
        <w:t>2.4项目需求及改造内容</w:t>
      </w:r>
      <w:bookmarkEnd w:id="1304"/>
      <w:bookmarkEnd w:id="1305"/>
      <w:bookmarkEnd w:id="1306"/>
      <w:bookmarkEnd w:id="1307"/>
      <w:bookmarkEnd w:id="1308"/>
      <w:bookmarkEnd w:id="1309"/>
      <w:bookmarkEnd w:id="1310"/>
    </w:p>
    <w:p>
      <w:pPr>
        <w:spacing w:before="0" w:after="0" w:afterAutospacing="0"/>
        <w:ind w:left="0" w:right="0" w:firstLine="420" w:firstLineChars="200"/>
        <w:outlineLvl w:val="3"/>
        <w:rPr>
          <w:rFonts w:ascii="宋体" w:hAnsi="宋体" w:cs="宋体"/>
          <w:kern w:val="2"/>
          <w:highlight w:val="none"/>
        </w:rPr>
      </w:pPr>
      <w:bookmarkStart w:id="1311" w:name="_Toc8867"/>
      <w:bookmarkStart w:id="1312" w:name="_Toc24739"/>
      <w:r>
        <w:rPr>
          <w:rFonts w:ascii="宋体" w:hAnsi="宋体" w:cs="宋体"/>
          <w:kern w:val="2"/>
          <w:highlight w:val="none"/>
        </w:rPr>
        <w:t>2.4.1项目需求</w:t>
      </w:r>
      <w:bookmarkEnd w:id="1311"/>
      <w:bookmarkEnd w:id="1312"/>
    </w:p>
    <w:p>
      <w:pPr>
        <w:spacing w:before="0" w:after="0" w:afterAutospacing="0"/>
        <w:ind w:left="0" w:right="0" w:firstLine="420" w:firstLineChars="200"/>
        <w:rPr>
          <w:rFonts w:ascii="宋体" w:hAnsi="宋体" w:cs="宋体"/>
          <w:kern w:val="2"/>
          <w:highlight w:val="none"/>
        </w:rPr>
      </w:pPr>
      <w:r>
        <w:rPr>
          <w:rFonts w:ascii="宋体" w:hAnsi="宋体" w:cs="宋体"/>
          <w:highlight w:val="none"/>
        </w:rPr>
        <w:t>将南宁轨道</w:t>
      </w:r>
      <w:r>
        <w:rPr>
          <w:rFonts w:ascii="宋体" w:hAnsi="宋体"/>
          <w:highlight w:val="none"/>
        </w:rPr>
        <w:t>交通</w:t>
      </w:r>
      <w:r>
        <w:rPr>
          <w:rFonts w:ascii="宋体" w:hAnsi="宋体" w:cs="宋体"/>
          <w:highlight w:val="none"/>
        </w:rPr>
        <w:t>1号线石埠站、鹏飞路站、西乡塘客运站、清川站、动物园站、鲁班路站、广西大学站、火车站、朝阳广场站、民族广场站、麻村站共计11个站点公共区、设备区卫生间蹲便感应式冲洗阀改造为材料及维修成本更低、故障率更低且更耐用的脚踏式冲水阀</w:t>
      </w:r>
      <w:r>
        <w:rPr>
          <w:rFonts w:ascii="宋体" w:hAnsi="宋体" w:cs="宋体"/>
          <w:kern w:val="2"/>
          <w:highlight w:val="none"/>
        </w:rPr>
        <w:t>。各站点公共区、设备区蹲位改造数量及计划工期，详见表2.4.1-1：</w:t>
      </w:r>
    </w:p>
    <w:p>
      <w:pPr>
        <w:pStyle w:val="12"/>
        <w:spacing w:line="240" w:lineRule="auto"/>
        <w:jc w:val="center"/>
        <w:rPr>
          <w:highlight w:val="none"/>
        </w:rPr>
      </w:pPr>
      <w:r>
        <w:rPr>
          <w:rFonts w:hAnsi="宋体"/>
          <w:kern w:val="2"/>
          <w:szCs w:val="21"/>
          <w:highlight w:val="none"/>
        </w:rPr>
        <w:t>表2.4.1-1 各站点公共区、设备区蹲位改造数量及计划工期</w:t>
      </w:r>
    </w:p>
    <w:tbl>
      <w:tblPr>
        <w:tblStyle w:val="27"/>
        <w:tblW w:w="8209" w:type="dxa"/>
        <w:tblInd w:w="91" w:type="dxa"/>
        <w:tblLayout w:type="fixed"/>
        <w:tblCellMar>
          <w:top w:w="0" w:type="dxa"/>
          <w:left w:w="108" w:type="dxa"/>
          <w:bottom w:w="0" w:type="dxa"/>
          <w:right w:w="108" w:type="dxa"/>
        </w:tblCellMar>
      </w:tblPr>
      <w:tblGrid>
        <w:gridCol w:w="2156"/>
        <w:gridCol w:w="1078"/>
        <w:gridCol w:w="1078"/>
        <w:gridCol w:w="1078"/>
        <w:gridCol w:w="1078"/>
        <w:gridCol w:w="856"/>
        <w:gridCol w:w="885"/>
      </w:tblGrid>
      <w:tr>
        <w:tblPrEx>
          <w:tblCellMar>
            <w:top w:w="0" w:type="dxa"/>
            <w:left w:w="108" w:type="dxa"/>
            <w:bottom w:w="0" w:type="dxa"/>
            <w:right w:w="108" w:type="dxa"/>
          </w:tblCellMar>
        </w:tblPrEx>
        <w:trPr>
          <w:trHeight w:val="460" w:hRule="atLeast"/>
        </w:trPr>
        <w:tc>
          <w:tcPr>
            <w:tcW w:w="2156" w:type="dxa"/>
            <w:vMerge w:val="restart"/>
            <w:tcBorders>
              <w:top w:val="single" w:color="000000" w:sz="4" w:space="0"/>
              <w:left w:val="single" w:color="000000" w:sz="4" w:space="0"/>
              <w:bottom w:val="nil"/>
              <w:right w:val="single" w:color="000000" w:sz="4" w:space="0"/>
              <w:tl2br w:val="nil"/>
              <w:tr2bl w:val="nil"/>
            </w:tcBorders>
            <w:noWrap/>
            <w:vAlign w:val="center"/>
          </w:tcPr>
          <w:p>
            <w:pPr>
              <w:spacing w:line="240" w:lineRule="auto"/>
              <w:jc w:val="center"/>
              <w:textAlignment w:val="center"/>
              <w:rPr>
                <w:rFonts w:ascii="宋体" w:hAnsi="宋体" w:cs="宋体"/>
                <w:color w:val="000000"/>
                <w:sz w:val="20"/>
                <w:szCs w:val="20"/>
                <w:highlight w:val="none"/>
                <w:lang w:bidi="ar"/>
              </w:rPr>
            </w:pPr>
            <w:r>
              <w:rPr>
                <w:rFonts w:ascii="宋体" w:hAnsi="宋体" w:cs="宋体"/>
                <w:color w:val="000000"/>
                <w:sz w:val="20"/>
                <w:szCs w:val="20"/>
                <w:highlight w:val="none"/>
                <w:lang w:bidi="ar"/>
              </w:rPr>
              <w:t>站点</w:t>
            </w:r>
          </w:p>
        </w:tc>
        <w:tc>
          <w:tcPr>
            <w:tcW w:w="2156"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站厅层蹲位数量</w:t>
            </w:r>
          </w:p>
        </w:tc>
        <w:tc>
          <w:tcPr>
            <w:tcW w:w="2156"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站台层蹲位数量</w:t>
            </w:r>
          </w:p>
        </w:tc>
        <w:tc>
          <w:tcPr>
            <w:tcW w:w="856"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ind w:left="0" w:firstLine="0"/>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改造数量</w:t>
            </w:r>
          </w:p>
        </w:tc>
        <w:tc>
          <w:tcPr>
            <w:tcW w:w="885" w:type="dxa"/>
            <w:vMerge w:val="restart"/>
            <w:tcBorders>
              <w:top w:val="single" w:color="000000" w:sz="4" w:space="0"/>
              <w:left w:val="single" w:color="000000" w:sz="4" w:space="0"/>
              <w:bottom w:val="nil"/>
              <w:right w:val="single" w:color="000000" w:sz="4" w:space="0"/>
              <w:tl2br w:val="nil"/>
              <w:tr2bl w:val="nil"/>
            </w:tcBorders>
            <w:noWrap/>
            <w:vAlign w:val="center"/>
          </w:tcPr>
          <w:p>
            <w:pPr>
              <w:spacing w:line="240" w:lineRule="auto"/>
              <w:ind w:left="0" w:firstLine="0"/>
              <w:jc w:val="center"/>
              <w:textAlignment w:val="center"/>
              <w:rPr>
                <w:rFonts w:ascii="宋体" w:hAnsi="宋体" w:cs="宋体"/>
                <w:color w:val="000000"/>
                <w:sz w:val="18"/>
                <w:szCs w:val="18"/>
                <w:highlight w:val="none"/>
                <w:lang w:bidi="ar"/>
              </w:rPr>
            </w:pPr>
            <w:r>
              <w:rPr>
                <w:rFonts w:ascii="宋体" w:hAnsi="宋体" w:cs="宋体"/>
                <w:color w:val="000000"/>
                <w:sz w:val="18"/>
                <w:szCs w:val="18"/>
                <w:highlight w:val="none"/>
                <w:lang w:bidi="ar"/>
              </w:rPr>
              <w:t>计划工期（天）</w:t>
            </w:r>
          </w:p>
        </w:tc>
      </w:tr>
      <w:tr>
        <w:tblPrEx>
          <w:tblCellMar>
            <w:top w:w="0" w:type="dxa"/>
            <w:left w:w="108" w:type="dxa"/>
            <w:bottom w:w="0" w:type="dxa"/>
            <w:right w:w="108" w:type="dxa"/>
          </w:tblCellMar>
        </w:tblPrEx>
        <w:trPr>
          <w:trHeight w:val="360" w:hRule="atLeast"/>
        </w:trPr>
        <w:tc>
          <w:tcPr>
            <w:tcW w:w="2156" w:type="dxa"/>
            <w:vMerge w:val="continue"/>
            <w:tcBorders>
              <w:top w:val="nil"/>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lang w:bidi="ar"/>
              </w:rPr>
            </w:pPr>
          </w:p>
        </w:tc>
        <w:tc>
          <w:tcPr>
            <w:tcW w:w="1078"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男卫</w:t>
            </w:r>
          </w:p>
        </w:tc>
        <w:tc>
          <w:tcPr>
            <w:tcW w:w="1078"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女卫</w:t>
            </w:r>
          </w:p>
        </w:tc>
        <w:tc>
          <w:tcPr>
            <w:tcW w:w="1078"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男卫</w:t>
            </w:r>
          </w:p>
        </w:tc>
        <w:tc>
          <w:tcPr>
            <w:tcW w:w="1078"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女卫</w:t>
            </w:r>
          </w:p>
        </w:tc>
        <w:tc>
          <w:tcPr>
            <w:tcW w:w="856"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color w:val="000000"/>
                <w:sz w:val="18"/>
                <w:szCs w:val="18"/>
                <w:highlight w:val="none"/>
              </w:rPr>
            </w:pPr>
          </w:p>
        </w:tc>
        <w:tc>
          <w:tcPr>
            <w:tcW w:w="885" w:type="dxa"/>
            <w:vMerge w:val="continue"/>
            <w:tcBorders>
              <w:top w:val="nil"/>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color w:val="000000"/>
                <w:sz w:val="18"/>
                <w:szCs w:val="18"/>
                <w:highlight w:val="none"/>
              </w:rPr>
            </w:pPr>
          </w:p>
        </w:tc>
      </w:tr>
      <w:tr>
        <w:tblPrEx>
          <w:tblCellMar>
            <w:top w:w="0" w:type="dxa"/>
            <w:left w:w="108" w:type="dxa"/>
            <w:bottom w:w="0" w:type="dxa"/>
            <w:right w:w="108" w:type="dxa"/>
          </w:tblCellMar>
        </w:tblPrEx>
        <w:trPr>
          <w:trHeight w:val="454" w:hRule="exact"/>
        </w:trPr>
        <w:tc>
          <w:tcPr>
            <w:tcW w:w="2156"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石埠站</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1</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1</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6</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8</w:t>
            </w:r>
          </w:p>
        </w:tc>
        <w:tc>
          <w:tcPr>
            <w:tcW w:w="856"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16</w:t>
            </w:r>
          </w:p>
        </w:tc>
        <w:tc>
          <w:tcPr>
            <w:tcW w:w="88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lang w:bidi="ar"/>
              </w:rPr>
            </w:pPr>
            <w:r>
              <w:rPr>
                <w:rFonts w:ascii="宋体" w:hAnsi="宋体" w:cs="宋体"/>
                <w:color w:val="000000"/>
                <w:sz w:val="18"/>
                <w:szCs w:val="18"/>
                <w:highlight w:val="none"/>
                <w:lang w:bidi="ar"/>
              </w:rPr>
              <w:t>9</w:t>
            </w:r>
          </w:p>
        </w:tc>
      </w:tr>
      <w:tr>
        <w:tblPrEx>
          <w:tblCellMar>
            <w:top w:w="0" w:type="dxa"/>
            <w:left w:w="108" w:type="dxa"/>
            <w:bottom w:w="0" w:type="dxa"/>
            <w:right w:w="108" w:type="dxa"/>
          </w:tblCellMar>
        </w:tblPrEx>
        <w:trPr>
          <w:trHeight w:val="454" w:hRule="exact"/>
        </w:trPr>
        <w:tc>
          <w:tcPr>
            <w:tcW w:w="2156"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鹏飞路站</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1</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2</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2</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4</w:t>
            </w:r>
          </w:p>
        </w:tc>
        <w:tc>
          <w:tcPr>
            <w:tcW w:w="856"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9</w:t>
            </w:r>
          </w:p>
        </w:tc>
        <w:tc>
          <w:tcPr>
            <w:tcW w:w="88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lang w:bidi="ar"/>
              </w:rPr>
            </w:pPr>
            <w:r>
              <w:rPr>
                <w:rFonts w:ascii="宋体" w:hAnsi="宋体" w:cs="宋体"/>
                <w:color w:val="000000"/>
                <w:sz w:val="18"/>
                <w:szCs w:val="18"/>
                <w:highlight w:val="none"/>
                <w:lang w:bidi="ar"/>
              </w:rPr>
              <w:t>5</w:t>
            </w:r>
          </w:p>
        </w:tc>
      </w:tr>
      <w:tr>
        <w:tblPrEx>
          <w:tblCellMar>
            <w:top w:w="0" w:type="dxa"/>
            <w:left w:w="108" w:type="dxa"/>
            <w:bottom w:w="0" w:type="dxa"/>
            <w:right w:w="108" w:type="dxa"/>
          </w:tblCellMar>
        </w:tblPrEx>
        <w:trPr>
          <w:trHeight w:val="454" w:hRule="exact"/>
        </w:trPr>
        <w:tc>
          <w:tcPr>
            <w:tcW w:w="2156"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西乡塘客运站</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1</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2</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4</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4</w:t>
            </w:r>
          </w:p>
        </w:tc>
        <w:tc>
          <w:tcPr>
            <w:tcW w:w="856"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11</w:t>
            </w:r>
          </w:p>
        </w:tc>
        <w:tc>
          <w:tcPr>
            <w:tcW w:w="88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lang w:bidi="ar"/>
              </w:rPr>
            </w:pPr>
            <w:r>
              <w:rPr>
                <w:rFonts w:ascii="宋体" w:hAnsi="宋体" w:cs="宋体"/>
                <w:color w:val="000000"/>
                <w:sz w:val="18"/>
                <w:szCs w:val="18"/>
                <w:highlight w:val="none"/>
                <w:lang w:bidi="ar"/>
              </w:rPr>
              <w:t>6</w:t>
            </w:r>
          </w:p>
        </w:tc>
      </w:tr>
      <w:tr>
        <w:tblPrEx>
          <w:tblCellMar>
            <w:top w:w="0" w:type="dxa"/>
            <w:left w:w="108" w:type="dxa"/>
            <w:bottom w:w="0" w:type="dxa"/>
            <w:right w:w="108" w:type="dxa"/>
          </w:tblCellMar>
        </w:tblPrEx>
        <w:trPr>
          <w:trHeight w:val="454" w:hRule="exact"/>
        </w:trPr>
        <w:tc>
          <w:tcPr>
            <w:tcW w:w="2156"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清川站</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1</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2</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2</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4</w:t>
            </w:r>
          </w:p>
        </w:tc>
        <w:tc>
          <w:tcPr>
            <w:tcW w:w="856"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9</w:t>
            </w:r>
          </w:p>
        </w:tc>
        <w:tc>
          <w:tcPr>
            <w:tcW w:w="88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lang w:bidi="ar"/>
              </w:rPr>
            </w:pPr>
            <w:r>
              <w:rPr>
                <w:rFonts w:ascii="宋体" w:hAnsi="宋体" w:cs="宋体"/>
                <w:color w:val="000000"/>
                <w:sz w:val="18"/>
                <w:szCs w:val="18"/>
                <w:highlight w:val="none"/>
                <w:lang w:bidi="ar"/>
              </w:rPr>
              <w:t>5</w:t>
            </w:r>
          </w:p>
        </w:tc>
      </w:tr>
      <w:tr>
        <w:tblPrEx>
          <w:tblCellMar>
            <w:top w:w="0" w:type="dxa"/>
            <w:left w:w="108" w:type="dxa"/>
            <w:bottom w:w="0" w:type="dxa"/>
            <w:right w:w="108" w:type="dxa"/>
          </w:tblCellMar>
        </w:tblPrEx>
        <w:trPr>
          <w:trHeight w:val="454" w:hRule="exact"/>
        </w:trPr>
        <w:tc>
          <w:tcPr>
            <w:tcW w:w="2156"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动物园站</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1</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2</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2</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3</w:t>
            </w:r>
          </w:p>
        </w:tc>
        <w:tc>
          <w:tcPr>
            <w:tcW w:w="856"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8</w:t>
            </w:r>
          </w:p>
        </w:tc>
        <w:tc>
          <w:tcPr>
            <w:tcW w:w="88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lang w:bidi="ar"/>
              </w:rPr>
            </w:pPr>
            <w:r>
              <w:rPr>
                <w:rFonts w:ascii="宋体" w:hAnsi="宋体" w:cs="宋体"/>
                <w:color w:val="000000"/>
                <w:sz w:val="18"/>
                <w:szCs w:val="18"/>
                <w:highlight w:val="none"/>
                <w:lang w:bidi="ar"/>
              </w:rPr>
              <w:t>5</w:t>
            </w:r>
          </w:p>
        </w:tc>
      </w:tr>
      <w:tr>
        <w:tblPrEx>
          <w:tblCellMar>
            <w:top w:w="0" w:type="dxa"/>
            <w:left w:w="108" w:type="dxa"/>
            <w:bottom w:w="0" w:type="dxa"/>
            <w:right w:w="108" w:type="dxa"/>
          </w:tblCellMar>
        </w:tblPrEx>
        <w:trPr>
          <w:trHeight w:val="454" w:hRule="exact"/>
        </w:trPr>
        <w:tc>
          <w:tcPr>
            <w:tcW w:w="2156"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鲁班路站</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2</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2</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2</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4</w:t>
            </w:r>
          </w:p>
        </w:tc>
        <w:tc>
          <w:tcPr>
            <w:tcW w:w="856"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10</w:t>
            </w:r>
          </w:p>
        </w:tc>
        <w:tc>
          <w:tcPr>
            <w:tcW w:w="88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lang w:bidi="ar"/>
              </w:rPr>
            </w:pPr>
            <w:r>
              <w:rPr>
                <w:rFonts w:ascii="宋体" w:hAnsi="宋体" w:cs="宋体"/>
                <w:color w:val="000000"/>
                <w:sz w:val="18"/>
                <w:szCs w:val="18"/>
                <w:highlight w:val="none"/>
                <w:lang w:bidi="ar"/>
              </w:rPr>
              <w:t>6</w:t>
            </w:r>
          </w:p>
        </w:tc>
      </w:tr>
      <w:tr>
        <w:tblPrEx>
          <w:tblCellMar>
            <w:top w:w="0" w:type="dxa"/>
            <w:left w:w="108" w:type="dxa"/>
            <w:bottom w:w="0" w:type="dxa"/>
            <w:right w:w="108" w:type="dxa"/>
          </w:tblCellMar>
        </w:tblPrEx>
        <w:trPr>
          <w:trHeight w:val="454" w:hRule="exact"/>
        </w:trPr>
        <w:tc>
          <w:tcPr>
            <w:tcW w:w="2156"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广西大学站</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2</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1</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3</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4</w:t>
            </w:r>
          </w:p>
        </w:tc>
        <w:tc>
          <w:tcPr>
            <w:tcW w:w="856"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10</w:t>
            </w:r>
          </w:p>
        </w:tc>
        <w:tc>
          <w:tcPr>
            <w:tcW w:w="88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lang w:bidi="ar"/>
              </w:rPr>
            </w:pPr>
            <w:r>
              <w:rPr>
                <w:rFonts w:ascii="宋体" w:hAnsi="宋体" w:cs="宋体"/>
                <w:color w:val="000000"/>
                <w:sz w:val="18"/>
                <w:szCs w:val="18"/>
                <w:highlight w:val="none"/>
                <w:lang w:bidi="ar"/>
              </w:rPr>
              <w:t>6</w:t>
            </w:r>
          </w:p>
        </w:tc>
      </w:tr>
      <w:tr>
        <w:tblPrEx>
          <w:tblCellMar>
            <w:top w:w="0" w:type="dxa"/>
            <w:left w:w="108" w:type="dxa"/>
            <w:bottom w:w="0" w:type="dxa"/>
            <w:right w:w="108" w:type="dxa"/>
          </w:tblCellMar>
        </w:tblPrEx>
        <w:trPr>
          <w:trHeight w:val="454" w:hRule="exact"/>
        </w:trPr>
        <w:tc>
          <w:tcPr>
            <w:tcW w:w="2156"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火车站</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2</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2</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6</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12</w:t>
            </w:r>
          </w:p>
        </w:tc>
        <w:tc>
          <w:tcPr>
            <w:tcW w:w="856"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22</w:t>
            </w:r>
          </w:p>
        </w:tc>
        <w:tc>
          <w:tcPr>
            <w:tcW w:w="88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lang w:bidi="ar"/>
              </w:rPr>
            </w:pPr>
            <w:r>
              <w:rPr>
                <w:rFonts w:ascii="宋体" w:hAnsi="宋体" w:cs="宋体"/>
                <w:color w:val="000000"/>
                <w:sz w:val="18"/>
                <w:szCs w:val="18"/>
                <w:highlight w:val="none"/>
                <w:lang w:bidi="ar"/>
              </w:rPr>
              <w:t>12</w:t>
            </w:r>
          </w:p>
        </w:tc>
      </w:tr>
      <w:tr>
        <w:tblPrEx>
          <w:tblCellMar>
            <w:top w:w="0" w:type="dxa"/>
            <w:left w:w="108" w:type="dxa"/>
            <w:bottom w:w="0" w:type="dxa"/>
            <w:right w:w="108" w:type="dxa"/>
          </w:tblCellMar>
        </w:tblPrEx>
        <w:trPr>
          <w:trHeight w:val="454" w:hRule="exact"/>
        </w:trPr>
        <w:tc>
          <w:tcPr>
            <w:tcW w:w="2156"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朝阳广场站</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5</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12</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8</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16</w:t>
            </w:r>
          </w:p>
        </w:tc>
        <w:tc>
          <w:tcPr>
            <w:tcW w:w="856"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41</w:t>
            </w:r>
          </w:p>
        </w:tc>
        <w:tc>
          <w:tcPr>
            <w:tcW w:w="88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lang w:bidi="ar"/>
              </w:rPr>
            </w:pPr>
            <w:r>
              <w:rPr>
                <w:rFonts w:ascii="宋体" w:hAnsi="宋体" w:cs="宋体"/>
                <w:color w:val="000000"/>
                <w:sz w:val="18"/>
                <w:szCs w:val="18"/>
                <w:highlight w:val="none"/>
                <w:lang w:bidi="ar"/>
              </w:rPr>
              <w:t>24</w:t>
            </w:r>
          </w:p>
        </w:tc>
      </w:tr>
      <w:tr>
        <w:tblPrEx>
          <w:tblCellMar>
            <w:top w:w="0" w:type="dxa"/>
            <w:left w:w="108" w:type="dxa"/>
            <w:bottom w:w="0" w:type="dxa"/>
            <w:right w:w="108" w:type="dxa"/>
          </w:tblCellMar>
        </w:tblPrEx>
        <w:trPr>
          <w:trHeight w:val="454" w:hRule="exact"/>
        </w:trPr>
        <w:tc>
          <w:tcPr>
            <w:tcW w:w="2156"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民族广场站</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2</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2</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2</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4</w:t>
            </w:r>
          </w:p>
        </w:tc>
        <w:tc>
          <w:tcPr>
            <w:tcW w:w="856"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10</w:t>
            </w:r>
          </w:p>
        </w:tc>
        <w:tc>
          <w:tcPr>
            <w:tcW w:w="88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lang w:bidi="ar"/>
              </w:rPr>
            </w:pPr>
            <w:r>
              <w:rPr>
                <w:rFonts w:ascii="宋体" w:hAnsi="宋体" w:cs="宋体"/>
                <w:color w:val="000000"/>
                <w:sz w:val="18"/>
                <w:szCs w:val="18"/>
                <w:highlight w:val="none"/>
                <w:lang w:bidi="ar"/>
              </w:rPr>
              <w:t>6</w:t>
            </w:r>
          </w:p>
        </w:tc>
      </w:tr>
      <w:tr>
        <w:tblPrEx>
          <w:tblCellMar>
            <w:top w:w="0" w:type="dxa"/>
            <w:left w:w="108" w:type="dxa"/>
            <w:bottom w:w="0" w:type="dxa"/>
            <w:right w:w="108" w:type="dxa"/>
          </w:tblCellMar>
        </w:tblPrEx>
        <w:trPr>
          <w:trHeight w:val="454" w:hRule="exact"/>
        </w:trPr>
        <w:tc>
          <w:tcPr>
            <w:tcW w:w="2156"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麻村站</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2</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2</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2</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4</w:t>
            </w:r>
          </w:p>
        </w:tc>
        <w:tc>
          <w:tcPr>
            <w:tcW w:w="856"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rPr>
            </w:pPr>
            <w:r>
              <w:rPr>
                <w:rFonts w:ascii="宋体" w:hAnsi="宋体" w:cs="宋体"/>
                <w:color w:val="000000"/>
                <w:sz w:val="18"/>
                <w:szCs w:val="18"/>
                <w:highlight w:val="none"/>
                <w:lang w:bidi="ar"/>
              </w:rPr>
              <w:t>10</w:t>
            </w:r>
          </w:p>
        </w:tc>
        <w:tc>
          <w:tcPr>
            <w:tcW w:w="88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lang w:bidi="ar"/>
              </w:rPr>
            </w:pPr>
            <w:r>
              <w:rPr>
                <w:rFonts w:ascii="宋体" w:hAnsi="宋体" w:cs="宋体"/>
                <w:color w:val="000000"/>
                <w:sz w:val="18"/>
                <w:szCs w:val="18"/>
                <w:highlight w:val="none"/>
                <w:lang w:bidi="ar"/>
              </w:rPr>
              <w:t>6</w:t>
            </w:r>
          </w:p>
        </w:tc>
      </w:tr>
      <w:tr>
        <w:tblPrEx>
          <w:tblCellMar>
            <w:top w:w="0" w:type="dxa"/>
            <w:left w:w="108" w:type="dxa"/>
            <w:bottom w:w="0" w:type="dxa"/>
            <w:right w:w="108" w:type="dxa"/>
          </w:tblCellMar>
        </w:tblPrEx>
        <w:trPr>
          <w:trHeight w:val="454" w:hRule="exact"/>
        </w:trPr>
        <w:tc>
          <w:tcPr>
            <w:tcW w:w="2156"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lang w:bidi="ar"/>
              </w:rPr>
            </w:pPr>
            <w:r>
              <w:rPr>
                <w:rFonts w:ascii="宋体" w:hAnsi="宋体" w:cs="宋体"/>
                <w:color w:val="000000"/>
                <w:sz w:val="18"/>
                <w:szCs w:val="18"/>
                <w:highlight w:val="none"/>
                <w:lang w:bidi="ar"/>
              </w:rPr>
              <w:t>总计</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lang w:bidi="ar"/>
              </w:rPr>
            </w:pPr>
            <w:r>
              <w:rPr>
                <w:rFonts w:ascii="宋体" w:hAnsi="宋体" w:cs="宋体"/>
                <w:color w:val="000000"/>
                <w:sz w:val="18"/>
                <w:szCs w:val="18"/>
                <w:highlight w:val="none"/>
                <w:lang w:bidi="ar"/>
              </w:rPr>
              <w:t>20</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lang w:bidi="ar"/>
              </w:rPr>
            </w:pPr>
            <w:r>
              <w:rPr>
                <w:rFonts w:ascii="宋体" w:hAnsi="宋体" w:cs="宋体"/>
                <w:color w:val="000000"/>
                <w:sz w:val="18"/>
                <w:szCs w:val="18"/>
                <w:highlight w:val="none"/>
                <w:lang w:bidi="ar"/>
              </w:rPr>
              <w:t>30</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lang w:bidi="ar"/>
              </w:rPr>
            </w:pPr>
            <w:r>
              <w:rPr>
                <w:rFonts w:ascii="宋体" w:hAnsi="宋体" w:cs="宋体"/>
                <w:color w:val="000000"/>
                <w:sz w:val="18"/>
                <w:szCs w:val="18"/>
                <w:highlight w:val="none"/>
                <w:lang w:bidi="ar"/>
              </w:rPr>
              <w:t>39</w:t>
            </w:r>
          </w:p>
        </w:tc>
        <w:tc>
          <w:tcPr>
            <w:tcW w:w="10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color w:val="000000"/>
                <w:sz w:val="18"/>
                <w:szCs w:val="18"/>
                <w:highlight w:val="none"/>
                <w:lang w:bidi="ar"/>
              </w:rPr>
            </w:pPr>
            <w:r>
              <w:rPr>
                <w:rFonts w:ascii="宋体" w:hAnsi="宋体" w:cs="宋体"/>
                <w:color w:val="000000"/>
                <w:sz w:val="18"/>
                <w:szCs w:val="18"/>
                <w:highlight w:val="none"/>
                <w:lang w:bidi="ar"/>
              </w:rPr>
              <w:t>67</w:t>
            </w:r>
          </w:p>
        </w:tc>
        <w:tc>
          <w:tcPr>
            <w:tcW w:w="856"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lang w:bidi="ar"/>
              </w:rPr>
            </w:pPr>
            <w:r>
              <w:rPr>
                <w:rFonts w:ascii="宋体" w:hAnsi="宋体" w:cs="宋体"/>
                <w:color w:val="000000"/>
                <w:sz w:val="18"/>
                <w:szCs w:val="18"/>
                <w:highlight w:val="none"/>
                <w:lang w:bidi="ar"/>
              </w:rPr>
              <w:t>156</w:t>
            </w:r>
          </w:p>
        </w:tc>
        <w:tc>
          <w:tcPr>
            <w:tcW w:w="88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color w:val="000000"/>
                <w:sz w:val="18"/>
                <w:szCs w:val="18"/>
                <w:highlight w:val="none"/>
                <w:lang w:bidi="ar"/>
              </w:rPr>
            </w:pPr>
            <w:r>
              <w:rPr>
                <w:rFonts w:ascii="宋体" w:hAnsi="宋体" w:cs="宋体"/>
                <w:color w:val="000000"/>
                <w:sz w:val="18"/>
                <w:szCs w:val="18"/>
                <w:highlight w:val="none"/>
                <w:lang w:bidi="ar"/>
              </w:rPr>
              <w:t>90</w:t>
            </w:r>
          </w:p>
        </w:tc>
      </w:tr>
    </w:tbl>
    <w:p>
      <w:pPr>
        <w:spacing w:before="0" w:after="0" w:afterAutospacing="0"/>
        <w:ind w:left="0" w:right="0" w:firstLine="420" w:firstLineChars="200"/>
        <w:outlineLvl w:val="3"/>
        <w:rPr>
          <w:rFonts w:ascii="Calibri" w:hAnsi="Calibri"/>
          <w:kern w:val="2"/>
          <w:szCs w:val="24"/>
          <w:highlight w:val="none"/>
        </w:rPr>
      </w:pPr>
      <w:bookmarkStart w:id="1313" w:name="_Toc3360"/>
      <w:bookmarkStart w:id="1314" w:name="_Toc14226"/>
      <w:r>
        <w:rPr>
          <w:rFonts w:ascii="宋体" w:hAnsi="宋体" w:cs="宋体"/>
          <w:kern w:val="2"/>
          <w:highlight w:val="none"/>
        </w:rPr>
        <w:t>2.4.2改造内容</w:t>
      </w:r>
      <w:bookmarkEnd w:id="1313"/>
      <w:bookmarkEnd w:id="1314"/>
    </w:p>
    <w:p>
      <w:pPr>
        <w:spacing w:before="0" w:after="0" w:afterAutospacing="0"/>
        <w:ind w:left="0" w:right="0" w:firstLine="420" w:firstLineChars="200"/>
        <w:rPr>
          <w:rFonts w:ascii="宋体" w:hAnsi="宋体" w:cs="宋体"/>
          <w:highlight w:val="none"/>
        </w:rPr>
      </w:pPr>
      <w:bookmarkStart w:id="1315" w:name="_Toc7596"/>
      <w:bookmarkStart w:id="1316" w:name="_Toc18733"/>
      <w:bookmarkStart w:id="1317" w:name="_Toc31121"/>
      <w:bookmarkStart w:id="1318" w:name="_Toc3974"/>
      <w:r>
        <w:rPr>
          <w:rFonts w:ascii="宋体" w:hAnsi="宋体" w:cs="宋体"/>
          <w:highlight w:val="none"/>
        </w:rPr>
        <w:t>将站内每套蹲便感应式冲洗阀改造为脚踏式冲水阀，并在冲水阀进水前端设1套一字球阀方便后期维护。</w:t>
      </w:r>
    </w:p>
    <w:p>
      <w:pPr>
        <w:outlineLvl w:val="2"/>
        <w:rPr>
          <w:rFonts w:ascii="宋体" w:hAnsi="宋体" w:cs="宋体"/>
          <w:b/>
          <w:highlight w:val="none"/>
        </w:rPr>
      </w:pPr>
      <w:bookmarkStart w:id="1319" w:name="_Toc28949"/>
      <w:bookmarkStart w:id="1320" w:name="_Toc7952"/>
      <w:r>
        <w:rPr>
          <w:rFonts w:ascii="宋体" w:hAnsi="宋体" w:cs="宋体"/>
          <w:b/>
          <w:highlight w:val="none"/>
        </w:rPr>
        <w:t>2.5</w:t>
      </w:r>
      <w:r>
        <w:rPr>
          <w:rFonts w:ascii="宋体" w:hAnsi="宋体" w:cs="宋体"/>
          <w:b/>
          <w:szCs w:val="24"/>
          <w:highlight w:val="none"/>
        </w:rPr>
        <w:t>项目</w:t>
      </w:r>
      <w:r>
        <w:rPr>
          <w:rFonts w:ascii="宋体" w:hAnsi="宋体" w:cs="宋体"/>
          <w:b/>
          <w:kern w:val="2"/>
          <w:szCs w:val="24"/>
          <w:highlight w:val="none"/>
        </w:rPr>
        <w:t>工程量清单及改造方案</w:t>
      </w:r>
      <w:bookmarkEnd w:id="1319"/>
      <w:bookmarkEnd w:id="1320"/>
    </w:p>
    <w:p>
      <w:pPr>
        <w:ind w:left="0" w:firstLine="420" w:firstLineChars="200"/>
        <w:rPr>
          <w:rFonts w:ascii="宋体"/>
          <w:highlight w:val="none"/>
        </w:rPr>
      </w:pPr>
      <w:r>
        <w:rPr>
          <w:rFonts w:ascii="宋体" w:hAnsi="宋体"/>
          <w:highlight w:val="none"/>
        </w:rPr>
        <w:t>南宁轨道交通1号线麻村站至石埠站卫生间蹲便感应式冲洗阀设备技术改造项目</w:t>
      </w:r>
      <w:r>
        <w:rPr>
          <w:rFonts w:ascii="宋体" w:hAnsi="宋体" w:cs="宋体"/>
          <w:highlight w:val="none"/>
        </w:rPr>
        <w:t>工程施工，具体工程量清单及改造方案详见</w:t>
      </w:r>
      <w:r>
        <w:rPr>
          <w:rFonts w:ascii="宋体" w:hAnsi="宋体" w:cs="宋体"/>
          <w:kern w:val="2"/>
          <w:highlight w:val="none"/>
        </w:rPr>
        <w:t>附件1。</w:t>
      </w:r>
    </w:p>
    <w:p>
      <w:pPr>
        <w:outlineLvl w:val="2"/>
        <w:rPr>
          <w:rFonts w:ascii="宋体" w:hAnsi="宋体" w:cs="宋体"/>
          <w:b/>
          <w:highlight w:val="none"/>
        </w:rPr>
      </w:pPr>
      <w:bookmarkStart w:id="1321" w:name="_Toc15158"/>
      <w:bookmarkStart w:id="1322" w:name="_Toc1074"/>
      <w:r>
        <w:rPr>
          <w:rFonts w:ascii="宋体" w:hAnsi="宋体" w:cs="宋体"/>
          <w:b/>
          <w:highlight w:val="none"/>
        </w:rPr>
        <w:t>2.6承包方式</w:t>
      </w:r>
      <w:bookmarkEnd w:id="1321"/>
      <w:bookmarkEnd w:id="1322"/>
    </w:p>
    <w:p>
      <w:pPr>
        <w:ind w:left="0" w:firstLine="420" w:firstLineChars="200"/>
        <w:rPr>
          <w:rFonts w:ascii="宋体" w:hAnsi="宋体"/>
          <w:highlight w:val="none"/>
        </w:rPr>
      </w:pPr>
      <w:r>
        <w:rPr>
          <w:rFonts w:ascii="宋体" w:hAnsi="宋体"/>
          <w:highlight w:val="none"/>
        </w:rPr>
        <w:t>实行总价包干的形式。比选报价内容包括设备费、耗材费、人工费、机械费、管理费、人员保险费、运输费、措施费、利润、风险、安全文明施工费等为完成本项目所发生的所有费用。工程量清单所包含的工作量发生前应由甲方指定。</w:t>
      </w:r>
    </w:p>
    <w:p>
      <w:pPr>
        <w:outlineLvl w:val="2"/>
        <w:rPr>
          <w:rFonts w:ascii="宋体" w:hAnsi="宋体" w:cs="宋体"/>
          <w:b/>
          <w:highlight w:val="none"/>
        </w:rPr>
      </w:pPr>
      <w:bookmarkStart w:id="1323" w:name="_Toc26704"/>
      <w:bookmarkStart w:id="1324" w:name="_Toc15392"/>
      <w:r>
        <w:rPr>
          <w:rFonts w:ascii="宋体" w:hAnsi="宋体" w:cs="宋体"/>
          <w:b/>
          <w:highlight w:val="none"/>
        </w:rPr>
        <w:t>2.7项目分包</w:t>
      </w:r>
      <w:bookmarkEnd w:id="1315"/>
      <w:bookmarkEnd w:id="1316"/>
      <w:bookmarkEnd w:id="1317"/>
      <w:bookmarkEnd w:id="1318"/>
      <w:bookmarkEnd w:id="1323"/>
      <w:bookmarkEnd w:id="1324"/>
    </w:p>
    <w:p>
      <w:pPr>
        <w:spacing w:before="0" w:after="0" w:afterAutospacing="0"/>
        <w:ind w:left="0" w:right="0" w:firstLine="420" w:firstLineChars="200"/>
        <w:rPr>
          <w:highlight w:val="none"/>
        </w:rPr>
      </w:pPr>
      <w:r>
        <w:rPr>
          <w:rFonts w:ascii="宋体" w:hAnsi="宋体" w:cs="宋体"/>
          <w:highlight w:val="none"/>
        </w:rPr>
        <w:t>本项目不允许联合体，不允许任何形式的转包或分包。</w:t>
      </w:r>
    </w:p>
    <w:p>
      <w:pPr>
        <w:outlineLvl w:val="2"/>
        <w:rPr>
          <w:rFonts w:ascii="宋体" w:hAnsi="宋体" w:cs="宋体"/>
          <w:b/>
          <w:highlight w:val="none"/>
        </w:rPr>
      </w:pPr>
      <w:bookmarkStart w:id="1325" w:name="_Toc13843"/>
      <w:bookmarkStart w:id="1326" w:name="_Toc27320"/>
      <w:bookmarkStart w:id="1327" w:name="_Toc16056"/>
      <w:bookmarkStart w:id="1328" w:name="_Toc7459"/>
      <w:bookmarkStart w:id="1329" w:name="_Toc3416"/>
      <w:bookmarkStart w:id="1330" w:name="_Toc9746"/>
      <w:r>
        <w:rPr>
          <w:rFonts w:ascii="宋体" w:hAnsi="宋体" w:cs="宋体"/>
          <w:b/>
          <w:highlight w:val="none"/>
        </w:rPr>
        <w:t>2.8补充说明</w:t>
      </w:r>
      <w:bookmarkEnd w:id="1325"/>
      <w:bookmarkEnd w:id="1326"/>
      <w:bookmarkEnd w:id="1327"/>
      <w:bookmarkEnd w:id="1328"/>
      <w:bookmarkEnd w:id="1329"/>
      <w:bookmarkEnd w:id="1330"/>
    </w:p>
    <w:p>
      <w:pPr>
        <w:ind w:left="0" w:firstLine="420" w:firstLineChars="200"/>
        <w:rPr>
          <w:rFonts w:ascii="宋体" w:hAnsi="宋体" w:cs="宋体"/>
          <w:highlight w:val="none"/>
        </w:rPr>
      </w:pPr>
      <w:r>
        <w:rPr>
          <w:rFonts w:ascii="宋体" w:hAnsi="宋体" w:cs="宋体"/>
          <w:highlight w:val="none"/>
        </w:rPr>
        <w:t>2.8.1在合同履行期间，乙方从甲方获得的一切与工程有关的原始资料及与履行合同有关的甲方既有工作成果及相关资料，乙方有保密义务。未经甲方书面同意乙方不得以任何方式泄漏给任何第三方。</w:t>
      </w:r>
    </w:p>
    <w:p>
      <w:pPr>
        <w:ind w:left="0" w:firstLine="420" w:firstLineChars="200"/>
        <w:rPr>
          <w:rFonts w:ascii="宋体" w:hAnsi="宋体" w:cs="宋体"/>
          <w:highlight w:val="none"/>
        </w:rPr>
      </w:pPr>
      <w:bookmarkStart w:id="1331" w:name="_Toc6157"/>
      <w:bookmarkStart w:id="1332" w:name="_Toc534969206"/>
      <w:bookmarkStart w:id="1333" w:name="_Toc26644"/>
      <w:bookmarkStart w:id="1334" w:name="_Toc30221"/>
      <w:bookmarkStart w:id="1335" w:name="_Toc28575"/>
      <w:bookmarkStart w:id="1336" w:name="_Toc5704"/>
      <w:bookmarkStart w:id="1337" w:name="_Toc28471"/>
      <w:bookmarkStart w:id="1338" w:name="_Toc6057"/>
      <w:bookmarkStart w:id="1339" w:name="_Toc6749"/>
      <w:bookmarkStart w:id="1340" w:name="_Toc32343"/>
      <w:bookmarkStart w:id="1341" w:name="_Toc30281"/>
      <w:bookmarkStart w:id="1342" w:name="_Toc1510"/>
      <w:bookmarkStart w:id="1343" w:name="_Toc30737"/>
      <w:bookmarkStart w:id="1344" w:name="_Toc19695"/>
      <w:bookmarkStart w:id="1345" w:name="_Toc30375"/>
      <w:bookmarkStart w:id="1346" w:name="_Toc3460"/>
      <w:r>
        <w:rPr>
          <w:rFonts w:ascii="宋体" w:hAnsi="宋体" w:cs="宋体"/>
          <w:highlight w:val="none"/>
        </w:rPr>
        <w:t>2.8.2用于本工程项目的所有材料设备，必须符合国家标准与行业规范，确保其达到质量、安全、环保等要求，其规格、型号、材质、颜色、档次等与原有材料须保持基本一致并且符合甲方要求方可进场。如需更换材料材质、型号，改变原有结构等必须征得甲方同意后方可实施。</w:t>
      </w:r>
    </w:p>
    <w:p>
      <w:pPr>
        <w:ind w:left="0" w:firstLine="420" w:firstLineChars="200"/>
        <w:rPr>
          <w:rFonts w:ascii="宋体" w:hAnsi="宋体" w:cs="宋体"/>
          <w:highlight w:val="none"/>
        </w:rPr>
      </w:pPr>
      <w:r>
        <w:rPr>
          <w:rFonts w:ascii="宋体" w:hAnsi="宋体" w:cs="宋体"/>
          <w:highlight w:val="none"/>
        </w:rPr>
        <w:t>2.8.3拆卸或更换的材料必须按甲方相关规定进行回收或报废处理。</w:t>
      </w:r>
    </w:p>
    <w:p>
      <w:pPr>
        <w:spacing w:before="0" w:after="0" w:afterAutospacing="0"/>
        <w:ind w:left="0" w:right="0" w:firstLine="420" w:firstLineChars="200"/>
        <w:rPr>
          <w:sz w:val="20"/>
          <w:szCs w:val="20"/>
          <w:highlight w:val="none"/>
        </w:rPr>
      </w:pPr>
      <w:r>
        <w:rPr>
          <w:rFonts w:ascii="宋体" w:hAnsi="宋体" w:cs="宋体"/>
          <w:highlight w:val="none"/>
        </w:rPr>
        <w:t>2.8.4合同执行期间如甲方取消项目范围内的工作内容，则根据减少的工程量核算相应的费用办理合同变更调整项目范围。</w:t>
      </w:r>
    </w:p>
    <w:p>
      <w:pPr>
        <w:outlineLvl w:val="1"/>
        <w:rPr>
          <w:rFonts w:ascii="宋体" w:hAnsi="宋体" w:eastAsia="黑体" w:cs="宋体"/>
          <w:b/>
          <w:sz w:val="24"/>
          <w:szCs w:val="44"/>
          <w:highlight w:val="none"/>
        </w:rPr>
      </w:pPr>
      <w:bookmarkStart w:id="1347" w:name="_Toc27039"/>
      <w:bookmarkStart w:id="1348" w:name="_Toc25253"/>
      <w:bookmarkStart w:id="1349" w:name="_Toc7481"/>
      <w:bookmarkStart w:id="1350" w:name="_Toc3256"/>
      <w:bookmarkStart w:id="1351" w:name="_Toc8612"/>
      <w:bookmarkStart w:id="1352" w:name="_Toc9401"/>
      <w:bookmarkStart w:id="1353" w:name="_Toc138"/>
      <w:r>
        <w:rPr>
          <w:rFonts w:hint="eastAsia" w:ascii="黑体" w:hAnsi="黑体" w:eastAsia="黑体" w:cs="黑体"/>
          <w:b/>
          <w:sz w:val="24"/>
          <w:szCs w:val="24"/>
          <w:highlight w:val="none"/>
        </w:rPr>
        <w:t>3项目技术标准、规范</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Start w:id="1354" w:name="_Toc534969207"/>
      <w:bookmarkStart w:id="1355" w:name="_Toc20818"/>
    </w:p>
    <w:p>
      <w:pPr>
        <w:outlineLvl w:val="2"/>
        <w:rPr>
          <w:rFonts w:ascii="宋体" w:hAnsi="宋体" w:cs="宋体"/>
          <w:b/>
          <w:highlight w:val="none"/>
        </w:rPr>
      </w:pPr>
      <w:bookmarkStart w:id="1356" w:name="_Toc18054"/>
      <w:bookmarkStart w:id="1357" w:name="_Toc32144"/>
      <w:bookmarkStart w:id="1358" w:name="_Toc28891"/>
      <w:bookmarkStart w:id="1359" w:name="_Toc7886"/>
      <w:bookmarkStart w:id="1360" w:name="_Toc4830"/>
      <w:bookmarkStart w:id="1361" w:name="_Toc28446"/>
      <w:bookmarkStart w:id="1362" w:name="_Toc30968"/>
      <w:bookmarkStart w:id="1363" w:name="_Toc27049"/>
      <w:bookmarkStart w:id="1364" w:name="_Toc17179"/>
      <w:bookmarkStart w:id="1365" w:name="_Toc18364"/>
      <w:bookmarkStart w:id="1366" w:name="_Toc6463"/>
      <w:bookmarkStart w:id="1367" w:name="_Toc28889"/>
      <w:bookmarkStart w:id="1368" w:name="_Toc20472"/>
      <w:bookmarkStart w:id="1369" w:name="_Toc903"/>
      <w:bookmarkStart w:id="1370" w:name="_Toc2961"/>
      <w:bookmarkStart w:id="1371" w:name="_Toc5416"/>
      <w:bookmarkStart w:id="1372" w:name="_Toc24757"/>
      <w:bookmarkStart w:id="1373" w:name="_Toc11540"/>
      <w:r>
        <w:rPr>
          <w:rFonts w:ascii="宋体" w:hAnsi="宋体" w:cs="宋体"/>
          <w:b/>
          <w:highlight w:val="none"/>
        </w:rPr>
        <w:t>3.1标准适用原则</w:t>
      </w:r>
      <w:bookmarkEnd w:id="1356"/>
    </w:p>
    <w:p>
      <w:pPr>
        <w:spacing w:before="0" w:after="0" w:afterAutospacing="0"/>
        <w:ind w:left="0" w:right="0" w:firstLine="420" w:firstLineChars="200"/>
        <w:rPr>
          <w:rFonts w:ascii="宋体" w:hAnsi="宋体" w:cs="宋体"/>
          <w:highlight w:val="none"/>
        </w:rPr>
      </w:pPr>
      <w:r>
        <w:rPr>
          <w:rFonts w:ascii="宋体" w:hAnsi="宋体" w:cs="宋体"/>
          <w:highlight w:val="none"/>
        </w:rPr>
        <w:t>3.1.1本项目须满足各类国家及行业标准，包括但不限于国家相关标准、轨道交通行业通用和专用标准、自治区及南宁市轨道交通相关标准等。</w:t>
      </w:r>
    </w:p>
    <w:p>
      <w:pPr>
        <w:spacing w:before="0" w:after="0" w:afterAutospacing="0"/>
        <w:ind w:left="0" w:right="0" w:firstLine="420" w:firstLineChars="200"/>
        <w:rPr>
          <w:rFonts w:ascii="宋体" w:hAnsi="宋体" w:cs="宋体"/>
          <w:highlight w:val="none"/>
        </w:rPr>
      </w:pPr>
      <w:r>
        <w:rPr>
          <w:rFonts w:ascii="宋体" w:hAnsi="宋体" w:cs="宋体"/>
          <w:highlight w:val="none"/>
        </w:rPr>
        <w:t>3.1.2本项目须满足招标方单位的相关标准或要求：</w:t>
      </w:r>
    </w:p>
    <w:p>
      <w:pPr>
        <w:spacing w:before="0" w:after="0" w:afterAutospacing="0"/>
        <w:ind w:left="0" w:right="0" w:firstLine="420" w:firstLineChars="200"/>
        <w:rPr>
          <w:rFonts w:ascii="宋体" w:hAnsi="宋体" w:cs="宋体"/>
          <w:highlight w:val="none"/>
        </w:rPr>
      </w:pPr>
      <w:r>
        <w:rPr>
          <w:rFonts w:ascii="宋体" w:hAnsi="宋体" w:cs="宋体"/>
          <w:highlight w:val="none"/>
        </w:rPr>
        <w:t>（1）招标方单位的企业标准；</w:t>
      </w:r>
    </w:p>
    <w:p>
      <w:pPr>
        <w:spacing w:before="0" w:after="0" w:afterAutospacing="0"/>
        <w:ind w:left="0" w:right="0" w:firstLine="420" w:firstLineChars="200"/>
        <w:rPr>
          <w:rFonts w:ascii="宋体" w:hAnsi="宋体" w:cs="宋体"/>
          <w:highlight w:val="none"/>
        </w:rPr>
      </w:pPr>
      <w:r>
        <w:rPr>
          <w:rFonts w:ascii="宋体" w:hAnsi="宋体" w:cs="宋体"/>
          <w:highlight w:val="none"/>
        </w:rPr>
        <w:t>（2）招标方单位的规章制度；</w:t>
      </w:r>
    </w:p>
    <w:p>
      <w:pPr>
        <w:spacing w:before="0" w:after="0" w:afterAutospacing="0"/>
        <w:ind w:left="0" w:right="0" w:firstLine="420" w:firstLineChars="200"/>
        <w:rPr>
          <w:rFonts w:ascii="宋体" w:hAnsi="宋体" w:cs="宋体"/>
          <w:highlight w:val="none"/>
        </w:rPr>
      </w:pPr>
      <w:r>
        <w:rPr>
          <w:rFonts w:ascii="宋体" w:hAnsi="宋体" w:cs="宋体"/>
          <w:highlight w:val="none"/>
        </w:rPr>
        <w:t>（3）招标方单位的各种会议纪要、决议、通知等；</w:t>
      </w:r>
    </w:p>
    <w:p>
      <w:pPr>
        <w:spacing w:before="0" w:after="0" w:afterAutospacing="0"/>
        <w:ind w:left="0" w:right="0" w:firstLine="420" w:firstLineChars="200"/>
        <w:rPr>
          <w:rFonts w:ascii="宋体" w:hAnsi="宋体" w:cs="宋体"/>
          <w:highlight w:val="none"/>
        </w:rPr>
      </w:pPr>
      <w:r>
        <w:rPr>
          <w:rFonts w:ascii="宋体" w:hAnsi="宋体" w:cs="宋体"/>
          <w:highlight w:val="none"/>
        </w:rPr>
        <w:t>（4）招标方制定的设备检修规程、设备操作指南、故障处理指南、工作手册、规章制度等；</w:t>
      </w:r>
    </w:p>
    <w:p>
      <w:pPr>
        <w:spacing w:before="0" w:after="0" w:afterAutospacing="0"/>
        <w:ind w:left="0" w:right="0" w:firstLine="420" w:firstLineChars="200"/>
        <w:rPr>
          <w:rFonts w:ascii="宋体" w:hAnsi="宋体" w:cs="宋体"/>
          <w:highlight w:val="none"/>
        </w:rPr>
      </w:pPr>
      <w:r>
        <w:rPr>
          <w:rFonts w:ascii="宋体" w:hAnsi="宋体" w:cs="宋体"/>
          <w:highlight w:val="none"/>
        </w:rPr>
        <w:t>（5）以上均未涉及的，由招标方与投标方共同商定。</w:t>
      </w:r>
    </w:p>
    <w:p>
      <w:pPr>
        <w:spacing w:before="0" w:after="0" w:afterAutospacing="0"/>
        <w:ind w:left="0" w:right="0" w:firstLine="420" w:firstLineChars="200"/>
        <w:rPr>
          <w:rFonts w:ascii="宋体" w:hAnsi="宋体" w:cs="宋体"/>
          <w:highlight w:val="none"/>
        </w:rPr>
      </w:pPr>
      <w:r>
        <w:rPr>
          <w:rFonts w:ascii="宋体" w:hAnsi="宋体" w:cs="宋体"/>
          <w:highlight w:val="none"/>
        </w:rPr>
        <w:t>3.1.3本项目采用的各类标准或要求，如有最新版本，则按新版本执行，同一权威等级取标准高者。</w:t>
      </w:r>
    </w:p>
    <w:p>
      <w:pPr>
        <w:spacing w:before="0" w:after="0" w:afterAutospacing="0"/>
        <w:ind w:left="0" w:right="0" w:firstLine="420" w:firstLineChars="200"/>
        <w:rPr>
          <w:rFonts w:ascii="宋体" w:hAnsi="宋体" w:cs="宋体"/>
          <w:highlight w:val="none"/>
        </w:rPr>
      </w:pPr>
      <w:r>
        <w:rPr>
          <w:rFonts w:ascii="宋体" w:hAnsi="宋体" w:cs="宋体"/>
          <w:highlight w:val="none"/>
        </w:rPr>
        <w:t>3.1.4广西区、南宁市有关规程、规定及要求，未尽部分符合国家现行的有关标准和规范，且当上述标准的内容与其他文件或具体条款描述矛盾时，按较高要求执行。</w:t>
      </w:r>
    </w:p>
    <w:p>
      <w:pPr>
        <w:spacing w:before="0" w:after="0" w:afterAutospacing="0"/>
        <w:ind w:left="0" w:right="0" w:firstLine="420" w:firstLineChars="200"/>
        <w:rPr>
          <w:rFonts w:ascii="宋体" w:hAnsi="宋体" w:cs="宋体"/>
          <w:highlight w:val="none"/>
        </w:rPr>
      </w:pPr>
      <w:r>
        <w:rPr>
          <w:rFonts w:ascii="宋体" w:hAnsi="宋体" w:cs="宋体"/>
          <w:highlight w:val="none"/>
        </w:rPr>
        <w:t>3.1.5本工程（项目）所用产品的安装、安全至少满足下列标准、规范及相关引用标准和规范。如果有新的标准，则按照新的标准执行，投标方不能因此要求增加任何费用。</w:t>
      </w:r>
    </w:p>
    <w:p>
      <w:pPr>
        <w:outlineLvl w:val="2"/>
        <w:rPr>
          <w:rFonts w:ascii="宋体" w:hAnsi="宋体" w:cs="宋体"/>
          <w:b/>
          <w:highlight w:val="none"/>
        </w:rPr>
      </w:pPr>
      <w:r>
        <w:rPr>
          <w:rFonts w:ascii="宋体" w:hAnsi="宋体" w:cs="宋体"/>
          <w:b/>
          <w:highlight w:val="none"/>
        </w:rPr>
        <w:t>3.2国家技术标准及行业规范</w:t>
      </w:r>
    </w:p>
    <w:p>
      <w:pPr>
        <w:spacing w:before="0" w:after="0" w:afterAutospacing="0"/>
        <w:ind w:left="0" w:right="0" w:firstLine="420" w:firstLineChars="200"/>
        <w:rPr>
          <w:rFonts w:ascii="宋体" w:hAnsi="宋体" w:cs="宋体"/>
          <w:highlight w:val="none"/>
        </w:rPr>
      </w:pPr>
      <w:r>
        <w:rPr>
          <w:rFonts w:ascii="宋体" w:hAnsi="宋体" w:cs="宋体"/>
          <w:highlight w:val="none"/>
        </w:rPr>
        <w:t xml:space="preserve">GB/T7306.1-2000  55°密封管螺纹第1部分：圆柱内螺纹与圆锥外螺纹 </w:t>
      </w:r>
    </w:p>
    <w:p>
      <w:pPr>
        <w:spacing w:before="0" w:after="0" w:afterAutospacing="0"/>
        <w:ind w:left="0" w:right="0" w:firstLine="420" w:firstLineChars="200"/>
        <w:rPr>
          <w:rFonts w:ascii="宋体" w:hAnsi="宋体" w:cs="宋体"/>
          <w:highlight w:val="none"/>
        </w:rPr>
      </w:pPr>
      <w:r>
        <w:rPr>
          <w:rFonts w:ascii="宋体" w:hAnsi="宋体" w:cs="宋体"/>
          <w:highlight w:val="none"/>
        </w:rPr>
        <w:t>GB/T7306.2-2000  55°密封管螺纹第2部分：圆柱内螺纹与圆锥外螺纹GB50242-2002  建筑给排水及采暖工程施工质量验收规范</w:t>
      </w:r>
    </w:p>
    <w:p>
      <w:pPr>
        <w:spacing w:before="0" w:after="0" w:afterAutospacing="0"/>
        <w:ind w:left="0" w:right="0" w:firstLine="420" w:firstLineChars="200"/>
        <w:rPr>
          <w:rFonts w:ascii="宋体" w:hAnsi="宋体" w:cs="宋体"/>
          <w:highlight w:val="none"/>
        </w:rPr>
      </w:pPr>
      <w:r>
        <w:rPr>
          <w:rFonts w:ascii="宋体" w:hAnsi="宋体" w:cs="宋体"/>
          <w:highlight w:val="none"/>
        </w:rPr>
        <w:t>GB/T 196-2003  普通螺纹  基本尺寸</w:t>
      </w:r>
    </w:p>
    <w:p>
      <w:pPr>
        <w:spacing w:before="0" w:after="0" w:afterAutospacing="0"/>
        <w:ind w:left="0" w:right="0" w:firstLine="420" w:firstLineChars="200"/>
        <w:rPr>
          <w:rFonts w:ascii="宋体" w:hAnsi="宋体" w:cs="宋体"/>
          <w:highlight w:val="none"/>
        </w:rPr>
      </w:pPr>
      <w:r>
        <w:rPr>
          <w:rFonts w:ascii="宋体" w:hAnsi="宋体" w:cs="宋体"/>
          <w:highlight w:val="none"/>
        </w:rPr>
        <w:t>GB50268-2008  给排水管道工程施工及验收规范</w:t>
      </w:r>
    </w:p>
    <w:p>
      <w:pPr>
        <w:spacing w:before="0" w:after="0" w:afterAutospacing="0"/>
        <w:ind w:left="0" w:right="0" w:firstLine="420" w:firstLineChars="200"/>
        <w:rPr>
          <w:rFonts w:ascii="宋体" w:hAnsi="宋体" w:cs="宋体"/>
          <w:highlight w:val="none"/>
        </w:rPr>
      </w:pPr>
      <w:r>
        <w:rPr>
          <w:rFonts w:ascii="宋体" w:hAnsi="宋体" w:cs="宋体"/>
          <w:highlight w:val="none"/>
        </w:rPr>
        <w:t>GB/T 1414-2013普通螺纹  管路系列</w:t>
      </w:r>
    </w:p>
    <w:p>
      <w:pPr>
        <w:spacing w:before="0" w:after="0" w:afterAutospacing="0"/>
        <w:ind w:left="0" w:right="0" w:firstLine="420" w:firstLineChars="200"/>
        <w:rPr>
          <w:rFonts w:ascii="宋体" w:hAnsi="宋体" w:cs="宋体"/>
          <w:highlight w:val="none"/>
        </w:rPr>
      </w:pPr>
      <w:r>
        <w:rPr>
          <w:rFonts w:ascii="宋体" w:hAnsi="宋体" w:cs="宋体"/>
          <w:highlight w:val="none"/>
        </w:rPr>
        <w:t xml:space="preserve">GB/T 197-2018  普通螺纹  公差 </w:t>
      </w:r>
    </w:p>
    <w:p>
      <w:pPr>
        <w:spacing w:before="0" w:after="0" w:afterAutospacing="0"/>
        <w:ind w:left="0" w:right="0" w:firstLine="420" w:firstLineChars="200"/>
        <w:rPr>
          <w:rFonts w:ascii="宋体" w:hAnsi="宋体" w:cs="宋体"/>
          <w:highlight w:val="none"/>
        </w:rPr>
      </w:pPr>
      <w:r>
        <w:rPr>
          <w:rFonts w:ascii="宋体" w:hAnsi="宋体" w:cs="宋体"/>
          <w:highlight w:val="none"/>
        </w:rPr>
        <w:t>CJ/T319-2010 脚踏阀门</w:t>
      </w:r>
    </w:p>
    <w:p>
      <w:pPr>
        <w:spacing w:before="0" w:after="0" w:afterAutospacing="0"/>
        <w:ind w:left="0" w:right="0" w:firstLine="420" w:firstLineChars="200"/>
        <w:rPr>
          <w:rFonts w:ascii="宋体" w:hAnsi="宋体" w:cs="宋体"/>
          <w:highlight w:val="none"/>
        </w:rPr>
      </w:pPr>
      <w:r>
        <w:rPr>
          <w:rFonts w:ascii="宋体" w:hAnsi="宋体" w:cs="宋体"/>
          <w:highlight w:val="none"/>
        </w:rPr>
        <w:t>JGJ/T304-2013  住宅室内装饰装修工程质量验收规范</w:t>
      </w:r>
    </w:p>
    <w:p>
      <w:pPr>
        <w:outlineLvl w:val="2"/>
        <w:rPr>
          <w:rFonts w:ascii="宋体" w:hAnsi="宋体" w:cs="宋体"/>
          <w:b/>
          <w:highlight w:val="none"/>
        </w:rPr>
      </w:pPr>
      <w:bookmarkStart w:id="1374" w:name="_Toc25324"/>
      <w:r>
        <w:rPr>
          <w:rFonts w:ascii="宋体" w:hAnsi="宋体" w:cs="宋体"/>
          <w:b/>
          <w:highlight w:val="none"/>
        </w:rPr>
        <w:t>3.3维保相关规程</w:t>
      </w:r>
      <w:bookmarkEnd w:id="1374"/>
    </w:p>
    <w:p>
      <w:pPr>
        <w:spacing w:before="0" w:after="0" w:afterAutospacing="0"/>
        <w:ind w:left="0" w:right="0" w:firstLine="420" w:firstLineChars="200"/>
        <w:rPr>
          <w:rFonts w:ascii="宋体" w:hAnsi="宋体" w:cs="宋体"/>
          <w:highlight w:val="none"/>
        </w:rPr>
      </w:pPr>
      <w:r>
        <w:rPr>
          <w:rFonts w:ascii="宋体" w:hAnsi="宋体" w:cs="宋体"/>
          <w:highlight w:val="none"/>
        </w:rPr>
        <w:t>运营公司生产管理规定</w:t>
      </w:r>
    </w:p>
    <w:p>
      <w:pPr>
        <w:spacing w:before="0" w:after="0" w:afterAutospacing="0"/>
        <w:ind w:left="0" w:right="0" w:firstLine="420" w:firstLineChars="200"/>
        <w:rPr>
          <w:rFonts w:ascii="宋体" w:hAnsi="宋体" w:cs="宋体"/>
          <w:highlight w:val="none"/>
        </w:rPr>
      </w:pPr>
      <w:r>
        <w:rPr>
          <w:rFonts w:ascii="宋体" w:hAnsi="宋体" w:cs="宋体"/>
          <w:highlight w:val="none"/>
        </w:rPr>
        <w:t>运营公司施工管理规定</w:t>
      </w:r>
      <w:bookmarkEnd w:id="1354"/>
      <w:bookmarkEnd w:id="1355"/>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Start w:id="1375" w:name="_Toc19839"/>
      <w:bookmarkStart w:id="1376" w:name="_Toc534969210"/>
      <w:bookmarkStart w:id="1377" w:name="_Toc15285"/>
      <w:bookmarkStart w:id="1378" w:name="_Toc571"/>
      <w:bookmarkStart w:id="1379" w:name="_Toc26170"/>
      <w:bookmarkStart w:id="1380" w:name="_Toc3030"/>
      <w:bookmarkStart w:id="1381" w:name="_Toc11824"/>
      <w:bookmarkStart w:id="1382" w:name="_Toc23041"/>
      <w:bookmarkStart w:id="1383" w:name="_Toc29728"/>
      <w:bookmarkStart w:id="1384" w:name="_Toc17494"/>
      <w:bookmarkStart w:id="1385" w:name="_Toc2588"/>
      <w:bookmarkStart w:id="1386" w:name="_Toc20808"/>
      <w:bookmarkStart w:id="1387" w:name="_Toc21425"/>
      <w:bookmarkStart w:id="1388" w:name="_Toc12757"/>
      <w:bookmarkStart w:id="1389" w:name="_Toc15208"/>
    </w:p>
    <w:p>
      <w:pPr>
        <w:outlineLvl w:val="1"/>
        <w:rPr>
          <w:rFonts w:ascii="宋体" w:hAnsi="宋体" w:eastAsia="黑体" w:cs="宋体"/>
          <w:b/>
          <w:sz w:val="24"/>
          <w:szCs w:val="44"/>
          <w:highlight w:val="none"/>
        </w:rPr>
      </w:pPr>
      <w:bookmarkStart w:id="1390" w:name="_Toc28508"/>
      <w:bookmarkStart w:id="1391" w:name="_Toc27125"/>
      <w:bookmarkStart w:id="1392" w:name="_Toc7681"/>
      <w:bookmarkStart w:id="1393" w:name="_Toc10661"/>
      <w:bookmarkStart w:id="1394" w:name="_Toc15387"/>
      <w:bookmarkStart w:id="1395" w:name="_Toc12507"/>
      <w:bookmarkStart w:id="1396" w:name="_Toc16668"/>
      <w:r>
        <w:rPr>
          <w:rFonts w:hint="eastAsia" w:ascii="宋体" w:hAnsi="宋体" w:eastAsia="黑体" w:cs="宋体"/>
          <w:b/>
          <w:sz w:val="24"/>
          <w:szCs w:val="44"/>
          <w:highlight w:val="none"/>
        </w:rPr>
        <w:t>4项目管</w:t>
      </w:r>
      <w:bookmarkEnd w:id="1375"/>
      <w:bookmarkEnd w:id="1376"/>
      <w:bookmarkStart w:id="1397" w:name="_Toc377652890"/>
      <w:bookmarkStart w:id="1398" w:name="_Toc481482232"/>
      <w:bookmarkStart w:id="1399" w:name="_Toc497122888"/>
      <w:bookmarkStart w:id="1400" w:name="_Toc467076705"/>
      <w:bookmarkStart w:id="1401" w:name="_Toc481565834"/>
      <w:bookmarkStart w:id="1402" w:name="_Toc427229176"/>
      <w:bookmarkStart w:id="1403" w:name="_Toc28864"/>
      <w:r>
        <w:rPr>
          <w:rFonts w:hint="eastAsia" w:ascii="宋体" w:hAnsi="宋体" w:eastAsia="黑体" w:cs="宋体"/>
          <w:b/>
          <w:sz w:val="24"/>
          <w:szCs w:val="44"/>
          <w:highlight w:val="none"/>
        </w:rPr>
        <w:t>理</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bookmarkEnd w:id="1397"/>
    <w:bookmarkEnd w:id="1398"/>
    <w:bookmarkEnd w:id="1399"/>
    <w:bookmarkEnd w:id="1400"/>
    <w:bookmarkEnd w:id="1401"/>
    <w:bookmarkEnd w:id="1402"/>
    <w:bookmarkEnd w:id="1403"/>
    <w:p>
      <w:pPr>
        <w:tabs>
          <w:tab w:val="left" w:pos="0"/>
        </w:tabs>
        <w:outlineLvl w:val="2"/>
        <w:rPr>
          <w:rFonts w:ascii="宋体" w:hAnsi="宋体" w:cs="宋体"/>
          <w:b/>
          <w:highlight w:val="none"/>
        </w:rPr>
      </w:pPr>
      <w:bookmarkStart w:id="1404" w:name="_Toc534969211"/>
      <w:bookmarkStart w:id="1405" w:name="_Toc21856"/>
      <w:bookmarkStart w:id="1406" w:name="_Toc10832"/>
      <w:bookmarkStart w:id="1407" w:name="_Toc1168"/>
      <w:bookmarkStart w:id="1408" w:name="_Toc31187"/>
      <w:bookmarkStart w:id="1409" w:name="_Toc24389"/>
      <w:bookmarkStart w:id="1410" w:name="_Toc24564"/>
      <w:bookmarkStart w:id="1411" w:name="_Toc27729"/>
      <w:bookmarkStart w:id="1412" w:name="_Toc17593"/>
      <w:bookmarkStart w:id="1413" w:name="_Toc11102"/>
      <w:bookmarkStart w:id="1414" w:name="_Toc29627"/>
      <w:bookmarkStart w:id="1415" w:name="_Toc2784"/>
      <w:bookmarkStart w:id="1416" w:name="_Toc11407"/>
      <w:bookmarkStart w:id="1417" w:name="_Toc9279"/>
      <w:bookmarkStart w:id="1418" w:name="_Toc31333_WPSOffice_Level2"/>
      <w:bookmarkStart w:id="1419" w:name="_Toc18492"/>
      <w:bookmarkStart w:id="1420" w:name="_Toc21932_WPSOffice_Level2"/>
      <w:bookmarkStart w:id="1421" w:name="_Toc19844_WPSOffice_Level2"/>
      <w:bookmarkStart w:id="1422" w:name="_Toc19586"/>
      <w:bookmarkStart w:id="1423" w:name="_Toc3856"/>
      <w:bookmarkStart w:id="1424" w:name="_Toc5260"/>
      <w:bookmarkStart w:id="1425" w:name="_Toc7184"/>
      <w:bookmarkStart w:id="1426" w:name="_Toc31340"/>
      <w:bookmarkStart w:id="1427" w:name="_Toc12963"/>
      <w:bookmarkStart w:id="1428" w:name="_Toc13510"/>
      <w:bookmarkStart w:id="1429" w:name="_Toc23026"/>
      <w:r>
        <w:rPr>
          <w:rFonts w:ascii="宋体" w:hAnsi="宋体" w:cs="宋体"/>
          <w:b/>
          <w:highlight w:val="none"/>
        </w:rPr>
        <w:t>4.1</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r>
        <w:rPr>
          <w:rFonts w:ascii="宋体" w:hAnsi="宋体" w:cs="宋体"/>
          <w:b/>
          <w:highlight w:val="none"/>
        </w:rPr>
        <w:t>乙方资质</w:t>
      </w:r>
      <w:bookmarkEnd w:id="1418"/>
      <w:bookmarkEnd w:id="1419"/>
      <w:bookmarkEnd w:id="1420"/>
      <w:bookmarkEnd w:id="1421"/>
      <w:bookmarkEnd w:id="1422"/>
      <w:bookmarkEnd w:id="1423"/>
      <w:r>
        <w:rPr>
          <w:rFonts w:ascii="宋体" w:hAnsi="宋体" w:cs="宋体"/>
          <w:b/>
          <w:highlight w:val="none"/>
        </w:rPr>
        <w:t>、人员要求</w:t>
      </w:r>
      <w:bookmarkEnd w:id="1424"/>
      <w:bookmarkEnd w:id="1425"/>
      <w:bookmarkEnd w:id="1426"/>
      <w:bookmarkEnd w:id="1427"/>
      <w:bookmarkEnd w:id="1428"/>
      <w:bookmarkEnd w:id="1429"/>
    </w:p>
    <w:p>
      <w:pPr>
        <w:spacing w:before="0" w:after="0" w:afterAutospacing="0"/>
        <w:ind w:left="0" w:right="0" w:firstLine="420" w:firstLineChars="200"/>
        <w:outlineLvl w:val="3"/>
        <w:rPr>
          <w:rFonts w:ascii="宋体" w:hAnsi="宋体" w:cs="Arial"/>
          <w:highlight w:val="none"/>
        </w:rPr>
      </w:pPr>
      <w:bookmarkStart w:id="1430" w:name="_Toc14996"/>
      <w:r>
        <w:rPr>
          <w:rFonts w:ascii="宋体" w:hAnsi="宋体" w:cs="Arial"/>
          <w:highlight w:val="none"/>
        </w:rPr>
        <w:t>4.1.1乙方单位资质要求</w:t>
      </w:r>
      <w:bookmarkEnd w:id="1430"/>
    </w:p>
    <w:p>
      <w:pPr>
        <w:spacing w:before="0" w:after="0" w:afterAutospacing="0"/>
        <w:ind w:left="0" w:right="0" w:firstLine="420" w:firstLineChars="200"/>
        <w:rPr>
          <w:rFonts w:ascii="宋体" w:hAnsi="宋体" w:cs="Arial"/>
          <w:highlight w:val="none"/>
        </w:rPr>
      </w:pPr>
      <w:r>
        <w:rPr>
          <w:rFonts w:ascii="宋体" w:hAnsi="宋体" w:cs="Arial"/>
          <w:highlight w:val="none"/>
        </w:rPr>
        <w:t>4.1.1.1乙方为中华人民共和国境内依法设立的法人或其他组织。</w:t>
      </w:r>
    </w:p>
    <w:p>
      <w:pPr>
        <w:spacing w:before="0" w:after="0" w:afterAutospacing="0"/>
        <w:ind w:left="0" w:right="0" w:firstLine="420" w:firstLineChars="200"/>
        <w:rPr>
          <w:rFonts w:ascii="宋体" w:hAnsi="宋体" w:cs="Arial"/>
          <w:highlight w:val="none"/>
        </w:rPr>
      </w:pPr>
      <w:r>
        <w:rPr>
          <w:rFonts w:ascii="宋体" w:hAnsi="宋体" w:cs="Arial"/>
          <w:highlight w:val="none"/>
        </w:rPr>
        <w:t>4.1.1.2乙方自2017年1月1日（备注：近5年）至比选申请截止时间前至少承接过1项合同金额不少于10万元的</w:t>
      </w:r>
      <w:r>
        <w:rPr>
          <w:rFonts w:ascii="宋体" w:hAnsi="宋体"/>
          <w:highlight w:val="none"/>
        </w:rPr>
        <w:t>生活给水设备</w:t>
      </w:r>
      <w:r>
        <w:rPr>
          <w:rFonts w:ascii="宋体" w:hAnsi="宋体" w:cs="Arial"/>
          <w:highlight w:val="none"/>
        </w:rPr>
        <w:t>安装项目或参与</w:t>
      </w:r>
      <w:r>
        <w:rPr>
          <w:rFonts w:hint="eastAsia" w:ascii="宋体" w:hAnsi="宋体" w:cs="Arial"/>
          <w:highlight w:val="none"/>
          <w:lang w:eastAsia="zh-CN"/>
        </w:rPr>
        <w:t>1项轨道交通（车站数量不少于10座或者线路长度不少于12公里）综合机电设备（至少包含给排水专业）维修保养项目业绩</w:t>
      </w:r>
      <w:r>
        <w:rPr>
          <w:rFonts w:ascii="宋体" w:hAnsi="宋体" w:cs="Arial"/>
          <w:highlight w:val="none"/>
        </w:rPr>
        <w:t>。</w:t>
      </w:r>
    </w:p>
    <w:p>
      <w:pPr>
        <w:spacing w:before="0" w:after="0" w:afterAutospacing="0"/>
        <w:ind w:left="0" w:right="0" w:firstLine="420" w:firstLineChars="200"/>
        <w:rPr>
          <w:rFonts w:ascii="宋体" w:hAnsi="宋体" w:cs="Arial"/>
          <w:highlight w:val="none"/>
        </w:rPr>
      </w:pPr>
      <w:r>
        <w:rPr>
          <w:rFonts w:ascii="宋体" w:hAnsi="宋体" w:cs="Arial"/>
          <w:highlight w:val="none"/>
        </w:rPr>
        <w:t>业绩证明文件：合同或业主证明，合同或业主证明文件中须体现出合同双方、合同签订时间、合同服务、承接线路车站座数或线路长度等内容，否则视为无效证明文件。上述业绩可以是投标人自身的，也可以是其母公司的业绩，若为其母公司业绩时，须提供其母公司全额出资的证明材料，证明材料是指《国家企业信用信息公示系统》截图或公司章程关键页，同时按格式提供《业绩承诺函》，否则不予认可。不接受分包或转包的合同业绩。</w:t>
      </w:r>
    </w:p>
    <w:p>
      <w:pPr>
        <w:spacing w:before="0" w:after="0" w:afterAutospacing="0"/>
        <w:ind w:left="0" w:right="0" w:firstLine="420" w:firstLineChars="200"/>
        <w:rPr>
          <w:rFonts w:ascii="宋体" w:hAnsi="宋体" w:cs="Arial"/>
          <w:highlight w:val="none"/>
        </w:rPr>
      </w:pPr>
      <w:r>
        <w:rPr>
          <w:rFonts w:ascii="宋体" w:hAnsi="宋体" w:cs="Arial"/>
          <w:highlight w:val="none"/>
        </w:rPr>
        <w:t>4.1.1.3没有处于被行政主管部门或业主取消投标/比选申请资格的处罚期内，且没有处于被责令停业，财产被接管、破产状态；</w:t>
      </w:r>
      <w:r>
        <w:rPr>
          <w:rFonts w:hint="eastAsia" w:ascii="宋体" w:hAnsi="宋体"/>
          <w:color w:val="auto"/>
          <w:highlight w:val="none"/>
        </w:rPr>
        <w:t>比选申请截止时间前3年内</w:t>
      </w:r>
      <w:r>
        <w:rPr>
          <w:rFonts w:ascii="宋体" w:hAnsi="宋体" w:cs="Arial"/>
          <w:highlight w:val="none"/>
        </w:rPr>
        <w:t>没有骗取中标、严重违约或重大质量安全责任事故的情况。</w:t>
      </w:r>
    </w:p>
    <w:p>
      <w:pPr>
        <w:spacing w:before="0" w:after="0" w:afterAutospacing="0"/>
        <w:ind w:left="0" w:right="0" w:firstLine="420" w:firstLineChars="200"/>
        <w:rPr>
          <w:rFonts w:ascii="宋体" w:hAnsi="宋体" w:cs="Arial"/>
          <w:highlight w:val="none"/>
        </w:rPr>
      </w:pPr>
      <w:r>
        <w:rPr>
          <w:rFonts w:ascii="宋体" w:hAnsi="宋体" w:cs="Arial"/>
          <w:highlight w:val="none"/>
        </w:rPr>
        <w:t>4.1.1.4单位负责人为同一人或者存在控股、管理关系的不同单位，不得参加同一项目的比选申请。</w:t>
      </w:r>
    </w:p>
    <w:p>
      <w:pPr>
        <w:spacing w:before="0" w:after="0" w:afterAutospacing="0"/>
        <w:ind w:left="0" w:right="0" w:firstLine="420" w:firstLineChars="200"/>
        <w:rPr>
          <w:rFonts w:ascii="宋体" w:hAnsi="宋体" w:cs="Arial"/>
          <w:highlight w:val="none"/>
        </w:rPr>
      </w:pPr>
      <w:r>
        <w:rPr>
          <w:rFonts w:ascii="宋体" w:hAnsi="宋体" w:cs="Arial"/>
          <w:highlight w:val="none"/>
        </w:rPr>
        <w:t>4.1.1.5本项目不接受联合体参与比选申请。</w:t>
      </w:r>
    </w:p>
    <w:p>
      <w:pPr>
        <w:spacing w:before="0" w:after="0" w:afterAutospacing="0"/>
        <w:ind w:left="0" w:right="0" w:firstLine="420" w:firstLineChars="200"/>
        <w:outlineLvl w:val="3"/>
        <w:rPr>
          <w:rFonts w:ascii="宋体" w:hAnsi="宋体" w:cs="Arial"/>
          <w:highlight w:val="none"/>
        </w:rPr>
      </w:pPr>
      <w:bookmarkStart w:id="1431" w:name="_Toc12419"/>
      <w:r>
        <w:rPr>
          <w:rFonts w:ascii="宋体" w:hAnsi="宋体" w:cs="Arial"/>
          <w:highlight w:val="none"/>
        </w:rPr>
        <w:t>4.1.2乙方须配置的人员要求</w:t>
      </w:r>
      <w:bookmarkEnd w:id="1431"/>
    </w:p>
    <w:p>
      <w:pPr>
        <w:spacing w:before="0" w:after="0" w:afterAutospacing="0"/>
        <w:ind w:left="0" w:right="0" w:firstLine="420" w:firstLineChars="200"/>
        <w:rPr>
          <w:rFonts w:ascii="宋体" w:hAnsi="宋体" w:cs="Arial"/>
          <w:color w:val="auto"/>
          <w:highlight w:val="none"/>
        </w:rPr>
      </w:pPr>
      <w:r>
        <w:rPr>
          <w:rFonts w:ascii="宋体" w:hAnsi="宋体" w:cs="Arial"/>
          <w:highlight w:val="none"/>
        </w:rPr>
        <w:t>4.1.2.</w:t>
      </w:r>
      <w:r>
        <w:rPr>
          <w:rFonts w:ascii="宋体" w:hAnsi="宋体" w:cs="Arial"/>
          <w:color w:val="auto"/>
          <w:highlight w:val="none"/>
        </w:rPr>
        <w:t>1为保证本项目安全、顺利、高效、可靠地实施，乙方需针对本项目配置1名项目经理</w:t>
      </w:r>
      <w:r>
        <w:rPr>
          <w:rFonts w:hint="eastAsia" w:ascii="宋体" w:hAnsi="宋体" w:cs="Arial"/>
          <w:color w:val="auto"/>
          <w:highlight w:val="none"/>
          <w:lang w:eastAsia="zh-CN"/>
        </w:rPr>
        <w:t>（兼</w:t>
      </w:r>
      <w:r>
        <w:rPr>
          <w:rFonts w:ascii="宋体" w:hAnsi="宋体" w:cs="Arial"/>
          <w:color w:val="auto"/>
          <w:highlight w:val="none"/>
        </w:rPr>
        <w:t>技术负责人</w:t>
      </w:r>
      <w:r>
        <w:rPr>
          <w:rFonts w:hint="eastAsia" w:ascii="宋体" w:hAnsi="宋体" w:cs="Arial"/>
          <w:color w:val="auto"/>
          <w:highlight w:val="none"/>
        </w:rPr>
        <w:t>）</w:t>
      </w:r>
      <w:r>
        <w:rPr>
          <w:rFonts w:ascii="宋体" w:hAnsi="宋体" w:cs="Arial"/>
          <w:color w:val="auto"/>
          <w:highlight w:val="none"/>
        </w:rPr>
        <w:t>以及专门的施工人员。</w:t>
      </w:r>
    </w:p>
    <w:p>
      <w:pPr>
        <w:spacing w:before="0" w:after="0" w:afterAutospacing="0"/>
        <w:ind w:left="0" w:right="0" w:firstLine="420" w:firstLineChars="200"/>
        <w:rPr>
          <w:rFonts w:ascii="宋体" w:hAnsi="宋体" w:cs="Arial"/>
          <w:highlight w:val="none"/>
        </w:rPr>
      </w:pPr>
      <w:r>
        <w:rPr>
          <w:rFonts w:ascii="宋体" w:hAnsi="宋体" w:cs="Arial"/>
          <w:highlight w:val="none"/>
        </w:rPr>
        <w:t>4.1.2.2施工作业过程中，各项工作安排合理，对于每项作业乙方必须指定相应的施工负责人，施工负责人必须经过甲方组织的施工负责人培训且考试合格。</w:t>
      </w:r>
    </w:p>
    <w:p>
      <w:pPr>
        <w:spacing w:before="0" w:after="0" w:afterAutospacing="0"/>
        <w:ind w:left="0" w:right="0" w:firstLine="420" w:firstLineChars="200"/>
        <w:rPr>
          <w:rFonts w:ascii="宋体" w:hAnsi="宋体" w:cs="Arial"/>
          <w:highlight w:val="none"/>
        </w:rPr>
      </w:pPr>
      <w:r>
        <w:rPr>
          <w:rFonts w:ascii="宋体" w:hAnsi="宋体" w:cs="Arial"/>
          <w:highlight w:val="none"/>
        </w:rPr>
        <w:t>4.1.2.3乙方须如实地将参与本项目的所有人员的名单、工作资历、身份证明及特种作业证等信息报送甲方审查备案。</w:t>
      </w:r>
    </w:p>
    <w:p>
      <w:pPr>
        <w:spacing w:before="0" w:after="0" w:afterAutospacing="0"/>
        <w:ind w:left="0" w:right="0" w:firstLine="420" w:firstLineChars="200"/>
        <w:rPr>
          <w:rFonts w:ascii="宋体" w:hAnsi="宋体" w:cs="Arial"/>
          <w:highlight w:val="none"/>
        </w:rPr>
      </w:pPr>
      <w:r>
        <w:rPr>
          <w:rFonts w:ascii="宋体" w:hAnsi="宋体" w:cs="Arial"/>
          <w:highlight w:val="none"/>
        </w:rPr>
        <w:t>4.1.2.4特种设备及特种施工人员（如涉及电工作业、电焊作业等），必须持有政府相关部门颁发的特种作业操作证方可上岗作业，并按照相关要求佩戴配套的防护劳保用品进行作业，严禁无证或有证不按照要求佩戴防护、劳保用品人员上岗作业。</w:t>
      </w:r>
    </w:p>
    <w:p>
      <w:pPr>
        <w:spacing w:before="0" w:after="0" w:afterAutospacing="0"/>
        <w:ind w:left="0" w:right="0" w:firstLine="420" w:firstLineChars="200"/>
        <w:rPr>
          <w:rFonts w:ascii="宋体" w:hAnsi="宋体" w:cs="Arial"/>
          <w:highlight w:val="none"/>
        </w:rPr>
      </w:pPr>
      <w:r>
        <w:rPr>
          <w:rFonts w:ascii="宋体" w:hAnsi="宋体" w:cs="Arial"/>
          <w:highlight w:val="none"/>
        </w:rPr>
        <w:t>4.1.2.5乙方人员食宿及生产交通工具需自行解决。</w:t>
      </w:r>
    </w:p>
    <w:p>
      <w:pPr>
        <w:spacing w:before="0" w:after="0" w:afterAutospacing="0"/>
        <w:ind w:left="0" w:right="0" w:firstLine="420" w:firstLineChars="200"/>
        <w:rPr>
          <w:rFonts w:ascii="宋体" w:hAnsi="宋体" w:cs="Arial"/>
          <w:highlight w:val="none"/>
        </w:rPr>
      </w:pPr>
      <w:r>
        <w:rPr>
          <w:rFonts w:ascii="宋体" w:hAnsi="宋体" w:cs="Arial"/>
          <w:highlight w:val="none"/>
        </w:rPr>
        <w:t>4.1.2.6乙方从事本项目的人员，必须提供与乙方的劳动关系证明。</w:t>
      </w:r>
    </w:p>
    <w:p>
      <w:pPr>
        <w:spacing w:before="0" w:after="0" w:afterAutospacing="0"/>
        <w:ind w:left="0" w:right="0" w:firstLine="420" w:firstLineChars="200"/>
        <w:rPr>
          <w:rFonts w:ascii="宋体" w:hAnsi="宋体" w:cs="Arial"/>
          <w:highlight w:val="none"/>
        </w:rPr>
      </w:pPr>
      <w:r>
        <w:rPr>
          <w:rFonts w:ascii="宋体" w:hAnsi="宋体" w:cs="Arial"/>
          <w:highlight w:val="none"/>
        </w:rPr>
        <w:t>4.1.2.7甲方可根据现场工作需求，有权要求乙方更换不符合要求的人员。</w:t>
      </w:r>
    </w:p>
    <w:p>
      <w:pPr>
        <w:spacing w:before="0" w:after="0" w:afterAutospacing="0"/>
        <w:ind w:left="0" w:right="0" w:firstLine="420" w:firstLineChars="200"/>
        <w:rPr>
          <w:rFonts w:ascii="宋体" w:hAnsi="宋体" w:cs="Arial"/>
          <w:highlight w:val="none"/>
        </w:rPr>
      </w:pPr>
      <w:r>
        <w:rPr>
          <w:rFonts w:ascii="宋体" w:hAnsi="宋体" w:cs="Arial"/>
          <w:highlight w:val="none"/>
        </w:rPr>
        <w:t>4.1.2.8所有人员不得兼职，且工作时间须在现场服务。</w:t>
      </w:r>
    </w:p>
    <w:p>
      <w:pPr>
        <w:autoSpaceDE w:val="0"/>
        <w:outlineLvl w:val="2"/>
        <w:rPr>
          <w:rFonts w:ascii="宋体" w:hAnsi="宋体" w:cs="宋体"/>
          <w:b/>
          <w:highlight w:val="none"/>
        </w:rPr>
      </w:pPr>
      <w:bookmarkStart w:id="1432" w:name="_Toc238"/>
      <w:bookmarkStart w:id="1433" w:name="_Toc21290"/>
      <w:bookmarkStart w:id="1434" w:name="_Toc27208"/>
      <w:bookmarkStart w:id="1435" w:name="_Toc4540"/>
      <w:r>
        <w:rPr>
          <w:rFonts w:ascii="宋体" w:hAnsi="宋体" w:cs="宋体"/>
          <w:b/>
          <w:highlight w:val="none"/>
        </w:rPr>
        <w:t>4.2项目质量管理</w:t>
      </w:r>
      <w:bookmarkEnd w:id="1432"/>
      <w:bookmarkEnd w:id="1433"/>
      <w:bookmarkEnd w:id="1434"/>
      <w:bookmarkEnd w:id="1435"/>
    </w:p>
    <w:p>
      <w:pPr>
        <w:spacing w:before="0" w:after="0" w:afterAutospacing="0"/>
        <w:ind w:left="0" w:right="0" w:firstLine="420" w:firstLineChars="200"/>
        <w:outlineLvl w:val="3"/>
        <w:rPr>
          <w:rFonts w:ascii="宋体" w:hAnsi="宋体" w:cs="Arial"/>
          <w:highlight w:val="none"/>
        </w:rPr>
      </w:pPr>
      <w:r>
        <w:rPr>
          <w:rFonts w:ascii="宋体" w:hAnsi="宋体" w:cs="Arial"/>
          <w:highlight w:val="none"/>
        </w:rPr>
        <w:t>4.2.1乙方必须自行配备满足本项目要求的材料、工机具设备、交通工具等，并按国家或地方政府及有关部门相关规定处理施工后产生的垃圾，上述费用含在比选申请总价中。</w:t>
      </w:r>
    </w:p>
    <w:p>
      <w:pPr>
        <w:spacing w:before="0" w:after="0" w:afterAutospacing="0"/>
        <w:ind w:left="0" w:right="0" w:firstLine="420" w:firstLineChars="200"/>
        <w:rPr>
          <w:rFonts w:ascii="宋体" w:hAnsi="宋体" w:cs="Arial"/>
          <w:highlight w:val="none"/>
        </w:rPr>
      </w:pPr>
      <w:r>
        <w:rPr>
          <w:rFonts w:ascii="宋体" w:hAnsi="宋体" w:cs="Arial"/>
          <w:highlight w:val="none"/>
        </w:rPr>
        <w:t>4.2.2乙方在比选申请报价和施工方案设计时应充分考虑技术条件的要求，对本项目的比选申请报价应被认为己充分理解本项目的技术条件。</w:t>
      </w:r>
    </w:p>
    <w:p>
      <w:pPr>
        <w:spacing w:before="0" w:after="0" w:afterAutospacing="0"/>
        <w:ind w:left="0" w:right="0" w:firstLine="420" w:firstLineChars="200"/>
        <w:rPr>
          <w:rFonts w:ascii="宋体" w:hAnsi="宋体" w:cs="Arial"/>
          <w:highlight w:val="none"/>
        </w:rPr>
      </w:pPr>
      <w:r>
        <w:rPr>
          <w:rFonts w:ascii="宋体" w:hAnsi="宋体" w:cs="Arial"/>
          <w:highlight w:val="none"/>
        </w:rPr>
        <w:t>4.2.3乙方应负责办理开展工作所需的证件、批件和其它必要的申请批准手续，甲方在必要时予以配合。</w:t>
      </w:r>
    </w:p>
    <w:p>
      <w:pPr>
        <w:spacing w:before="0" w:after="0" w:afterAutospacing="0"/>
        <w:ind w:left="0" w:right="0" w:firstLine="420" w:firstLineChars="200"/>
        <w:rPr>
          <w:rFonts w:ascii="宋体" w:hAnsi="宋体" w:cs="Arial"/>
          <w:highlight w:val="none"/>
        </w:rPr>
      </w:pPr>
      <w:r>
        <w:rPr>
          <w:rFonts w:ascii="宋体" w:hAnsi="宋体" w:cs="Arial"/>
          <w:highlight w:val="none"/>
        </w:rPr>
        <w:t>4.2.4乙方如对比选申请文件有不同意见应在比选申请时提出，否则甲方视同认可。</w:t>
      </w:r>
    </w:p>
    <w:p>
      <w:pPr>
        <w:spacing w:before="0" w:after="0" w:afterAutospacing="0"/>
        <w:ind w:left="0" w:right="0" w:firstLine="420" w:firstLineChars="200"/>
        <w:rPr>
          <w:rFonts w:ascii="宋体" w:hAnsi="宋体" w:cs="Arial"/>
          <w:highlight w:val="none"/>
        </w:rPr>
      </w:pPr>
      <w:r>
        <w:rPr>
          <w:rFonts w:ascii="宋体" w:hAnsi="宋体" w:cs="Arial"/>
          <w:highlight w:val="none"/>
        </w:rPr>
        <w:t>4.2.5乙方应遵守国家或地方政府及有关部门对施工现场管理的规定，妥善保护好施工现场周围建筑物、设备管线不受损坏。做好施工现场保卫和垃圾消纳等工作，处理好由于施工带来的扰民问题。</w:t>
      </w:r>
    </w:p>
    <w:p>
      <w:pPr>
        <w:autoSpaceDE w:val="0"/>
        <w:outlineLvl w:val="2"/>
        <w:rPr>
          <w:rFonts w:ascii="宋体" w:hAnsi="宋体" w:cs="宋体"/>
          <w:b/>
          <w:highlight w:val="none"/>
        </w:rPr>
      </w:pPr>
      <w:bookmarkStart w:id="1436" w:name="_Toc20949"/>
      <w:bookmarkStart w:id="1437" w:name="_Toc4496"/>
      <w:bookmarkStart w:id="1438" w:name="_Toc31510"/>
      <w:bookmarkStart w:id="1439" w:name="_Toc29825"/>
      <w:bookmarkStart w:id="1440" w:name="_Toc23640"/>
      <w:bookmarkStart w:id="1441" w:name="_Toc22507"/>
      <w:r>
        <w:rPr>
          <w:rFonts w:ascii="宋体" w:hAnsi="宋体" w:cs="宋体"/>
          <w:b/>
          <w:highlight w:val="none"/>
        </w:rPr>
        <w:t>4.3项目安全管理</w:t>
      </w:r>
      <w:bookmarkEnd w:id="1436"/>
      <w:bookmarkEnd w:id="1437"/>
      <w:bookmarkEnd w:id="1438"/>
      <w:bookmarkEnd w:id="1439"/>
      <w:bookmarkEnd w:id="1440"/>
      <w:bookmarkEnd w:id="1441"/>
    </w:p>
    <w:p>
      <w:pPr>
        <w:spacing w:before="0" w:after="0" w:afterAutospacing="0"/>
        <w:ind w:left="0" w:right="0" w:firstLine="420" w:firstLineChars="200"/>
        <w:rPr>
          <w:rFonts w:ascii="宋体" w:hAnsi="宋体" w:cs="Arial"/>
          <w:highlight w:val="none"/>
        </w:rPr>
      </w:pPr>
      <w:r>
        <w:rPr>
          <w:rFonts w:ascii="宋体" w:hAnsi="宋体" w:cs="Arial"/>
          <w:highlight w:val="none"/>
        </w:rPr>
        <w:t>4.3.1 严格遵守执行国家、地方、行业的相关法律、法规、规范、规程、标准及甲方规章制度等各项管理制度和规定。遵守甲方安全管理相关规章制度，并按安全管理架构要求组建安全管理体系。</w:t>
      </w:r>
    </w:p>
    <w:p>
      <w:pPr>
        <w:spacing w:before="0" w:after="0" w:afterAutospacing="0"/>
        <w:ind w:left="0" w:right="0" w:firstLine="420" w:firstLineChars="200"/>
        <w:rPr>
          <w:rFonts w:ascii="宋体" w:hAnsi="宋体" w:cs="Arial"/>
          <w:highlight w:val="none"/>
        </w:rPr>
      </w:pPr>
      <w:r>
        <w:rPr>
          <w:rFonts w:ascii="宋体" w:hAnsi="宋体" w:cs="Arial"/>
          <w:highlight w:val="none"/>
        </w:rPr>
        <w:t>4.3.2 乙方与甲方签订安全协议。</w:t>
      </w:r>
    </w:p>
    <w:p>
      <w:pPr>
        <w:spacing w:before="0" w:after="0" w:afterAutospacing="0"/>
        <w:ind w:left="0" w:right="0" w:firstLine="420" w:firstLineChars="200"/>
        <w:rPr>
          <w:rFonts w:ascii="宋体" w:hAnsi="宋体" w:cs="Arial"/>
          <w:highlight w:val="none"/>
        </w:rPr>
      </w:pPr>
      <w:r>
        <w:rPr>
          <w:rFonts w:ascii="宋体" w:hAnsi="宋体" w:cs="Arial"/>
          <w:highlight w:val="none"/>
        </w:rPr>
        <w:t>4.3.3 在正常作业过程中凡乙方人员出现伤亡情况及因此导致的所有损失均由乙方自行负责。由于事故造成甲方或第三方人身伤亡或财产损失，可能引发争议，由乙方承担责任。产生诉讼的，乙方应独立应诉，承担一切诉讼后果。</w:t>
      </w:r>
    </w:p>
    <w:p>
      <w:pPr>
        <w:spacing w:before="0" w:after="0" w:afterAutospacing="0"/>
        <w:ind w:left="0" w:right="0" w:firstLine="420" w:firstLineChars="200"/>
        <w:rPr>
          <w:rFonts w:ascii="宋体" w:hAnsi="宋体" w:cs="Arial"/>
          <w:highlight w:val="none"/>
        </w:rPr>
      </w:pPr>
      <w:r>
        <w:rPr>
          <w:rFonts w:ascii="宋体" w:hAnsi="宋体" w:cs="Arial"/>
          <w:highlight w:val="none"/>
        </w:rPr>
        <w:t>4.3.4 乙方对合同范围内的施工工作有失误或渎职而引发的事故/事件，由乙方负全部责任，承担因此给甲方造成的直接和间接经济损失。</w:t>
      </w:r>
    </w:p>
    <w:p>
      <w:pPr>
        <w:spacing w:before="0" w:after="0" w:afterAutospacing="0"/>
        <w:ind w:left="0" w:right="0" w:firstLine="420" w:firstLineChars="200"/>
        <w:rPr>
          <w:rFonts w:ascii="宋体" w:hAnsi="宋体" w:cs="Arial"/>
          <w:highlight w:val="none"/>
        </w:rPr>
      </w:pPr>
      <w:r>
        <w:rPr>
          <w:rFonts w:ascii="宋体" w:hAnsi="宋体" w:cs="Arial"/>
          <w:highlight w:val="none"/>
        </w:rPr>
        <w:t>4.3.5 所有作业的施工人员应遵守甲方的企业标准《运营公司施工管理规定》，按照施工规范、方案和各项安全操作规程进行作业。乙方施工负责人上岗前必须经过甲方的三级安全培训。</w:t>
      </w:r>
    </w:p>
    <w:p>
      <w:pPr>
        <w:spacing w:before="0" w:after="0" w:afterAutospacing="0"/>
        <w:ind w:left="0" w:right="0" w:firstLine="420" w:firstLineChars="200"/>
        <w:rPr>
          <w:rFonts w:ascii="宋体" w:hAnsi="宋体" w:cs="Arial"/>
          <w:highlight w:val="none"/>
        </w:rPr>
      </w:pPr>
      <w:r>
        <w:rPr>
          <w:rFonts w:ascii="宋体" w:hAnsi="宋体" w:cs="Arial"/>
          <w:highlight w:val="none"/>
        </w:rPr>
        <w:t>4.3.6 在施工现场，由施工负责人负责开展班前安全交底会，并完成签字手续及保存资料。</w:t>
      </w:r>
    </w:p>
    <w:p>
      <w:pPr>
        <w:spacing w:before="0" w:after="0" w:afterAutospacing="0"/>
        <w:ind w:left="0" w:right="0" w:firstLine="420" w:firstLineChars="200"/>
        <w:rPr>
          <w:rFonts w:ascii="宋体" w:hAnsi="宋体" w:cs="Arial"/>
          <w:highlight w:val="none"/>
        </w:rPr>
      </w:pPr>
      <w:r>
        <w:rPr>
          <w:rFonts w:ascii="宋体" w:hAnsi="宋体" w:cs="Arial"/>
          <w:highlight w:val="none"/>
        </w:rPr>
        <w:t>4.3.7 乙方须根据甲方相关施工管理及安全管理规定要求，严格执行请销点制度，施工负责人在进出作业现场前后必须做好人机物料的清点、拍照比对工作，在作业结束前30分钟必须完成当次作业的安全出清检查工作。</w:t>
      </w:r>
    </w:p>
    <w:p>
      <w:pPr>
        <w:spacing w:before="0" w:after="0" w:afterAutospacing="0"/>
        <w:ind w:left="0" w:right="0" w:firstLine="420" w:firstLineChars="200"/>
        <w:rPr>
          <w:rFonts w:ascii="宋体" w:hAnsi="宋体" w:cs="Arial"/>
          <w:highlight w:val="none"/>
        </w:rPr>
      </w:pPr>
      <w:r>
        <w:rPr>
          <w:rFonts w:ascii="宋体" w:hAnsi="宋体" w:cs="Arial"/>
          <w:highlight w:val="none"/>
        </w:rPr>
        <w:t>4.3.8 所有施工人员和管理人员要熟悉掌握消防设施的性能和使用方法，非火灾情况不得触碰消防器材。除动火作业外施工现场严禁烟火。</w:t>
      </w:r>
    </w:p>
    <w:p>
      <w:pPr>
        <w:spacing w:before="0" w:after="0" w:afterAutospacing="0"/>
        <w:ind w:left="0" w:right="0" w:firstLine="420" w:firstLineChars="200"/>
        <w:rPr>
          <w:rFonts w:ascii="宋体" w:hAnsi="宋体" w:cs="Arial"/>
          <w:highlight w:val="none"/>
        </w:rPr>
      </w:pPr>
      <w:r>
        <w:rPr>
          <w:rFonts w:ascii="宋体" w:hAnsi="宋体" w:cs="Arial"/>
          <w:highlight w:val="none"/>
        </w:rPr>
        <w:t>4.3.9在施工中如有动火作业、电焊作业等特种作业，必须提前向甲方办理特种作业审批手续，施工人员必须持特种作业操作证上岗，严禁违规操作。同时建立特种操作证件相关台帐和记录。</w:t>
      </w:r>
    </w:p>
    <w:p>
      <w:pPr>
        <w:spacing w:before="0" w:after="0" w:afterAutospacing="0"/>
        <w:ind w:left="0" w:right="0" w:firstLine="420" w:firstLineChars="200"/>
        <w:rPr>
          <w:rFonts w:ascii="宋体" w:hAnsi="宋体" w:cs="Arial"/>
          <w:highlight w:val="none"/>
        </w:rPr>
      </w:pPr>
      <w:r>
        <w:rPr>
          <w:rFonts w:ascii="宋体" w:hAnsi="宋体" w:cs="Arial"/>
          <w:highlight w:val="none"/>
        </w:rPr>
        <w:t>4.3.10乙方施工人员在开展施工作业期间，在车站内必须全程穿工作服和劳保鞋、戴安全帽、遵守劳动纪律，服从安全人员的指挥，严禁在车站内任何地点抽烟、喝酒、睡觉、嬉戏、赤脚、穿拖鞋、着装不整，不听劝告者不得进入施工现场。</w:t>
      </w:r>
    </w:p>
    <w:p>
      <w:pPr>
        <w:spacing w:before="0" w:after="0" w:afterAutospacing="0"/>
        <w:ind w:left="0" w:right="0" w:firstLine="420" w:firstLineChars="200"/>
        <w:rPr>
          <w:rFonts w:ascii="宋体" w:hAnsi="宋体" w:cs="Arial"/>
          <w:highlight w:val="none"/>
        </w:rPr>
      </w:pPr>
      <w:r>
        <w:rPr>
          <w:rFonts w:ascii="宋体" w:hAnsi="宋体" w:cs="Arial"/>
          <w:highlight w:val="none"/>
        </w:rPr>
        <w:t>4.3.11高空作业应采取安全可靠的措施，高空作业必须系安全带，不得穿硬底或带钉的鞋，不得往下投掷物料。</w:t>
      </w:r>
    </w:p>
    <w:p>
      <w:pPr>
        <w:spacing w:before="0" w:after="0" w:afterAutospacing="0"/>
        <w:ind w:left="0" w:right="0" w:firstLine="420" w:firstLineChars="200"/>
        <w:rPr>
          <w:rFonts w:ascii="宋体" w:hAnsi="宋体" w:cs="Arial"/>
          <w:highlight w:val="none"/>
        </w:rPr>
      </w:pPr>
      <w:r>
        <w:rPr>
          <w:rFonts w:ascii="宋体" w:hAnsi="宋体" w:cs="Arial"/>
          <w:highlight w:val="none"/>
        </w:rPr>
        <w:t>4.3.12施工前应对地铁内的运行设施做好保护措施，不得损坏地铁设施及影响地铁正常运行，如发生意外应及时向甲方有关部门反映并采取措施。</w:t>
      </w:r>
    </w:p>
    <w:p>
      <w:pPr>
        <w:spacing w:before="0" w:after="0" w:afterAutospacing="0"/>
        <w:ind w:left="0" w:right="0" w:firstLine="420" w:firstLineChars="200"/>
        <w:rPr>
          <w:rFonts w:ascii="宋体" w:hAnsi="宋体" w:cs="Arial"/>
          <w:highlight w:val="none"/>
        </w:rPr>
      </w:pPr>
      <w:r>
        <w:rPr>
          <w:rFonts w:ascii="宋体" w:hAnsi="宋体" w:cs="Arial"/>
          <w:highlight w:val="none"/>
        </w:rPr>
        <w:t>4.3.13严禁乙方使用列车、扶梯、垂直电梯搬运超大、超重工器具，乘车携带工具包需要配合安检，并从列车头、尾上下列车。</w:t>
      </w:r>
    </w:p>
    <w:p>
      <w:pPr>
        <w:spacing w:before="0" w:after="0" w:afterAutospacing="0"/>
        <w:ind w:left="0" w:right="0" w:firstLine="420" w:firstLineChars="200"/>
        <w:rPr>
          <w:rFonts w:ascii="宋体" w:hAnsi="宋体" w:cs="Arial"/>
          <w:highlight w:val="none"/>
        </w:rPr>
      </w:pPr>
      <w:r>
        <w:rPr>
          <w:rFonts w:ascii="宋体" w:hAnsi="宋体" w:cs="Arial"/>
          <w:highlight w:val="none"/>
        </w:rPr>
        <w:t>4.3.14 甲方为乙方提供的相关规章和制度文本资料，乙方不得外泄。乙方造成资料外泄的应承担全部责任。</w:t>
      </w:r>
    </w:p>
    <w:p>
      <w:pPr>
        <w:spacing w:before="0" w:after="0" w:afterAutospacing="0"/>
        <w:ind w:left="0" w:right="0" w:firstLine="420" w:firstLineChars="200"/>
        <w:rPr>
          <w:rFonts w:ascii="宋体" w:hAnsi="宋体" w:cs="Arial"/>
          <w:highlight w:val="none"/>
        </w:rPr>
      </w:pPr>
      <w:r>
        <w:rPr>
          <w:rFonts w:ascii="宋体" w:hAnsi="宋体" w:cs="Arial"/>
          <w:highlight w:val="none"/>
        </w:rPr>
        <w:t>4.3.15培训要求</w:t>
      </w:r>
    </w:p>
    <w:p>
      <w:pPr>
        <w:spacing w:before="0" w:after="0" w:afterAutospacing="0"/>
        <w:ind w:left="0" w:right="0" w:firstLine="420" w:firstLineChars="200"/>
        <w:rPr>
          <w:rFonts w:ascii="宋体" w:hAnsi="宋体" w:cs="Arial"/>
          <w:highlight w:val="none"/>
        </w:rPr>
      </w:pPr>
      <w:r>
        <w:rPr>
          <w:rFonts w:ascii="宋体" w:hAnsi="宋体" w:cs="Arial"/>
          <w:highlight w:val="none"/>
        </w:rPr>
        <w:t>4.3.15.1乙方作业应遵守甲方的企业标准《运营公司施工管理规定》等相关施工管理规定，并必须按照施工规范、方案和各项安全操作规程进行作业。</w:t>
      </w:r>
    </w:p>
    <w:p>
      <w:pPr>
        <w:spacing w:before="0" w:after="0" w:afterAutospacing="0"/>
        <w:ind w:left="0" w:right="0" w:firstLine="420" w:firstLineChars="200"/>
        <w:rPr>
          <w:rFonts w:ascii="宋体" w:hAnsi="宋体" w:cs="Arial"/>
          <w:highlight w:val="none"/>
        </w:rPr>
      </w:pPr>
      <w:r>
        <w:rPr>
          <w:rFonts w:ascii="宋体" w:hAnsi="宋体" w:cs="Arial"/>
          <w:highlight w:val="none"/>
        </w:rPr>
        <w:t>4.3.15.2乙方应该强化人员技能培训以及对甲方规章制度及文本的学习，强化危险源学习。</w:t>
      </w:r>
    </w:p>
    <w:p>
      <w:pPr>
        <w:spacing w:before="0" w:after="0" w:afterAutospacing="0"/>
        <w:ind w:left="0" w:right="0" w:firstLine="420" w:firstLineChars="200"/>
        <w:rPr>
          <w:rFonts w:ascii="宋体" w:hAnsi="宋体" w:cs="Arial"/>
          <w:highlight w:val="none"/>
        </w:rPr>
      </w:pPr>
      <w:r>
        <w:rPr>
          <w:rFonts w:ascii="宋体" w:hAnsi="宋体" w:cs="Arial"/>
          <w:highlight w:val="none"/>
        </w:rPr>
        <w:t>4.3.15.3乙方须重视对施工人员的安全教育工作，提高施工人员的安全责任意识。</w:t>
      </w:r>
    </w:p>
    <w:p>
      <w:pPr>
        <w:spacing w:before="0" w:after="0" w:afterAutospacing="0"/>
        <w:ind w:left="0" w:right="0" w:firstLine="420" w:firstLineChars="200"/>
        <w:rPr>
          <w:rFonts w:ascii="宋体" w:hAnsi="宋体" w:cs="Arial"/>
          <w:highlight w:val="none"/>
        </w:rPr>
      </w:pPr>
      <w:r>
        <w:rPr>
          <w:rFonts w:ascii="宋体" w:hAnsi="宋体" w:cs="Arial"/>
          <w:highlight w:val="none"/>
        </w:rPr>
        <w:t>4.3.15.4乙方施工人员进场后，甲方可提供安全培训，该培训不能代替乙方自身对施工人员的安全及技能培训。</w:t>
      </w:r>
    </w:p>
    <w:p>
      <w:pPr>
        <w:spacing w:before="0" w:after="0" w:afterAutospacing="0"/>
        <w:ind w:left="0" w:right="0" w:firstLine="420" w:firstLineChars="200"/>
        <w:rPr>
          <w:rFonts w:ascii="宋体" w:hAnsi="宋体" w:cs="Arial"/>
          <w:highlight w:val="none"/>
        </w:rPr>
      </w:pPr>
      <w:r>
        <w:rPr>
          <w:rFonts w:ascii="宋体" w:hAnsi="宋体" w:cs="Arial"/>
          <w:highlight w:val="none"/>
        </w:rPr>
        <w:t>4.3.16劳动纪律</w:t>
      </w:r>
    </w:p>
    <w:p>
      <w:pPr>
        <w:spacing w:before="0" w:after="0" w:afterAutospacing="0"/>
        <w:ind w:left="0" w:right="0" w:firstLine="420" w:firstLineChars="200"/>
        <w:rPr>
          <w:rFonts w:ascii="宋体" w:hAnsi="宋体" w:cs="Arial"/>
          <w:highlight w:val="none"/>
        </w:rPr>
      </w:pPr>
      <w:r>
        <w:rPr>
          <w:rFonts w:ascii="宋体" w:hAnsi="宋体" w:cs="Arial"/>
          <w:highlight w:val="none"/>
        </w:rPr>
        <w:t>4.3.16.1乙方施工人员在工作现场须统一着装，按要求佩戴相关证件。</w:t>
      </w:r>
    </w:p>
    <w:p>
      <w:pPr>
        <w:spacing w:before="0" w:after="0" w:afterAutospacing="0"/>
        <w:ind w:left="0" w:right="0" w:firstLine="420" w:firstLineChars="200"/>
        <w:rPr>
          <w:rFonts w:ascii="宋体" w:hAnsi="宋体" w:cs="Arial"/>
          <w:highlight w:val="none"/>
        </w:rPr>
      </w:pPr>
      <w:r>
        <w:rPr>
          <w:rFonts w:ascii="宋体" w:hAnsi="宋体" w:cs="Arial"/>
          <w:highlight w:val="none"/>
        </w:rPr>
        <w:t>4.3.16.2乙方施工人员须服从甲方人员的指挥，严禁在施工场地睡觉、嬉戏。</w:t>
      </w:r>
    </w:p>
    <w:p>
      <w:pPr>
        <w:spacing w:before="0" w:after="0" w:afterAutospacing="0"/>
        <w:ind w:left="0" w:right="0" w:firstLine="420" w:firstLineChars="200"/>
        <w:rPr>
          <w:rFonts w:ascii="宋体" w:hAnsi="宋体" w:cs="Arial"/>
          <w:highlight w:val="none"/>
        </w:rPr>
      </w:pPr>
      <w:r>
        <w:rPr>
          <w:rFonts w:ascii="宋体" w:hAnsi="宋体" w:cs="Arial"/>
          <w:highlight w:val="none"/>
        </w:rPr>
        <w:t>4.3.16.3乙方施工人员严禁在车站内任何吸烟；班前6小时禁止饮酒。</w:t>
      </w:r>
    </w:p>
    <w:p>
      <w:pPr>
        <w:spacing w:before="0" w:after="0" w:afterAutospacing="0"/>
        <w:ind w:left="0" w:right="0" w:firstLine="420" w:firstLineChars="200"/>
        <w:rPr>
          <w:rFonts w:ascii="宋体" w:hAnsi="宋体" w:cs="Arial"/>
          <w:highlight w:val="none"/>
        </w:rPr>
      </w:pPr>
      <w:r>
        <w:rPr>
          <w:rFonts w:ascii="宋体" w:hAnsi="宋体" w:cs="Arial"/>
          <w:highlight w:val="none"/>
        </w:rPr>
        <w:t>4.3.16.4未经甲方允许不得私自外传相关资料、信息。</w:t>
      </w:r>
    </w:p>
    <w:p>
      <w:pPr>
        <w:spacing w:before="0" w:after="0" w:afterAutospacing="0"/>
        <w:ind w:left="0" w:right="0" w:firstLine="420" w:firstLineChars="200"/>
        <w:rPr>
          <w:rFonts w:ascii="宋体" w:hAnsi="宋体" w:cs="Arial"/>
          <w:highlight w:val="none"/>
        </w:rPr>
      </w:pPr>
      <w:r>
        <w:rPr>
          <w:rFonts w:ascii="宋体" w:hAnsi="宋体" w:cs="Arial"/>
          <w:highlight w:val="none"/>
        </w:rPr>
        <w:t>4.3.16.5乙方须加强驻地管理及人员管理，避免发生赌博、酗酒、斗殴等恶性事件，杜绝发生违纪、纠纷、民事、治安、刑事等事件，若发生上述事件，由乙方承担由此带来的全部后果。</w:t>
      </w:r>
    </w:p>
    <w:p>
      <w:pPr>
        <w:spacing w:before="0" w:after="0" w:afterAutospacing="0"/>
        <w:ind w:left="0" w:right="0" w:firstLine="420" w:firstLineChars="200"/>
        <w:rPr>
          <w:rFonts w:ascii="宋体" w:hAnsi="宋体" w:cs="Arial"/>
          <w:highlight w:val="none"/>
        </w:rPr>
      </w:pPr>
      <w:r>
        <w:rPr>
          <w:rFonts w:ascii="宋体" w:hAnsi="宋体" w:cs="Arial"/>
          <w:highlight w:val="none"/>
        </w:rPr>
        <w:t>4.3.16.6防护、劳保用品到位，乙方进场的制服到位，报甲方备案。</w:t>
      </w:r>
    </w:p>
    <w:p>
      <w:pPr>
        <w:spacing w:before="0" w:after="0" w:afterAutospacing="0"/>
        <w:ind w:left="0" w:right="0" w:firstLine="420" w:firstLineChars="200"/>
        <w:rPr>
          <w:rFonts w:ascii="宋体" w:hAnsi="宋体" w:cs="Arial"/>
          <w:highlight w:val="none"/>
        </w:rPr>
      </w:pPr>
      <w:r>
        <w:rPr>
          <w:rFonts w:ascii="宋体" w:hAnsi="宋体" w:cs="Arial"/>
          <w:highlight w:val="none"/>
        </w:rPr>
        <w:t>4.3.16.7乙方应按照甲方要求组织项目全员签订保密协议，报甲方备案。</w:t>
      </w:r>
    </w:p>
    <w:p>
      <w:pPr>
        <w:autoSpaceDE w:val="0"/>
        <w:outlineLvl w:val="2"/>
        <w:rPr>
          <w:rFonts w:ascii="宋体" w:hAnsi="宋体" w:cs="宋体"/>
          <w:b/>
          <w:highlight w:val="none"/>
        </w:rPr>
      </w:pPr>
      <w:bookmarkStart w:id="1442" w:name="_Toc9044"/>
      <w:bookmarkStart w:id="1443" w:name="_Toc21032"/>
      <w:bookmarkStart w:id="1444" w:name="_Toc21958"/>
      <w:bookmarkStart w:id="1445" w:name="_Toc20922"/>
      <w:bookmarkStart w:id="1446" w:name="_Toc1860"/>
      <w:bookmarkStart w:id="1447" w:name="_Toc5904"/>
      <w:r>
        <w:rPr>
          <w:rFonts w:ascii="宋体" w:hAnsi="宋体" w:cs="宋体"/>
          <w:b/>
          <w:highlight w:val="none"/>
        </w:rPr>
        <w:t>4.4文明施工管理</w:t>
      </w:r>
      <w:bookmarkEnd w:id="1442"/>
      <w:bookmarkEnd w:id="1443"/>
      <w:bookmarkEnd w:id="1444"/>
      <w:bookmarkEnd w:id="1445"/>
      <w:bookmarkEnd w:id="1446"/>
      <w:bookmarkEnd w:id="1447"/>
    </w:p>
    <w:p>
      <w:pPr>
        <w:spacing w:before="0" w:after="0" w:afterAutospacing="0"/>
        <w:ind w:left="0" w:right="0" w:firstLine="420" w:firstLineChars="200"/>
        <w:rPr>
          <w:rFonts w:ascii="宋体" w:hAnsi="宋体" w:cs="Arial"/>
          <w:highlight w:val="none"/>
        </w:rPr>
      </w:pPr>
      <w:r>
        <w:rPr>
          <w:rFonts w:ascii="宋体" w:hAnsi="宋体" w:cs="Arial"/>
          <w:highlight w:val="none"/>
        </w:rPr>
        <w:t>4.4.1施工过程中，严格按照“规范化管理、标准化作业”规定要求，实施文明检测管理。</w:t>
      </w:r>
    </w:p>
    <w:p>
      <w:pPr>
        <w:spacing w:before="0" w:after="0" w:afterAutospacing="0"/>
        <w:ind w:left="0" w:right="0" w:firstLine="420" w:firstLineChars="200"/>
        <w:rPr>
          <w:rFonts w:ascii="宋体" w:hAnsi="宋体" w:cs="Arial"/>
          <w:highlight w:val="none"/>
        </w:rPr>
      </w:pPr>
      <w:r>
        <w:rPr>
          <w:rFonts w:ascii="宋体" w:hAnsi="宋体" w:cs="Arial"/>
          <w:highlight w:val="none"/>
        </w:rPr>
        <w:t>4.4.2作业过程中，乙方应合理地保持作业现场，严禁出现不必要的障碍，处置好作业设备及多余材料，保持现场整洁和道路通畅。</w:t>
      </w:r>
    </w:p>
    <w:p>
      <w:pPr>
        <w:spacing w:before="0" w:after="0" w:afterAutospacing="0"/>
        <w:ind w:left="0" w:right="0" w:firstLine="420" w:firstLineChars="200"/>
        <w:rPr>
          <w:rFonts w:ascii="宋体" w:hAnsi="宋体" w:cs="Arial"/>
          <w:highlight w:val="none"/>
        </w:rPr>
      </w:pPr>
      <w:r>
        <w:rPr>
          <w:rFonts w:ascii="宋体" w:hAnsi="宋体" w:cs="Arial"/>
          <w:highlight w:val="none"/>
        </w:rPr>
        <w:t>4.4.3乙方应做好作业区域内的设备设施成品保护，严禁随意破坏、操作、占用。如与其他作业发生冲突，应事先通知甲方，在得到甲方同意后方可按要求执行，发现未经请示同意擅自行事，将视其具体情况予以处罚。</w:t>
      </w:r>
    </w:p>
    <w:p>
      <w:pPr>
        <w:spacing w:before="0" w:after="0" w:afterAutospacing="0"/>
        <w:ind w:left="0" w:right="0" w:firstLine="420" w:firstLineChars="200"/>
        <w:rPr>
          <w:rFonts w:ascii="宋体" w:hAnsi="宋体" w:cs="Arial"/>
          <w:highlight w:val="none"/>
        </w:rPr>
      </w:pPr>
      <w:r>
        <w:rPr>
          <w:rFonts w:ascii="宋体" w:hAnsi="宋体" w:cs="Arial"/>
          <w:highlight w:val="none"/>
        </w:rPr>
        <w:t>4.4.4施工现场讲文明，讲礼貌，遇事商量解决，严禁打架斗殴。</w:t>
      </w:r>
    </w:p>
    <w:p>
      <w:pPr>
        <w:spacing w:before="0" w:after="0" w:afterAutospacing="0"/>
        <w:ind w:left="0" w:right="0" w:firstLine="420" w:firstLineChars="200"/>
        <w:rPr>
          <w:rFonts w:ascii="宋体" w:hAnsi="宋体" w:cs="Arial"/>
          <w:highlight w:val="none"/>
        </w:rPr>
      </w:pPr>
      <w:r>
        <w:rPr>
          <w:rFonts w:ascii="宋体" w:hAnsi="宋体" w:cs="Arial"/>
          <w:highlight w:val="none"/>
        </w:rPr>
        <w:t>4.4.5乙方在运营期间进行施工时，应充分考虑施工产生的影响，尽可能的减小对运营服务质量的影响。</w:t>
      </w:r>
    </w:p>
    <w:p>
      <w:pPr>
        <w:spacing w:before="0" w:after="0" w:afterAutospacing="0"/>
        <w:ind w:left="0" w:right="0" w:firstLine="420" w:firstLineChars="200"/>
        <w:rPr>
          <w:rFonts w:ascii="宋体" w:hAnsi="宋体" w:cs="Arial"/>
          <w:highlight w:val="none"/>
        </w:rPr>
      </w:pPr>
      <w:r>
        <w:rPr>
          <w:rFonts w:ascii="宋体" w:hAnsi="宋体" w:cs="Arial"/>
          <w:highlight w:val="none"/>
        </w:rPr>
        <w:t>4.4.6乙方在施工期间搬运及使用水泥时，需采取有效措施防止扬尘污染。</w:t>
      </w:r>
    </w:p>
    <w:p>
      <w:pPr>
        <w:outlineLvl w:val="1"/>
        <w:rPr>
          <w:rFonts w:ascii="宋体" w:hAnsi="宋体" w:eastAsia="黑体" w:cs="宋体"/>
          <w:b/>
          <w:sz w:val="24"/>
          <w:szCs w:val="44"/>
          <w:highlight w:val="none"/>
        </w:rPr>
      </w:pPr>
      <w:bookmarkStart w:id="1448" w:name="_Toc18905"/>
      <w:bookmarkStart w:id="1449" w:name="_Toc22766"/>
      <w:bookmarkStart w:id="1450" w:name="_Toc27300"/>
      <w:bookmarkStart w:id="1451" w:name="_Toc24991"/>
      <w:bookmarkStart w:id="1452" w:name="_Toc12249"/>
      <w:bookmarkStart w:id="1453" w:name="_Toc20962"/>
      <w:bookmarkStart w:id="1454" w:name="_Toc26019"/>
      <w:r>
        <w:rPr>
          <w:rFonts w:hint="eastAsia" w:ascii="宋体" w:hAnsi="宋体" w:eastAsia="黑体" w:cs="宋体"/>
          <w:b/>
          <w:sz w:val="24"/>
          <w:szCs w:val="44"/>
          <w:highlight w:val="none"/>
        </w:rPr>
        <w:t>5作业要求</w:t>
      </w:r>
      <w:bookmarkEnd w:id="1448"/>
      <w:bookmarkEnd w:id="1449"/>
      <w:bookmarkEnd w:id="1450"/>
      <w:bookmarkEnd w:id="1451"/>
      <w:bookmarkEnd w:id="1452"/>
      <w:bookmarkEnd w:id="1453"/>
      <w:bookmarkEnd w:id="1454"/>
    </w:p>
    <w:p>
      <w:pPr>
        <w:autoSpaceDE w:val="0"/>
        <w:outlineLvl w:val="2"/>
        <w:rPr>
          <w:rFonts w:ascii="宋体" w:hAnsi="宋体" w:cs="宋体"/>
          <w:b/>
          <w:highlight w:val="none"/>
        </w:rPr>
      </w:pPr>
      <w:bookmarkStart w:id="1455" w:name="_Toc26500"/>
      <w:bookmarkStart w:id="1456" w:name="_Toc13370"/>
      <w:bookmarkStart w:id="1457" w:name="_Toc2382"/>
      <w:bookmarkStart w:id="1458" w:name="_Toc20002"/>
      <w:bookmarkStart w:id="1459" w:name="_Toc17861"/>
      <w:bookmarkStart w:id="1460" w:name="_Toc3217"/>
      <w:bookmarkStart w:id="1461" w:name="_Toc16715"/>
      <w:bookmarkStart w:id="1462" w:name="_Toc29167"/>
      <w:bookmarkStart w:id="1463" w:name="_Toc31319"/>
      <w:bookmarkStart w:id="1464" w:name="_Toc24699"/>
      <w:bookmarkStart w:id="1465" w:name="_Toc15789"/>
      <w:bookmarkStart w:id="1466" w:name="_Toc12381"/>
      <w:bookmarkStart w:id="1467" w:name="_Toc13954"/>
      <w:bookmarkStart w:id="1468" w:name="_Toc14327"/>
      <w:bookmarkStart w:id="1469" w:name="_Toc30341"/>
      <w:bookmarkStart w:id="1470" w:name="_Toc3350"/>
      <w:bookmarkStart w:id="1471" w:name="_Toc9340"/>
      <w:bookmarkStart w:id="1472" w:name="_Toc22318"/>
      <w:bookmarkStart w:id="1473" w:name="_Toc7358"/>
      <w:bookmarkStart w:id="1474" w:name="_Toc21630"/>
      <w:bookmarkStart w:id="1475" w:name="_Toc26542"/>
      <w:bookmarkStart w:id="1476" w:name="_Toc25816"/>
      <w:bookmarkStart w:id="1477" w:name="_Toc15804"/>
      <w:bookmarkStart w:id="1478" w:name="_Toc31634"/>
      <w:bookmarkStart w:id="1479" w:name="_Toc3025"/>
      <w:bookmarkStart w:id="1480" w:name="_Toc31245"/>
      <w:bookmarkStart w:id="1481" w:name="_Toc15004"/>
      <w:bookmarkStart w:id="1482" w:name="_Toc14340"/>
      <w:r>
        <w:rPr>
          <w:rFonts w:ascii="宋体" w:hAnsi="宋体" w:cs="宋体"/>
          <w:b/>
          <w:highlight w:val="none"/>
        </w:rPr>
        <w:t>5.1作业准备</w:t>
      </w:r>
      <w:bookmarkEnd w:id="1455"/>
      <w:bookmarkEnd w:id="1456"/>
      <w:bookmarkEnd w:id="1457"/>
      <w:bookmarkEnd w:id="1458"/>
      <w:bookmarkEnd w:id="1459"/>
      <w:bookmarkEnd w:id="1460"/>
    </w:p>
    <w:p>
      <w:pPr>
        <w:spacing w:before="0" w:after="0" w:afterAutospacing="0"/>
        <w:ind w:left="0" w:right="0" w:firstLine="420" w:firstLineChars="200"/>
        <w:outlineLvl w:val="3"/>
        <w:rPr>
          <w:rFonts w:ascii="宋体" w:hAnsi="宋体" w:cs="Arial"/>
          <w:highlight w:val="none"/>
        </w:rPr>
      </w:pPr>
      <w:bookmarkStart w:id="1483" w:name="_Toc22331"/>
      <w:r>
        <w:rPr>
          <w:rFonts w:ascii="宋体" w:hAnsi="宋体" w:cs="Arial"/>
          <w:highlight w:val="none"/>
        </w:rPr>
        <w:t>5.1.1基本要求</w:t>
      </w:r>
      <w:bookmarkEnd w:id="1483"/>
    </w:p>
    <w:p>
      <w:pPr>
        <w:spacing w:before="0" w:after="0" w:afterAutospacing="0"/>
        <w:ind w:left="0" w:right="0" w:firstLine="420" w:firstLineChars="200"/>
        <w:rPr>
          <w:rFonts w:ascii="宋体" w:hAnsi="宋体" w:cs="Arial"/>
          <w:highlight w:val="none"/>
        </w:rPr>
      </w:pPr>
      <w:r>
        <w:rPr>
          <w:rFonts w:ascii="宋体" w:hAnsi="宋体" w:cs="Arial"/>
          <w:highlight w:val="none"/>
        </w:rPr>
        <w:t>5.1.1.1甲方负责对采购的设备及材料清单提出详细的技术要求，乙方负责采购。</w:t>
      </w:r>
    </w:p>
    <w:p>
      <w:pPr>
        <w:spacing w:before="0" w:after="0" w:afterAutospacing="0"/>
        <w:ind w:left="0" w:right="0" w:firstLine="420" w:firstLineChars="200"/>
        <w:rPr>
          <w:rFonts w:ascii="宋体" w:hAnsi="宋体" w:cs="Arial"/>
          <w:highlight w:val="none"/>
        </w:rPr>
      </w:pPr>
      <w:r>
        <w:rPr>
          <w:rFonts w:ascii="宋体" w:hAnsi="宋体" w:cs="Arial"/>
          <w:highlight w:val="none"/>
        </w:rPr>
        <w:t>5.1.1.2若乙方提供的设备及材料被认定不能满足要求，甲方将对所选用的产品进行调研复核，并保留更换供货品牌或产品的权利。</w:t>
      </w:r>
    </w:p>
    <w:p>
      <w:pPr>
        <w:spacing w:before="0" w:after="0" w:afterAutospacing="0"/>
        <w:ind w:left="0" w:right="0" w:firstLine="420" w:firstLineChars="200"/>
        <w:rPr>
          <w:rFonts w:ascii="宋体" w:hAnsi="宋体" w:cs="Arial"/>
          <w:highlight w:val="none"/>
        </w:rPr>
      </w:pPr>
      <w:r>
        <w:rPr>
          <w:rFonts w:ascii="宋体" w:hAnsi="宋体" w:cs="Arial"/>
          <w:highlight w:val="none"/>
        </w:rPr>
        <w:t>5.1.1.3乙方所使用的专用及通用类工器具必须是合格品且具有使用说明书。</w:t>
      </w:r>
    </w:p>
    <w:p>
      <w:pPr>
        <w:spacing w:before="0" w:after="0" w:afterAutospacing="0"/>
        <w:ind w:left="0" w:right="0" w:firstLine="420" w:firstLineChars="200"/>
        <w:rPr>
          <w:rFonts w:ascii="宋体" w:hAnsi="宋体" w:cs="Arial"/>
          <w:highlight w:val="none"/>
        </w:rPr>
      </w:pPr>
      <w:r>
        <w:rPr>
          <w:rFonts w:ascii="宋体" w:hAnsi="宋体" w:cs="Arial"/>
          <w:highlight w:val="none"/>
        </w:rPr>
        <w:t>5.1.1.4乙方所使用的计量、测量类工器具应在首次使用前按照甲方的要求送相关部门进行检定，待检定合格且经过甲方相关部门认可，方可以进场使用。严禁使用未检定的、不合格的计量、测量类工器具，进场后计量、测量类工器具送检周期以甲方相关规定为准，检定费用由乙方负责。</w:t>
      </w:r>
    </w:p>
    <w:p>
      <w:pPr>
        <w:spacing w:before="0" w:after="0" w:afterAutospacing="0"/>
        <w:ind w:left="0" w:right="0" w:firstLine="420" w:firstLineChars="200"/>
        <w:rPr>
          <w:rFonts w:ascii="宋体" w:hAnsi="宋体" w:cs="Arial"/>
          <w:highlight w:val="none"/>
        </w:rPr>
      </w:pPr>
      <w:r>
        <w:rPr>
          <w:rFonts w:ascii="宋体" w:hAnsi="宋体" w:cs="Arial"/>
          <w:highlight w:val="none"/>
        </w:rPr>
        <w:t>5.1.1.5施工所用的电动工器具须考虑与可供电源的匹配性，并不得对配电线路构成危害。</w:t>
      </w:r>
    </w:p>
    <w:p>
      <w:pPr>
        <w:spacing w:before="0" w:after="0" w:afterAutospacing="0"/>
        <w:ind w:left="0" w:right="0" w:firstLine="420" w:firstLineChars="200"/>
        <w:outlineLvl w:val="3"/>
        <w:rPr>
          <w:rFonts w:ascii="宋体" w:hAnsi="宋体" w:cs="Arial"/>
          <w:highlight w:val="none"/>
        </w:rPr>
      </w:pPr>
      <w:bookmarkStart w:id="1484" w:name="_Toc17056"/>
      <w:r>
        <w:rPr>
          <w:rFonts w:ascii="宋体" w:hAnsi="宋体" w:cs="Arial"/>
          <w:highlight w:val="none"/>
        </w:rPr>
        <w:t>5.1.2劳保用品配置要求</w:t>
      </w:r>
      <w:bookmarkEnd w:id="1484"/>
    </w:p>
    <w:p>
      <w:pPr>
        <w:spacing w:before="0" w:after="0" w:afterAutospacing="0"/>
        <w:ind w:left="0" w:right="0" w:firstLine="420" w:firstLineChars="200"/>
        <w:rPr>
          <w:rFonts w:ascii="宋体" w:hAnsi="宋体" w:cs="Arial"/>
          <w:highlight w:val="none"/>
        </w:rPr>
      </w:pPr>
      <w:r>
        <w:rPr>
          <w:rFonts w:ascii="宋体" w:hAnsi="宋体" w:cs="Arial"/>
          <w:highlight w:val="none"/>
        </w:rPr>
        <w:t>乙方应为施工人员配置统一着装及劳保防护用品，劳保防护用品须满足国家、行业标准，劳保防护用品配置数量与使用期限按照甲方相关要求执行，劳保配置要求包括但不限于表5.1.2-1中的内容。</w:t>
      </w:r>
    </w:p>
    <w:p>
      <w:pPr>
        <w:spacing w:before="0" w:after="0" w:afterAutospacing="0"/>
        <w:ind w:left="0" w:right="0" w:firstLine="0"/>
        <w:jc w:val="center"/>
        <w:rPr>
          <w:rFonts w:ascii="宋体" w:hAnsi="宋体" w:cs="Arial"/>
          <w:highlight w:val="none"/>
        </w:rPr>
      </w:pPr>
      <w:r>
        <w:rPr>
          <w:rFonts w:ascii="宋体" w:hAnsi="宋体" w:cs="Arial"/>
          <w:highlight w:val="none"/>
        </w:rPr>
        <w:t>表5.1.2-1 劳保防护用品配置清单</w:t>
      </w:r>
    </w:p>
    <w:tbl>
      <w:tblPr>
        <w:tblStyle w:val="27"/>
        <w:tblW w:w="7177" w:type="dxa"/>
        <w:jc w:val="center"/>
        <w:tblLayout w:type="autofit"/>
        <w:tblCellMar>
          <w:top w:w="0" w:type="dxa"/>
          <w:left w:w="108" w:type="dxa"/>
          <w:bottom w:w="0" w:type="dxa"/>
          <w:right w:w="108" w:type="dxa"/>
        </w:tblCellMar>
      </w:tblPr>
      <w:tblGrid>
        <w:gridCol w:w="1108"/>
        <w:gridCol w:w="1118"/>
        <w:gridCol w:w="1118"/>
        <w:gridCol w:w="1118"/>
        <w:gridCol w:w="2715"/>
      </w:tblGrid>
      <w:tr>
        <w:tblPrEx>
          <w:tblCellMar>
            <w:top w:w="0" w:type="dxa"/>
            <w:left w:w="108" w:type="dxa"/>
            <w:bottom w:w="0" w:type="dxa"/>
            <w:right w:w="108" w:type="dxa"/>
          </w:tblCellMar>
        </w:tblPrEx>
        <w:trPr>
          <w:trHeight w:val="270" w:hRule="atLeast"/>
          <w:jc w:val="center"/>
        </w:trPr>
        <w:tc>
          <w:tcPr>
            <w:tcW w:w="1108"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序号</w:t>
            </w:r>
          </w:p>
        </w:tc>
        <w:tc>
          <w:tcPr>
            <w:tcW w:w="111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名称</w:t>
            </w:r>
          </w:p>
        </w:tc>
        <w:tc>
          <w:tcPr>
            <w:tcW w:w="111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单位</w:t>
            </w:r>
          </w:p>
        </w:tc>
        <w:tc>
          <w:tcPr>
            <w:tcW w:w="1118"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数量</w:t>
            </w:r>
          </w:p>
        </w:tc>
        <w:tc>
          <w:tcPr>
            <w:tcW w:w="271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备注</w:t>
            </w:r>
          </w:p>
        </w:tc>
      </w:tr>
      <w:tr>
        <w:tblPrEx>
          <w:tblCellMar>
            <w:top w:w="0" w:type="dxa"/>
            <w:left w:w="108" w:type="dxa"/>
            <w:bottom w:w="0" w:type="dxa"/>
            <w:right w:w="108" w:type="dxa"/>
          </w:tblCellMar>
        </w:tblPrEx>
        <w:trPr>
          <w:trHeight w:val="339" w:hRule="atLeast"/>
          <w:jc w:val="center"/>
        </w:trPr>
        <w:tc>
          <w:tcPr>
            <w:tcW w:w="110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1</w:t>
            </w:r>
          </w:p>
        </w:tc>
        <w:tc>
          <w:tcPr>
            <w:tcW w:w="111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安全帽</w:t>
            </w:r>
          </w:p>
        </w:tc>
        <w:tc>
          <w:tcPr>
            <w:tcW w:w="111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顶</w:t>
            </w:r>
          </w:p>
        </w:tc>
        <w:tc>
          <w:tcPr>
            <w:tcW w:w="111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1/人</w:t>
            </w:r>
          </w:p>
        </w:tc>
        <w:tc>
          <w:tcPr>
            <w:tcW w:w="271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jc w:val="center"/>
              <w:textAlignment w:val="center"/>
              <w:rPr>
                <w:rFonts w:ascii="宋体" w:hAnsi="宋体" w:cs="宋体"/>
                <w:sz w:val="18"/>
                <w:szCs w:val="18"/>
                <w:highlight w:val="none"/>
              </w:rPr>
            </w:pPr>
            <w:r>
              <w:rPr>
                <w:rFonts w:ascii="宋体" w:hAnsi="宋体" w:cs="宋体"/>
                <w:sz w:val="18"/>
                <w:szCs w:val="18"/>
                <w:highlight w:val="none"/>
              </w:rPr>
              <w:t>符合GB2811-2007《安全帽》标准和EN397标准</w:t>
            </w:r>
          </w:p>
        </w:tc>
      </w:tr>
      <w:tr>
        <w:tblPrEx>
          <w:tblCellMar>
            <w:top w:w="0" w:type="dxa"/>
            <w:left w:w="108" w:type="dxa"/>
            <w:bottom w:w="0" w:type="dxa"/>
            <w:right w:w="108" w:type="dxa"/>
          </w:tblCellMar>
        </w:tblPrEx>
        <w:trPr>
          <w:trHeight w:val="515" w:hRule="atLeast"/>
          <w:jc w:val="center"/>
        </w:trPr>
        <w:tc>
          <w:tcPr>
            <w:tcW w:w="110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2</w:t>
            </w:r>
          </w:p>
        </w:tc>
        <w:tc>
          <w:tcPr>
            <w:tcW w:w="111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劳保鞋</w:t>
            </w:r>
          </w:p>
        </w:tc>
        <w:tc>
          <w:tcPr>
            <w:tcW w:w="111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双</w:t>
            </w:r>
          </w:p>
        </w:tc>
        <w:tc>
          <w:tcPr>
            <w:tcW w:w="111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1/人</w:t>
            </w:r>
          </w:p>
        </w:tc>
        <w:tc>
          <w:tcPr>
            <w:tcW w:w="271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jc w:val="center"/>
              <w:textAlignment w:val="center"/>
              <w:rPr>
                <w:rFonts w:ascii="宋体" w:hAnsi="宋体" w:cs="宋体"/>
                <w:sz w:val="18"/>
                <w:szCs w:val="18"/>
                <w:highlight w:val="none"/>
              </w:rPr>
            </w:pPr>
            <w:r>
              <w:rPr>
                <w:rFonts w:ascii="宋体" w:hAnsi="宋体" w:cs="宋体"/>
                <w:sz w:val="18"/>
                <w:szCs w:val="18"/>
                <w:highlight w:val="none"/>
              </w:rPr>
              <w:t>符合GB21148-2007、GB12011-2009标准</w:t>
            </w:r>
          </w:p>
        </w:tc>
      </w:tr>
      <w:tr>
        <w:tblPrEx>
          <w:tblCellMar>
            <w:top w:w="0" w:type="dxa"/>
            <w:left w:w="108" w:type="dxa"/>
            <w:bottom w:w="0" w:type="dxa"/>
            <w:right w:w="108" w:type="dxa"/>
          </w:tblCellMar>
        </w:tblPrEx>
        <w:trPr>
          <w:trHeight w:val="270" w:hRule="atLeast"/>
          <w:jc w:val="center"/>
        </w:trPr>
        <w:tc>
          <w:tcPr>
            <w:tcW w:w="110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3</w:t>
            </w:r>
          </w:p>
        </w:tc>
        <w:tc>
          <w:tcPr>
            <w:tcW w:w="111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棉麻手套</w:t>
            </w:r>
          </w:p>
        </w:tc>
        <w:tc>
          <w:tcPr>
            <w:tcW w:w="111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双</w:t>
            </w:r>
          </w:p>
        </w:tc>
        <w:tc>
          <w:tcPr>
            <w:tcW w:w="111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2/人</w:t>
            </w:r>
          </w:p>
        </w:tc>
        <w:tc>
          <w:tcPr>
            <w:tcW w:w="271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jc w:val="center"/>
              <w:rPr>
                <w:rFonts w:ascii="宋体" w:hAnsi="宋体" w:cs="宋体"/>
                <w:sz w:val="18"/>
                <w:szCs w:val="18"/>
                <w:highlight w:val="none"/>
              </w:rPr>
            </w:pPr>
          </w:p>
        </w:tc>
      </w:tr>
      <w:tr>
        <w:tblPrEx>
          <w:tblCellMar>
            <w:top w:w="0" w:type="dxa"/>
            <w:left w:w="108" w:type="dxa"/>
            <w:bottom w:w="0" w:type="dxa"/>
            <w:right w:w="108" w:type="dxa"/>
          </w:tblCellMar>
        </w:tblPrEx>
        <w:trPr>
          <w:trHeight w:val="270" w:hRule="atLeast"/>
          <w:jc w:val="center"/>
        </w:trPr>
        <w:tc>
          <w:tcPr>
            <w:tcW w:w="110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4</w:t>
            </w:r>
          </w:p>
        </w:tc>
        <w:tc>
          <w:tcPr>
            <w:tcW w:w="111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工作服</w:t>
            </w:r>
          </w:p>
        </w:tc>
        <w:tc>
          <w:tcPr>
            <w:tcW w:w="111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套</w:t>
            </w:r>
          </w:p>
        </w:tc>
        <w:tc>
          <w:tcPr>
            <w:tcW w:w="111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1/人</w:t>
            </w:r>
          </w:p>
        </w:tc>
        <w:tc>
          <w:tcPr>
            <w:tcW w:w="271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jc w:val="center"/>
              <w:rPr>
                <w:rFonts w:ascii="宋体" w:hAnsi="宋体" w:cs="宋体"/>
                <w:sz w:val="18"/>
                <w:szCs w:val="18"/>
                <w:highlight w:val="none"/>
              </w:rPr>
            </w:pPr>
          </w:p>
        </w:tc>
      </w:tr>
      <w:tr>
        <w:tblPrEx>
          <w:tblCellMar>
            <w:top w:w="0" w:type="dxa"/>
            <w:left w:w="108" w:type="dxa"/>
            <w:bottom w:w="0" w:type="dxa"/>
            <w:right w:w="108" w:type="dxa"/>
          </w:tblCellMar>
        </w:tblPrEx>
        <w:trPr>
          <w:trHeight w:val="270" w:hRule="atLeast"/>
          <w:jc w:val="center"/>
        </w:trPr>
        <w:tc>
          <w:tcPr>
            <w:tcW w:w="110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5</w:t>
            </w:r>
          </w:p>
        </w:tc>
        <w:tc>
          <w:tcPr>
            <w:tcW w:w="111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防尘口罩</w:t>
            </w:r>
          </w:p>
        </w:tc>
        <w:tc>
          <w:tcPr>
            <w:tcW w:w="111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只</w:t>
            </w:r>
          </w:p>
        </w:tc>
        <w:tc>
          <w:tcPr>
            <w:tcW w:w="111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按需配备</w:t>
            </w:r>
          </w:p>
        </w:tc>
        <w:tc>
          <w:tcPr>
            <w:tcW w:w="271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jc w:val="center"/>
              <w:rPr>
                <w:rFonts w:ascii="宋体" w:hAnsi="宋体" w:cs="宋体"/>
                <w:sz w:val="18"/>
                <w:szCs w:val="18"/>
                <w:highlight w:val="none"/>
              </w:rPr>
            </w:pPr>
          </w:p>
        </w:tc>
      </w:tr>
    </w:tbl>
    <w:p>
      <w:pPr>
        <w:spacing w:before="0" w:after="0" w:afterAutospacing="0"/>
        <w:ind w:left="0" w:right="0" w:firstLine="420" w:firstLineChars="200"/>
        <w:outlineLvl w:val="3"/>
        <w:rPr>
          <w:rFonts w:ascii="宋体" w:hAnsi="宋体" w:cs="Arial"/>
          <w:highlight w:val="none"/>
        </w:rPr>
      </w:pPr>
      <w:bookmarkStart w:id="1485" w:name="_Toc18491"/>
      <w:r>
        <w:rPr>
          <w:rFonts w:ascii="宋体" w:hAnsi="宋体" w:cs="Arial"/>
          <w:highlight w:val="none"/>
        </w:rPr>
        <w:t>5.1.3进场要求</w:t>
      </w:r>
      <w:bookmarkEnd w:id="1485"/>
    </w:p>
    <w:p>
      <w:pPr>
        <w:spacing w:before="0" w:after="0" w:afterAutospacing="0"/>
        <w:ind w:left="0" w:right="0" w:firstLine="420" w:firstLineChars="200"/>
        <w:rPr>
          <w:rFonts w:ascii="宋体" w:hAnsi="宋体" w:cs="Arial"/>
          <w:highlight w:val="none"/>
        </w:rPr>
      </w:pPr>
      <w:r>
        <w:rPr>
          <w:rFonts w:ascii="宋体" w:hAnsi="宋体" w:cs="Arial"/>
          <w:highlight w:val="none"/>
        </w:rPr>
        <w:t>5.1.3.1乙方须严格遵守执行国家、地方、行业的相关法律、法规、规范、规程、标准及甲方规章制度等各项管理制度、企业标准和规定，并按照施工规范、方案和各项安全操作规程进行作业。</w:t>
      </w:r>
    </w:p>
    <w:p>
      <w:pPr>
        <w:spacing w:before="0" w:after="0" w:afterAutospacing="0"/>
        <w:ind w:left="0" w:right="0" w:firstLine="420" w:firstLineChars="200"/>
        <w:rPr>
          <w:rFonts w:ascii="宋体" w:hAnsi="宋体" w:cs="Arial"/>
          <w:highlight w:val="none"/>
        </w:rPr>
      </w:pPr>
      <w:r>
        <w:rPr>
          <w:rFonts w:ascii="宋体" w:hAnsi="宋体" w:cs="Arial"/>
          <w:highlight w:val="none"/>
        </w:rPr>
        <w:t>5.1.3.2乙方须严格遵守合同协议，组织足够数量和专业技术的施工人员完成项目工作，并保证参与作业的人员相对稳定。</w:t>
      </w:r>
    </w:p>
    <w:p>
      <w:pPr>
        <w:spacing w:before="0" w:after="0" w:afterAutospacing="0"/>
        <w:ind w:left="0" w:right="0" w:firstLine="420" w:firstLineChars="200"/>
        <w:rPr>
          <w:highlight w:val="none"/>
        </w:rPr>
      </w:pPr>
      <w:r>
        <w:rPr>
          <w:rFonts w:ascii="宋体" w:hAnsi="宋体" w:cs="Arial"/>
          <w:highlight w:val="none"/>
        </w:rPr>
        <w:t>5.1.3.3乙方施工人员须与乙方单位签订劳动合同。</w:t>
      </w:r>
    </w:p>
    <w:p>
      <w:pPr>
        <w:spacing w:before="0" w:after="0" w:afterAutospacing="0"/>
        <w:ind w:left="0" w:right="0" w:firstLine="420" w:firstLineChars="200"/>
        <w:rPr>
          <w:rFonts w:ascii="宋体" w:hAnsi="宋体" w:cs="Arial"/>
          <w:highlight w:val="none"/>
        </w:rPr>
      </w:pPr>
      <w:r>
        <w:rPr>
          <w:rFonts w:ascii="宋体" w:hAnsi="宋体" w:cs="Arial"/>
          <w:highlight w:val="none"/>
        </w:rPr>
        <w:t>5.1.3.4乙方施工人员应完成项目安全培训及甲方的三级安全教育。</w:t>
      </w:r>
    </w:p>
    <w:p>
      <w:pPr>
        <w:spacing w:before="0" w:after="0" w:afterAutospacing="0"/>
        <w:ind w:left="0" w:right="0" w:firstLine="420" w:firstLineChars="200"/>
        <w:rPr>
          <w:rFonts w:ascii="宋体" w:hAnsi="宋体" w:cs="Arial"/>
          <w:highlight w:val="none"/>
        </w:rPr>
      </w:pPr>
      <w:r>
        <w:rPr>
          <w:rFonts w:ascii="宋体" w:hAnsi="宋体" w:cs="Arial"/>
          <w:highlight w:val="none"/>
        </w:rPr>
        <w:t>5.1.3.5乙方与甲方签订安全协议。</w:t>
      </w:r>
    </w:p>
    <w:p>
      <w:pPr>
        <w:spacing w:before="0" w:after="0" w:afterAutospacing="0"/>
        <w:ind w:left="0" w:right="0" w:firstLine="420" w:firstLineChars="200"/>
        <w:rPr>
          <w:rFonts w:ascii="宋体" w:hAnsi="宋体" w:cs="Arial"/>
          <w:highlight w:val="none"/>
        </w:rPr>
      </w:pPr>
      <w:r>
        <w:rPr>
          <w:rFonts w:ascii="宋体" w:hAnsi="宋体" w:cs="Arial"/>
          <w:highlight w:val="none"/>
        </w:rPr>
        <w:t>5.1.3.6防护、劳保用品到位，乙方进场的制服到位，报甲方备案。</w:t>
      </w:r>
    </w:p>
    <w:p>
      <w:pPr>
        <w:spacing w:before="0" w:after="0" w:afterAutospacing="0"/>
        <w:ind w:left="0" w:right="0" w:firstLine="420" w:firstLineChars="200"/>
        <w:rPr>
          <w:rFonts w:ascii="宋体" w:hAnsi="宋体" w:cs="Arial"/>
          <w:highlight w:val="none"/>
        </w:rPr>
      </w:pPr>
      <w:r>
        <w:rPr>
          <w:rFonts w:ascii="宋体" w:hAnsi="宋体" w:cs="Arial"/>
          <w:highlight w:val="none"/>
        </w:rPr>
        <w:t>5.1.3.7乙方须做好设施状态普查、技术交底。</w:t>
      </w:r>
    </w:p>
    <w:p>
      <w:pPr>
        <w:spacing w:before="0" w:after="0" w:afterAutospacing="0"/>
        <w:ind w:left="0" w:right="0" w:firstLine="420" w:firstLineChars="200"/>
        <w:rPr>
          <w:rFonts w:ascii="宋体" w:hAnsi="宋体" w:cs="Arial"/>
          <w:highlight w:val="none"/>
        </w:rPr>
      </w:pPr>
      <w:r>
        <w:rPr>
          <w:rFonts w:ascii="宋体" w:hAnsi="宋体" w:cs="Arial"/>
          <w:highlight w:val="none"/>
        </w:rPr>
        <w:t>5.1.3.8乙方编制的作业程序、内容准备符合甲方要求，通过甲方审核确认。</w:t>
      </w:r>
    </w:p>
    <w:p>
      <w:pPr>
        <w:spacing w:before="0" w:after="0" w:afterAutospacing="0"/>
        <w:ind w:left="0" w:right="0" w:firstLine="420" w:firstLineChars="200"/>
        <w:rPr>
          <w:rFonts w:ascii="宋体" w:hAnsi="宋体" w:cs="Arial"/>
          <w:strike/>
          <w:highlight w:val="none"/>
        </w:rPr>
      </w:pPr>
      <w:r>
        <w:rPr>
          <w:rFonts w:ascii="宋体" w:hAnsi="宋体" w:cs="Arial"/>
          <w:highlight w:val="none"/>
        </w:rPr>
        <w:t>5.1.3.9制定材料和设备设施供应计划并做好供应，乙方工器具通过甲方审核确认。</w:t>
      </w:r>
    </w:p>
    <w:p>
      <w:pPr>
        <w:spacing w:before="0" w:after="0" w:afterAutospacing="0"/>
        <w:ind w:left="0" w:right="0" w:firstLine="420" w:firstLineChars="200"/>
        <w:rPr>
          <w:rFonts w:ascii="宋体" w:hAnsi="宋体" w:cs="Arial"/>
          <w:highlight w:val="none"/>
        </w:rPr>
      </w:pPr>
      <w:r>
        <w:rPr>
          <w:rFonts w:ascii="宋体" w:hAnsi="宋体" w:cs="Arial"/>
          <w:highlight w:val="none"/>
        </w:rPr>
        <w:t>5.1.3.10乙方须在合同执行之日前提供施工人员身份证及相关特种作业证复印件（有效期内），并按照甲方要求对相关证件进行复审。</w:t>
      </w:r>
    </w:p>
    <w:p>
      <w:pPr>
        <w:spacing w:before="0" w:after="0" w:afterAutospacing="0"/>
        <w:ind w:left="0" w:right="0" w:firstLine="420" w:firstLineChars="200"/>
        <w:rPr>
          <w:rFonts w:ascii="宋体" w:hAnsi="宋体" w:cs="Arial"/>
          <w:highlight w:val="none"/>
        </w:rPr>
      </w:pPr>
      <w:r>
        <w:rPr>
          <w:rFonts w:ascii="宋体" w:hAnsi="宋体" w:cs="Arial"/>
          <w:highlight w:val="none"/>
        </w:rPr>
        <w:t>5.1.3.11合同期内作业人员原则上不许替换，更换作业人员必须通过书面形式通知甲方并提交有关人员资料，并由甲方组织审核，未经甲方书面许可不得更换作业人员。</w:t>
      </w:r>
    </w:p>
    <w:p>
      <w:pPr>
        <w:spacing w:before="0" w:after="0" w:afterAutospacing="0"/>
        <w:ind w:left="0" w:right="0" w:firstLine="420" w:firstLineChars="200"/>
        <w:rPr>
          <w:rFonts w:ascii="宋体" w:hAnsi="宋体" w:cs="Arial"/>
          <w:highlight w:val="none"/>
        </w:rPr>
      </w:pPr>
      <w:r>
        <w:rPr>
          <w:rFonts w:ascii="宋体" w:hAnsi="宋体" w:cs="Arial"/>
          <w:highlight w:val="none"/>
        </w:rPr>
        <w:t>5.1.3.12乙方须提前两周完成施工计划编制并报甲方主管部门审核。</w:t>
      </w:r>
    </w:p>
    <w:p>
      <w:pPr>
        <w:spacing w:before="0" w:after="0" w:afterAutospacing="0"/>
        <w:ind w:left="0" w:right="0" w:firstLine="420" w:firstLineChars="200"/>
        <w:rPr>
          <w:highlight w:val="none"/>
        </w:rPr>
      </w:pPr>
      <w:r>
        <w:rPr>
          <w:rFonts w:ascii="宋体" w:hAnsi="宋体" w:cs="Arial"/>
          <w:highlight w:val="none"/>
        </w:rPr>
        <w:t>5.1.3.13准备工作就序（乙方必须在合同正式签订时已完成全部开工准备），双方协调认可满足开工条件，将施工准备情况及进场影响通报甲方相关部门（客运中心、维修中心），甲方签发开工令后方可进行正式项目实施。</w:t>
      </w:r>
    </w:p>
    <w:p>
      <w:pPr>
        <w:spacing w:before="0" w:after="0" w:afterAutospacing="0"/>
        <w:ind w:left="0" w:right="0" w:firstLine="420" w:firstLineChars="200"/>
        <w:outlineLvl w:val="3"/>
        <w:rPr>
          <w:rFonts w:ascii="宋体" w:hAnsi="宋体" w:cs="Arial"/>
          <w:highlight w:val="none"/>
        </w:rPr>
      </w:pPr>
      <w:bookmarkStart w:id="1486" w:name="_Toc8759"/>
      <w:r>
        <w:rPr>
          <w:rFonts w:ascii="宋体" w:hAnsi="宋体" w:cs="Arial"/>
          <w:highlight w:val="none"/>
        </w:rPr>
        <w:t>5.1.4知识产权</w:t>
      </w:r>
      <w:bookmarkEnd w:id="1486"/>
    </w:p>
    <w:p>
      <w:pPr>
        <w:spacing w:before="0" w:after="0" w:afterAutospacing="0"/>
        <w:ind w:left="0" w:right="0" w:firstLine="420" w:firstLineChars="200"/>
        <w:rPr>
          <w:rFonts w:ascii="宋体" w:hAnsi="宋体" w:cs="Arial"/>
          <w:highlight w:val="none"/>
        </w:rPr>
      </w:pPr>
      <w:r>
        <w:rPr>
          <w:rFonts w:ascii="宋体" w:hAnsi="宋体" w:cs="Arial"/>
          <w:highlight w:val="none"/>
        </w:rPr>
        <w:t>5.1.4.1因乙方为实施本合同而向甲方提供的任何产品、资料、物件及服务引起的知识产权纠纷，由乙方承担由此引起的一切法律和经济上的责任。</w:t>
      </w:r>
    </w:p>
    <w:p>
      <w:pPr>
        <w:spacing w:before="0" w:after="0" w:afterAutospacing="0"/>
        <w:ind w:left="0" w:right="0" w:firstLine="420" w:firstLineChars="200"/>
        <w:rPr>
          <w:rFonts w:ascii="宋体" w:hAnsi="宋体" w:cs="Arial"/>
          <w:highlight w:val="none"/>
        </w:rPr>
      </w:pPr>
      <w:r>
        <w:rPr>
          <w:rFonts w:ascii="宋体" w:hAnsi="宋体" w:cs="Arial"/>
          <w:highlight w:val="none"/>
        </w:rPr>
        <w:t>5.1.4.2乙方保证依据本合同所提供的任何产品、资料、物件及服务均不构成对第三方合法权益的侵犯，包括但不限于知识产权。即甲方在中国使用乙方提供的产品、产品的任何一部分，资料或服务时，免受第三方提出的侵犯其专利权、商标权、工业设计权和其他知识产权的起诉。</w:t>
      </w:r>
    </w:p>
    <w:p>
      <w:pPr>
        <w:spacing w:before="0" w:after="0" w:afterAutospacing="0"/>
        <w:ind w:left="0" w:right="0" w:firstLine="420" w:firstLineChars="200"/>
        <w:rPr>
          <w:rFonts w:ascii="宋体" w:hAnsi="宋体" w:cs="Arial"/>
          <w:highlight w:val="none"/>
        </w:rPr>
      </w:pPr>
      <w:r>
        <w:rPr>
          <w:rFonts w:ascii="宋体" w:hAnsi="宋体" w:cs="Arial"/>
          <w:highlight w:val="none"/>
        </w:rPr>
        <w:t>5.1.4.3乙方为实施本合同及其缺陷修补，需使用第三人专利，专有技术、技术秘密、商业秘密、著作权、商标权等知识产权的，在签订合同时，应向甲方说明知识产权的权利人，名称等权利状况，相应知识产权使用费由乙方负责支付。</w:t>
      </w:r>
    </w:p>
    <w:p>
      <w:pPr>
        <w:spacing w:before="0" w:after="0" w:afterAutospacing="0"/>
        <w:ind w:left="0" w:right="0" w:firstLine="420" w:firstLineChars="200"/>
        <w:rPr>
          <w:rFonts w:ascii="宋体" w:hAnsi="宋体" w:cs="Arial"/>
          <w:highlight w:val="none"/>
        </w:rPr>
      </w:pPr>
      <w:r>
        <w:rPr>
          <w:rFonts w:ascii="宋体" w:hAnsi="宋体" w:cs="Arial"/>
          <w:highlight w:val="none"/>
        </w:rPr>
        <w:t>5.1.4.4在乙方履行合同过程中，需增加使用第三人专利、专有技术、技术秘密、商业秘密、著作权、商标权等知识产权的，乙方应取得甲方同意，所使用的知识产权应支付的费用由乙方承担。</w:t>
      </w:r>
    </w:p>
    <w:p>
      <w:pPr>
        <w:spacing w:before="0" w:after="0" w:afterAutospacing="0"/>
        <w:ind w:left="0" w:right="0" w:firstLine="420" w:firstLineChars="200"/>
        <w:rPr>
          <w:rFonts w:ascii="宋体" w:hAnsi="宋体" w:cs="Arial"/>
          <w:highlight w:val="none"/>
        </w:rPr>
      </w:pPr>
      <w:r>
        <w:rPr>
          <w:rFonts w:ascii="宋体" w:hAnsi="宋体" w:cs="Arial"/>
          <w:highlight w:val="none"/>
        </w:rPr>
        <w:t>5.1.4.5因乙方提供的任何产品、资料、物件及服务引起的知识产权纠纷，由乙方负责与第三人交涉、参加诉讼、进行辩护，并承担由此引起的一切法律和经济上的责任。上述纠纷包括但不限于因乙方拥有或者有权许可的知识产权存在瑕疵导致产品瑕疵引起的索赔、诉讼或损失，因上述知识产权未在中国申请知识产权保护或海关备案而引起的侵权纠纷。</w:t>
      </w:r>
    </w:p>
    <w:p>
      <w:pPr>
        <w:spacing w:before="0" w:after="0" w:afterAutospacing="0"/>
        <w:ind w:left="0" w:right="0" w:firstLine="420" w:firstLineChars="200"/>
        <w:rPr>
          <w:rFonts w:ascii="宋体" w:hAnsi="宋体" w:cs="Arial"/>
          <w:highlight w:val="none"/>
        </w:rPr>
      </w:pPr>
      <w:r>
        <w:rPr>
          <w:rFonts w:ascii="宋体" w:hAnsi="宋体" w:cs="Arial"/>
          <w:highlight w:val="none"/>
        </w:rPr>
        <w:t>5.1.4.6如乙方拒绝或怠于履行上述义务的，甲方有权解除合同。甲方被第三方起诉或以其它方式追究责任，乙方应赔偿因甲方被第三方索赔所引起的一切损失，包括但不限于甲方所支付的侵权损害赔偿费、律师费、诉讼费、仲裁费、办案差旅费等因应诉、沟通协调所发的一切费用。</w:t>
      </w:r>
    </w:p>
    <w:p>
      <w:pPr>
        <w:spacing w:before="0" w:after="0" w:afterAutospacing="0"/>
        <w:ind w:left="0" w:right="0" w:firstLine="420" w:firstLineChars="200"/>
        <w:rPr>
          <w:rFonts w:ascii="宋体" w:hAnsi="宋体" w:cs="Arial"/>
          <w:highlight w:val="none"/>
        </w:rPr>
      </w:pPr>
      <w:r>
        <w:rPr>
          <w:rFonts w:ascii="宋体" w:hAnsi="宋体" w:cs="Arial"/>
          <w:highlight w:val="none"/>
        </w:rPr>
        <w:t>5.1.4.7对甲方提供的一切资料，以及项目执行生成的各种记录、会议纪要、现场影像资料等做好保密，未经甲方授权不得外传。</w:t>
      </w:r>
    </w:p>
    <w:p>
      <w:pPr>
        <w:spacing w:before="0" w:after="0" w:afterAutospacing="0"/>
        <w:ind w:left="0" w:right="0" w:firstLine="420" w:firstLineChars="200"/>
        <w:rPr>
          <w:rFonts w:ascii="宋体" w:hAnsi="宋体" w:cs="Arial"/>
          <w:highlight w:val="none"/>
        </w:rPr>
      </w:pPr>
      <w:r>
        <w:rPr>
          <w:rFonts w:ascii="宋体" w:hAnsi="宋体" w:cs="Arial"/>
          <w:highlight w:val="none"/>
        </w:rPr>
        <w:t>5.1.4.8未经甲方允许不得在网络、论坛、博客、微博、微信等媒体传播有关的照片、视频等影像资料，所造成的损失由乙方承担。</w:t>
      </w:r>
    </w:p>
    <w:p>
      <w:pPr>
        <w:spacing w:before="0" w:after="0" w:afterAutospacing="0"/>
        <w:ind w:left="0" w:right="0" w:firstLine="420" w:firstLineChars="200"/>
        <w:outlineLvl w:val="3"/>
        <w:rPr>
          <w:rFonts w:ascii="宋体" w:hAnsi="宋体" w:cs="Arial"/>
          <w:highlight w:val="none"/>
        </w:rPr>
      </w:pPr>
      <w:bookmarkStart w:id="1487" w:name="_Toc19780"/>
      <w:r>
        <w:rPr>
          <w:rFonts w:ascii="宋体" w:hAnsi="宋体" w:cs="Arial"/>
          <w:highlight w:val="none"/>
        </w:rPr>
        <w:t>5.1.5疫情防控要求</w:t>
      </w:r>
      <w:bookmarkEnd w:id="1487"/>
    </w:p>
    <w:p>
      <w:pPr>
        <w:spacing w:before="0" w:after="0" w:afterAutospacing="0"/>
        <w:ind w:left="0" w:right="0" w:firstLine="420" w:firstLineChars="200"/>
        <w:rPr>
          <w:rFonts w:ascii="宋体" w:hAnsi="宋体" w:cs="Arial"/>
          <w:highlight w:val="none"/>
        </w:rPr>
      </w:pPr>
      <w:r>
        <w:rPr>
          <w:rFonts w:ascii="宋体" w:hAnsi="宋体" w:cs="Arial"/>
          <w:highlight w:val="none"/>
        </w:rPr>
        <w:t>乙方须严格按国家、广西壮族自治区、南宁市及甲方的疫情防控政策落实好各项防控工作。</w:t>
      </w:r>
    </w:p>
    <w:p>
      <w:pPr>
        <w:autoSpaceDE w:val="0"/>
        <w:outlineLvl w:val="2"/>
        <w:rPr>
          <w:rFonts w:ascii="宋体" w:hAnsi="宋体" w:cs="宋体"/>
          <w:b/>
          <w:highlight w:val="none"/>
        </w:rPr>
      </w:pPr>
      <w:bookmarkStart w:id="1488" w:name="_Toc19028"/>
      <w:bookmarkStart w:id="1489" w:name="_Toc9023"/>
      <w:bookmarkStart w:id="1490" w:name="_Toc7815"/>
      <w:bookmarkStart w:id="1491" w:name="_Toc18461"/>
      <w:bookmarkStart w:id="1492" w:name="_Toc29898"/>
      <w:bookmarkStart w:id="1493" w:name="_Toc13845"/>
      <w:r>
        <w:rPr>
          <w:rFonts w:ascii="宋体" w:hAnsi="宋体" w:cs="宋体"/>
          <w:b/>
          <w:highlight w:val="none"/>
        </w:rPr>
        <w:t>5.2作业计划编制</w:t>
      </w:r>
      <w:bookmarkEnd w:id="1488"/>
      <w:bookmarkEnd w:id="1489"/>
      <w:bookmarkEnd w:id="1490"/>
      <w:bookmarkEnd w:id="1491"/>
      <w:bookmarkEnd w:id="1492"/>
      <w:bookmarkEnd w:id="1493"/>
    </w:p>
    <w:p>
      <w:pPr>
        <w:spacing w:before="0" w:after="0" w:afterAutospacing="0"/>
        <w:ind w:left="0" w:right="0" w:firstLine="420" w:firstLineChars="200"/>
        <w:rPr>
          <w:rFonts w:ascii="宋体" w:hAnsi="宋体" w:cs="Arial"/>
          <w:highlight w:val="none"/>
        </w:rPr>
      </w:pPr>
      <w:r>
        <w:rPr>
          <w:rFonts w:ascii="宋体" w:hAnsi="宋体" w:cs="Arial"/>
          <w:highlight w:val="none"/>
        </w:rPr>
        <w:t>5.2.1乙方根据甲方提供的工程范围及工程量完成施工计划的编制，报甲方主管部门审核，由主管部门按照《运营公司施工管理规定》相关规定与流程报运营相关部门审批。</w:t>
      </w:r>
    </w:p>
    <w:p>
      <w:pPr>
        <w:spacing w:before="0" w:after="0" w:afterAutospacing="0"/>
        <w:ind w:left="0" w:right="0" w:firstLine="420" w:firstLineChars="200"/>
        <w:rPr>
          <w:rFonts w:ascii="宋体" w:hAnsi="宋体" w:cs="Arial"/>
          <w:highlight w:val="none"/>
        </w:rPr>
      </w:pPr>
      <w:r>
        <w:rPr>
          <w:rFonts w:ascii="宋体" w:hAnsi="宋体" w:cs="Arial"/>
          <w:highlight w:val="none"/>
        </w:rPr>
        <w:t>5.2.2乙方根据甲方审批后的施工计划，分解为周施工计划，经甲方主管部门审核后，由主管部门按照《运营公司施工管理规定》相关规定与流程报运营相关部门审批。由主管部门向运营生产管理组申报施工作业计划，以便甲方掌握与监控作业。</w:t>
      </w:r>
    </w:p>
    <w:p>
      <w:pPr>
        <w:autoSpaceDE w:val="0"/>
        <w:outlineLvl w:val="2"/>
        <w:rPr>
          <w:rFonts w:ascii="宋体" w:hAnsi="宋体" w:cs="宋体"/>
          <w:b/>
          <w:highlight w:val="none"/>
        </w:rPr>
      </w:pPr>
      <w:bookmarkStart w:id="1494" w:name="_Toc9847"/>
      <w:bookmarkStart w:id="1495" w:name="_Toc1505"/>
      <w:bookmarkStart w:id="1496" w:name="_Toc27569"/>
      <w:bookmarkStart w:id="1497" w:name="_Toc20100"/>
      <w:bookmarkStart w:id="1498" w:name="_Toc10461"/>
      <w:bookmarkStart w:id="1499" w:name="_Toc18723"/>
      <w:r>
        <w:rPr>
          <w:rFonts w:ascii="宋体" w:hAnsi="宋体" w:cs="宋体"/>
          <w:b/>
          <w:highlight w:val="none"/>
        </w:rPr>
        <w:t>5.3作业计划申报</w:t>
      </w:r>
      <w:bookmarkEnd w:id="1494"/>
      <w:bookmarkEnd w:id="1495"/>
      <w:bookmarkEnd w:id="1496"/>
      <w:bookmarkEnd w:id="1497"/>
      <w:bookmarkEnd w:id="1498"/>
      <w:bookmarkEnd w:id="1499"/>
    </w:p>
    <w:p>
      <w:pPr>
        <w:spacing w:before="0" w:after="0" w:afterAutospacing="0"/>
        <w:ind w:left="0" w:right="0" w:firstLine="420" w:firstLineChars="200"/>
        <w:rPr>
          <w:rFonts w:ascii="宋体" w:hAnsi="宋体" w:cs="Arial"/>
          <w:highlight w:val="none"/>
        </w:rPr>
      </w:pPr>
      <w:r>
        <w:rPr>
          <w:rFonts w:ascii="宋体" w:hAnsi="宋体" w:cs="Arial"/>
          <w:highlight w:val="none"/>
        </w:rPr>
        <w:t>5.3.1乙方根据编制的施工计划，按照《运营公司施工管理规定》及《施工前安全事项交底及作业工器具清点制度》等相关规定编制作业计划，规定填写配合要求等，并按照《运营公司施工管理规定》相关规定与流程申报作业计划，审批后取得《施工作业令》，取得施工作业令或进场施工许可单等相关资料，以便甲方掌握与监控作业。</w:t>
      </w:r>
    </w:p>
    <w:p>
      <w:pPr>
        <w:spacing w:before="0" w:after="0" w:afterAutospacing="0"/>
        <w:ind w:left="0" w:right="0" w:firstLine="420" w:firstLineChars="200"/>
        <w:rPr>
          <w:rFonts w:ascii="宋体" w:hAnsi="宋体" w:cs="Arial"/>
          <w:highlight w:val="none"/>
        </w:rPr>
      </w:pPr>
      <w:r>
        <w:rPr>
          <w:rFonts w:ascii="宋体" w:hAnsi="宋体" w:cs="Arial"/>
          <w:highlight w:val="none"/>
        </w:rPr>
        <w:t>5.3.2《施工作业令》一经签发，不得无故做任何调整，如因特殊原因必须做出调整时，应由乙方向甲方在施工开始前6个小时提出调整或取消的建议，并注明原因。若甲方不同意调整，则必须照令执行。</w:t>
      </w:r>
    </w:p>
    <w:p>
      <w:pPr>
        <w:autoSpaceDE w:val="0"/>
        <w:outlineLvl w:val="2"/>
        <w:rPr>
          <w:rFonts w:ascii="宋体" w:hAnsi="宋体" w:cs="宋体"/>
          <w:b/>
          <w:highlight w:val="none"/>
        </w:rPr>
      </w:pPr>
      <w:bookmarkStart w:id="1500" w:name="_Toc23688"/>
      <w:bookmarkStart w:id="1501" w:name="_Toc1576"/>
      <w:bookmarkStart w:id="1502" w:name="_Toc30613"/>
      <w:bookmarkStart w:id="1503" w:name="_Toc19752"/>
      <w:bookmarkStart w:id="1504" w:name="_Toc28739"/>
      <w:bookmarkStart w:id="1505" w:name="_Toc25113"/>
      <w:r>
        <w:rPr>
          <w:rFonts w:ascii="宋体" w:hAnsi="宋体" w:cs="宋体"/>
          <w:b/>
          <w:highlight w:val="none"/>
        </w:rPr>
        <w:t>5.4作业计划实施</w:t>
      </w:r>
      <w:bookmarkEnd w:id="1500"/>
      <w:bookmarkEnd w:id="1501"/>
      <w:bookmarkEnd w:id="1502"/>
      <w:bookmarkEnd w:id="1503"/>
      <w:bookmarkEnd w:id="1504"/>
      <w:bookmarkEnd w:id="1505"/>
    </w:p>
    <w:p>
      <w:pPr>
        <w:spacing w:before="0" w:after="0" w:afterAutospacing="0"/>
        <w:ind w:left="0" w:right="0" w:firstLine="420" w:firstLineChars="200"/>
        <w:outlineLvl w:val="4"/>
        <w:rPr>
          <w:rFonts w:ascii="宋体" w:hAnsi="宋体" w:cs="Arial"/>
          <w:highlight w:val="none"/>
        </w:rPr>
      </w:pPr>
      <w:bookmarkStart w:id="1506" w:name="_Toc23929"/>
      <w:r>
        <w:rPr>
          <w:rFonts w:ascii="宋体" w:hAnsi="宋体" w:cs="Arial"/>
          <w:highlight w:val="none"/>
        </w:rPr>
        <w:t>5.4.1作业计划的实施</w:t>
      </w:r>
      <w:bookmarkEnd w:id="1506"/>
    </w:p>
    <w:p>
      <w:pPr>
        <w:spacing w:before="0" w:after="0" w:afterAutospacing="0"/>
        <w:ind w:left="0" w:right="0" w:firstLine="420" w:firstLineChars="200"/>
        <w:rPr>
          <w:rFonts w:ascii="宋体" w:hAnsi="宋体" w:cs="Arial"/>
          <w:highlight w:val="none"/>
        </w:rPr>
      </w:pPr>
      <w:r>
        <w:rPr>
          <w:rFonts w:ascii="宋体" w:hAnsi="宋体" w:cs="Arial"/>
          <w:highlight w:val="none"/>
        </w:rPr>
        <w:t>5.4.1.1乙方根据甲方作业计划管理部门签发的施工作业令，组织施工人员在甲方的配合下，按照相关规定实施作业。</w:t>
      </w:r>
    </w:p>
    <w:p>
      <w:pPr>
        <w:spacing w:before="0" w:after="0" w:afterAutospacing="0"/>
        <w:ind w:left="0" w:right="0" w:firstLine="420" w:firstLineChars="200"/>
        <w:rPr>
          <w:rFonts w:ascii="宋体" w:hAnsi="宋体" w:cs="Arial"/>
          <w:highlight w:val="none"/>
        </w:rPr>
      </w:pPr>
      <w:r>
        <w:rPr>
          <w:rFonts w:ascii="宋体" w:hAnsi="宋体" w:cs="Arial"/>
          <w:highlight w:val="none"/>
        </w:rPr>
        <w:t>5.4.1.2对已经批准的施工作业，乙方应按照作业要求安排相应人员及工器具，准时到场进行作业。</w:t>
      </w:r>
    </w:p>
    <w:p>
      <w:pPr>
        <w:spacing w:before="0" w:after="0" w:afterAutospacing="0"/>
        <w:ind w:left="0" w:right="0" w:firstLine="420" w:firstLineChars="200"/>
        <w:outlineLvl w:val="4"/>
        <w:rPr>
          <w:rFonts w:ascii="宋体" w:hAnsi="宋体" w:cs="Arial"/>
          <w:highlight w:val="none"/>
        </w:rPr>
      </w:pPr>
      <w:bookmarkStart w:id="1507" w:name="_Toc9208"/>
      <w:r>
        <w:rPr>
          <w:rFonts w:ascii="宋体" w:hAnsi="宋体" w:cs="Arial"/>
          <w:highlight w:val="none"/>
        </w:rPr>
        <w:t>5.4.2作业过程的控制</w:t>
      </w:r>
      <w:bookmarkEnd w:id="1507"/>
    </w:p>
    <w:p>
      <w:pPr>
        <w:spacing w:before="0" w:after="0" w:afterAutospacing="0"/>
        <w:ind w:left="0" w:right="0" w:firstLine="420" w:firstLineChars="200"/>
        <w:rPr>
          <w:rFonts w:ascii="宋体" w:hAnsi="宋体" w:cs="Arial"/>
          <w:highlight w:val="none"/>
        </w:rPr>
      </w:pPr>
      <w:r>
        <w:rPr>
          <w:rFonts w:ascii="宋体" w:hAnsi="宋体" w:cs="Arial"/>
          <w:highlight w:val="none"/>
        </w:rPr>
        <w:t>为保证作业安全与质量，乙方应采取有效措施及预案确保自身作业安全与质量；甲方将以过程现场监控与事后监控两种形式对乙方的作业安全进行控制，但并不因此而免除乙方的安全与质量的职责。</w:t>
      </w:r>
    </w:p>
    <w:p>
      <w:pPr>
        <w:spacing w:before="0" w:after="0" w:afterAutospacing="0"/>
        <w:ind w:left="0" w:right="0" w:firstLine="420" w:firstLineChars="200"/>
        <w:rPr>
          <w:rFonts w:ascii="宋体" w:hAnsi="宋体" w:cs="Arial"/>
          <w:highlight w:val="none"/>
        </w:rPr>
      </w:pPr>
      <w:r>
        <w:rPr>
          <w:rFonts w:ascii="宋体" w:hAnsi="宋体" w:cs="Arial"/>
          <w:highlight w:val="none"/>
        </w:rPr>
        <w:t>作业监控各流程及监控要点如下：</w:t>
      </w:r>
    </w:p>
    <w:p>
      <w:pPr>
        <w:spacing w:before="0" w:after="0" w:afterAutospacing="0"/>
        <w:ind w:left="0" w:right="0" w:firstLine="420" w:firstLineChars="200"/>
        <w:rPr>
          <w:rFonts w:ascii="宋体" w:hAnsi="宋体" w:cs="Arial"/>
          <w:highlight w:val="none"/>
        </w:rPr>
      </w:pPr>
      <w:r>
        <w:rPr>
          <w:rFonts w:ascii="宋体" w:hAnsi="宋体" w:cs="Arial"/>
          <w:highlight w:val="none"/>
        </w:rPr>
        <w:t>5.4.2.1乙方收到《施工作业令》后，确认作业内容、作业时间及集结地点。</w:t>
      </w:r>
    </w:p>
    <w:p>
      <w:pPr>
        <w:spacing w:before="0" w:after="0" w:afterAutospacing="0"/>
        <w:ind w:left="0" w:right="0" w:firstLine="420" w:firstLineChars="200"/>
        <w:rPr>
          <w:rFonts w:ascii="宋体" w:hAnsi="宋体" w:cs="Arial"/>
          <w:highlight w:val="none"/>
        </w:rPr>
      </w:pPr>
      <w:r>
        <w:rPr>
          <w:rFonts w:ascii="宋体" w:hAnsi="宋体" w:cs="Arial"/>
          <w:highlight w:val="none"/>
        </w:rPr>
        <w:t>5.4.2.2乙方根据作业内容及要求，准备好人员、材料、工器具，并向甲方报备。</w:t>
      </w:r>
    </w:p>
    <w:p>
      <w:pPr>
        <w:spacing w:before="0" w:after="0" w:afterAutospacing="0"/>
        <w:ind w:left="0" w:right="0" w:firstLine="420" w:firstLineChars="200"/>
        <w:rPr>
          <w:rFonts w:ascii="宋体" w:hAnsi="宋体" w:cs="Arial"/>
          <w:highlight w:val="none"/>
        </w:rPr>
      </w:pPr>
      <w:r>
        <w:rPr>
          <w:rFonts w:ascii="宋体" w:hAnsi="宋体" w:cs="Arial"/>
          <w:highlight w:val="none"/>
        </w:rPr>
        <w:t>5.4.2.3乙方组织召开作业班前会，做好相关施工作业任务布置及安全措施。</w:t>
      </w:r>
    </w:p>
    <w:p>
      <w:pPr>
        <w:spacing w:before="0" w:after="0" w:afterAutospacing="0"/>
        <w:ind w:left="0" w:right="0" w:firstLine="420" w:firstLineChars="200"/>
        <w:rPr>
          <w:rFonts w:ascii="宋体" w:hAnsi="宋体" w:cs="Arial"/>
          <w:highlight w:val="none"/>
        </w:rPr>
      </w:pPr>
      <w:r>
        <w:rPr>
          <w:rFonts w:ascii="宋体" w:hAnsi="宋体" w:cs="Arial"/>
          <w:highlight w:val="none"/>
        </w:rPr>
        <w:t>5.4.2.4乙方作业前严格执行请点登记制度，清点人员、材料、工器具；乙方按照相关工艺、材料及作业安全措施，掌握、跟踪作业进度，确保当日作业完成或阶段性作业结果不对乘客、运营等产生不良后果。</w:t>
      </w:r>
    </w:p>
    <w:p>
      <w:pPr>
        <w:spacing w:before="0" w:after="0" w:afterAutospacing="0"/>
        <w:ind w:left="0" w:right="0" w:firstLine="420" w:firstLineChars="200"/>
        <w:rPr>
          <w:rFonts w:ascii="宋体" w:hAnsi="宋体" w:cs="Arial"/>
          <w:highlight w:val="none"/>
        </w:rPr>
      </w:pPr>
      <w:r>
        <w:rPr>
          <w:rFonts w:ascii="宋体" w:hAnsi="宋体" w:cs="Arial"/>
          <w:highlight w:val="none"/>
        </w:rPr>
        <w:t>5.4.2.5作业结束后，由乙方自检施工质量、填写及标记工程量、拍照，并与现场甲方共同检查现场出清情况并销点。</w:t>
      </w:r>
    </w:p>
    <w:p>
      <w:pPr>
        <w:spacing w:before="0" w:after="0" w:afterAutospacing="0"/>
        <w:ind w:left="0" w:right="0" w:firstLine="420" w:firstLineChars="200"/>
        <w:rPr>
          <w:rFonts w:ascii="宋体" w:hAnsi="宋体" w:cs="Arial"/>
          <w:highlight w:val="none"/>
        </w:rPr>
      </w:pPr>
      <w:r>
        <w:rPr>
          <w:rFonts w:ascii="宋体" w:hAnsi="宋体" w:cs="Arial"/>
          <w:highlight w:val="none"/>
        </w:rPr>
        <w:t>5.4.2.6乙方组织召开作业班后会，进行作业过程及作业完成情况总结。</w:t>
      </w:r>
    </w:p>
    <w:p>
      <w:pPr>
        <w:autoSpaceDE w:val="0"/>
        <w:outlineLvl w:val="2"/>
        <w:rPr>
          <w:rFonts w:ascii="宋体" w:hAnsi="宋体" w:cs="宋体"/>
          <w:b/>
          <w:highlight w:val="none"/>
        </w:rPr>
      </w:pPr>
      <w:bookmarkStart w:id="1508" w:name="_Toc13265"/>
      <w:bookmarkStart w:id="1509" w:name="_Toc7072"/>
      <w:bookmarkStart w:id="1510" w:name="_Toc8213"/>
      <w:bookmarkStart w:id="1511" w:name="_Toc3408"/>
      <w:bookmarkStart w:id="1512" w:name="_Toc17521"/>
      <w:bookmarkStart w:id="1513" w:name="_Toc17731"/>
      <w:r>
        <w:rPr>
          <w:rFonts w:ascii="宋体" w:hAnsi="宋体" w:cs="宋体"/>
          <w:b/>
          <w:highlight w:val="none"/>
        </w:rPr>
        <w:t>5.5作业要求</w:t>
      </w:r>
      <w:bookmarkEnd w:id="1508"/>
      <w:bookmarkEnd w:id="1509"/>
      <w:bookmarkEnd w:id="1510"/>
      <w:bookmarkEnd w:id="1511"/>
      <w:bookmarkEnd w:id="1512"/>
      <w:bookmarkEnd w:id="1513"/>
    </w:p>
    <w:p>
      <w:pPr>
        <w:spacing w:before="0" w:after="0" w:afterAutospacing="0"/>
        <w:ind w:left="0" w:right="0" w:firstLine="420" w:firstLineChars="200"/>
        <w:rPr>
          <w:rFonts w:ascii="宋体" w:hAnsi="宋体" w:cs="Arial"/>
          <w:highlight w:val="none"/>
        </w:rPr>
      </w:pPr>
      <w:r>
        <w:rPr>
          <w:rFonts w:ascii="宋体" w:hAnsi="宋体" w:cs="Arial"/>
          <w:highlight w:val="none"/>
        </w:rPr>
        <w:t>5.5.1乙方必须牢固树立“安全第一、预防为主”的思想，不断地加强员工的安全生产教育，将安全生产贯彻到日常的工作中。严格按照甲方《运营公司施工管理规定》《甲方作业通用安全实施守则》等文件的要求进行施工及检修作业，掌握、严守甲方制定的相关安全生产规章制度及员工安全守则等各项规章制度。</w:t>
      </w:r>
    </w:p>
    <w:p>
      <w:pPr>
        <w:spacing w:before="0" w:after="0" w:afterAutospacing="0"/>
        <w:ind w:left="0" w:right="0" w:firstLine="420" w:firstLineChars="200"/>
        <w:rPr>
          <w:rFonts w:ascii="宋体" w:hAnsi="宋体" w:cs="Arial"/>
          <w:highlight w:val="none"/>
        </w:rPr>
      </w:pPr>
      <w:r>
        <w:rPr>
          <w:rFonts w:ascii="宋体" w:hAnsi="宋体" w:cs="Arial"/>
          <w:highlight w:val="none"/>
        </w:rPr>
        <w:t>5.5.2乙方必须服从甲方的管理，按照南宁轨道交通的相关要求进行施工，确保按质、按量地完成工作。</w:t>
      </w:r>
    </w:p>
    <w:p>
      <w:pPr>
        <w:spacing w:before="0" w:after="0" w:afterAutospacing="0"/>
        <w:ind w:left="0" w:right="0" w:firstLine="420" w:firstLineChars="200"/>
        <w:rPr>
          <w:rFonts w:ascii="宋体" w:hAnsi="宋体" w:cs="Arial"/>
          <w:highlight w:val="none"/>
        </w:rPr>
      </w:pPr>
      <w:r>
        <w:rPr>
          <w:rFonts w:ascii="宋体" w:hAnsi="宋体" w:cs="Arial"/>
          <w:highlight w:val="none"/>
        </w:rPr>
        <w:t>5.5.3乙方应本着“实事求是、节约成本”的原则和态度进行施工工作。针对具体的情况，采取切实可行的办法进行处理，坚决杜绝夸大故障、浪费成本、敷衍了事现象的出现，切实维护合同双方的利益。</w:t>
      </w:r>
    </w:p>
    <w:p>
      <w:pPr>
        <w:spacing w:before="0" w:after="0" w:afterAutospacing="0"/>
        <w:ind w:left="0" w:right="0" w:firstLine="420" w:firstLineChars="200"/>
        <w:rPr>
          <w:rFonts w:ascii="宋体" w:hAnsi="宋体" w:cs="Arial"/>
          <w:highlight w:val="none"/>
        </w:rPr>
      </w:pPr>
      <w:r>
        <w:rPr>
          <w:rFonts w:ascii="宋体" w:hAnsi="宋体" w:cs="Arial"/>
          <w:highlight w:val="none"/>
        </w:rPr>
        <w:t xml:space="preserve">5.5.4乙方针对该项目所投入的所有施工人员必须经过甲方相关部门所组织的安全培训并通过合格考试后方可进场作业，严禁任何未参加安全培训以及未通过合格考试的人员进场作业。 </w:t>
      </w:r>
    </w:p>
    <w:p>
      <w:pPr>
        <w:spacing w:before="0" w:after="0" w:afterAutospacing="0"/>
        <w:ind w:left="0" w:right="0" w:firstLine="420" w:firstLineChars="200"/>
        <w:rPr>
          <w:rFonts w:ascii="宋体" w:hAnsi="宋体" w:cs="Arial"/>
          <w:highlight w:val="none"/>
        </w:rPr>
      </w:pPr>
      <w:r>
        <w:rPr>
          <w:rFonts w:ascii="宋体" w:hAnsi="宋体" w:cs="Arial"/>
          <w:highlight w:val="none"/>
        </w:rPr>
        <w:t>5.5.5对于甲方规定必须申报施工作业令的作业项目，乙方必须按照甲方相关进场作业的规定申报施工作业令，持施工作业令进行请点作业后，方可进场作业，在作业后必须办理相关销点手续并确认现场出清后方可撤离现场；对于甲方规定需要办理特种作业手续（如站/库内焊接、切割、登高作业等）方可进行的作业，乙方应该按照要求办理特种作业施工许可证，严禁违规操作；对于施工作业令要求其它部门配合方可进行的作业，乙方应严格按照施工作业令执行，在没有设施所属部门人员配合（或授权使用）的情况下，严禁动用其它部门所辖设施。</w:t>
      </w:r>
    </w:p>
    <w:p>
      <w:pPr>
        <w:spacing w:before="0" w:after="0" w:afterAutospacing="0"/>
        <w:ind w:left="0" w:right="0" w:firstLine="420" w:firstLineChars="200"/>
        <w:rPr>
          <w:rFonts w:ascii="宋体" w:hAnsi="宋体" w:cs="Arial"/>
          <w:highlight w:val="none"/>
        </w:rPr>
      </w:pPr>
      <w:r>
        <w:rPr>
          <w:rFonts w:ascii="宋体" w:hAnsi="宋体" w:cs="Arial"/>
          <w:highlight w:val="none"/>
        </w:rPr>
        <w:t>5.5.6特种施工人员必须持有政府等相关部门颁发的特种作业操作证方可上岗作业，并按照相关要求佩戴配套的防护劳保用品进行作业。严禁无证或不按照要求佩戴证件、防护、劳保用品人员上岗作业。</w:t>
      </w:r>
    </w:p>
    <w:p>
      <w:pPr>
        <w:spacing w:before="0" w:after="0" w:afterAutospacing="0"/>
        <w:ind w:left="0" w:right="0" w:firstLine="420" w:firstLineChars="200"/>
        <w:rPr>
          <w:rFonts w:ascii="宋体" w:hAnsi="宋体" w:cs="Arial"/>
          <w:highlight w:val="none"/>
        </w:rPr>
      </w:pPr>
      <w:r>
        <w:rPr>
          <w:rFonts w:ascii="宋体" w:hAnsi="宋体" w:cs="Arial"/>
          <w:highlight w:val="none"/>
        </w:rPr>
        <w:t>5.5.7在作业中，乙方施工人员只负责施工区域内的工作，严禁超范围施工。未经允许严禁对施工区域内的设备设施进行操纵。</w:t>
      </w:r>
    </w:p>
    <w:p>
      <w:pPr>
        <w:spacing w:before="0" w:after="0" w:afterAutospacing="0"/>
        <w:ind w:left="0" w:right="0" w:firstLine="420" w:firstLineChars="200"/>
        <w:rPr>
          <w:rFonts w:ascii="宋体" w:hAnsi="宋体" w:cs="Arial"/>
          <w:highlight w:val="none"/>
        </w:rPr>
      </w:pPr>
      <w:r>
        <w:rPr>
          <w:rFonts w:ascii="宋体" w:hAnsi="宋体" w:cs="Arial"/>
          <w:highlight w:val="none"/>
        </w:rPr>
        <w:t>5.5.8乙方单位应对乙方施工人员进行文明生产教育，当乙方发现与甲方要求存在差异时，应及时向相关负责人员反映，寻求解决；乙方施工人员不得与任何人发生争执。</w:t>
      </w:r>
    </w:p>
    <w:p>
      <w:pPr>
        <w:spacing w:before="0" w:after="0" w:afterAutospacing="0"/>
        <w:ind w:left="0" w:right="0" w:firstLine="420" w:firstLineChars="200"/>
        <w:rPr>
          <w:rFonts w:ascii="宋体" w:hAnsi="宋体" w:cs="Arial"/>
          <w:highlight w:val="none"/>
        </w:rPr>
      </w:pPr>
      <w:r>
        <w:rPr>
          <w:rFonts w:ascii="宋体" w:hAnsi="宋体" w:cs="Arial"/>
          <w:highlight w:val="none"/>
        </w:rPr>
        <w:t>5.5.9乙方应该严格按照“安全第一、预防为主”的思想，不断地加强员工的安全生产教育，将安全生产贯彻到日常的工作中；对于甲方要求参加的安全生产会议，乙方应该认真的组织相关人员参加；对于甲方颁布的安全生产规定，乙方应不折不扣的执行；对于因乙方不按照相关安全规定进行作业所引发的损失、事故，乙方负全部责任。</w:t>
      </w:r>
    </w:p>
    <w:p>
      <w:pPr>
        <w:spacing w:before="0" w:after="0" w:afterAutospacing="0"/>
        <w:ind w:left="0" w:right="0" w:firstLine="420" w:firstLineChars="200"/>
        <w:rPr>
          <w:rFonts w:ascii="宋体" w:hAnsi="宋体" w:cs="Arial"/>
          <w:highlight w:val="none"/>
        </w:rPr>
      </w:pPr>
      <w:r>
        <w:rPr>
          <w:rFonts w:ascii="宋体" w:hAnsi="宋体" w:cs="Arial"/>
          <w:highlight w:val="none"/>
        </w:rPr>
        <w:t>5.5.10乙方在施工过程中所发生的事故，乙方应本着“诚实、合作、及时”的思想及时通知甲方，配合甲方做好事故的调查和分析工作，不得隐瞒或推卸责任。</w:t>
      </w:r>
    </w:p>
    <w:p>
      <w:pPr>
        <w:spacing w:before="0" w:after="0" w:afterAutospacing="0"/>
        <w:ind w:left="0" w:right="0" w:firstLine="420" w:firstLineChars="200"/>
        <w:rPr>
          <w:rFonts w:ascii="宋体" w:hAnsi="宋体" w:cs="Arial"/>
          <w:highlight w:val="none"/>
        </w:rPr>
      </w:pPr>
      <w:r>
        <w:rPr>
          <w:rFonts w:ascii="宋体" w:hAnsi="宋体" w:cs="Arial"/>
          <w:highlight w:val="none"/>
        </w:rPr>
        <w:t>5.5.11施工负责人必须做好施工人员、工器具作业前后清点、拍照工作，在作业结束前30分钟做好场地清理。</w:t>
      </w:r>
    </w:p>
    <w:p>
      <w:pPr>
        <w:spacing w:before="0" w:after="0" w:afterAutospacing="0"/>
        <w:ind w:left="0" w:right="0" w:firstLine="420" w:firstLineChars="200"/>
        <w:rPr>
          <w:rFonts w:ascii="宋体" w:hAnsi="宋体" w:cs="Arial"/>
          <w:highlight w:val="none"/>
        </w:rPr>
      </w:pPr>
      <w:r>
        <w:rPr>
          <w:rFonts w:ascii="宋体" w:hAnsi="宋体" w:cs="Arial"/>
          <w:highlight w:val="none"/>
        </w:rPr>
        <w:t>5.5.12施工过程中涉及其他专业重要设备设施的，由设备设施所属专业提供配合并负责恢复，配合过程中因乙方所导致的直接及间接经济损失由乙方承担。</w:t>
      </w:r>
    </w:p>
    <w:p>
      <w:pPr>
        <w:spacing w:before="0" w:after="0" w:afterAutospacing="0"/>
        <w:ind w:left="0" w:right="0" w:firstLine="420" w:firstLineChars="200"/>
        <w:rPr>
          <w:rFonts w:ascii="宋体" w:hAnsi="宋体" w:cs="Arial"/>
          <w:highlight w:val="none"/>
        </w:rPr>
      </w:pPr>
      <w:r>
        <w:rPr>
          <w:rFonts w:ascii="宋体" w:hAnsi="宋体" w:cs="Arial"/>
          <w:highlight w:val="none"/>
        </w:rPr>
        <w:t>5.5.13施工前要由负责人员向施工人员进行技术交底及安全要求交底，未经教育者不得进入施工现场，凡参加安全技术交底的人员要履行签字手续，并保存资料。项目中安排专职安全检查，对安全技术措施的执行情况，进行监督检查，并做好记录。对违反质量安全要求者，应及时上报并依据制度进行处罚。</w:t>
      </w:r>
    </w:p>
    <w:p>
      <w:pPr>
        <w:spacing w:before="0" w:after="0" w:afterAutospacing="0"/>
        <w:ind w:left="0" w:right="0" w:firstLine="420" w:firstLineChars="200"/>
        <w:rPr>
          <w:rFonts w:ascii="宋体" w:hAnsi="宋体" w:cs="Arial"/>
          <w:highlight w:val="none"/>
        </w:rPr>
      </w:pPr>
      <w:r>
        <w:rPr>
          <w:rFonts w:ascii="宋体" w:hAnsi="宋体" w:cs="Arial"/>
          <w:highlight w:val="none"/>
        </w:rPr>
        <w:t>5.5.14实行作业前一次十五分钟班前会，主要包括生产任务安排及安全教育，由施工负责人负责，并做会议记录。</w:t>
      </w:r>
    </w:p>
    <w:p>
      <w:pPr>
        <w:spacing w:before="0" w:after="0" w:afterAutospacing="0"/>
        <w:ind w:left="0" w:right="0" w:firstLine="420" w:firstLineChars="200"/>
        <w:rPr>
          <w:rFonts w:ascii="宋体" w:hAnsi="宋体" w:cs="Arial"/>
          <w:highlight w:val="none"/>
        </w:rPr>
      </w:pPr>
      <w:r>
        <w:rPr>
          <w:rFonts w:ascii="宋体" w:hAnsi="宋体" w:cs="Arial"/>
          <w:highlight w:val="none"/>
        </w:rPr>
        <w:t>5.5.15过程中涉及其他专业重要设施的，由设施所属专业提供配合并负责恢复，配合过程中因乙方所导致的经济损失由乙方承担。</w:t>
      </w:r>
    </w:p>
    <w:p>
      <w:pPr>
        <w:spacing w:before="0" w:after="0" w:afterAutospacing="0"/>
        <w:ind w:left="0" w:right="0" w:firstLine="420" w:firstLineChars="200"/>
        <w:rPr>
          <w:rFonts w:ascii="宋体" w:hAnsi="宋体" w:cs="Arial"/>
          <w:highlight w:val="none"/>
        </w:rPr>
      </w:pPr>
      <w:r>
        <w:rPr>
          <w:rFonts w:ascii="宋体" w:hAnsi="宋体" w:cs="Arial"/>
          <w:highlight w:val="none"/>
        </w:rPr>
        <w:t>5.5.16如需进行临时用电作业，乙方须办理临时用电申请手续并制定防范措施，经甲方审核同意后方可开展。</w:t>
      </w:r>
    </w:p>
    <w:p>
      <w:pPr>
        <w:autoSpaceDE w:val="0"/>
        <w:outlineLvl w:val="2"/>
        <w:rPr>
          <w:rFonts w:ascii="宋体" w:hAnsi="宋体" w:cs="宋体"/>
          <w:b/>
          <w:highlight w:val="none"/>
        </w:rPr>
      </w:pPr>
      <w:bookmarkStart w:id="1514" w:name="_Toc12861"/>
      <w:bookmarkStart w:id="1515" w:name="_Toc18072"/>
      <w:bookmarkStart w:id="1516" w:name="_Toc29940"/>
      <w:bookmarkStart w:id="1517" w:name="_Toc16923"/>
      <w:bookmarkStart w:id="1518" w:name="_Toc22355"/>
      <w:r>
        <w:rPr>
          <w:rFonts w:ascii="宋体" w:hAnsi="宋体" w:cs="宋体"/>
          <w:b/>
          <w:highlight w:val="none"/>
        </w:rPr>
        <w:t>5.6作业场地及条件</w:t>
      </w:r>
      <w:bookmarkEnd w:id="1514"/>
      <w:bookmarkEnd w:id="1515"/>
      <w:bookmarkEnd w:id="1516"/>
      <w:bookmarkEnd w:id="1517"/>
      <w:bookmarkEnd w:id="1518"/>
    </w:p>
    <w:p>
      <w:pPr>
        <w:spacing w:before="0" w:after="0" w:afterAutospacing="0"/>
        <w:ind w:left="0" w:right="0" w:firstLine="420" w:firstLineChars="200"/>
        <w:rPr>
          <w:rFonts w:ascii="宋体" w:hAnsi="宋体" w:cs="Arial"/>
          <w:highlight w:val="none"/>
        </w:rPr>
      </w:pPr>
      <w:r>
        <w:rPr>
          <w:rFonts w:ascii="宋体" w:hAnsi="宋体" w:cs="Arial"/>
          <w:highlight w:val="none"/>
        </w:rPr>
        <w:t>5.6.1作业场地</w:t>
      </w:r>
    </w:p>
    <w:p>
      <w:pPr>
        <w:spacing w:before="0" w:after="0" w:afterAutospacing="0"/>
        <w:ind w:left="0" w:right="0" w:firstLine="420" w:firstLineChars="200"/>
        <w:rPr>
          <w:rFonts w:ascii="宋体" w:hAnsi="宋体" w:cs="Arial"/>
          <w:highlight w:val="none"/>
        </w:rPr>
      </w:pPr>
      <w:r>
        <w:rPr>
          <w:rFonts w:ascii="宋体" w:hAnsi="宋体" w:cs="Arial"/>
          <w:highlight w:val="none"/>
        </w:rPr>
        <w:t>项目作业地点位于南宁地铁1号线</w:t>
      </w:r>
      <w:r>
        <w:rPr>
          <w:rFonts w:ascii="宋体" w:hAnsi="宋体" w:cs="宋体"/>
          <w:highlight w:val="none"/>
        </w:rPr>
        <w:t>石埠站、鹏飞路站、西乡塘客运站、清川站、动物园站、鲁班路站、广西大学站、火车站、朝阳广场站、民族广场站、麻村站共11个站的公共区和设备区卫生间</w:t>
      </w:r>
      <w:r>
        <w:rPr>
          <w:rFonts w:ascii="宋体" w:hAnsi="宋体" w:cs="Arial"/>
          <w:highlight w:val="none"/>
        </w:rPr>
        <w:t>。</w:t>
      </w:r>
    </w:p>
    <w:p>
      <w:pPr>
        <w:spacing w:before="0" w:after="0" w:afterAutospacing="0"/>
        <w:ind w:left="0" w:right="0" w:firstLine="420" w:firstLineChars="200"/>
        <w:rPr>
          <w:rFonts w:ascii="宋体" w:hAnsi="宋体" w:cs="Arial"/>
          <w:highlight w:val="none"/>
        </w:rPr>
      </w:pPr>
      <w:r>
        <w:rPr>
          <w:rFonts w:ascii="宋体" w:hAnsi="宋体" w:cs="Arial"/>
          <w:highlight w:val="none"/>
        </w:rPr>
        <w:t>5.6.2作业时间</w:t>
      </w:r>
    </w:p>
    <w:p>
      <w:pPr>
        <w:spacing w:before="0" w:after="0" w:afterAutospacing="0"/>
        <w:ind w:left="0" w:right="0" w:firstLine="420" w:firstLineChars="200"/>
        <w:rPr>
          <w:rFonts w:ascii="宋体" w:hAnsi="宋体" w:cs="Arial"/>
          <w:highlight w:val="none"/>
        </w:rPr>
      </w:pPr>
      <w:r>
        <w:rPr>
          <w:rFonts w:ascii="宋体" w:hAnsi="宋体" w:cs="Arial"/>
          <w:highlight w:val="none"/>
        </w:rPr>
        <w:t>5.6.2.1具体工作时间以甲方发布的正式作业令为准。</w:t>
      </w:r>
    </w:p>
    <w:p>
      <w:pPr>
        <w:spacing w:before="0" w:after="0" w:afterAutospacing="0" w:line="360" w:lineRule="auto"/>
        <w:ind w:left="0" w:right="0" w:firstLine="420" w:firstLineChars="200"/>
        <w:rPr>
          <w:rFonts w:hint="eastAsia" w:ascii="宋体" w:hAnsi="宋体" w:eastAsia="宋体" w:cs="Arial"/>
          <w:highlight w:val="none"/>
          <w:lang w:eastAsia="zh-CN"/>
        </w:rPr>
      </w:pPr>
      <w:r>
        <w:rPr>
          <w:rFonts w:ascii="宋体" w:hAnsi="宋体" w:cs="Arial"/>
          <w:highlight w:val="none"/>
        </w:rPr>
        <w:t>5.6.2.2上述作业时间均包括施工前准备、请销点、工器具搬运、进出场以及作业出清时间</w:t>
      </w:r>
      <w:r>
        <w:rPr>
          <w:rFonts w:hint="eastAsia" w:ascii="宋体" w:hAnsi="宋体" w:cs="Arial"/>
          <w:highlight w:val="none"/>
          <w:lang w:eastAsia="zh-CN"/>
        </w:rPr>
        <w:t>。</w:t>
      </w:r>
    </w:p>
    <w:p>
      <w:pPr>
        <w:spacing w:before="0" w:after="0" w:afterAutospacing="0" w:line="360" w:lineRule="auto"/>
        <w:ind w:left="0" w:right="0" w:firstLine="420" w:firstLineChars="200"/>
        <w:rPr>
          <w:rFonts w:ascii="宋体" w:hAnsi="宋体" w:cs="Arial"/>
          <w:color w:val="auto"/>
          <w:highlight w:val="none"/>
        </w:rPr>
      </w:pPr>
      <w:r>
        <w:rPr>
          <w:rFonts w:hint="eastAsia" w:ascii="宋体" w:hAnsi="宋体" w:cs="Arial"/>
          <w:bCs/>
          <w:color w:val="auto"/>
          <w:highlight w:val="none"/>
        </w:rPr>
        <w:t>5.6.2.</w:t>
      </w:r>
      <w:r>
        <w:rPr>
          <w:rFonts w:hint="eastAsia" w:ascii="宋体" w:hAnsi="宋体" w:cs="Arial"/>
          <w:bCs/>
          <w:color w:val="auto"/>
          <w:highlight w:val="none"/>
          <w:lang w:val="en-US" w:eastAsia="zh-CN"/>
        </w:rPr>
        <w:t>3本次涉及公共区卫生间施工作业时间均为夜间23:50-次日04:00，设备区卫生间可全天开展施工作业。</w:t>
      </w:r>
    </w:p>
    <w:p>
      <w:pPr>
        <w:spacing w:before="0" w:after="0" w:afterAutospacing="0"/>
        <w:ind w:left="0" w:right="0" w:firstLine="420" w:firstLineChars="200"/>
        <w:rPr>
          <w:rFonts w:ascii="宋体" w:hAnsi="宋体" w:cs="Arial"/>
          <w:color w:val="auto"/>
          <w:highlight w:val="none"/>
        </w:rPr>
      </w:pPr>
      <w:r>
        <w:rPr>
          <w:rFonts w:ascii="宋体" w:hAnsi="宋体" w:cs="Arial"/>
          <w:color w:val="auto"/>
          <w:highlight w:val="none"/>
        </w:rPr>
        <w:t>5.6.3限制条件</w:t>
      </w:r>
    </w:p>
    <w:p>
      <w:pPr>
        <w:spacing w:before="0" w:after="0" w:afterAutospacing="0"/>
        <w:ind w:left="0" w:right="0" w:firstLine="420" w:firstLineChars="200"/>
        <w:rPr>
          <w:rFonts w:ascii="宋体" w:hAnsi="宋体" w:cs="Arial"/>
          <w:color w:val="auto"/>
          <w:highlight w:val="none"/>
        </w:rPr>
      </w:pPr>
      <w:r>
        <w:rPr>
          <w:rFonts w:ascii="宋体" w:hAnsi="宋体" w:cs="Arial"/>
          <w:color w:val="auto"/>
          <w:highlight w:val="none"/>
        </w:rPr>
        <w:t>5.6.3.1乙方须自行考虑工器具的运输问题。</w:t>
      </w:r>
    </w:p>
    <w:p>
      <w:pPr>
        <w:spacing w:before="0" w:after="0" w:afterAutospacing="0"/>
        <w:ind w:left="0" w:right="0" w:firstLine="420" w:firstLineChars="200"/>
        <w:rPr>
          <w:rFonts w:ascii="宋体" w:hAnsi="宋体" w:cs="Arial"/>
          <w:highlight w:val="none"/>
        </w:rPr>
      </w:pPr>
      <w:r>
        <w:rPr>
          <w:rFonts w:ascii="宋体" w:hAnsi="宋体" w:cs="Arial"/>
          <w:color w:val="auto"/>
          <w:highlight w:val="none"/>
        </w:rPr>
        <w:t>5.6.3.2每次施工作业均需要按照甲方施工管理相关规定，提前申</w:t>
      </w:r>
      <w:r>
        <w:rPr>
          <w:rFonts w:ascii="宋体" w:hAnsi="宋体" w:cs="Arial"/>
          <w:highlight w:val="none"/>
        </w:rPr>
        <w:t>报向甲方作业计划，配合办理请销点手续。</w:t>
      </w:r>
    </w:p>
    <w:p>
      <w:pPr>
        <w:spacing w:before="0" w:after="0" w:afterAutospacing="0"/>
        <w:ind w:left="0" w:right="0" w:firstLine="420" w:firstLineChars="200"/>
        <w:rPr>
          <w:rFonts w:ascii="宋体" w:hAnsi="宋体" w:cs="Arial"/>
          <w:highlight w:val="none"/>
        </w:rPr>
      </w:pPr>
      <w:r>
        <w:rPr>
          <w:rFonts w:ascii="宋体" w:hAnsi="宋体" w:cs="Arial"/>
          <w:highlight w:val="none"/>
        </w:rPr>
        <w:t>5.6.4甲方提供的条件</w:t>
      </w:r>
    </w:p>
    <w:p>
      <w:pPr>
        <w:spacing w:before="0" w:after="0" w:afterAutospacing="0"/>
        <w:ind w:left="0" w:right="0" w:firstLine="420" w:firstLineChars="200"/>
        <w:rPr>
          <w:rFonts w:ascii="宋体" w:hAnsi="宋体" w:cs="Arial"/>
          <w:highlight w:val="none"/>
        </w:rPr>
      </w:pPr>
      <w:r>
        <w:rPr>
          <w:rFonts w:ascii="宋体" w:hAnsi="宋体" w:cs="Arial"/>
          <w:highlight w:val="none"/>
        </w:rPr>
        <w:t>5.6.4.1按已有的水电接口免费提供检修作业用电、用水。</w:t>
      </w:r>
    </w:p>
    <w:p>
      <w:pPr>
        <w:spacing w:before="0" w:after="0" w:afterAutospacing="0"/>
        <w:ind w:left="0" w:right="0" w:firstLine="420" w:firstLineChars="200"/>
        <w:rPr>
          <w:rFonts w:ascii="宋体" w:hAnsi="宋体" w:cs="Arial"/>
          <w:highlight w:val="none"/>
        </w:rPr>
      </w:pPr>
      <w:r>
        <w:rPr>
          <w:rFonts w:ascii="宋体" w:hAnsi="宋体" w:cs="Arial"/>
          <w:highlight w:val="none"/>
        </w:rPr>
        <w:t>5.6.4.2对施工人员进行安全培训，但该培训不能代替乙方自身对施工人员的安全培训。</w:t>
      </w:r>
    </w:p>
    <w:p>
      <w:pPr>
        <w:spacing w:before="0" w:after="0" w:afterAutospacing="0"/>
        <w:ind w:left="0" w:right="0" w:firstLine="420" w:firstLineChars="200"/>
        <w:rPr>
          <w:rFonts w:ascii="宋体" w:hAnsi="宋体" w:cs="Arial"/>
          <w:highlight w:val="none"/>
        </w:rPr>
      </w:pPr>
      <w:r>
        <w:rPr>
          <w:rFonts w:ascii="宋体" w:hAnsi="宋体" w:cs="Arial"/>
          <w:highlight w:val="none"/>
        </w:rPr>
        <w:t>5.6.4.3协调甲方内部各部门之间的工作。</w:t>
      </w:r>
    </w:p>
    <w:p>
      <w:pPr>
        <w:spacing w:before="0" w:after="0" w:afterAutospacing="0"/>
        <w:ind w:left="0" w:right="0" w:firstLine="420" w:firstLineChars="200"/>
        <w:rPr>
          <w:rFonts w:ascii="宋体" w:hAnsi="宋体" w:cs="Arial"/>
          <w:highlight w:val="none"/>
        </w:rPr>
      </w:pPr>
      <w:r>
        <w:rPr>
          <w:rFonts w:ascii="宋体" w:hAnsi="宋体" w:cs="Arial"/>
          <w:highlight w:val="none"/>
        </w:rPr>
        <w:t>5.6.4.4办理有关施工作业的审批手续。</w:t>
      </w:r>
    </w:p>
    <w:p>
      <w:pPr>
        <w:spacing w:before="0" w:after="0" w:afterAutospacing="0"/>
        <w:ind w:left="0" w:right="0" w:firstLine="420" w:firstLineChars="200"/>
        <w:rPr>
          <w:rFonts w:ascii="宋体" w:hAnsi="宋体" w:cs="Arial"/>
          <w:highlight w:val="none"/>
        </w:rPr>
      </w:pPr>
      <w:r>
        <w:rPr>
          <w:rFonts w:ascii="宋体" w:hAnsi="宋体" w:cs="Arial"/>
          <w:highlight w:val="none"/>
        </w:rPr>
        <w:t>5.6.4.5提供项目执行必须的技术资料和规章制度。</w:t>
      </w:r>
    </w:p>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Pr>
        <w:outlineLvl w:val="1"/>
        <w:rPr>
          <w:rFonts w:ascii="宋体" w:hAnsi="宋体" w:eastAsia="黑体" w:cs="宋体"/>
          <w:b/>
          <w:sz w:val="24"/>
          <w:szCs w:val="44"/>
          <w:highlight w:val="none"/>
        </w:rPr>
      </w:pPr>
      <w:bookmarkStart w:id="1519" w:name="_Toc24332"/>
      <w:bookmarkStart w:id="1520" w:name="_Toc4406"/>
      <w:bookmarkStart w:id="1521" w:name="_Toc27869"/>
      <w:bookmarkStart w:id="1522" w:name="_Toc9212"/>
      <w:bookmarkStart w:id="1523" w:name="_Toc27373"/>
      <w:bookmarkStart w:id="1524" w:name="_Toc15254"/>
      <w:r>
        <w:rPr>
          <w:rFonts w:hint="eastAsia" w:ascii="宋体" w:hAnsi="宋体" w:eastAsia="黑体" w:cs="宋体"/>
          <w:b/>
          <w:sz w:val="24"/>
          <w:szCs w:val="44"/>
          <w:highlight w:val="none"/>
        </w:rPr>
        <w:t>6考核条款</w:t>
      </w:r>
      <w:bookmarkEnd w:id="1519"/>
      <w:bookmarkEnd w:id="1520"/>
      <w:bookmarkEnd w:id="1521"/>
      <w:bookmarkEnd w:id="1522"/>
      <w:bookmarkEnd w:id="1523"/>
      <w:bookmarkEnd w:id="1524"/>
    </w:p>
    <w:p>
      <w:pPr>
        <w:keepNext/>
        <w:keepLines/>
        <w:widowControl w:val="0"/>
        <w:spacing w:before="240" w:beforeLines="100" w:after="120" w:afterLines="50" w:afterAutospacing="0" w:line="240" w:lineRule="auto"/>
        <w:ind w:left="0" w:right="0" w:firstLine="420" w:firstLineChars="200"/>
        <w:outlineLvl w:val="2"/>
        <w:rPr>
          <w:sz w:val="24"/>
          <w:highlight w:val="none"/>
        </w:rPr>
      </w:pPr>
      <w:r>
        <w:rPr>
          <w:rFonts w:hint="eastAsia" w:ascii="宋体" w:hAnsi="宋体" w:cs="Arial"/>
          <w:highlight w:val="none"/>
          <w:lang w:eastAsia="zh-CN"/>
        </w:rPr>
        <w:t>该内容详见合同条款“</w:t>
      </w:r>
      <w:r>
        <w:rPr>
          <w:rFonts w:hint="eastAsia" w:ascii="宋体" w:hAnsi="宋体" w:cs="Arial"/>
          <w:highlight w:val="none"/>
          <w:lang w:val="en-US" w:eastAsia="zh-CN"/>
        </w:rPr>
        <w:t>12.合同期评价</w:t>
      </w:r>
      <w:r>
        <w:rPr>
          <w:rFonts w:hint="eastAsia" w:ascii="宋体" w:hAnsi="宋体" w:cs="Arial"/>
          <w:highlight w:val="none"/>
          <w:lang w:eastAsia="zh-CN"/>
        </w:rPr>
        <w:t>”“</w:t>
      </w:r>
      <w:r>
        <w:rPr>
          <w:rFonts w:hint="eastAsia" w:ascii="宋体" w:hAnsi="宋体" w:cs="Arial"/>
          <w:highlight w:val="none"/>
          <w:lang w:val="en-US" w:eastAsia="zh-CN"/>
        </w:rPr>
        <w:t>13.违约处理</w:t>
      </w:r>
      <w:r>
        <w:rPr>
          <w:rFonts w:hint="eastAsia" w:ascii="宋体" w:hAnsi="宋体" w:cs="Arial"/>
          <w:highlight w:val="none"/>
          <w:lang w:eastAsia="zh-CN"/>
        </w:rPr>
        <w:t>”。</w:t>
      </w:r>
    </w:p>
    <w:p>
      <w:pPr>
        <w:jc w:val="left"/>
        <w:outlineLvl w:val="1"/>
        <w:rPr>
          <w:rFonts w:ascii="宋体" w:hAnsi="宋体" w:eastAsia="黑体" w:cs="宋体"/>
          <w:b/>
          <w:sz w:val="24"/>
          <w:szCs w:val="44"/>
          <w:highlight w:val="none"/>
        </w:rPr>
      </w:pPr>
      <w:bookmarkStart w:id="1525" w:name="_Toc22068"/>
      <w:bookmarkStart w:id="1526" w:name="_Toc8118"/>
      <w:bookmarkStart w:id="1527" w:name="_Toc16706"/>
      <w:bookmarkStart w:id="1528" w:name="_Toc11978"/>
      <w:bookmarkStart w:id="1529" w:name="_Toc6991"/>
      <w:bookmarkStart w:id="1530" w:name="_Toc21813"/>
      <w:bookmarkStart w:id="1531" w:name="_Toc727"/>
      <w:r>
        <w:rPr>
          <w:rFonts w:hint="eastAsia" w:ascii="宋体" w:hAnsi="宋体" w:eastAsia="黑体" w:cs="宋体"/>
          <w:b/>
          <w:sz w:val="24"/>
          <w:szCs w:val="44"/>
          <w:highlight w:val="none"/>
        </w:rPr>
        <w:t>7验收要求</w:t>
      </w:r>
      <w:bookmarkEnd w:id="1525"/>
      <w:bookmarkEnd w:id="1526"/>
      <w:bookmarkEnd w:id="1527"/>
      <w:bookmarkEnd w:id="1528"/>
      <w:bookmarkEnd w:id="1529"/>
      <w:bookmarkEnd w:id="1530"/>
      <w:bookmarkEnd w:id="1531"/>
    </w:p>
    <w:p>
      <w:pPr>
        <w:jc w:val="left"/>
        <w:outlineLvl w:val="2"/>
        <w:rPr>
          <w:rFonts w:ascii="宋体" w:hAnsi="宋体" w:cs="宋体"/>
          <w:b/>
          <w:highlight w:val="none"/>
        </w:rPr>
      </w:pPr>
      <w:bookmarkStart w:id="1532" w:name="_Toc28102"/>
      <w:bookmarkStart w:id="1533" w:name="_Toc21709"/>
      <w:bookmarkStart w:id="1534" w:name="_Toc29371"/>
      <w:bookmarkStart w:id="1535" w:name="_Toc7470"/>
      <w:bookmarkStart w:id="1536" w:name="_Toc32560"/>
      <w:bookmarkStart w:id="1537" w:name="_Toc8613"/>
      <w:r>
        <w:rPr>
          <w:rFonts w:ascii="宋体" w:hAnsi="宋体" w:cs="宋体"/>
          <w:b/>
          <w:highlight w:val="none"/>
        </w:rPr>
        <w:t>7.1总体要求</w:t>
      </w:r>
      <w:bookmarkEnd w:id="1532"/>
      <w:bookmarkEnd w:id="1533"/>
      <w:bookmarkEnd w:id="1534"/>
      <w:bookmarkEnd w:id="1535"/>
      <w:bookmarkEnd w:id="1536"/>
      <w:bookmarkEnd w:id="1537"/>
    </w:p>
    <w:p>
      <w:pPr>
        <w:spacing w:before="0" w:after="0" w:afterAutospacing="0"/>
        <w:ind w:left="0" w:right="0" w:firstLine="420" w:firstLineChars="200"/>
        <w:rPr>
          <w:rFonts w:ascii="宋体" w:hAnsi="宋体" w:cs="Arial"/>
          <w:highlight w:val="none"/>
        </w:rPr>
      </w:pPr>
      <w:r>
        <w:rPr>
          <w:rFonts w:ascii="宋体" w:hAnsi="宋体" w:cs="Arial"/>
          <w:highlight w:val="none"/>
        </w:rPr>
        <w:t>7.1.1施工必须保证设备使用安全和主要使用功能。</w:t>
      </w:r>
    </w:p>
    <w:p>
      <w:pPr>
        <w:spacing w:before="0" w:after="0" w:afterAutospacing="0"/>
        <w:ind w:left="0" w:right="0" w:firstLine="420" w:firstLineChars="200"/>
        <w:rPr>
          <w:rFonts w:ascii="宋体" w:hAnsi="宋体" w:cs="Arial"/>
          <w:highlight w:val="none"/>
        </w:rPr>
      </w:pPr>
      <w:r>
        <w:rPr>
          <w:rFonts w:ascii="宋体" w:hAnsi="宋体" w:cs="Arial"/>
          <w:highlight w:val="none"/>
        </w:rPr>
        <w:t>7.1.2养护维修验收应在乙方自检合格的基础上进行。</w:t>
      </w:r>
    </w:p>
    <w:p>
      <w:pPr>
        <w:jc w:val="left"/>
        <w:outlineLvl w:val="2"/>
        <w:rPr>
          <w:rFonts w:ascii="宋体" w:hAnsi="宋体" w:cs="宋体"/>
          <w:b/>
          <w:highlight w:val="none"/>
        </w:rPr>
      </w:pPr>
      <w:bookmarkStart w:id="1538" w:name="_Toc23259"/>
      <w:bookmarkStart w:id="1539" w:name="_Toc21701"/>
      <w:bookmarkStart w:id="1540" w:name="_Toc9289"/>
      <w:bookmarkStart w:id="1541" w:name="_Toc14696"/>
      <w:bookmarkStart w:id="1542" w:name="_Toc2089"/>
      <w:bookmarkStart w:id="1543" w:name="_Toc12046"/>
      <w:r>
        <w:rPr>
          <w:rFonts w:ascii="宋体" w:hAnsi="宋体" w:cs="宋体"/>
          <w:b/>
          <w:highlight w:val="none"/>
        </w:rPr>
        <w:t>7.2项目验收要求</w:t>
      </w:r>
      <w:bookmarkEnd w:id="1538"/>
      <w:bookmarkEnd w:id="1539"/>
      <w:bookmarkEnd w:id="1540"/>
      <w:bookmarkEnd w:id="1541"/>
      <w:bookmarkEnd w:id="1542"/>
      <w:bookmarkEnd w:id="1543"/>
    </w:p>
    <w:p>
      <w:pPr>
        <w:spacing w:before="0" w:after="0" w:afterAutospacing="0"/>
        <w:ind w:left="0" w:right="0" w:firstLine="420" w:firstLineChars="200"/>
        <w:rPr>
          <w:rFonts w:ascii="宋体" w:hAnsi="宋体" w:cs="Arial"/>
          <w:highlight w:val="none"/>
        </w:rPr>
      </w:pPr>
      <w:r>
        <w:rPr>
          <w:rFonts w:ascii="宋体" w:hAnsi="宋体" w:cs="Arial"/>
          <w:highlight w:val="none"/>
        </w:rPr>
        <w:t>7.2.1项目材料质量检查</w:t>
      </w:r>
    </w:p>
    <w:p>
      <w:pPr>
        <w:spacing w:before="0" w:after="0" w:afterAutospacing="0"/>
        <w:ind w:left="0" w:right="0" w:firstLine="420" w:firstLineChars="200"/>
        <w:rPr>
          <w:rFonts w:ascii="宋体" w:hAnsi="宋体" w:cs="Arial"/>
          <w:highlight w:val="none"/>
        </w:rPr>
      </w:pPr>
      <w:r>
        <w:rPr>
          <w:rFonts w:ascii="宋体" w:hAnsi="宋体" w:cs="Arial"/>
          <w:highlight w:val="none"/>
        </w:rPr>
        <w:t>检查要求：整体脚踏阀套装有出厂检验合格证书，并应具有使用说明书和安装说明书。</w:t>
      </w:r>
    </w:p>
    <w:p>
      <w:pPr>
        <w:spacing w:before="0" w:after="0" w:afterAutospacing="0"/>
        <w:ind w:left="0" w:right="0" w:firstLine="420" w:firstLineChars="200"/>
        <w:rPr>
          <w:rFonts w:ascii="宋体" w:hAnsi="宋体" w:cs="Arial"/>
          <w:highlight w:val="none"/>
        </w:rPr>
      </w:pPr>
      <w:r>
        <w:rPr>
          <w:rFonts w:ascii="宋体" w:hAnsi="宋体" w:cs="Arial"/>
          <w:highlight w:val="none"/>
        </w:rPr>
        <w:t>检查数量：全数检查</w:t>
      </w:r>
    </w:p>
    <w:p>
      <w:pPr>
        <w:spacing w:before="0" w:after="0" w:afterAutospacing="0"/>
        <w:ind w:left="0" w:right="0" w:firstLine="420" w:firstLineChars="200"/>
        <w:rPr>
          <w:rFonts w:ascii="宋体" w:hAnsi="宋体" w:cs="Arial"/>
          <w:highlight w:val="none"/>
        </w:rPr>
      </w:pPr>
      <w:r>
        <w:rPr>
          <w:rFonts w:ascii="宋体" w:hAnsi="宋体" w:cs="Arial"/>
          <w:highlight w:val="none"/>
        </w:rPr>
        <w:t>检验方法：查阅设备配套文件。</w:t>
      </w:r>
    </w:p>
    <w:p>
      <w:pPr>
        <w:spacing w:before="0" w:after="0" w:afterAutospacing="0"/>
        <w:ind w:left="0" w:right="0" w:firstLine="420" w:firstLineChars="200"/>
        <w:rPr>
          <w:rFonts w:ascii="宋体" w:hAnsi="宋体" w:cs="Arial"/>
          <w:highlight w:val="none"/>
        </w:rPr>
      </w:pPr>
      <w:r>
        <w:rPr>
          <w:rFonts w:ascii="宋体" w:hAnsi="宋体" w:cs="Arial"/>
          <w:highlight w:val="none"/>
        </w:rPr>
        <w:t>7.2.2项目设施隐蔽前安装质量检查</w:t>
      </w:r>
    </w:p>
    <w:p>
      <w:pPr>
        <w:spacing w:before="0" w:after="0" w:afterAutospacing="0"/>
        <w:ind w:left="0" w:right="0" w:firstLine="420" w:firstLineChars="200"/>
        <w:rPr>
          <w:rFonts w:ascii="宋体" w:hAnsi="宋体" w:cs="Arial"/>
          <w:highlight w:val="none"/>
        </w:rPr>
      </w:pPr>
      <w:r>
        <w:rPr>
          <w:rFonts w:ascii="宋体" w:hAnsi="宋体" w:cs="Arial"/>
          <w:highlight w:val="none"/>
        </w:rPr>
        <w:t>检查要求：墙面及地面开凿时切割是整齐、阀体及管件连接处使用生料带进行螺纹连接；连接处阀体及管件连接处无飞边、毛刺；阀体及连接件位置易于拆卸、维修；脚踏阀踏板距地高度在130mm±10mm范围内，脚踏阀距离墙体立面间隙在55mm±10mm范围内；阀体及管件安装紧固；阀体及管件表面无损伤及凹凸弯扁等缺陷；冲水管与便盆连接处设置密封垫圈；管道宜采用机械切割，切割面不得有飞边、毛刺；管道螺纹密封面符合现行国家标准GB/T 196 普通螺纹 基本尺寸、GB/T 197 普通螺纹  公差 和GB/T 1414 普通螺纹 管路系列的有关规定。</w:t>
      </w:r>
    </w:p>
    <w:p>
      <w:pPr>
        <w:spacing w:before="0" w:after="0" w:afterAutospacing="0"/>
        <w:ind w:left="0" w:right="0" w:firstLine="420" w:firstLineChars="200"/>
        <w:rPr>
          <w:rFonts w:ascii="宋体" w:hAnsi="宋体" w:cs="Arial"/>
          <w:highlight w:val="none"/>
        </w:rPr>
      </w:pPr>
      <w:r>
        <w:rPr>
          <w:rFonts w:ascii="宋体" w:hAnsi="宋体" w:cs="Arial"/>
          <w:highlight w:val="none"/>
        </w:rPr>
        <w:t>检查数量：全数检查</w:t>
      </w:r>
    </w:p>
    <w:p>
      <w:pPr>
        <w:spacing w:before="0" w:after="0" w:afterAutospacing="0"/>
        <w:ind w:left="0" w:right="0" w:firstLine="420" w:firstLineChars="200"/>
        <w:rPr>
          <w:rFonts w:ascii="宋体" w:hAnsi="宋体" w:cs="Arial"/>
          <w:highlight w:val="none"/>
        </w:rPr>
      </w:pPr>
      <w:r>
        <w:rPr>
          <w:rFonts w:ascii="宋体" w:hAnsi="宋体" w:cs="Arial"/>
          <w:highlight w:val="none"/>
        </w:rPr>
        <w:t>检验方法：测量；观察；触摸；查阅相关文件《GB/T 7306.1》、《GB/T 7306.2》。</w:t>
      </w:r>
    </w:p>
    <w:p>
      <w:pPr>
        <w:spacing w:before="0" w:after="0" w:afterAutospacing="0"/>
        <w:ind w:left="0" w:right="0" w:firstLine="420" w:firstLineChars="200"/>
        <w:rPr>
          <w:rFonts w:ascii="宋体" w:hAnsi="宋体" w:cs="Arial"/>
          <w:highlight w:val="none"/>
        </w:rPr>
      </w:pPr>
      <w:r>
        <w:rPr>
          <w:rFonts w:ascii="宋体" w:hAnsi="宋体" w:cs="Arial"/>
          <w:highlight w:val="none"/>
        </w:rPr>
        <w:t>7.2.3项目隐蔽前通水及严密性测试</w:t>
      </w:r>
    </w:p>
    <w:p>
      <w:pPr>
        <w:spacing w:before="0" w:after="0" w:afterAutospacing="0"/>
        <w:ind w:left="0" w:right="0" w:firstLine="420" w:firstLineChars="200"/>
        <w:rPr>
          <w:rFonts w:ascii="宋体" w:hAnsi="宋体" w:cs="Arial"/>
          <w:highlight w:val="none"/>
        </w:rPr>
      </w:pPr>
      <w:r>
        <w:rPr>
          <w:rFonts w:ascii="宋体" w:hAnsi="宋体" w:cs="Arial"/>
          <w:highlight w:val="none"/>
        </w:rPr>
        <w:t>检查要求：进水阀门（一字闭锁球阀）通断功能正常；脚踏板冲水正常；阀体或连接管道在使用过程中无渗漏水现象；打开进水阀门完成冲水动作并静置12h后，观察阀体及连接管道不出现渗漏水的迹象。</w:t>
      </w:r>
    </w:p>
    <w:p>
      <w:pPr>
        <w:spacing w:before="0" w:after="0" w:afterAutospacing="0"/>
        <w:ind w:left="0" w:right="0" w:firstLine="420" w:firstLineChars="200"/>
        <w:rPr>
          <w:rFonts w:ascii="宋体" w:hAnsi="宋体" w:cs="Arial"/>
          <w:highlight w:val="none"/>
        </w:rPr>
      </w:pPr>
      <w:r>
        <w:rPr>
          <w:rFonts w:ascii="宋体" w:hAnsi="宋体" w:cs="Arial"/>
          <w:highlight w:val="none"/>
        </w:rPr>
        <w:t>检查数量：全数检查</w:t>
      </w:r>
    </w:p>
    <w:p>
      <w:pPr>
        <w:spacing w:before="0" w:after="0" w:afterAutospacing="0"/>
        <w:ind w:left="0" w:right="0" w:firstLine="420" w:firstLineChars="200"/>
        <w:rPr>
          <w:rFonts w:ascii="宋体" w:hAnsi="宋体" w:cs="Arial"/>
          <w:highlight w:val="none"/>
        </w:rPr>
      </w:pPr>
      <w:r>
        <w:rPr>
          <w:rFonts w:ascii="宋体" w:hAnsi="宋体" w:cs="Arial"/>
          <w:highlight w:val="none"/>
        </w:rPr>
        <w:t>检验方法：测量；观察；触摸。</w:t>
      </w:r>
    </w:p>
    <w:p>
      <w:pPr>
        <w:spacing w:before="0" w:after="0" w:afterAutospacing="0"/>
        <w:ind w:left="0" w:right="0" w:firstLine="420" w:firstLineChars="200"/>
        <w:rPr>
          <w:rFonts w:ascii="宋体" w:hAnsi="宋体" w:cs="Arial"/>
          <w:highlight w:val="none"/>
        </w:rPr>
      </w:pPr>
      <w:r>
        <w:rPr>
          <w:rFonts w:ascii="宋体" w:hAnsi="宋体" w:cs="Arial"/>
          <w:highlight w:val="none"/>
        </w:rPr>
        <w:t>7.2.4项目隐蔽工程检查</w:t>
      </w:r>
    </w:p>
    <w:p>
      <w:pPr>
        <w:spacing w:before="0" w:after="0" w:afterAutospacing="0"/>
        <w:ind w:left="0" w:right="0" w:firstLine="420" w:firstLineChars="200"/>
        <w:rPr>
          <w:rFonts w:ascii="宋体" w:hAnsi="宋体" w:cs="Arial"/>
          <w:highlight w:val="none"/>
        </w:rPr>
      </w:pPr>
      <w:r>
        <w:rPr>
          <w:rFonts w:ascii="宋体" w:hAnsi="宋体" w:cs="Arial"/>
          <w:highlight w:val="none"/>
        </w:rPr>
        <w:t>检查要求：墙面瓷砖铺贴前敷设5mm厚1：1水泥砂浆，防滑地砖铺贴前敷设30mm厚1:3干硬性水泥砂浆结合层并在面上撒素水泥，瓷砖敷设整齐、无</w:t>
      </w:r>
      <w:r>
        <w:rPr>
          <w:rFonts w:hint="eastAsia" w:ascii="宋体" w:hAnsi="宋体" w:cs="Arial"/>
          <w:highlight w:val="none"/>
          <w:lang w:eastAsia="zh-CN"/>
        </w:rPr>
        <w:t>控股</w:t>
      </w:r>
      <w:r>
        <w:rPr>
          <w:rFonts w:ascii="宋体" w:hAnsi="宋体" w:cs="Arial"/>
          <w:highlight w:val="none"/>
        </w:rPr>
        <w:t>。卫生洁具与墙体、台面结合部应进行防水密封处理。</w:t>
      </w:r>
    </w:p>
    <w:p>
      <w:pPr>
        <w:spacing w:before="0" w:after="0" w:afterAutospacing="0"/>
        <w:ind w:left="0" w:right="0" w:firstLine="420" w:firstLineChars="200"/>
        <w:rPr>
          <w:rFonts w:ascii="宋体" w:hAnsi="宋体" w:cs="Arial"/>
          <w:highlight w:val="none"/>
        </w:rPr>
      </w:pPr>
      <w:r>
        <w:rPr>
          <w:rFonts w:ascii="宋体" w:hAnsi="宋体" w:cs="Arial"/>
          <w:highlight w:val="none"/>
        </w:rPr>
        <w:t>检查数量：全数检查</w:t>
      </w:r>
    </w:p>
    <w:p>
      <w:pPr>
        <w:spacing w:before="0" w:after="0" w:afterAutospacing="0"/>
        <w:ind w:left="0" w:right="0" w:firstLine="420" w:firstLineChars="200"/>
        <w:rPr>
          <w:rFonts w:ascii="宋体" w:hAnsi="宋体" w:cs="Arial"/>
          <w:highlight w:val="none"/>
        </w:rPr>
      </w:pPr>
      <w:r>
        <w:rPr>
          <w:rFonts w:ascii="宋体" w:hAnsi="宋体" w:cs="Arial"/>
          <w:highlight w:val="none"/>
        </w:rPr>
        <w:t>检验方法：观察；触摸检查。</w:t>
      </w:r>
    </w:p>
    <w:p>
      <w:pPr>
        <w:spacing w:before="0" w:after="0" w:afterAutospacing="0"/>
        <w:ind w:left="0" w:right="0" w:firstLine="420" w:firstLineChars="200"/>
        <w:rPr>
          <w:rFonts w:ascii="宋体" w:hAnsi="宋体" w:cs="Arial"/>
          <w:highlight w:val="none"/>
        </w:rPr>
      </w:pPr>
      <w:r>
        <w:rPr>
          <w:rFonts w:ascii="宋体" w:hAnsi="宋体" w:cs="Arial"/>
          <w:highlight w:val="none"/>
        </w:rPr>
        <w:t>7.2.5项目使用功能测试</w:t>
      </w:r>
    </w:p>
    <w:p>
      <w:pPr>
        <w:spacing w:before="0" w:after="0" w:afterAutospacing="0"/>
        <w:ind w:left="0" w:right="0" w:firstLine="420" w:firstLineChars="200"/>
        <w:rPr>
          <w:rFonts w:ascii="宋体" w:hAnsi="宋体" w:cs="Arial"/>
          <w:highlight w:val="none"/>
        </w:rPr>
      </w:pPr>
      <w:r>
        <w:rPr>
          <w:rFonts w:ascii="宋体" w:hAnsi="宋体" w:cs="Arial"/>
          <w:highlight w:val="none"/>
        </w:rPr>
        <w:t>检查要求：脚踏阀安装后必须在现有管网中进行功能测试，冲水时不应有溅水现象，冲洗时间不应超过12s，当连续冲洗3次超过12s，既判定为不合格；阀体或脚踏板在使用过程中不能出现位移的现象；阀体或脚踏板在使用过程中是否出现损坏、脱落、变形等现象。</w:t>
      </w:r>
    </w:p>
    <w:p>
      <w:pPr>
        <w:spacing w:before="0" w:after="0" w:afterAutospacing="0"/>
        <w:ind w:left="0" w:right="0" w:firstLine="420" w:firstLineChars="200"/>
        <w:rPr>
          <w:rFonts w:ascii="宋体" w:hAnsi="宋体" w:cs="Arial"/>
          <w:highlight w:val="none"/>
        </w:rPr>
      </w:pPr>
      <w:r>
        <w:rPr>
          <w:rFonts w:ascii="宋体" w:hAnsi="宋体" w:cs="Arial"/>
          <w:highlight w:val="none"/>
        </w:rPr>
        <w:t>检查数量：全数检查。</w:t>
      </w:r>
    </w:p>
    <w:p>
      <w:pPr>
        <w:spacing w:before="0" w:after="0" w:afterAutospacing="0"/>
        <w:ind w:left="0" w:right="0" w:firstLine="420" w:firstLineChars="200"/>
        <w:rPr>
          <w:rFonts w:ascii="宋体" w:hAnsi="宋体" w:cs="Arial"/>
          <w:highlight w:val="none"/>
        </w:rPr>
      </w:pPr>
      <w:r>
        <w:rPr>
          <w:rFonts w:ascii="宋体" w:hAnsi="宋体" w:cs="Arial"/>
          <w:highlight w:val="none"/>
        </w:rPr>
        <w:t>检查方法：踩踏测试；测量；观察。</w:t>
      </w:r>
    </w:p>
    <w:p>
      <w:pPr>
        <w:spacing w:before="0" w:after="0" w:afterAutospacing="0"/>
        <w:ind w:left="0" w:right="0" w:firstLine="420" w:firstLineChars="200"/>
        <w:rPr>
          <w:rFonts w:ascii="宋体" w:hAnsi="宋体" w:cs="Arial"/>
          <w:highlight w:val="none"/>
        </w:rPr>
      </w:pPr>
      <w:r>
        <w:rPr>
          <w:rFonts w:ascii="宋体" w:hAnsi="宋体" w:cs="Arial"/>
          <w:highlight w:val="none"/>
        </w:rPr>
        <w:t>7.2.6未尽事宜按照国家有关验收标准执行。</w:t>
      </w:r>
    </w:p>
    <w:p>
      <w:pPr>
        <w:spacing w:before="0" w:after="0" w:afterAutospacing="0"/>
        <w:ind w:left="0" w:right="0" w:firstLine="420" w:firstLineChars="200"/>
        <w:rPr>
          <w:rFonts w:ascii="宋体" w:hAnsi="宋体" w:cs="Arial"/>
          <w:highlight w:val="none"/>
        </w:rPr>
      </w:pPr>
      <w:r>
        <w:rPr>
          <w:rFonts w:ascii="宋体" w:hAnsi="宋体" w:cs="Arial"/>
          <w:highlight w:val="none"/>
        </w:rPr>
        <w:t>7.2.7乙方向甲方主办部门申请组织验收，若甲方对验收成果报告存在异议，乙方在商定的期限内完成审核意见的整改，并按整改合格之日为验收合格之日，由此发生的费用由乙方承担。</w:t>
      </w:r>
    </w:p>
    <w:p>
      <w:pPr>
        <w:jc w:val="left"/>
        <w:outlineLvl w:val="1"/>
        <w:rPr>
          <w:rFonts w:ascii="宋体" w:hAnsi="宋体" w:eastAsia="黑体" w:cs="宋体"/>
          <w:b/>
          <w:sz w:val="24"/>
          <w:szCs w:val="44"/>
          <w:highlight w:val="none"/>
        </w:rPr>
      </w:pPr>
      <w:bookmarkStart w:id="1544" w:name="_Toc26519"/>
      <w:bookmarkStart w:id="1545" w:name="_Toc18017"/>
      <w:bookmarkStart w:id="1546" w:name="_Toc13136"/>
      <w:bookmarkStart w:id="1547" w:name="_Toc15664"/>
      <w:bookmarkStart w:id="1548" w:name="_Toc16864"/>
      <w:bookmarkStart w:id="1549" w:name="_Toc23701"/>
      <w:bookmarkStart w:id="1550" w:name="_Toc17658"/>
      <w:r>
        <w:rPr>
          <w:rFonts w:hint="eastAsia" w:ascii="宋体" w:hAnsi="宋体" w:eastAsia="黑体" w:cs="宋体"/>
          <w:b/>
          <w:sz w:val="24"/>
          <w:szCs w:val="44"/>
          <w:highlight w:val="none"/>
        </w:rPr>
        <w:t>8质保要求</w:t>
      </w:r>
      <w:bookmarkEnd w:id="1544"/>
      <w:bookmarkEnd w:id="1545"/>
      <w:bookmarkEnd w:id="1546"/>
      <w:bookmarkEnd w:id="1547"/>
      <w:bookmarkEnd w:id="1548"/>
      <w:bookmarkEnd w:id="1549"/>
      <w:bookmarkEnd w:id="1550"/>
    </w:p>
    <w:p>
      <w:pPr>
        <w:spacing w:before="0" w:after="0" w:afterAutospacing="0"/>
        <w:ind w:left="0" w:right="0" w:firstLine="420" w:firstLineChars="200"/>
        <w:rPr>
          <w:rFonts w:ascii="宋体" w:hAnsi="宋体" w:cs="Arial"/>
          <w:color w:val="auto"/>
          <w:highlight w:val="none"/>
        </w:rPr>
      </w:pPr>
      <w:r>
        <w:rPr>
          <w:rFonts w:ascii="宋体" w:hAnsi="宋体" w:cs="Arial"/>
          <w:highlight w:val="none"/>
        </w:rPr>
        <w:t>8.1项目质保期为1年，自验收合格之日起计算；质保期内乙方需提供免费上门维修（包含所有</w:t>
      </w:r>
      <w:r>
        <w:rPr>
          <w:rFonts w:ascii="宋体" w:hAnsi="宋体" w:cs="Arial"/>
          <w:color w:val="auto"/>
          <w:highlight w:val="none"/>
        </w:rPr>
        <w:t>配件的更换及服务）及保养服务。</w:t>
      </w:r>
    </w:p>
    <w:p>
      <w:pPr>
        <w:spacing w:before="0" w:after="0" w:afterAutospacing="0"/>
        <w:ind w:left="0" w:right="0" w:firstLine="420" w:firstLineChars="200"/>
        <w:rPr>
          <w:rFonts w:ascii="宋体" w:hAnsi="宋体" w:cs="Arial"/>
          <w:color w:val="auto"/>
          <w:highlight w:val="none"/>
        </w:rPr>
      </w:pPr>
      <w:r>
        <w:rPr>
          <w:rFonts w:ascii="宋体" w:hAnsi="宋体" w:cs="Arial"/>
          <w:color w:val="auto"/>
          <w:highlight w:val="none"/>
        </w:rPr>
        <w:t>8.2</w:t>
      </w:r>
      <w:r>
        <w:rPr>
          <w:rFonts w:hint="eastAsia" w:ascii="宋体" w:hAnsi="宋体" w:cs="Arial"/>
          <w:bCs/>
          <w:color w:val="auto"/>
          <w:highlight w:val="none"/>
        </w:rPr>
        <w:t>质保期内出现的工程质量问题，</w:t>
      </w:r>
      <w:r>
        <w:rPr>
          <w:rFonts w:hint="eastAsia" w:ascii="宋体" w:hAnsi="宋体" w:cs="Arial"/>
          <w:bCs/>
          <w:color w:val="auto"/>
          <w:highlight w:val="none"/>
          <w:lang w:eastAsia="zh-CN"/>
        </w:rPr>
        <w:t>乙方</w:t>
      </w:r>
      <w:r>
        <w:rPr>
          <w:rFonts w:hint="eastAsia" w:ascii="宋体" w:hAnsi="宋体" w:cs="Arial"/>
          <w:bCs/>
          <w:color w:val="auto"/>
          <w:highlight w:val="none"/>
        </w:rPr>
        <w:t>需</w:t>
      </w:r>
      <w:r>
        <w:rPr>
          <w:rFonts w:hint="eastAsia" w:ascii="宋体" w:hAnsi="宋体" w:cs="Arial"/>
          <w:bCs/>
          <w:color w:val="auto"/>
          <w:highlight w:val="none"/>
          <w:lang w:val="en-US" w:eastAsia="zh-CN"/>
        </w:rPr>
        <w:t>在</w:t>
      </w:r>
      <w:r>
        <w:rPr>
          <w:rFonts w:hint="eastAsia" w:ascii="宋体" w:hAnsi="宋体" w:cs="Arial"/>
          <w:bCs/>
          <w:color w:val="auto"/>
          <w:highlight w:val="none"/>
          <w:lang w:eastAsia="zh-CN"/>
        </w:rPr>
        <w:t>甲方</w:t>
      </w:r>
      <w:r>
        <w:rPr>
          <w:rFonts w:hint="eastAsia" w:ascii="宋体" w:hAnsi="宋体" w:cs="Arial"/>
          <w:bCs/>
          <w:color w:val="auto"/>
          <w:highlight w:val="none"/>
        </w:rPr>
        <w:t>发出通知后1小时内做出响应，</w:t>
      </w:r>
      <w:r>
        <w:rPr>
          <w:rFonts w:hint="eastAsia" w:ascii="宋体" w:hAnsi="宋体" w:cs="Arial"/>
          <w:bCs/>
          <w:color w:val="auto"/>
          <w:highlight w:val="none"/>
          <w:lang w:val="en-US" w:eastAsia="zh-CN"/>
        </w:rPr>
        <w:t>4</w:t>
      </w:r>
      <w:r>
        <w:rPr>
          <w:rFonts w:hint="eastAsia" w:ascii="宋体" w:hAnsi="宋体" w:cs="Arial"/>
          <w:bCs/>
          <w:color w:val="auto"/>
          <w:highlight w:val="none"/>
        </w:rPr>
        <w:t>小时到达维修现场。一般问题应在</w:t>
      </w:r>
      <w:r>
        <w:rPr>
          <w:rFonts w:hint="eastAsia" w:ascii="宋体" w:hAnsi="宋体" w:cs="Arial"/>
          <w:bCs/>
          <w:color w:val="auto"/>
          <w:highlight w:val="none"/>
          <w:lang w:val="en-US" w:eastAsia="zh-CN"/>
        </w:rPr>
        <w:t>8小时</w:t>
      </w:r>
      <w:r>
        <w:rPr>
          <w:rFonts w:hint="eastAsia" w:ascii="宋体" w:hAnsi="宋体" w:cs="Arial"/>
          <w:bCs/>
          <w:color w:val="auto"/>
          <w:highlight w:val="none"/>
        </w:rPr>
        <w:t>内解决，</w:t>
      </w:r>
      <w:r>
        <w:rPr>
          <w:rFonts w:hint="eastAsia" w:ascii="宋体" w:hAnsi="宋体" w:cs="Arial"/>
          <w:bCs/>
          <w:strike w:val="0"/>
          <w:color w:val="auto"/>
          <w:highlight w:val="none"/>
        </w:rPr>
        <w:t>其它</w:t>
      </w:r>
      <w:r>
        <w:rPr>
          <w:rFonts w:hint="eastAsia" w:ascii="宋体" w:hAnsi="宋体" w:cs="Arial"/>
          <w:bCs/>
          <w:color w:val="auto"/>
          <w:highlight w:val="none"/>
        </w:rPr>
        <w:t>无法迅速解决的问题应在</w:t>
      </w:r>
      <w:r>
        <w:rPr>
          <w:rFonts w:hint="eastAsia" w:ascii="宋体" w:hAnsi="宋体" w:cs="Arial"/>
          <w:bCs/>
          <w:color w:val="auto"/>
          <w:highlight w:val="none"/>
          <w:lang w:val="en-US" w:eastAsia="zh-CN"/>
        </w:rPr>
        <w:t>96小时</w:t>
      </w:r>
      <w:r>
        <w:rPr>
          <w:rFonts w:hint="eastAsia" w:ascii="宋体" w:hAnsi="宋体" w:cs="Arial"/>
          <w:bCs/>
          <w:color w:val="auto"/>
          <w:highlight w:val="none"/>
        </w:rPr>
        <w:t>内解决。</w:t>
      </w:r>
    </w:p>
    <w:p>
      <w:pPr>
        <w:spacing w:before="0" w:after="0" w:afterAutospacing="0"/>
        <w:ind w:left="0" w:right="0" w:firstLine="420" w:firstLineChars="200"/>
        <w:rPr>
          <w:rFonts w:ascii="宋体" w:hAnsi="宋体" w:cs="Arial"/>
          <w:color w:val="auto"/>
          <w:highlight w:val="none"/>
        </w:rPr>
      </w:pPr>
      <w:r>
        <w:rPr>
          <w:rFonts w:ascii="宋体" w:hAnsi="宋体" w:cs="Arial"/>
          <w:color w:val="auto"/>
          <w:highlight w:val="none"/>
        </w:rPr>
        <w:t>一般问题：脚踏阀及一字球阀出现外观破损、连接处漏水、功能性损坏的故障以及其他不涉及破土动墙的管路及附件故障；瓷砖及地砖出现龟裂、损坏或脱落的故障。</w:t>
      </w:r>
    </w:p>
    <w:p>
      <w:pPr>
        <w:spacing w:before="0" w:after="0" w:afterAutospacing="0"/>
        <w:ind w:left="0" w:right="0" w:firstLine="420" w:firstLineChars="200"/>
        <w:rPr>
          <w:rFonts w:ascii="宋体" w:hAnsi="宋体" w:cs="Arial"/>
          <w:color w:val="auto"/>
          <w:highlight w:val="none"/>
        </w:rPr>
      </w:pPr>
      <w:r>
        <w:rPr>
          <w:rFonts w:ascii="宋体" w:hAnsi="宋体" w:cs="Arial"/>
          <w:color w:val="auto"/>
          <w:highlight w:val="none"/>
        </w:rPr>
        <w:t>其它无法迅速解决的问题：涉及破土动墙的管路及附件故障。</w:t>
      </w:r>
    </w:p>
    <w:p>
      <w:pPr>
        <w:pStyle w:val="12"/>
        <w:rPr>
          <w:color w:val="auto"/>
          <w:highlight w:val="none"/>
        </w:rPr>
      </w:pPr>
    </w:p>
    <w:p>
      <w:pPr>
        <w:jc w:val="left"/>
        <w:outlineLvl w:val="1"/>
        <w:rPr>
          <w:rFonts w:ascii="宋体" w:hAnsi="宋体" w:eastAsia="黑体" w:cs="宋体"/>
          <w:b/>
          <w:sz w:val="24"/>
          <w:szCs w:val="44"/>
          <w:highlight w:val="none"/>
        </w:rPr>
      </w:pPr>
      <w:bookmarkStart w:id="1551" w:name="_Toc32308"/>
      <w:bookmarkStart w:id="1552" w:name="_Toc9775"/>
      <w:bookmarkStart w:id="1553" w:name="_Toc20921"/>
      <w:bookmarkStart w:id="1554" w:name="_Toc7946"/>
      <w:bookmarkStart w:id="1555" w:name="_Toc27903"/>
      <w:bookmarkStart w:id="1556" w:name="_Toc16882"/>
      <w:bookmarkStart w:id="1557" w:name="_Toc28432"/>
      <w:r>
        <w:rPr>
          <w:rFonts w:hint="eastAsia" w:ascii="宋体" w:hAnsi="宋体" w:eastAsia="黑体" w:cs="宋体"/>
          <w:b/>
          <w:sz w:val="24"/>
          <w:szCs w:val="44"/>
          <w:highlight w:val="none"/>
        </w:rPr>
        <w:t>9其他附件</w:t>
      </w:r>
      <w:bookmarkEnd w:id="1551"/>
      <w:bookmarkEnd w:id="1552"/>
      <w:bookmarkEnd w:id="1553"/>
      <w:bookmarkEnd w:id="1554"/>
      <w:bookmarkEnd w:id="1555"/>
      <w:bookmarkEnd w:id="1556"/>
      <w:bookmarkEnd w:id="1557"/>
    </w:p>
    <w:p>
      <w:pPr>
        <w:spacing w:before="0" w:after="0" w:afterAutospacing="0"/>
        <w:ind w:left="0" w:right="0" w:firstLine="420" w:firstLineChars="200"/>
        <w:outlineLvl w:val="2"/>
        <w:rPr>
          <w:rFonts w:ascii="宋体" w:hAnsi="宋体" w:cs="Arial"/>
          <w:highlight w:val="none"/>
        </w:rPr>
      </w:pPr>
      <w:bookmarkStart w:id="1558" w:name="_Toc25706"/>
      <w:bookmarkStart w:id="1559" w:name="_Toc32133"/>
      <w:bookmarkStart w:id="1560" w:name="_Toc15755"/>
      <w:bookmarkStart w:id="1561" w:name="_Toc1950"/>
      <w:bookmarkStart w:id="1562" w:name="_Toc16162"/>
      <w:bookmarkStart w:id="1563" w:name="_Toc7335"/>
      <w:r>
        <w:rPr>
          <w:rFonts w:ascii="宋体" w:hAnsi="宋体" w:cs="Arial"/>
          <w:highlight w:val="none"/>
        </w:rPr>
        <w:t>附件1</w:t>
      </w:r>
      <w:bookmarkEnd w:id="1558"/>
      <w:r>
        <w:rPr>
          <w:rFonts w:ascii="宋体" w:hAnsi="宋体" w:cs="Arial"/>
          <w:highlight w:val="none"/>
        </w:rPr>
        <w:t>：项目工程量清单</w:t>
      </w:r>
      <w:bookmarkEnd w:id="1559"/>
    </w:p>
    <w:p>
      <w:pPr>
        <w:spacing w:before="0" w:after="0" w:afterAutospacing="0"/>
        <w:ind w:left="0" w:right="0" w:firstLine="420" w:firstLineChars="200"/>
        <w:outlineLvl w:val="2"/>
        <w:rPr>
          <w:rFonts w:ascii="宋体" w:hAnsi="宋体" w:cs="Arial"/>
          <w:highlight w:val="none"/>
        </w:rPr>
      </w:pPr>
      <w:bookmarkStart w:id="1564" w:name="_Toc25709"/>
      <w:bookmarkStart w:id="1565" w:name="_Toc28986"/>
      <w:r>
        <w:rPr>
          <w:rFonts w:ascii="宋体" w:hAnsi="宋体" w:cs="Arial"/>
          <w:highlight w:val="none"/>
        </w:rPr>
        <w:t>附件2：</w:t>
      </w:r>
      <w:bookmarkEnd w:id="1564"/>
      <w:r>
        <w:rPr>
          <w:rFonts w:ascii="宋体" w:hAnsi="宋体" w:cs="Arial"/>
          <w:highlight w:val="none"/>
        </w:rPr>
        <w:t>改造方案及技术要求</w:t>
      </w:r>
      <w:bookmarkEnd w:id="1565"/>
    </w:p>
    <w:p>
      <w:pPr>
        <w:spacing w:before="0" w:after="0" w:afterAutospacing="0"/>
        <w:ind w:left="0" w:right="0" w:firstLine="420" w:firstLineChars="200"/>
        <w:outlineLvl w:val="2"/>
        <w:rPr>
          <w:rFonts w:ascii="宋体" w:hAnsi="宋体" w:cs="Arial"/>
          <w:highlight w:val="none"/>
        </w:rPr>
      </w:pPr>
      <w:bookmarkStart w:id="1566" w:name="_Toc304"/>
      <w:bookmarkStart w:id="1567" w:name="_Toc20411"/>
      <w:r>
        <w:rPr>
          <w:rFonts w:ascii="宋体" w:hAnsi="宋体" w:cs="Arial"/>
          <w:highlight w:val="none"/>
        </w:rPr>
        <w:t>附件3：</w:t>
      </w:r>
      <w:bookmarkEnd w:id="1560"/>
      <w:bookmarkEnd w:id="1561"/>
      <w:bookmarkEnd w:id="1562"/>
      <w:bookmarkEnd w:id="1563"/>
      <w:bookmarkEnd w:id="1566"/>
      <w:r>
        <w:rPr>
          <w:rFonts w:ascii="宋体" w:hAnsi="宋体" w:cs="Arial"/>
          <w:highlight w:val="none"/>
        </w:rPr>
        <w:t>项目施工质量检查表（附表3-1~附表3-8）</w:t>
      </w:r>
      <w:bookmarkEnd w:id="1567"/>
    </w:p>
    <w:p>
      <w:pPr>
        <w:spacing w:before="0" w:after="0" w:afterAutospacing="0"/>
        <w:ind w:left="0" w:right="0" w:firstLine="420" w:firstLineChars="200"/>
        <w:outlineLvl w:val="2"/>
        <w:rPr>
          <w:rFonts w:ascii="宋体" w:hAnsi="宋体" w:cs="Arial"/>
          <w:highlight w:val="none"/>
        </w:rPr>
      </w:pPr>
      <w:bookmarkStart w:id="1568" w:name="_Toc27276"/>
      <w:r>
        <w:rPr>
          <w:rFonts w:ascii="宋体" w:hAnsi="宋体" w:cs="Arial"/>
          <w:highlight w:val="none"/>
        </w:rPr>
        <w:t>附件4：合同违约处罚通知单</w:t>
      </w:r>
      <w:bookmarkEnd w:id="1568"/>
    </w:p>
    <w:p>
      <w:pPr>
        <w:widowControl w:val="0"/>
        <w:outlineLvl w:val="3"/>
        <w:rPr>
          <w:rFonts w:ascii="宋体" w:hAnsi="宋体"/>
          <w:b/>
          <w:highlight w:val="none"/>
        </w:rPr>
      </w:pPr>
      <w:r>
        <w:rPr>
          <w:rFonts w:hint="eastAsia"/>
          <w:highlight w:val="none"/>
        </w:rPr>
        <w:br w:type="page"/>
      </w:r>
      <w:bookmarkStart w:id="1569" w:name="_Toc7024"/>
      <w:bookmarkStart w:id="1570" w:name="_Toc27892"/>
      <w:bookmarkStart w:id="1571" w:name="_Toc534969209"/>
      <w:bookmarkStart w:id="1572" w:name="_Toc17408"/>
      <w:bookmarkStart w:id="1573" w:name="_Toc23484"/>
      <w:bookmarkStart w:id="1574" w:name="_Toc11743"/>
      <w:bookmarkStart w:id="1575" w:name="_Toc4832"/>
      <w:bookmarkStart w:id="1576" w:name="_Toc16168"/>
      <w:bookmarkStart w:id="1577" w:name="_Toc24582"/>
      <w:bookmarkStart w:id="1578" w:name="_Toc27275"/>
      <w:bookmarkStart w:id="1579" w:name="_Toc31710"/>
      <w:bookmarkStart w:id="1580" w:name="_Toc32648"/>
      <w:bookmarkStart w:id="1581" w:name="_Toc12975"/>
      <w:bookmarkStart w:id="1582" w:name="_Toc4869"/>
      <w:bookmarkStart w:id="1583" w:name="_Toc19547"/>
      <w:bookmarkStart w:id="1584" w:name="_Toc11111"/>
      <w:bookmarkStart w:id="1585" w:name="_Toc27747"/>
      <w:bookmarkStart w:id="1586" w:name="_Toc20758"/>
      <w:bookmarkStart w:id="1587" w:name="_Toc28824"/>
      <w:bookmarkStart w:id="1588" w:name="_Toc3456"/>
      <w:bookmarkStart w:id="1589" w:name="_Toc9618"/>
      <w:bookmarkStart w:id="1590" w:name="_Toc7379"/>
      <w:r>
        <w:rPr>
          <w:rFonts w:ascii="宋体" w:hAnsi="宋体" w:cs="宋体"/>
          <w:b/>
          <w:kern w:val="2"/>
          <w:highlight w:val="none"/>
        </w:rPr>
        <w:t>附件1</w:t>
      </w:r>
      <w:bookmarkEnd w:id="1569"/>
      <w:bookmarkEnd w:id="1570"/>
      <w:bookmarkEnd w:id="1571"/>
      <w:bookmarkStart w:id="1591" w:name="_Toc23087"/>
      <w:bookmarkStart w:id="1592" w:name="_Toc15095"/>
      <w:r>
        <w:rPr>
          <w:rFonts w:ascii="宋体" w:hAnsi="宋体" w:cs="宋体"/>
          <w:b/>
          <w:kern w:val="2"/>
          <w:highlight w:val="none"/>
        </w:rPr>
        <w:t xml:space="preserve">  </w:t>
      </w:r>
      <w:r>
        <w:rPr>
          <w:rFonts w:ascii="宋体" w:hAnsi="宋体"/>
          <w:b/>
          <w:highlight w:val="none"/>
        </w:rPr>
        <w:t>项目工程量清单</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1"/>
      <w:bookmarkEnd w:id="1592"/>
    </w:p>
    <w:p>
      <w:pPr>
        <w:ind w:left="0" w:firstLine="420" w:firstLineChars="200"/>
        <w:rPr>
          <w:rFonts w:ascii="宋体" w:hAnsi="宋体" w:cs="宋体"/>
          <w:highlight w:val="none"/>
        </w:rPr>
      </w:pPr>
      <w:r>
        <w:rPr>
          <w:rFonts w:ascii="宋体" w:hAnsi="宋体"/>
          <w:highlight w:val="none"/>
        </w:rPr>
        <w:t>1.南宁轨道交通1号线麻村站至石埠站卫生间蹲便感应式冲洗阀设备改造工程施工</w:t>
      </w:r>
      <w:r>
        <w:rPr>
          <w:rFonts w:ascii="宋体" w:hAnsi="宋体" w:cs="宋体"/>
          <w:highlight w:val="none"/>
        </w:rPr>
        <w:t>，具体工程量清单详见附表1-1。</w:t>
      </w:r>
    </w:p>
    <w:p>
      <w:pPr>
        <w:ind w:right="-28"/>
        <w:jc w:val="center"/>
        <w:rPr>
          <w:rFonts w:ascii="宋体" w:hAnsi="宋体" w:cs="宋体"/>
          <w:b/>
          <w:highlight w:val="none"/>
        </w:rPr>
      </w:pPr>
      <w:r>
        <w:rPr>
          <w:rFonts w:ascii="宋体" w:hAnsi="宋体" w:cs="宋体"/>
          <w:b/>
          <w:highlight w:val="none"/>
        </w:rPr>
        <w:t>附表1-1工程量清单</w:t>
      </w:r>
    </w:p>
    <w:tbl>
      <w:tblPr>
        <w:tblStyle w:val="27"/>
        <w:tblW w:w="9033" w:type="dxa"/>
        <w:jc w:val="center"/>
        <w:tblLayout w:type="fixed"/>
        <w:tblCellMar>
          <w:top w:w="0" w:type="dxa"/>
          <w:left w:w="0" w:type="dxa"/>
          <w:bottom w:w="0" w:type="dxa"/>
          <w:right w:w="0" w:type="dxa"/>
        </w:tblCellMar>
      </w:tblPr>
      <w:tblGrid>
        <w:gridCol w:w="625"/>
        <w:gridCol w:w="1361"/>
        <w:gridCol w:w="4740"/>
        <w:gridCol w:w="650"/>
        <w:gridCol w:w="790"/>
        <w:gridCol w:w="867"/>
      </w:tblGrid>
      <w:tr>
        <w:tblPrEx>
          <w:tblCellMar>
            <w:top w:w="0" w:type="dxa"/>
            <w:left w:w="0" w:type="dxa"/>
            <w:bottom w:w="0" w:type="dxa"/>
            <w:right w:w="0" w:type="dxa"/>
          </w:tblCellMar>
        </w:tblPrEx>
        <w:trPr>
          <w:trHeight w:val="609" w:hRule="atLeast"/>
          <w:tblHeader/>
          <w:jc w:val="center"/>
        </w:trPr>
        <w:tc>
          <w:tcPr>
            <w:tcW w:w="625" w:type="dxa"/>
            <w:tcBorders>
              <w:top w:val="single" w:color="000000" w:sz="8" w:space="0"/>
              <w:left w:val="single" w:color="000000" w:sz="8"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b/>
                <w:sz w:val="18"/>
                <w:szCs w:val="18"/>
                <w:highlight w:val="none"/>
              </w:rPr>
            </w:pPr>
            <w:r>
              <w:rPr>
                <w:rFonts w:ascii="宋体" w:hAnsi="宋体" w:cs="宋体"/>
                <w:b/>
                <w:sz w:val="18"/>
                <w:szCs w:val="18"/>
                <w:highlight w:val="none"/>
              </w:rPr>
              <w:t>序号</w:t>
            </w:r>
          </w:p>
        </w:tc>
        <w:tc>
          <w:tcPr>
            <w:tcW w:w="1361" w:type="dxa"/>
            <w:tcBorders>
              <w:top w:val="single" w:color="000000" w:sz="8"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b/>
                <w:sz w:val="18"/>
                <w:szCs w:val="18"/>
                <w:highlight w:val="none"/>
                <w:lang w:bidi="ar"/>
              </w:rPr>
            </w:pPr>
            <w:r>
              <w:rPr>
                <w:rFonts w:ascii="宋体" w:hAnsi="宋体" w:cs="宋体"/>
                <w:b/>
                <w:sz w:val="18"/>
                <w:szCs w:val="18"/>
                <w:highlight w:val="none"/>
                <w:lang w:bidi="ar"/>
              </w:rPr>
              <w:t>货物名称</w:t>
            </w:r>
          </w:p>
        </w:tc>
        <w:tc>
          <w:tcPr>
            <w:tcW w:w="4740" w:type="dxa"/>
            <w:tcBorders>
              <w:top w:val="single" w:color="000000" w:sz="8"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b/>
                <w:sz w:val="18"/>
                <w:szCs w:val="18"/>
                <w:highlight w:val="none"/>
                <w:lang w:bidi="ar"/>
              </w:rPr>
            </w:pPr>
            <w:r>
              <w:rPr>
                <w:rFonts w:ascii="宋体" w:hAnsi="宋体" w:cs="宋体"/>
                <w:b/>
                <w:sz w:val="18"/>
                <w:szCs w:val="18"/>
                <w:highlight w:val="none"/>
                <w:lang w:bidi="ar"/>
              </w:rPr>
              <w:t>性能参数要求</w:t>
            </w:r>
          </w:p>
        </w:tc>
        <w:tc>
          <w:tcPr>
            <w:tcW w:w="650" w:type="dxa"/>
            <w:tcBorders>
              <w:top w:val="single" w:color="000000" w:sz="8"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b/>
                <w:sz w:val="18"/>
                <w:szCs w:val="18"/>
                <w:highlight w:val="none"/>
                <w:lang w:bidi="ar"/>
              </w:rPr>
            </w:pPr>
            <w:r>
              <w:rPr>
                <w:rFonts w:ascii="宋体" w:hAnsi="宋体" w:cs="宋体"/>
                <w:b/>
                <w:sz w:val="18"/>
                <w:szCs w:val="18"/>
                <w:highlight w:val="none"/>
                <w:lang w:bidi="ar"/>
              </w:rPr>
              <w:t>单位</w:t>
            </w:r>
          </w:p>
        </w:tc>
        <w:tc>
          <w:tcPr>
            <w:tcW w:w="790" w:type="dxa"/>
            <w:tcBorders>
              <w:top w:val="single" w:color="000000" w:sz="8"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ind w:left="0" w:firstLine="0"/>
              <w:jc w:val="center"/>
              <w:textAlignment w:val="center"/>
              <w:rPr>
                <w:rFonts w:ascii="宋体" w:hAnsi="宋体" w:cs="宋体"/>
                <w:b/>
                <w:sz w:val="18"/>
                <w:szCs w:val="18"/>
                <w:highlight w:val="none"/>
                <w:lang w:bidi="ar"/>
              </w:rPr>
            </w:pPr>
            <w:r>
              <w:rPr>
                <w:rFonts w:ascii="宋体" w:hAnsi="宋体" w:cs="宋体"/>
                <w:b/>
                <w:sz w:val="18"/>
                <w:szCs w:val="18"/>
                <w:highlight w:val="none"/>
                <w:lang w:bidi="ar"/>
              </w:rPr>
              <w:t>单套改造用量</w:t>
            </w:r>
          </w:p>
        </w:tc>
        <w:tc>
          <w:tcPr>
            <w:tcW w:w="867" w:type="dxa"/>
            <w:tcBorders>
              <w:top w:val="single" w:color="000000" w:sz="8"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ind w:left="0" w:firstLine="0"/>
              <w:jc w:val="center"/>
              <w:textAlignment w:val="center"/>
              <w:rPr>
                <w:rFonts w:ascii="宋体" w:hAnsi="宋体" w:cs="宋体"/>
                <w:b/>
                <w:sz w:val="18"/>
                <w:szCs w:val="18"/>
                <w:highlight w:val="none"/>
                <w:lang w:bidi="ar"/>
              </w:rPr>
            </w:pPr>
            <w:r>
              <w:rPr>
                <w:rFonts w:ascii="宋体" w:hAnsi="宋体" w:cs="宋体"/>
                <w:b/>
                <w:sz w:val="18"/>
                <w:szCs w:val="18"/>
                <w:highlight w:val="none"/>
                <w:lang w:bidi="ar"/>
              </w:rPr>
              <w:t>项目改造总用量</w:t>
            </w:r>
          </w:p>
        </w:tc>
      </w:tr>
      <w:tr>
        <w:tblPrEx>
          <w:tblCellMar>
            <w:top w:w="0" w:type="dxa"/>
            <w:left w:w="0" w:type="dxa"/>
            <w:bottom w:w="0" w:type="dxa"/>
            <w:right w:w="0" w:type="dxa"/>
          </w:tblCellMar>
        </w:tblPrEx>
        <w:trPr>
          <w:trHeight w:val="540" w:hRule="atLeast"/>
          <w:tblHeader/>
          <w:jc w:val="center"/>
        </w:trPr>
        <w:tc>
          <w:tcPr>
            <w:tcW w:w="625" w:type="dxa"/>
            <w:tcBorders>
              <w:top w:val="single" w:color="auto" w:sz="4" w:space="0"/>
              <w:left w:val="single" w:color="000000" w:sz="8"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1</w:t>
            </w:r>
          </w:p>
        </w:tc>
        <w:tc>
          <w:tcPr>
            <w:tcW w:w="1361" w:type="dxa"/>
            <w:tcBorders>
              <w:top w:val="single" w:color="auto"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spacing w:line="240" w:lineRule="auto"/>
              <w:ind w:left="0" w:firstLine="0"/>
              <w:jc w:val="center"/>
              <w:textAlignment w:val="center"/>
              <w:rPr>
                <w:rFonts w:ascii="宋体" w:hAnsi="宋体" w:cs="宋体"/>
                <w:sz w:val="18"/>
                <w:szCs w:val="18"/>
                <w:highlight w:val="none"/>
              </w:rPr>
            </w:pPr>
            <w:r>
              <w:rPr>
                <w:rFonts w:ascii="宋体" w:hAnsi="宋体" w:cs="宋体"/>
                <w:sz w:val="18"/>
                <w:szCs w:val="18"/>
                <w:highlight w:val="none"/>
                <w:lang w:bidi="ar"/>
              </w:rPr>
              <w:t>双外丝直接</w:t>
            </w:r>
          </w:p>
        </w:tc>
        <w:tc>
          <w:tcPr>
            <w:tcW w:w="4740" w:type="dxa"/>
            <w:tcBorders>
              <w:top w:val="single" w:color="auto" w:sz="4" w:space="0"/>
              <w:left w:val="single" w:color="000000" w:sz="4" w:space="0"/>
              <w:bottom w:val="single" w:color="000000" w:sz="4" w:space="0"/>
              <w:right w:val="single" w:color="000000" w:sz="4" w:space="0"/>
              <w:tl2br w:val="nil"/>
              <w:tr2bl w:val="nil"/>
            </w:tcBorders>
            <w:noWrap/>
            <w:tcMar>
              <w:top w:w="15" w:type="dxa"/>
              <w:left w:w="15" w:type="dxa"/>
              <w:right w:w="15" w:type="dxa"/>
            </w:tcMa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304不锈钢，DN25</w:t>
            </w:r>
          </w:p>
        </w:tc>
        <w:tc>
          <w:tcPr>
            <w:tcW w:w="6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个</w:t>
            </w:r>
          </w:p>
        </w:tc>
        <w:tc>
          <w:tcPr>
            <w:tcW w:w="79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4</w:t>
            </w:r>
          </w:p>
        </w:tc>
        <w:tc>
          <w:tcPr>
            <w:tcW w:w="867"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624</w:t>
            </w:r>
          </w:p>
        </w:tc>
      </w:tr>
      <w:tr>
        <w:tblPrEx>
          <w:tblCellMar>
            <w:top w:w="0" w:type="dxa"/>
            <w:left w:w="0" w:type="dxa"/>
            <w:bottom w:w="0" w:type="dxa"/>
            <w:right w:w="0" w:type="dxa"/>
          </w:tblCellMar>
        </w:tblPrEx>
        <w:trPr>
          <w:trHeight w:val="480" w:hRule="atLeast"/>
          <w:tblHeader/>
          <w:jc w:val="center"/>
        </w:trPr>
        <w:tc>
          <w:tcPr>
            <w:tcW w:w="625" w:type="dxa"/>
            <w:tcBorders>
              <w:top w:val="single" w:color="auto" w:sz="4" w:space="0"/>
              <w:left w:val="single" w:color="000000" w:sz="8"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2</w:t>
            </w:r>
          </w:p>
        </w:tc>
        <w:tc>
          <w:tcPr>
            <w:tcW w:w="1361" w:type="dxa"/>
            <w:tcBorders>
              <w:top w:val="single" w:color="auto"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ind w:left="0" w:firstLine="0"/>
              <w:jc w:val="center"/>
              <w:textAlignment w:val="center"/>
              <w:rPr>
                <w:rFonts w:ascii="宋体" w:hAnsi="宋体" w:cs="宋体"/>
                <w:sz w:val="18"/>
                <w:szCs w:val="18"/>
                <w:highlight w:val="none"/>
              </w:rPr>
            </w:pPr>
            <w:r>
              <w:rPr>
                <w:rFonts w:ascii="宋体" w:hAnsi="宋体" w:cs="宋体"/>
                <w:sz w:val="18"/>
                <w:szCs w:val="18"/>
                <w:highlight w:val="none"/>
                <w:lang w:bidi="ar"/>
              </w:rPr>
              <w:t>双内丝直接</w:t>
            </w:r>
          </w:p>
        </w:tc>
        <w:tc>
          <w:tcPr>
            <w:tcW w:w="4740" w:type="dxa"/>
            <w:tcBorders>
              <w:top w:val="single" w:color="auto" w:sz="4" w:space="0"/>
              <w:left w:val="single" w:color="000000" w:sz="4" w:space="0"/>
              <w:bottom w:val="single" w:color="000000" w:sz="4" w:space="0"/>
              <w:right w:val="single" w:color="000000" w:sz="4" w:space="0"/>
              <w:tl2br w:val="nil"/>
              <w:tr2bl w:val="nil"/>
            </w:tcBorders>
            <w:noWrap/>
            <w:tcMar>
              <w:top w:w="15" w:type="dxa"/>
              <w:left w:w="15" w:type="dxa"/>
              <w:right w:w="15" w:type="dxa"/>
            </w:tcMa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304不锈钢，DN25</w:t>
            </w:r>
          </w:p>
        </w:tc>
        <w:tc>
          <w:tcPr>
            <w:tcW w:w="6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个</w:t>
            </w:r>
          </w:p>
        </w:tc>
        <w:tc>
          <w:tcPr>
            <w:tcW w:w="79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3</w:t>
            </w:r>
          </w:p>
        </w:tc>
        <w:tc>
          <w:tcPr>
            <w:tcW w:w="867"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468</w:t>
            </w:r>
          </w:p>
        </w:tc>
      </w:tr>
      <w:tr>
        <w:tblPrEx>
          <w:tblCellMar>
            <w:top w:w="0" w:type="dxa"/>
            <w:left w:w="0" w:type="dxa"/>
            <w:bottom w:w="0" w:type="dxa"/>
            <w:right w:w="0" w:type="dxa"/>
          </w:tblCellMar>
        </w:tblPrEx>
        <w:trPr>
          <w:trHeight w:val="480" w:hRule="atLeast"/>
          <w:tblHeader/>
          <w:jc w:val="center"/>
        </w:trPr>
        <w:tc>
          <w:tcPr>
            <w:tcW w:w="625" w:type="dxa"/>
            <w:tcBorders>
              <w:top w:val="single" w:color="auto" w:sz="4" w:space="0"/>
              <w:left w:val="single" w:color="000000" w:sz="8"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3</w:t>
            </w:r>
          </w:p>
        </w:tc>
        <w:tc>
          <w:tcPr>
            <w:tcW w:w="1361" w:type="dxa"/>
            <w:tcBorders>
              <w:top w:val="single" w:color="auto"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ind w:left="0" w:firstLine="0"/>
              <w:jc w:val="center"/>
              <w:textAlignment w:val="center"/>
              <w:rPr>
                <w:rFonts w:ascii="宋体" w:hAnsi="宋体" w:cs="宋体"/>
                <w:sz w:val="18"/>
                <w:szCs w:val="18"/>
                <w:highlight w:val="none"/>
              </w:rPr>
            </w:pPr>
            <w:r>
              <w:rPr>
                <w:rFonts w:ascii="宋体" w:hAnsi="宋体" w:cs="宋体"/>
                <w:sz w:val="18"/>
                <w:szCs w:val="18"/>
                <w:highlight w:val="none"/>
                <w:lang w:bidi="ar"/>
              </w:rPr>
              <w:t>不锈钢管</w:t>
            </w:r>
          </w:p>
        </w:tc>
        <w:tc>
          <w:tcPr>
            <w:tcW w:w="4740" w:type="dxa"/>
            <w:tcBorders>
              <w:top w:val="single" w:color="auto" w:sz="4" w:space="0"/>
              <w:left w:val="single" w:color="000000" w:sz="4" w:space="0"/>
              <w:bottom w:val="single" w:color="000000" w:sz="4" w:space="0"/>
              <w:right w:val="single" w:color="000000" w:sz="4" w:space="0"/>
              <w:tl2br w:val="nil"/>
              <w:tr2bl w:val="nil"/>
            </w:tcBorders>
            <w:noWrap/>
            <w:tcMar>
              <w:top w:w="15" w:type="dxa"/>
              <w:left w:w="15" w:type="dxa"/>
              <w:right w:w="15" w:type="dxa"/>
            </w:tcMa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304不锈钢，DN25，壁厚不小于1.5mm</w:t>
            </w:r>
          </w:p>
        </w:tc>
        <w:tc>
          <w:tcPr>
            <w:tcW w:w="6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m</w:t>
            </w:r>
          </w:p>
        </w:tc>
        <w:tc>
          <w:tcPr>
            <w:tcW w:w="79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0.5</w:t>
            </w:r>
          </w:p>
        </w:tc>
        <w:tc>
          <w:tcPr>
            <w:tcW w:w="867"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78</w:t>
            </w:r>
          </w:p>
        </w:tc>
      </w:tr>
      <w:tr>
        <w:tblPrEx>
          <w:tblCellMar>
            <w:top w:w="0" w:type="dxa"/>
            <w:left w:w="0" w:type="dxa"/>
            <w:bottom w:w="0" w:type="dxa"/>
            <w:right w:w="0" w:type="dxa"/>
          </w:tblCellMar>
        </w:tblPrEx>
        <w:trPr>
          <w:trHeight w:val="480" w:hRule="atLeast"/>
          <w:tblHeader/>
          <w:jc w:val="center"/>
        </w:trPr>
        <w:tc>
          <w:tcPr>
            <w:tcW w:w="625" w:type="dxa"/>
            <w:tcBorders>
              <w:top w:val="single" w:color="auto" w:sz="4" w:space="0"/>
              <w:left w:val="single" w:color="000000" w:sz="8"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4</w:t>
            </w:r>
          </w:p>
        </w:tc>
        <w:tc>
          <w:tcPr>
            <w:tcW w:w="1361" w:type="dxa"/>
            <w:tcBorders>
              <w:top w:val="single" w:color="auto"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ind w:left="0" w:firstLine="0"/>
              <w:jc w:val="center"/>
              <w:textAlignment w:val="center"/>
              <w:rPr>
                <w:rFonts w:ascii="宋体" w:hAnsi="宋体" w:cs="宋体"/>
                <w:sz w:val="18"/>
                <w:szCs w:val="18"/>
                <w:highlight w:val="none"/>
              </w:rPr>
            </w:pPr>
            <w:r>
              <w:rPr>
                <w:rFonts w:ascii="宋体" w:hAnsi="宋体" w:cs="宋体"/>
                <w:sz w:val="18"/>
                <w:szCs w:val="18"/>
                <w:highlight w:val="none"/>
                <w:lang w:bidi="ar"/>
              </w:rPr>
              <w:t>90°内丝弯头</w:t>
            </w:r>
          </w:p>
        </w:tc>
        <w:tc>
          <w:tcPr>
            <w:tcW w:w="4740" w:type="dxa"/>
            <w:tcBorders>
              <w:top w:val="single" w:color="auto" w:sz="4" w:space="0"/>
              <w:left w:val="single" w:color="000000" w:sz="4" w:space="0"/>
              <w:bottom w:val="single" w:color="000000" w:sz="4" w:space="0"/>
              <w:right w:val="single" w:color="000000" w:sz="4" w:space="0"/>
              <w:tl2br w:val="nil"/>
              <w:tr2bl w:val="nil"/>
            </w:tcBorders>
            <w:noWrap/>
            <w:tcMar>
              <w:top w:w="15" w:type="dxa"/>
              <w:left w:w="15" w:type="dxa"/>
              <w:right w:w="15" w:type="dxa"/>
            </w:tcMa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304不锈钢，DN25</w:t>
            </w:r>
          </w:p>
        </w:tc>
        <w:tc>
          <w:tcPr>
            <w:tcW w:w="6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个</w:t>
            </w:r>
          </w:p>
        </w:tc>
        <w:tc>
          <w:tcPr>
            <w:tcW w:w="79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1</w:t>
            </w:r>
          </w:p>
        </w:tc>
        <w:tc>
          <w:tcPr>
            <w:tcW w:w="867"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156</w:t>
            </w:r>
          </w:p>
        </w:tc>
      </w:tr>
      <w:tr>
        <w:tblPrEx>
          <w:tblCellMar>
            <w:top w:w="0" w:type="dxa"/>
            <w:left w:w="0" w:type="dxa"/>
            <w:bottom w:w="0" w:type="dxa"/>
            <w:right w:w="0" w:type="dxa"/>
          </w:tblCellMar>
        </w:tblPrEx>
        <w:trPr>
          <w:trHeight w:val="480" w:hRule="atLeast"/>
          <w:tblHeader/>
          <w:jc w:val="center"/>
        </w:trPr>
        <w:tc>
          <w:tcPr>
            <w:tcW w:w="625" w:type="dxa"/>
            <w:tcBorders>
              <w:top w:val="single" w:color="auto" w:sz="4" w:space="0"/>
              <w:left w:val="single" w:color="000000" w:sz="8"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5</w:t>
            </w:r>
          </w:p>
        </w:tc>
        <w:tc>
          <w:tcPr>
            <w:tcW w:w="1361" w:type="dxa"/>
            <w:tcBorders>
              <w:top w:val="single" w:color="auto"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ind w:left="0" w:firstLine="0"/>
              <w:jc w:val="center"/>
              <w:textAlignment w:val="center"/>
              <w:rPr>
                <w:rFonts w:ascii="宋体" w:hAnsi="宋体" w:cs="宋体"/>
                <w:sz w:val="18"/>
                <w:szCs w:val="18"/>
                <w:highlight w:val="none"/>
              </w:rPr>
            </w:pPr>
            <w:r>
              <w:rPr>
                <w:rFonts w:ascii="宋体" w:hAnsi="宋体" w:cs="宋体"/>
                <w:sz w:val="18"/>
                <w:szCs w:val="18"/>
                <w:highlight w:val="none"/>
                <w:lang w:bidi="ar"/>
              </w:rPr>
              <w:t>脚踏式延时冲水阀</w:t>
            </w:r>
          </w:p>
        </w:tc>
        <w:tc>
          <w:tcPr>
            <w:tcW w:w="4740" w:type="dxa"/>
            <w:tcBorders>
              <w:top w:val="single" w:color="auto" w:sz="4" w:space="0"/>
              <w:left w:val="single" w:color="000000" w:sz="4" w:space="0"/>
              <w:bottom w:val="single" w:color="000000" w:sz="4" w:space="0"/>
              <w:right w:val="single" w:color="000000" w:sz="4" w:space="0"/>
              <w:tl2br w:val="nil"/>
              <w:tr2bl w:val="nil"/>
            </w:tcBorders>
            <w:noWrap/>
            <w:tcMar>
              <w:top w:w="15" w:type="dxa"/>
              <w:left w:w="15" w:type="dxa"/>
              <w:right w:w="15" w:type="dxa"/>
            </w:tcMa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直角型，DN25，表面镀硌，铜质阀芯，进出水口径均为DN25，要求可正常踩踏使用20万次以上(需配套1根长约30cm、材质为304不锈钢的90°冲洗弯管及1套密封胶垫圈)</w:t>
            </w:r>
          </w:p>
        </w:tc>
        <w:tc>
          <w:tcPr>
            <w:tcW w:w="6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个</w:t>
            </w:r>
          </w:p>
        </w:tc>
        <w:tc>
          <w:tcPr>
            <w:tcW w:w="79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1</w:t>
            </w:r>
          </w:p>
        </w:tc>
        <w:tc>
          <w:tcPr>
            <w:tcW w:w="867"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156</w:t>
            </w:r>
          </w:p>
        </w:tc>
      </w:tr>
      <w:tr>
        <w:tblPrEx>
          <w:tblCellMar>
            <w:top w:w="0" w:type="dxa"/>
            <w:left w:w="0" w:type="dxa"/>
            <w:bottom w:w="0" w:type="dxa"/>
            <w:right w:w="0" w:type="dxa"/>
          </w:tblCellMar>
        </w:tblPrEx>
        <w:trPr>
          <w:trHeight w:val="480" w:hRule="atLeast"/>
          <w:tblHeader/>
          <w:jc w:val="center"/>
        </w:trPr>
        <w:tc>
          <w:tcPr>
            <w:tcW w:w="625" w:type="dxa"/>
            <w:tcBorders>
              <w:top w:val="single" w:color="auto" w:sz="4" w:space="0"/>
              <w:left w:val="single" w:color="000000" w:sz="8"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6</w:t>
            </w:r>
          </w:p>
        </w:tc>
        <w:tc>
          <w:tcPr>
            <w:tcW w:w="1361" w:type="dxa"/>
            <w:tcBorders>
              <w:top w:val="single" w:color="auto"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ind w:left="0" w:firstLine="0"/>
              <w:jc w:val="center"/>
              <w:textAlignment w:val="center"/>
              <w:rPr>
                <w:rFonts w:ascii="宋体" w:hAnsi="宋体" w:cs="宋体"/>
                <w:sz w:val="18"/>
                <w:szCs w:val="18"/>
                <w:highlight w:val="none"/>
              </w:rPr>
            </w:pPr>
            <w:r>
              <w:rPr>
                <w:rFonts w:ascii="宋体" w:hAnsi="宋体" w:cs="宋体"/>
                <w:sz w:val="18"/>
                <w:szCs w:val="18"/>
                <w:highlight w:val="none"/>
                <w:lang w:bidi="ar"/>
              </w:rPr>
              <w:t>一字磁性锁闭球阀</w:t>
            </w:r>
          </w:p>
        </w:tc>
        <w:tc>
          <w:tcPr>
            <w:tcW w:w="4740" w:type="dxa"/>
            <w:tcBorders>
              <w:top w:val="single" w:color="auto" w:sz="4" w:space="0"/>
              <w:left w:val="single" w:color="000000" w:sz="4" w:space="0"/>
              <w:bottom w:val="single" w:color="000000" w:sz="4" w:space="0"/>
              <w:right w:val="single" w:color="000000" w:sz="4" w:space="0"/>
              <w:tl2br w:val="nil"/>
              <w:tr2bl w:val="nil"/>
            </w:tcBorders>
            <w:noWrap/>
            <w:tcMar>
              <w:top w:w="15" w:type="dxa"/>
              <w:left w:w="15" w:type="dxa"/>
              <w:right w:w="15" w:type="dxa"/>
            </w:tcMa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DN25，材质:黄铜；连接方式：双内螺纹连接</w:t>
            </w:r>
          </w:p>
        </w:tc>
        <w:tc>
          <w:tcPr>
            <w:tcW w:w="6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个</w:t>
            </w:r>
          </w:p>
        </w:tc>
        <w:tc>
          <w:tcPr>
            <w:tcW w:w="79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1</w:t>
            </w:r>
          </w:p>
        </w:tc>
        <w:tc>
          <w:tcPr>
            <w:tcW w:w="867"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156</w:t>
            </w:r>
          </w:p>
        </w:tc>
      </w:tr>
      <w:tr>
        <w:tblPrEx>
          <w:tblCellMar>
            <w:top w:w="0" w:type="dxa"/>
            <w:left w:w="0" w:type="dxa"/>
            <w:bottom w:w="0" w:type="dxa"/>
            <w:right w:w="0" w:type="dxa"/>
          </w:tblCellMar>
        </w:tblPrEx>
        <w:trPr>
          <w:trHeight w:val="480" w:hRule="atLeast"/>
          <w:tblHeader/>
          <w:jc w:val="center"/>
        </w:trPr>
        <w:tc>
          <w:tcPr>
            <w:tcW w:w="625" w:type="dxa"/>
            <w:tcBorders>
              <w:top w:val="single" w:color="auto" w:sz="4" w:space="0"/>
              <w:left w:val="single" w:color="000000" w:sz="8"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7</w:t>
            </w:r>
          </w:p>
        </w:tc>
        <w:tc>
          <w:tcPr>
            <w:tcW w:w="1361" w:type="dxa"/>
            <w:tcBorders>
              <w:top w:val="single" w:color="auto"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ind w:left="0" w:firstLine="0"/>
              <w:jc w:val="center"/>
              <w:textAlignment w:val="center"/>
              <w:rPr>
                <w:rFonts w:ascii="宋体" w:hAnsi="宋体" w:cs="宋体"/>
                <w:sz w:val="18"/>
                <w:szCs w:val="18"/>
                <w:highlight w:val="none"/>
              </w:rPr>
            </w:pPr>
            <w:r>
              <w:rPr>
                <w:rFonts w:ascii="宋体" w:hAnsi="宋体" w:cs="宋体"/>
                <w:sz w:val="18"/>
                <w:szCs w:val="18"/>
                <w:highlight w:val="none"/>
                <w:lang w:bidi="ar"/>
              </w:rPr>
              <w:t>不锈钢暗装底盒（带盖板）</w:t>
            </w:r>
          </w:p>
        </w:tc>
        <w:tc>
          <w:tcPr>
            <w:tcW w:w="4740" w:type="dxa"/>
            <w:tcBorders>
              <w:top w:val="single" w:color="auto" w:sz="4" w:space="0"/>
              <w:left w:val="single" w:color="000000" w:sz="4" w:space="0"/>
              <w:bottom w:val="single" w:color="000000" w:sz="4" w:space="0"/>
              <w:right w:val="single" w:color="000000" w:sz="4" w:space="0"/>
              <w:tl2br w:val="nil"/>
              <w:tr2bl w:val="nil"/>
            </w:tcBorders>
            <w:noWrap/>
            <w:tcMar>
              <w:top w:w="15" w:type="dxa"/>
              <w:left w:w="15" w:type="dxa"/>
              <w:right w:w="15" w:type="dxa"/>
            </w:tcMar>
          </w:tcPr>
          <w:p>
            <w:pPr>
              <w:spacing w:line="240" w:lineRule="auto"/>
              <w:ind w:left="0" w:firstLine="0"/>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底盒及盖板均为304不锈钢材质，厚度不小于1mm；</w:t>
            </w:r>
          </w:p>
          <w:p>
            <w:pPr>
              <w:spacing w:line="240" w:lineRule="auto"/>
              <w:ind w:left="0" w:firstLine="0"/>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底盒长宽深：150mm*150mm*110mm，进、出水管孔中心点位于中线，孔径：39mm，四角设安装盖板的螺纹连接孔（孔径：3mm）；</w:t>
            </w:r>
          </w:p>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盖板长宽：150mm*150mm，四边平整光滑，四角设安装盖板的连接孔</w:t>
            </w:r>
          </w:p>
        </w:tc>
        <w:tc>
          <w:tcPr>
            <w:tcW w:w="6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个</w:t>
            </w:r>
          </w:p>
        </w:tc>
        <w:tc>
          <w:tcPr>
            <w:tcW w:w="79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1</w:t>
            </w:r>
          </w:p>
        </w:tc>
        <w:tc>
          <w:tcPr>
            <w:tcW w:w="867"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156</w:t>
            </w:r>
          </w:p>
        </w:tc>
      </w:tr>
      <w:tr>
        <w:tblPrEx>
          <w:tblCellMar>
            <w:top w:w="0" w:type="dxa"/>
            <w:left w:w="0" w:type="dxa"/>
            <w:bottom w:w="0" w:type="dxa"/>
            <w:right w:w="0" w:type="dxa"/>
          </w:tblCellMar>
        </w:tblPrEx>
        <w:trPr>
          <w:trHeight w:val="480" w:hRule="atLeast"/>
          <w:tblHeader/>
          <w:jc w:val="center"/>
        </w:trPr>
        <w:tc>
          <w:tcPr>
            <w:tcW w:w="625" w:type="dxa"/>
            <w:tcBorders>
              <w:top w:val="single" w:color="auto" w:sz="4" w:space="0"/>
              <w:left w:val="single" w:color="000000" w:sz="8" w:space="0"/>
              <w:bottom w:val="single" w:color="auto"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8</w:t>
            </w:r>
          </w:p>
        </w:tc>
        <w:tc>
          <w:tcPr>
            <w:tcW w:w="1361" w:type="dxa"/>
            <w:tcBorders>
              <w:top w:val="single" w:color="auto" w:sz="4" w:space="0"/>
              <w:left w:val="single" w:color="000000" w:sz="4" w:space="0"/>
              <w:bottom w:val="single" w:color="auto" w:sz="4" w:space="0"/>
              <w:right w:val="single" w:color="000000" w:sz="4" w:space="0"/>
              <w:tl2br w:val="nil"/>
              <w:tr2bl w:val="nil"/>
            </w:tcBorders>
            <w:noWrap/>
            <w:tcMar>
              <w:top w:w="15" w:type="dxa"/>
              <w:left w:w="15" w:type="dxa"/>
              <w:right w:w="15" w:type="dxa"/>
            </w:tcMar>
            <w:vAlign w:val="center"/>
          </w:tcPr>
          <w:p>
            <w:pPr>
              <w:spacing w:line="240" w:lineRule="auto"/>
              <w:ind w:left="0" w:firstLine="0"/>
              <w:jc w:val="center"/>
              <w:textAlignment w:val="center"/>
              <w:rPr>
                <w:rFonts w:ascii="宋体" w:hAnsi="宋体" w:cs="宋体"/>
                <w:sz w:val="18"/>
                <w:szCs w:val="18"/>
                <w:highlight w:val="none"/>
              </w:rPr>
            </w:pPr>
            <w:r>
              <w:rPr>
                <w:rFonts w:ascii="宋体" w:hAnsi="宋体" w:cs="宋体"/>
                <w:sz w:val="18"/>
                <w:szCs w:val="18"/>
                <w:highlight w:val="none"/>
                <w:lang w:bidi="ar"/>
              </w:rPr>
              <w:t>墙面瓷砖</w:t>
            </w:r>
          </w:p>
        </w:tc>
        <w:tc>
          <w:tcPr>
            <w:tcW w:w="4740" w:type="dxa"/>
            <w:tcBorders>
              <w:top w:val="single" w:color="auto" w:sz="4" w:space="0"/>
              <w:left w:val="single" w:color="000000" w:sz="4" w:space="0"/>
              <w:bottom w:val="single" w:color="auto" w:sz="4" w:space="0"/>
              <w:right w:val="single" w:color="000000" w:sz="4" w:space="0"/>
              <w:tl2br w:val="nil"/>
              <w:tr2bl w:val="nil"/>
            </w:tcBorders>
            <w:noWrap/>
            <w:tcMar>
              <w:top w:w="15" w:type="dxa"/>
              <w:left w:w="15" w:type="dxa"/>
              <w:right w:w="15" w:type="dxa"/>
            </w:tcMar>
            <w:vAlign w:val="center"/>
          </w:tcPr>
          <w:p>
            <w:pPr>
              <w:spacing w:line="240" w:lineRule="auto"/>
              <w:ind w:left="0" w:firstLine="0"/>
              <w:jc w:val="left"/>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颜色：白色；尺寸300mm*600mm/片（2片/蹲位）</w:t>
            </w:r>
          </w:p>
          <w:p>
            <w:pPr>
              <w:spacing w:line="240" w:lineRule="auto"/>
              <w:ind w:left="0" w:firstLine="0"/>
              <w:jc w:val="left"/>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1. 8~10mm厚300*600m釉面砖；</w:t>
            </w:r>
          </w:p>
          <w:p>
            <w:pPr>
              <w:spacing w:line="240" w:lineRule="auto"/>
              <w:ind w:left="0" w:firstLine="0"/>
              <w:jc w:val="left"/>
              <w:textAlignment w:val="center"/>
              <w:rPr>
                <w:rFonts w:ascii="宋体" w:hAnsi="宋体" w:cs="宋体"/>
                <w:sz w:val="18"/>
                <w:szCs w:val="18"/>
                <w:highlight w:val="none"/>
              </w:rPr>
            </w:pPr>
            <w:r>
              <w:rPr>
                <w:rFonts w:ascii="宋体" w:hAnsi="宋体" w:cs="宋体"/>
                <w:sz w:val="18"/>
                <w:szCs w:val="18"/>
                <w:highlight w:val="none"/>
                <w:lang w:bidi="ar"/>
              </w:rPr>
              <w:t>2. 品牌参照或相当于“东鹏、马可波罗、冠珠”；</w:t>
            </w:r>
          </w:p>
        </w:tc>
        <w:tc>
          <w:tcPr>
            <w:tcW w:w="6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w:t>
            </w:r>
          </w:p>
        </w:tc>
        <w:tc>
          <w:tcPr>
            <w:tcW w:w="79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0.36</w:t>
            </w:r>
          </w:p>
        </w:tc>
        <w:tc>
          <w:tcPr>
            <w:tcW w:w="867"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56.16</w:t>
            </w:r>
          </w:p>
        </w:tc>
      </w:tr>
      <w:tr>
        <w:tblPrEx>
          <w:tblCellMar>
            <w:top w:w="0" w:type="dxa"/>
            <w:left w:w="0" w:type="dxa"/>
            <w:bottom w:w="0" w:type="dxa"/>
            <w:right w:w="0" w:type="dxa"/>
          </w:tblCellMar>
        </w:tblPrEx>
        <w:trPr>
          <w:trHeight w:val="480" w:hRule="atLeast"/>
          <w:tblHeader/>
          <w:jc w:val="center"/>
        </w:trPr>
        <w:tc>
          <w:tcPr>
            <w:tcW w:w="625" w:type="dxa"/>
            <w:tcBorders>
              <w:top w:val="single" w:color="auto" w:sz="4" w:space="0"/>
              <w:left w:val="single" w:color="000000" w:sz="8" w:space="0"/>
              <w:bottom w:val="single" w:color="auto"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bookmarkStart w:id="1593" w:name="_Toc24568"/>
            <w:r>
              <w:rPr>
                <w:rFonts w:ascii="宋体" w:hAnsi="宋体" w:cs="宋体"/>
                <w:sz w:val="18"/>
                <w:szCs w:val="18"/>
                <w:highlight w:val="none"/>
              </w:rPr>
              <w:t>9</w:t>
            </w:r>
          </w:p>
        </w:tc>
        <w:tc>
          <w:tcPr>
            <w:tcW w:w="1361" w:type="dxa"/>
            <w:tcBorders>
              <w:top w:val="single" w:color="auto" w:sz="4" w:space="0"/>
              <w:left w:val="single" w:color="000000" w:sz="4" w:space="0"/>
              <w:bottom w:val="single" w:color="auto" w:sz="4" w:space="0"/>
              <w:right w:val="single" w:color="000000" w:sz="4" w:space="0"/>
              <w:tl2br w:val="nil"/>
              <w:tr2bl w:val="nil"/>
            </w:tcBorders>
            <w:noWrap/>
            <w:tcMar>
              <w:top w:w="15" w:type="dxa"/>
              <w:left w:w="15" w:type="dxa"/>
              <w:right w:w="15" w:type="dxa"/>
            </w:tcMar>
            <w:vAlign w:val="center"/>
          </w:tcPr>
          <w:p>
            <w:pPr>
              <w:spacing w:line="240" w:lineRule="auto"/>
              <w:ind w:left="0" w:firstLine="0"/>
              <w:jc w:val="center"/>
              <w:textAlignment w:val="center"/>
              <w:rPr>
                <w:rFonts w:ascii="宋体" w:hAnsi="宋体" w:cs="宋体"/>
                <w:sz w:val="18"/>
                <w:szCs w:val="18"/>
                <w:highlight w:val="none"/>
              </w:rPr>
            </w:pPr>
            <w:r>
              <w:rPr>
                <w:rFonts w:ascii="宋体" w:hAnsi="宋体" w:cs="宋体"/>
                <w:sz w:val="18"/>
                <w:szCs w:val="18"/>
                <w:highlight w:val="none"/>
                <w:lang w:bidi="ar"/>
              </w:rPr>
              <w:t>防滑地砖</w:t>
            </w:r>
          </w:p>
        </w:tc>
        <w:tc>
          <w:tcPr>
            <w:tcW w:w="4740" w:type="dxa"/>
            <w:tcBorders>
              <w:top w:val="single" w:color="auto" w:sz="4" w:space="0"/>
              <w:left w:val="single" w:color="000000" w:sz="4" w:space="0"/>
              <w:bottom w:val="single" w:color="auto" w:sz="4" w:space="0"/>
              <w:right w:val="single" w:color="000000" w:sz="4" w:space="0"/>
              <w:tl2br w:val="nil"/>
              <w:tr2bl w:val="nil"/>
            </w:tcBorders>
            <w:noWrap/>
            <w:tcMar>
              <w:top w:w="15" w:type="dxa"/>
              <w:left w:w="15" w:type="dxa"/>
              <w:right w:w="15" w:type="dxa"/>
            </w:tcMar>
            <w:vAlign w:val="center"/>
          </w:tcPr>
          <w:p>
            <w:pPr>
              <w:spacing w:line="240" w:lineRule="auto"/>
              <w:ind w:left="0" w:firstLine="0"/>
              <w:jc w:val="left"/>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颜色：米黄色；尺寸300mm*300mm/片（2片/蹲位）</w:t>
            </w:r>
          </w:p>
          <w:p>
            <w:pPr>
              <w:spacing w:line="240" w:lineRule="auto"/>
              <w:ind w:left="0" w:firstLine="0"/>
              <w:jc w:val="left"/>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1. 8~10mm厚300*300防滑地砖。</w:t>
            </w:r>
          </w:p>
          <w:p>
            <w:pPr>
              <w:spacing w:line="240" w:lineRule="auto"/>
              <w:ind w:left="0" w:firstLine="0"/>
              <w:jc w:val="left"/>
              <w:textAlignment w:val="center"/>
              <w:rPr>
                <w:rFonts w:ascii="宋体" w:hAnsi="宋体" w:cs="宋体"/>
                <w:sz w:val="18"/>
                <w:szCs w:val="18"/>
                <w:highlight w:val="none"/>
              </w:rPr>
            </w:pPr>
            <w:r>
              <w:rPr>
                <w:rFonts w:ascii="宋体" w:hAnsi="宋体" w:cs="宋体"/>
                <w:sz w:val="18"/>
                <w:szCs w:val="18"/>
                <w:highlight w:val="none"/>
                <w:lang w:bidi="ar"/>
              </w:rPr>
              <w:t>2. 品牌参照或相当于“东鹏、马可波罗、冠珠”。</w:t>
            </w:r>
          </w:p>
        </w:tc>
        <w:tc>
          <w:tcPr>
            <w:tcW w:w="6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w:t>
            </w:r>
          </w:p>
        </w:tc>
        <w:tc>
          <w:tcPr>
            <w:tcW w:w="79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0.18</w:t>
            </w:r>
          </w:p>
        </w:tc>
        <w:tc>
          <w:tcPr>
            <w:tcW w:w="867"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28.08</w:t>
            </w:r>
          </w:p>
        </w:tc>
      </w:tr>
    </w:tbl>
    <w:p>
      <w:pPr>
        <w:spacing w:line="240" w:lineRule="auto"/>
        <w:ind w:left="0" w:firstLine="0"/>
        <w:rPr>
          <w:rFonts w:ascii="宋体" w:hAnsi="宋体" w:cs="宋体"/>
          <w:b/>
          <w:highlight w:val="none"/>
        </w:rPr>
      </w:pPr>
      <w:bookmarkStart w:id="1594" w:name="_Toc18163"/>
      <w:r>
        <w:rPr>
          <w:rFonts w:ascii="宋体" w:hAnsi="宋体" w:cs="宋体"/>
          <w:b/>
          <w:highlight w:val="none"/>
        </w:rPr>
        <w:br w:type="page"/>
      </w:r>
    </w:p>
    <w:p>
      <w:pPr>
        <w:widowControl w:val="0"/>
        <w:ind w:left="0" w:firstLine="0"/>
        <w:outlineLvl w:val="3"/>
        <w:rPr>
          <w:rFonts w:ascii="宋体" w:hAnsi="宋体"/>
          <w:b/>
          <w:highlight w:val="none"/>
        </w:rPr>
      </w:pPr>
      <w:r>
        <w:rPr>
          <w:rFonts w:ascii="宋体" w:hAnsi="宋体" w:cs="宋体"/>
          <w:b/>
          <w:kern w:val="2"/>
          <w:highlight w:val="none"/>
        </w:rPr>
        <w:t xml:space="preserve">附件2  </w:t>
      </w:r>
      <w:r>
        <w:rPr>
          <w:rFonts w:ascii="宋体" w:hAnsi="宋体"/>
          <w:b/>
          <w:highlight w:val="none"/>
        </w:rPr>
        <w:t>改造方案</w:t>
      </w:r>
      <w:bookmarkEnd w:id="1593"/>
      <w:bookmarkEnd w:id="1594"/>
      <w:r>
        <w:rPr>
          <w:rFonts w:ascii="宋体" w:hAnsi="宋体"/>
          <w:b/>
          <w:highlight w:val="none"/>
        </w:rPr>
        <w:t>及技术要求</w:t>
      </w:r>
    </w:p>
    <w:p>
      <w:pPr>
        <w:spacing w:before="0" w:after="0" w:afterAutospacing="0"/>
        <w:ind w:right="0"/>
        <w:jc w:val="left"/>
        <w:rPr>
          <w:rFonts w:ascii="宋体" w:hAnsi="宋体" w:cs="Arial"/>
          <w:b/>
          <w:highlight w:val="none"/>
        </w:rPr>
      </w:pPr>
      <w:r>
        <w:rPr>
          <w:rFonts w:ascii="宋体" w:hAnsi="宋体" w:cs="Arial"/>
          <w:b/>
          <w:highlight w:val="none"/>
        </w:rPr>
        <w:t>2.1改造方案</w:t>
      </w:r>
    </w:p>
    <w:p>
      <w:pPr>
        <w:spacing w:before="0" w:after="0" w:afterAutospacing="0"/>
        <w:ind w:left="0" w:right="0" w:firstLine="420" w:firstLineChars="200"/>
        <w:rPr>
          <w:rFonts w:ascii="宋体" w:hAnsi="宋体" w:cs="Arial"/>
          <w:highlight w:val="none"/>
        </w:rPr>
      </w:pPr>
      <w:r>
        <w:rPr>
          <w:rFonts w:ascii="宋体" w:hAnsi="宋体" w:cs="Arial"/>
          <w:highlight w:val="none"/>
        </w:rPr>
        <w:t>甲乙双方在项目施工前，需共同确认蹲便感应式冲洗阀各部件功能是否正常，在施工过程中，乙方须做好施工防护，严禁暴力拆除，确保蹲便感应式冲洗阀各部件功能完好。</w:t>
      </w:r>
    </w:p>
    <w:p>
      <w:pPr>
        <w:spacing w:before="0" w:after="0" w:afterAutospacing="0"/>
        <w:ind w:left="0" w:right="0" w:firstLine="420" w:firstLineChars="200"/>
        <w:rPr>
          <w:rFonts w:ascii="宋体" w:hAnsi="宋体" w:cs="Arial"/>
          <w:highlight w:val="none"/>
        </w:rPr>
      </w:pPr>
      <w:r>
        <w:rPr>
          <w:rFonts w:ascii="宋体" w:hAnsi="宋体" w:cs="Arial"/>
          <w:highlight w:val="none"/>
        </w:rPr>
        <w:t>2.1.1墙面及地面开凿。墙面瓷砖及防滑地砖开凿区域如附图1-1所示，开凿时需整齐切割、凿除；墙体需开凿出换管空间（纵向高宽深：约500mm*100mm*100mm）及暗装底盒安装位（长宽深：约150mm*150mm*110mm），地面需开凿出换管空间（纵向长宽深：约200mm*100mm*100mm）（如附图1-2所示）。</w:t>
      </w:r>
    </w:p>
    <w:p>
      <w:pPr>
        <w:spacing w:before="0" w:after="0" w:afterAutospacing="0"/>
        <w:ind w:left="420" w:leftChars="200" w:right="0" w:firstLine="0"/>
        <w:rPr>
          <w:highlight w:val="none"/>
        </w:rPr>
      </w:pPr>
      <w:r>
        <w:rPr>
          <w:highlight w:val="none"/>
        </w:rPr>
        <w:drawing>
          <wp:inline distT="0" distB="0" distL="114300" distR="114300">
            <wp:extent cx="5307965" cy="3965575"/>
            <wp:effectExtent l="0" t="0" r="6985" b="158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5307965" cy="3965575"/>
                    </a:xfrm>
                    <a:prstGeom prst="rect">
                      <a:avLst/>
                    </a:prstGeom>
                    <a:noFill/>
                    <a:ln>
                      <a:noFill/>
                    </a:ln>
                  </pic:spPr>
                </pic:pic>
              </a:graphicData>
            </a:graphic>
          </wp:inline>
        </w:drawing>
      </w:r>
    </w:p>
    <w:p>
      <w:pPr>
        <w:pStyle w:val="12"/>
        <w:jc w:val="center"/>
        <w:rPr>
          <w:highlight w:val="none"/>
        </w:rPr>
      </w:pPr>
      <w:r>
        <w:rPr>
          <w:rFonts w:hAnsi="宋体" w:cs="Arial"/>
          <w:highlight w:val="none"/>
        </w:rPr>
        <w:t>附图1-1墙面及地面开凿区域</w:t>
      </w:r>
    </w:p>
    <w:p>
      <w:pPr>
        <w:spacing w:before="0" w:after="0" w:afterAutospacing="0"/>
        <w:ind w:right="0"/>
        <w:jc w:val="center"/>
        <w:rPr>
          <w:highlight w:val="none"/>
        </w:rPr>
      </w:pPr>
      <w:r>
        <w:rPr>
          <w:highlight w:val="none"/>
        </w:rPr>
        <w:drawing>
          <wp:inline distT="0" distB="0" distL="114300" distR="114300">
            <wp:extent cx="2050415" cy="3863340"/>
            <wp:effectExtent l="0" t="0" r="6985" b="3810"/>
            <wp:docPr id="4" name="图片 7" descr="27F662FB-A53B-4382-BCA0-DB51A11DC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27F662FB-A53B-4382-BCA0-DB51A11DCC03"/>
                    <pic:cNvPicPr>
                      <a:picLocks noChangeAspect="1"/>
                    </pic:cNvPicPr>
                  </pic:nvPicPr>
                  <pic:blipFill>
                    <a:blip r:embed="rId12"/>
                    <a:stretch>
                      <a:fillRect/>
                    </a:stretch>
                  </pic:blipFill>
                  <pic:spPr>
                    <a:xfrm>
                      <a:off x="0" y="0"/>
                      <a:ext cx="2050415" cy="3863340"/>
                    </a:xfrm>
                    <a:prstGeom prst="rect">
                      <a:avLst/>
                    </a:prstGeom>
                    <a:noFill/>
                    <a:ln>
                      <a:noFill/>
                    </a:ln>
                  </pic:spPr>
                </pic:pic>
              </a:graphicData>
            </a:graphic>
          </wp:inline>
        </w:drawing>
      </w:r>
      <w:r>
        <w:rPr>
          <w:highlight w:val="none"/>
        </w:rPr>
        <w:drawing>
          <wp:inline distT="0" distB="0" distL="114300" distR="114300">
            <wp:extent cx="2038350" cy="3870960"/>
            <wp:effectExtent l="0" t="0" r="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rcRect l="29160" t="12213" r="33330" b="34502"/>
                    <a:stretch>
                      <a:fillRect/>
                    </a:stretch>
                  </pic:blipFill>
                  <pic:spPr>
                    <a:xfrm>
                      <a:off x="0" y="0"/>
                      <a:ext cx="2038350" cy="3870960"/>
                    </a:xfrm>
                    <a:prstGeom prst="rect">
                      <a:avLst/>
                    </a:prstGeom>
                    <a:noFill/>
                    <a:ln>
                      <a:noFill/>
                    </a:ln>
                  </pic:spPr>
                </pic:pic>
              </a:graphicData>
            </a:graphic>
          </wp:inline>
        </w:drawing>
      </w:r>
    </w:p>
    <w:p>
      <w:pPr>
        <w:pStyle w:val="12"/>
        <w:jc w:val="center"/>
        <w:rPr>
          <w:highlight w:val="none"/>
        </w:rPr>
      </w:pPr>
      <w:r>
        <w:rPr>
          <w:rFonts w:hAnsi="宋体" w:cs="Arial"/>
          <w:highlight w:val="none"/>
        </w:rPr>
        <w:t>附图1-2 墙面及地面开凿示意图</w:t>
      </w:r>
    </w:p>
    <w:p>
      <w:pPr>
        <w:spacing w:before="0" w:after="0" w:afterAutospacing="0"/>
        <w:ind w:left="0" w:right="0" w:firstLine="420" w:firstLineChars="200"/>
        <w:rPr>
          <w:rFonts w:ascii="宋体" w:hAnsi="宋体" w:cs="Arial"/>
          <w:highlight w:val="none"/>
        </w:rPr>
      </w:pPr>
      <w:r>
        <w:rPr>
          <w:rFonts w:ascii="宋体" w:hAnsi="宋体" w:cs="Arial"/>
          <w:highlight w:val="none"/>
        </w:rPr>
        <w:t>2.1.2 拆除旧冲洗阀及附件。拆除原感应器、阀门、管件、控制盒。</w:t>
      </w:r>
    </w:p>
    <w:p>
      <w:pPr>
        <w:spacing w:before="0" w:after="0" w:afterAutospacing="0"/>
        <w:ind w:left="0" w:right="0" w:firstLine="420" w:firstLineChars="200"/>
        <w:rPr>
          <w:rFonts w:hint="eastAsia" w:ascii="宋体" w:hAnsi="宋体" w:eastAsia="宋体" w:cs="Arial"/>
          <w:highlight w:val="none"/>
          <w:lang w:eastAsia="zh-CN"/>
        </w:rPr>
      </w:pPr>
      <w:r>
        <w:rPr>
          <w:rFonts w:ascii="宋体" w:hAnsi="宋体" w:cs="Arial"/>
          <w:highlight w:val="none"/>
        </w:rPr>
        <w:t>2.1.3 安装新脚踏阀及附件。安装新阀门、管件、暗装底盒、脚踏阀及冲洗管，要求脚踏阀踏板距地高度在130mm±10mm范围内，脚踏阀距离墙体立面间隙在55mm±10mm范围内。</w:t>
      </w:r>
    </w:p>
    <w:p>
      <w:pPr>
        <w:spacing w:before="0" w:after="0" w:afterAutospacing="0"/>
        <w:ind w:left="0" w:right="0" w:firstLine="420" w:firstLineChars="200"/>
        <w:rPr>
          <w:rFonts w:ascii="宋体" w:hAnsi="宋体" w:cs="Arial"/>
          <w:highlight w:val="none"/>
        </w:rPr>
      </w:pPr>
      <w:r>
        <w:rPr>
          <w:rFonts w:ascii="宋体" w:hAnsi="宋体" w:cs="Arial"/>
          <w:highlight w:val="none"/>
        </w:rPr>
        <w:t xml:space="preserve">    2.1.4 功能测试。对新装阀门、管件、脚踏阀及冲洗管进行通水测试、严密性测试。</w:t>
      </w:r>
    </w:p>
    <w:p>
      <w:pPr>
        <w:spacing w:before="0" w:after="0" w:afterAutospacing="0"/>
        <w:ind w:left="0" w:right="0" w:firstLine="420" w:firstLineChars="200"/>
        <w:rPr>
          <w:rFonts w:ascii="宋体" w:hAnsi="宋体" w:cs="Arial"/>
          <w:highlight w:val="none"/>
        </w:rPr>
      </w:pPr>
      <w:r>
        <w:rPr>
          <w:rFonts w:ascii="宋体" w:hAnsi="宋体" w:cs="Arial"/>
          <w:highlight w:val="none"/>
        </w:rPr>
        <w:t>2.1.5 隐蔽施工。回填墙体、地面开凿空间，墙面瓷砖铺贴需敷设5mm厚1：1水泥砂浆，防滑地砖铺贴需敷设30mm厚1:3干硬性水泥砂浆结合层，面上撒素水泥。</w:t>
      </w:r>
    </w:p>
    <w:p>
      <w:pPr>
        <w:spacing w:before="0" w:after="0" w:afterAutospacing="0"/>
        <w:ind w:left="0" w:right="0" w:firstLine="420" w:firstLineChars="200"/>
        <w:rPr>
          <w:rFonts w:ascii="宋体" w:hAnsi="宋体" w:cs="Arial"/>
          <w:highlight w:val="none"/>
        </w:rPr>
      </w:pPr>
      <w:r>
        <w:rPr>
          <w:rFonts w:ascii="宋体" w:hAnsi="宋体" w:cs="Arial"/>
          <w:highlight w:val="none"/>
        </w:rPr>
        <w:t>2.1.6 调节冲水量。调整踩踏脚踏阀冲水冲水量，以不溅射出蹲便池（地砖水平面）为标准。</w:t>
      </w:r>
    </w:p>
    <w:p>
      <w:pPr>
        <w:spacing w:before="0" w:after="0" w:afterAutospacing="0"/>
        <w:ind w:left="0" w:right="0" w:firstLine="420" w:firstLineChars="200"/>
        <w:rPr>
          <w:rFonts w:ascii="宋体" w:hAnsi="宋体" w:cs="Arial"/>
          <w:highlight w:val="none"/>
        </w:rPr>
      </w:pPr>
      <w:r>
        <w:rPr>
          <w:rFonts w:ascii="宋体" w:hAnsi="宋体" w:cs="Arial"/>
          <w:highlight w:val="none"/>
        </w:rPr>
        <w:t>2.1.7 卫生清洁。施工完毕后，清除现场建筑及施工垃圾，做好瓷砖/地砖表面清洁工作。</w:t>
      </w:r>
    </w:p>
    <w:p>
      <w:pPr>
        <w:spacing w:before="0" w:after="0" w:afterAutospacing="0"/>
        <w:ind w:left="0" w:right="0" w:firstLine="420" w:firstLineChars="200"/>
        <w:rPr>
          <w:rFonts w:ascii="宋体" w:hAnsi="宋体" w:cs="Arial"/>
          <w:highlight w:val="none"/>
        </w:rPr>
      </w:pPr>
      <w:r>
        <w:rPr>
          <w:rFonts w:ascii="宋体" w:hAnsi="宋体" w:cs="Arial"/>
          <w:highlight w:val="none"/>
        </w:rPr>
        <w:t>2.1.8 设备备件回收。所有拆除的金属管道、管件、阀门、控制器及安装底盒均需要交给甲方回收，严禁带离现场。</w:t>
      </w:r>
    </w:p>
    <w:p>
      <w:pPr>
        <w:spacing w:before="0" w:after="0" w:afterAutospacing="0"/>
        <w:ind w:left="420" w:leftChars="200" w:right="0" w:firstLine="0"/>
        <w:rPr>
          <w:rFonts w:ascii="宋体" w:hAnsi="宋体" w:cs="Arial"/>
          <w:highlight w:val="none"/>
        </w:rPr>
      </w:pPr>
      <w:bookmarkStart w:id="1595" w:name="_Toc29324"/>
      <w:bookmarkStart w:id="1596" w:name="_Toc2632"/>
      <w:r>
        <w:rPr>
          <w:rFonts w:ascii="宋体" w:hAnsi="宋体" w:cs="Arial"/>
          <w:highlight w:val="none"/>
        </w:rPr>
        <w:t>2.1.9卫生间蹲便脚踏阀安装示意图及材料需求</w:t>
      </w:r>
      <w:bookmarkEnd w:id="1595"/>
      <w:r>
        <w:rPr>
          <w:rFonts w:ascii="宋体" w:hAnsi="宋体" w:cs="Arial"/>
          <w:highlight w:val="none"/>
        </w:rPr>
        <w:t>，示意图如附图1-3所示：</w:t>
      </w:r>
    </w:p>
    <w:p>
      <w:pPr>
        <w:pStyle w:val="12"/>
        <w:jc w:val="center"/>
        <w:rPr>
          <w:highlight w:val="none"/>
        </w:rPr>
      </w:pPr>
      <w:r>
        <w:rPr>
          <w:highlight w:val="none"/>
        </w:rPr>
        <w:drawing>
          <wp:inline distT="0" distB="0" distL="114300" distR="114300">
            <wp:extent cx="4881245" cy="3499485"/>
            <wp:effectExtent l="0" t="0" r="14605" b="5715"/>
            <wp:docPr id="2" name="图片 4" descr="lQLPDhtpEs_e8IzNAxrNBSCwcMMGSUEdWV8CfNNZjAD-AQ_1312_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lQLPDhtpEs_e8IzNAxrNBSCwcMMGSUEdWV8CfNNZjAD-AQ_1312_794"/>
                    <pic:cNvPicPr>
                      <a:picLocks noChangeAspect="1"/>
                    </pic:cNvPicPr>
                  </pic:nvPicPr>
                  <pic:blipFill>
                    <a:blip r:embed="rId14"/>
                    <a:srcRect l="4602" t="905" r="13992" b="2733"/>
                    <a:stretch>
                      <a:fillRect/>
                    </a:stretch>
                  </pic:blipFill>
                  <pic:spPr>
                    <a:xfrm>
                      <a:off x="0" y="0"/>
                      <a:ext cx="4881245" cy="3499485"/>
                    </a:xfrm>
                    <a:prstGeom prst="rect">
                      <a:avLst/>
                    </a:prstGeom>
                    <a:noFill/>
                    <a:ln>
                      <a:noFill/>
                    </a:ln>
                  </pic:spPr>
                </pic:pic>
              </a:graphicData>
            </a:graphic>
          </wp:inline>
        </w:drawing>
      </w:r>
    </w:p>
    <w:p>
      <w:pPr>
        <w:pStyle w:val="12"/>
        <w:jc w:val="center"/>
        <w:rPr>
          <w:rFonts w:hAnsi="宋体"/>
          <w:szCs w:val="21"/>
          <w:highlight w:val="none"/>
        </w:rPr>
      </w:pPr>
      <w:r>
        <w:rPr>
          <w:rFonts w:hAnsi="宋体"/>
          <w:szCs w:val="21"/>
          <w:highlight w:val="none"/>
        </w:rPr>
        <w:t>附图1-3  脚踏式冲水阀安装</w:t>
      </w:r>
      <w:r>
        <w:rPr>
          <w:rFonts w:hAnsi="宋体" w:cs="Arial"/>
          <w:highlight w:val="none"/>
        </w:rPr>
        <w:t>材料及</w:t>
      </w:r>
      <w:r>
        <w:rPr>
          <w:rFonts w:hAnsi="宋体"/>
          <w:szCs w:val="21"/>
          <w:highlight w:val="none"/>
        </w:rPr>
        <w:t>示意图</w:t>
      </w:r>
    </w:p>
    <w:p>
      <w:pPr>
        <w:spacing w:before="0" w:after="0" w:afterAutospacing="0"/>
        <w:ind w:left="0" w:right="0" w:firstLine="420" w:firstLineChars="200"/>
        <w:rPr>
          <w:rFonts w:ascii="宋体" w:hAnsi="宋体" w:cs="Arial"/>
          <w:highlight w:val="none"/>
        </w:rPr>
      </w:pPr>
      <w:r>
        <w:rPr>
          <w:rFonts w:ascii="宋体" w:hAnsi="宋体" w:cs="Arial"/>
          <w:highlight w:val="none"/>
        </w:rPr>
        <w:t>2.1.10脚踏式冲水阀更换材料（单个蹲位）详见附表1-1工程量清单中“单套改造数量”。在安装脚踏式冲水阀过程中，遇到个别冲洗阀结构有所差异的，以现场实际情况进行施工安装工作，如确需使用到附表1-1以外的材料或数量超出的，需提前向甲方报备，由此产生的一切费用由乙方承担。</w:t>
      </w:r>
    </w:p>
    <w:p>
      <w:pPr>
        <w:spacing w:before="0" w:after="0" w:afterAutospacing="0"/>
        <w:ind w:right="0"/>
        <w:jc w:val="left"/>
        <w:rPr>
          <w:rFonts w:ascii="宋体" w:hAnsi="宋体" w:cs="Arial"/>
          <w:b/>
          <w:highlight w:val="none"/>
        </w:rPr>
      </w:pPr>
      <w:bookmarkStart w:id="1597" w:name="_Toc8690"/>
      <w:bookmarkStart w:id="1598" w:name="_Toc17661"/>
      <w:bookmarkStart w:id="1599" w:name="_Toc25655"/>
      <w:r>
        <w:rPr>
          <w:rFonts w:ascii="宋体" w:hAnsi="宋体" w:cs="Arial"/>
          <w:b/>
          <w:highlight w:val="none"/>
        </w:rPr>
        <w:t>2.2技术要求</w:t>
      </w:r>
      <w:bookmarkEnd w:id="1596"/>
      <w:bookmarkEnd w:id="1597"/>
      <w:bookmarkEnd w:id="1598"/>
      <w:bookmarkEnd w:id="1599"/>
    </w:p>
    <w:p>
      <w:pPr>
        <w:spacing w:before="0" w:after="0" w:afterAutospacing="0"/>
        <w:ind w:left="0" w:right="0" w:firstLine="420" w:firstLineChars="200"/>
        <w:rPr>
          <w:rFonts w:ascii="宋体" w:hAnsi="宋体" w:cs="Arial"/>
          <w:highlight w:val="none"/>
        </w:rPr>
      </w:pPr>
      <w:r>
        <w:rPr>
          <w:rFonts w:ascii="宋体" w:hAnsi="宋体" w:cs="Arial"/>
          <w:highlight w:val="none"/>
        </w:rPr>
        <w:t>2.2.1管道连接方式为螺纹连接，各连接处应使用密封胶水/胶带进行密封，各连接管件及脚踏阀接口应紧密不漏水，螺纹尺寸及误差应符合GB/T 7306.1或GB/T 7306.2的规定。</w:t>
      </w:r>
    </w:p>
    <w:p>
      <w:pPr>
        <w:spacing w:before="0" w:after="0" w:afterAutospacing="0"/>
        <w:ind w:left="0" w:right="0" w:firstLine="420" w:firstLineChars="200"/>
        <w:rPr>
          <w:rFonts w:ascii="宋体" w:hAnsi="宋体" w:cs="Arial"/>
          <w:highlight w:val="none"/>
        </w:rPr>
      </w:pPr>
      <w:r>
        <w:rPr>
          <w:rFonts w:ascii="宋体" w:hAnsi="宋体" w:cs="Arial"/>
          <w:highlight w:val="none"/>
        </w:rPr>
        <w:t>2.2.2 材料要求</w:t>
      </w:r>
    </w:p>
    <w:p>
      <w:pPr>
        <w:spacing w:before="0" w:after="0" w:afterAutospacing="0"/>
        <w:ind w:left="0" w:right="0" w:firstLine="420" w:firstLineChars="200"/>
        <w:rPr>
          <w:rFonts w:ascii="宋体" w:hAnsi="宋体" w:cs="Arial"/>
          <w:highlight w:val="none"/>
        </w:rPr>
      </w:pPr>
      <w:r>
        <w:rPr>
          <w:rFonts w:ascii="宋体" w:hAnsi="宋体" w:cs="Arial"/>
          <w:highlight w:val="none"/>
        </w:rPr>
        <w:t>2.2.2.1 材质要求详见附表1-1的“性能参数要求”一栏。</w:t>
      </w:r>
    </w:p>
    <w:p>
      <w:pPr>
        <w:spacing w:before="0" w:after="0" w:afterAutospacing="0"/>
        <w:ind w:left="0" w:right="0" w:firstLine="420" w:firstLineChars="200"/>
        <w:rPr>
          <w:rFonts w:ascii="宋体" w:hAnsi="宋体" w:cs="Arial"/>
          <w:highlight w:val="none"/>
        </w:rPr>
      </w:pPr>
      <w:r>
        <w:rPr>
          <w:rFonts w:ascii="宋体" w:hAnsi="宋体" w:cs="Arial"/>
          <w:highlight w:val="none"/>
        </w:rPr>
        <w:t>2.2.2.2 脚踏式延时冲水阀应符合本标准强度及寿命检测的规定，在正常使用条件下启闭20万次不损坏、不渗漏并提供相关文件供甲方查验。</w:t>
      </w:r>
    </w:p>
    <w:p>
      <w:pPr>
        <w:spacing w:before="0" w:after="0" w:afterAutospacing="0"/>
        <w:ind w:left="0" w:right="0" w:firstLine="420" w:firstLineChars="200"/>
        <w:rPr>
          <w:rFonts w:ascii="宋体" w:hAnsi="宋体" w:cs="Arial"/>
          <w:highlight w:val="none"/>
        </w:rPr>
      </w:pPr>
      <w:r>
        <w:rPr>
          <w:rFonts w:ascii="宋体" w:hAnsi="宋体" w:cs="Arial"/>
          <w:highlight w:val="none"/>
        </w:rPr>
        <w:t>2.2.3 卫生器具交付使用前应做通水及压力试验，需试验合格。</w:t>
      </w:r>
    </w:p>
    <w:p>
      <w:pPr>
        <w:rPr>
          <w:rFonts w:ascii="宋体" w:hAnsi="宋体" w:cs="宋体"/>
          <w:b/>
          <w:kern w:val="2"/>
          <w:highlight w:val="none"/>
        </w:rPr>
      </w:pPr>
      <w:r>
        <w:rPr>
          <w:rFonts w:ascii="宋体" w:hAnsi="宋体" w:cs="宋体"/>
          <w:b/>
          <w:kern w:val="2"/>
          <w:highlight w:val="none"/>
        </w:rPr>
        <w:br w:type="page"/>
      </w:r>
    </w:p>
    <w:p>
      <w:pPr>
        <w:widowControl w:val="0"/>
        <w:spacing w:line="360" w:lineRule="exact"/>
        <w:outlineLvl w:val="3"/>
        <w:rPr>
          <w:rFonts w:ascii="宋体" w:hAnsi="宋体" w:cs="宋体"/>
          <w:b/>
          <w:kern w:val="2"/>
          <w:highlight w:val="none"/>
        </w:rPr>
      </w:pPr>
      <w:bookmarkStart w:id="1600" w:name="_Toc9938"/>
      <w:r>
        <w:rPr>
          <w:rFonts w:ascii="宋体" w:hAnsi="宋体" w:cs="宋体"/>
          <w:b/>
          <w:kern w:val="2"/>
          <w:highlight w:val="none"/>
        </w:rPr>
        <w:t>附件3：</w:t>
      </w:r>
      <w:bookmarkEnd w:id="1600"/>
    </w:p>
    <w:p>
      <w:pPr>
        <w:spacing w:before="0" w:after="0" w:afterAutospacing="0"/>
        <w:ind w:left="0" w:right="0" w:firstLine="0"/>
        <w:rPr>
          <w:rFonts w:ascii="宋体" w:hAnsi="宋体" w:cs="Arial"/>
          <w:highlight w:val="none"/>
        </w:rPr>
      </w:pPr>
      <w:r>
        <w:rPr>
          <w:rFonts w:ascii="宋体" w:hAnsi="宋体" w:cs="Arial"/>
          <w:highlight w:val="none"/>
        </w:rPr>
        <w:t>附表3-1</w:t>
      </w:r>
    </w:p>
    <w:tbl>
      <w:tblPr>
        <w:tblStyle w:val="27"/>
        <w:tblW w:w="5000" w:type="pct"/>
        <w:tblInd w:w="0" w:type="dxa"/>
        <w:tblLayout w:type="autofit"/>
        <w:tblCellMar>
          <w:top w:w="0" w:type="dxa"/>
          <w:left w:w="108" w:type="dxa"/>
          <w:bottom w:w="0" w:type="dxa"/>
          <w:right w:w="108" w:type="dxa"/>
        </w:tblCellMar>
      </w:tblPr>
      <w:tblGrid>
        <w:gridCol w:w="1502"/>
        <w:gridCol w:w="3513"/>
        <w:gridCol w:w="1552"/>
        <w:gridCol w:w="1486"/>
        <w:gridCol w:w="1232"/>
      </w:tblGrid>
      <w:tr>
        <w:tblPrEx>
          <w:tblCellMar>
            <w:top w:w="0" w:type="dxa"/>
            <w:left w:w="108" w:type="dxa"/>
            <w:bottom w:w="0" w:type="dxa"/>
            <w:right w:w="108" w:type="dxa"/>
          </w:tblCellMar>
        </w:tblPrEx>
        <w:trPr>
          <w:trHeight w:val="960" w:hRule="atLeast"/>
        </w:trPr>
        <w:tc>
          <w:tcPr>
            <w:tcW w:w="5000" w:type="pct"/>
            <w:gridSpan w:val="5"/>
            <w:tcBorders>
              <w:top w:val="nil"/>
              <w:left w:val="nil"/>
              <w:bottom w:val="nil"/>
              <w:right w:val="nil"/>
              <w:tl2br w:val="nil"/>
              <w:tr2bl w:val="nil"/>
            </w:tcBorders>
            <w:noWrap/>
            <w:vAlign w:val="center"/>
          </w:tcPr>
          <w:p>
            <w:pPr>
              <w:spacing w:line="240" w:lineRule="auto"/>
              <w:jc w:val="center"/>
              <w:textAlignment w:val="center"/>
              <w:rPr>
                <w:rFonts w:ascii="宋体" w:hAnsi="宋体" w:cs="宋体"/>
                <w:b/>
                <w:sz w:val="28"/>
                <w:szCs w:val="28"/>
                <w:highlight w:val="none"/>
              </w:rPr>
            </w:pPr>
            <w:r>
              <w:rPr>
                <w:rFonts w:ascii="宋体" w:hAnsi="宋体" w:cs="宋体"/>
                <w:b/>
                <w:sz w:val="28"/>
                <w:szCs w:val="28"/>
                <w:highlight w:val="none"/>
                <w:lang w:bidi="ar"/>
              </w:rPr>
              <w:t>项目设施安装质量检查表(隐蔽前)</w:t>
            </w:r>
          </w:p>
        </w:tc>
      </w:tr>
      <w:tr>
        <w:tblPrEx>
          <w:tblCellMar>
            <w:top w:w="0" w:type="dxa"/>
            <w:left w:w="108" w:type="dxa"/>
            <w:bottom w:w="0" w:type="dxa"/>
            <w:right w:w="108" w:type="dxa"/>
          </w:tblCellMar>
        </w:tblPrEx>
        <w:trPr>
          <w:trHeight w:val="90" w:hRule="atLeast"/>
        </w:trPr>
        <w:tc>
          <w:tcPr>
            <w:tcW w:w="809" w:type="pct"/>
            <w:tcBorders>
              <w:top w:val="single" w:color="000000" w:sz="4" w:space="0"/>
              <w:left w:val="single" w:color="000000" w:sz="4" w:space="0"/>
              <w:bottom w:val="nil"/>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项目名称、编号及合同编号</w:t>
            </w:r>
          </w:p>
        </w:tc>
        <w:tc>
          <w:tcPr>
            <w:tcW w:w="4190" w:type="pct"/>
            <w:gridSpan w:val="4"/>
            <w:tcBorders>
              <w:top w:val="single" w:color="000000" w:sz="4" w:space="0"/>
              <w:left w:val="single" w:color="000000" w:sz="4" w:space="0"/>
              <w:bottom w:val="nil"/>
              <w:right w:val="single" w:color="000000" w:sz="4" w:space="0"/>
              <w:tl2br w:val="nil"/>
              <w:tr2bl w:val="nil"/>
            </w:tcBorders>
            <w:vAlign w:val="center"/>
          </w:tcPr>
          <w:p>
            <w:pPr>
              <w:spacing w:line="240" w:lineRule="auto"/>
              <w:ind w:left="0" w:firstLine="0"/>
              <w:jc w:val="left"/>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项目名称：</w:t>
            </w:r>
          </w:p>
          <w:p>
            <w:pPr>
              <w:spacing w:line="240" w:lineRule="auto"/>
              <w:ind w:left="0" w:firstLine="0"/>
              <w:jc w:val="left"/>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项目编号：</w:t>
            </w:r>
          </w:p>
          <w:p>
            <w:pPr>
              <w:spacing w:line="240" w:lineRule="auto"/>
              <w:ind w:left="0" w:firstLine="0"/>
              <w:jc w:val="left"/>
              <w:textAlignment w:val="center"/>
              <w:rPr>
                <w:rFonts w:ascii="宋体" w:hAnsi="宋体" w:cs="宋体"/>
                <w:sz w:val="18"/>
                <w:szCs w:val="18"/>
                <w:highlight w:val="none"/>
              </w:rPr>
            </w:pPr>
            <w:r>
              <w:rPr>
                <w:rFonts w:ascii="宋体" w:hAnsi="宋体" w:cs="宋体"/>
                <w:sz w:val="18"/>
                <w:szCs w:val="18"/>
                <w:highlight w:val="none"/>
                <w:lang w:bidi="ar"/>
              </w:rPr>
              <w:t>合同编号：</w:t>
            </w:r>
          </w:p>
        </w:tc>
      </w:tr>
      <w:tr>
        <w:tblPrEx>
          <w:tblCellMar>
            <w:top w:w="0" w:type="dxa"/>
            <w:left w:w="108" w:type="dxa"/>
            <w:bottom w:w="0" w:type="dxa"/>
            <w:right w:w="108" w:type="dxa"/>
          </w:tblCellMar>
        </w:tblPrEx>
        <w:trPr>
          <w:trHeight w:val="146" w:hRule="atLeast"/>
        </w:trPr>
        <w:tc>
          <w:tcPr>
            <w:tcW w:w="809" w:type="pct"/>
            <w:tcBorders>
              <w:top w:val="single" w:color="000000" w:sz="4" w:space="0"/>
              <w:left w:val="single" w:color="000000" w:sz="4" w:space="0"/>
              <w:bottom w:val="nil"/>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项目地点</w:t>
            </w:r>
          </w:p>
        </w:tc>
        <w:tc>
          <w:tcPr>
            <w:tcW w:w="1892" w:type="pct"/>
            <w:tcBorders>
              <w:top w:val="single" w:color="000000" w:sz="4" w:space="0"/>
              <w:left w:val="single" w:color="000000" w:sz="4" w:space="0"/>
              <w:bottom w:val="nil"/>
              <w:right w:val="single" w:color="000000" w:sz="4" w:space="0"/>
              <w:tl2br w:val="nil"/>
              <w:tr2bl w:val="nil"/>
            </w:tcBorders>
            <w:vAlign w:val="center"/>
          </w:tcPr>
          <w:p>
            <w:pPr>
              <w:spacing w:line="240" w:lineRule="auto"/>
              <w:rPr>
                <w:rFonts w:ascii="宋体" w:hAnsi="宋体" w:cs="宋体"/>
                <w:sz w:val="18"/>
                <w:szCs w:val="18"/>
                <w:highlight w:val="none"/>
              </w:rPr>
            </w:pPr>
          </w:p>
        </w:tc>
        <w:tc>
          <w:tcPr>
            <w:tcW w:w="836" w:type="pct"/>
            <w:tcBorders>
              <w:top w:val="single" w:color="000000" w:sz="4" w:space="0"/>
              <w:left w:val="single" w:color="000000" w:sz="4" w:space="0"/>
              <w:bottom w:val="nil"/>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工程数量</w:t>
            </w:r>
          </w:p>
        </w:tc>
        <w:tc>
          <w:tcPr>
            <w:tcW w:w="1462" w:type="pct"/>
            <w:gridSpan w:val="2"/>
            <w:tcBorders>
              <w:top w:val="single" w:color="000000" w:sz="4" w:space="0"/>
              <w:left w:val="single" w:color="000000" w:sz="4" w:space="0"/>
              <w:bottom w:val="nil"/>
              <w:right w:val="single" w:color="000000" w:sz="4" w:space="0"/>
              <w:tl2br w:val="nil"/>
              <w:tr2bl w:val="nil"/>
            </w:tcBorders>
            <w:vAlign w:val="center"/>
          </w:tcPr>
          <w:p>
            <w:pPr>
              <w:spacing w:line="240" w:lineRule="auto"/>
              <w:jc w:val="center"/>
              <w:rPr>
                <w:rFonts w:ascii="宋体" w:hAnsi="宋体" w:cs="宋体"/>
                <w:sz w:val="18"/>
                <w:szCs w:val="18"/>
                <w:highlight w:val="none"/>
              </w:rPr>
            </w:pPr>
          </w:p>
        </w:tc>
      </w:tr>
      <w:tr>
        <w:tblPrEx>
          <w:tblCellMar>
            <w:top w:w="0" w:type="dxa"/>
            <w:left w:w="108" w:type="dxa"/>
            <w:bottom w:w="0" w:type="dxa"/>
            <w:right w:w="108" w:type="dxa"/>
          </w:tblCellMar>
        </w:tblPrEx>
        <w:trPr>
          <w:trHeight w:val="148" w:hRule="atLeast"/>
        </w:trPr>
        <w:tc>
          <w:tcPr>
            <w:tcW w:w="809"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施工单位</w:t>
            </w:r>
          </w:p>
        </w:tc>
        <w:tc>
          <w:tcPr>
            <w:tcW w:w="4190" w:type="pct"/>
            <w:gridSpan w:val="4"/>
            <w:tcBorders>
              <w:top w:val="single" w:color="000000" w:sz="4" w:space="0"/>
              <w:left w:val="single" w:color="000000" w:sz="4" w:space="0"/>
              <w:bottom w:val="nil"/>
              <w:right w:val="single" w:color="000000" w:sz="4" w:space="0"/>
              <w:tl2br w:val="nil"/>
              <w:tr2bl w:val="nil"/>
            </w:tcBorders>
            <w:vAlign w:val="center"/>
          </w:tcPr>
          <w:p>
            <w:pPr>
              <w:spacing w:line="240" w:lineRule="auto"/>
              <w:jc w:val="left"/>
              <w:rPr>
                <w:rFonts w:ascii="宋体" w:hAnsi="宋体" w:cs="宋体"/>
                <w:sz w:val="18"/>
                <w:szCs w:val="18"/>
                <w:highlight w:val="none"/>
              </w:rPr>
            </w:pPr>
          </w:p>
        </w:tc>
      </w:tr>
      <w:tr>
        <w:tblPrEx>
          <w:tblCellMar>
            <w:top w:w="0" w:type="dxa"/>
            <w:left w:w="108" w:type="dxa"/>
            <w:bottom w:w="0" w:type="dxa"/>
            <w:right w:w="108" w:type="dxa"/>
          </w:tblCellMar>
        </w:tblPrEx>
        <w:trPr>
          <w:trHeight w:val="273" w:hRule="atLeast"/>
        </w:trPr>
        <w:tc>
          <w:tcPr>
            <w:tcW w:w="809" w:type="pct"/>
            <w:tcBorders>
              <w:top w:val="single" w:color="000000" w:sz="4" w:space="0"/>
              <w:left w:val="single" w:color="000000" w:sz="4" w:space="0"/>
              <w:bottom w:val="nil"/>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测试单位</w:t>
            </w:r>
          </w:p>
        </w:tc>
        <w:tc>
          <w:tcPr>
            <w:tcW w:w="4190" w:type="pct"/>
            <w:gridSpan w:val="4"/>
            <w:tcBorders>
              <w:top w:val="single" w:color="000000" w:sz="4" w:space="0"/>
              <w:left w:val="single" w:color="000000" w:sz="4" w:space="0"/>
              <w:bottom w:val="nil"/>
              <w:right w:val="single" w:color="000000" w:sz="4" w:space="0"/>
              <w:tl2br w:val="nil"/>
              <w:tr2bl w:val="nil"/>
            </w:tcBorders>
            <w:vAlign w:val="center"/>
          </w:tcPr>
          <w:p>
            <w:pPr>
              <w:spacing w:line="240" w:lineRule="auto"/>
              <w:jc w:val="left"/>
              <w:rPr>
                <w:rFonts w:ascii="宋体" w:hAnsi="宋体" w:cs="宋体"/>
                <w:sz w:val="18"/>
                <w:szCs w:val="18"/>
                <w:highlight w:val="none"/>
              </w:rPr>
            </w:pPr>
          </w:p>
        </w:tc>
      </w:tr>
      <w:tr>
        <w:tblPrEx>
          <w:tblCellMar>
            <w:top w:w="0" w:type="dxa"/>
            <w:left w:w="108" w:type="dxa"/>
            <w:bottom w:w="0" w:type="dxa"/>
            <w:right w:w="108" w:type="dxa"/>
          </w:tblCellMar>
        </w:tblPrEx>
        <w:trPr>
          <w:trHeight w:val="90" w:hRule="atLeast"/>
        </w:trPr>
        <w:tc>
          <w:tcPr>
            <w:tcW w:w="809" w:type="pct"/>
            <w:tcBorders>
              <w:top w:val="single" w:color="000000" w:sz="4" w:space="0"/>
              <w:left w:val="single" w:color="000000" w:sz="4" w:space="0"/>
              <w:bottom w:val="nil"/>
              <w:right w:val="nil"/>
              <w:tl2br w:val="nil"/>
              <w:tr2bl w:val="nil"/>
            </w:tcBorders>
            <w:vAlign w:val="center"/>
          </w:tcPr>
          <w:p>
            <w:pPr>
              <w:spacing w:line="240" w:lineRule="auto"/>
              <w:ind w:left="0" w:firstLine="0"/>
              <w:jc w:val="center"/>
              <w:textAlignment w:val="center"/>
              <w:rPr>
                <w:rFonts w:ascii="宋体" w:hAnsi="宋体" w:cs="宋体"/>
                <w:sz w:val="18"/>
                <w:szCs w:val="18"/>
                <w:highlight w:val="none"/>
              </w:rPr>
            </w:pPr>
            <w:r>
              <w:rPr>
                <w:rFonts w:ascii="宋体" w:hAnsi="宋体" w:cs="宋体"/>
                <w:sz w:val="18"/>
                <w:szCs w:val="18"/>
                <w:highlight w:val="none"/>
                <w:lang w:bidi="ar"/>
              </w:rPr>
              <w:t>质量控制资料</w:t>
            </w:r>
          </w:p>
        </w:tc>
        <w:tc>
          <w:tcPr>
            <w:tcW w:w="1892"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阀体及管件供货证明、开箱检验单及产品合格证</w:t>
            </w:r>
          </w:p>
        </w:tc>
        <w:tc>
          <w:tcPr>
            <w:tcW w:w="836"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是否完成</w:t>
            </w:r>
          </w:p>
        </w:tc>
        <w:tc>
          <w:tcPr>
            <w:tcW w:w="1462"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Style w:val="70"/>
                <w:color w:val="auto"/>
                <w:sz w:val="18"/>
                <w:szCs w:val="18"/>
                <w:highlight w:val="none"/>
                <w:lang w:bidi="ar"/>
              </w:rPr>
              <w:t>是</w:t>
            </w:r>
            <w:r>
              <w:rPr>
                <w:rStyle w:val="69"/>
                <w:rFonts w:ascii="宋体" w:hAnsi="宋体" w:eastAsia="宋体" w:cs="宋体"/>
                <w:color w:val="auto"/>
                <w:sz w:val="18"/>
                <w:szCs w:val="18"/>
                <w:highlight w:val="none"/>
                <w:lang w:bidi="ar"/>
              </w:rPr>
              <w:t></w:t>
            </w:r>
            <w:r>
              <w:rPr>
                <w:rStyle w:val="70"/>
                <w:color w:val="auto"/>
                <w:sz w:val="18"/>
                <w:szCs w:val="18"/>
                <w:highlight w:val="none"/>
                <w:lang w:bidi="ar"/>
              </w:rPr>
              <w:t xml:space="preserve">   否</w:t>
            </w:r>
            <w:r>
              <w:rPr>
                <w:rStyle w:val="69"/>
                <w:rFonts w:ascii="宋体" w:hAnsi="宋体" w:eastAsia="宋体" w:cs="宋体"/>
                <w:color w:val="auto"/>
                <w:sz w:val="18"/>
                <w:szCs w:val="18"/>
                <w:highlight w:val="none"/>
                <w:lang w:bidi="ar"/>
              </w:rPr>
              <w:t></w:t>
            </w:r>
          </w:p>
        </w:tc>
      </w:tr>
      <w:tr>
        <w:tblPrEx>
          <w:tblCellMar>
            <w:top w:w="0" w:type="dxa"/>
            <w:left w:w="108" w:type="dxa"/>
            <w:bottom w:w="0" w:type="dxa"/>
            <w:right w:w="108" w:type="dxa"/>
          </w:tblCellMar>
        </w:tblPrEx>
        <w:trPr>
          <w:trHeight w:val="473" w:hRule="atLeast"/>
        </w:trPr>
        <w:tc>
          <w:tcPr>
            <w:tcW w:w="809"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序号</w:t>
            </w:r>
          </w:p>
        </w:tc>
        <w:tc>
          <w:tcPr>
            <w:tcW w:w="1892"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设施安装质量检查内容</w:t>
            </w:r>
          </w:p>
        </w:tc>
        <w:tc>
          <w:tcPr>
            <w:tcW w:w="836"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检查结果</w:t>
            </w:r>
          </w:p>
        </w:tc>
        <w:tc>
          <w:tcPr>
            <w:tcW w:w="80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检查人员</w:t>
            </w:r>
          </w:p>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(签名/日期)</w:t>
            </w:r>
          </w:p>
        </w:tc>
        <w:tc>
          <w:tcPr>
            <w:tcW w:w="661"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备注</w:t>
            </w:r>
          </w:p>
        </w:tc>
      </w:tr>
      <w:tr>
        <w:tblPrEx>
          <w:tblCellMar>
            <w:top w:w="0" w:type="dxa"/>
            <w:left w:w="108" w:type="dxa"/>
            <w:bottom w:w="0" w:type="dxa"/>
            <w:right w:w="108" w:type="dxa"/>
          </w:tblCellMar>
        </w:tblPrEx>
        <w:trPr>
          <w:trHeight w:val="396" w:hRule="atLeast"/>
        </w:trPr>
        <w:tc>
          <w:tcPr>
            <w:tcW w:w="809"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1</w:t>
            </w:r>
          </w:p>
        </w:tc>
        <w:tc>
          <w:tcPr>
            <w:tcW w:w="1892"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lang w:bidi="ar"/>
              </w:rPr>
            </w:pPr>
            <w:r>
              <w:rPr>
                <w:rFonts w:ascii="宋体" w:hAnsi="宋体" w:cs="宋体"/>
                <w:sz w:val="18"/>
                <w:szCs w:val="18"/>
                <w:highlight w:val="none"/>
              </w:rPr>
              <w:t>墙面及地面开凿时切割是否整齐</w:t>
            </w:r>
          </w:p>
        </w:tc>
        <w:tc>
          <w:tcPr>
            <w:tcW w:w="836"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lang w:bidi="ar"/>
              </w:rPr>
            </w:pPr>
            <w:r>
              <w:rPr>
                <w:rStyle w:val="70"/>
                <w:color w:val="auto"/>
                <w:sz w:val="18"/>
                <w:szCs w:val="18"/>
                <w:highlight w:val="none"/>
                <w:lang w:bidi="ar"/>
              </w:rPr>
              <w:t>是</w:t>
            </w:r>
            <w:r>
              <w:rPr>
                <w:rStyle w:val="69"/>
                <w:rFonts w:ascii="宋体" w:hAnsi="宋体" w:eastAsia="宋体" w:cs="宋体"/>
                <w:color w:val="auto"/>
                <w:sz w:val="18"/>
                <w:szCs w:val="18"/>
                <w:highlight w:val="none"/>
                <w:lang w:bidi="ar"/>
              </w:rPr>
              <w:t></w:t>
            </w:r>
            <w:r>
              <w:rPr>
                <w:rStyle w:val="70"/>
                <w:color w:val="auto"/>
                <w:sz w:val="18"/>
                <w:szCs w:val="18"/>
                <w:highlight w:val="none"/>
                <w:lang w:bidi="ar"/>
              </w:rPr>
              <w:t xml:space="preserve"> 否</w:t>
            </w:r>
            <w:r>
              <w:rPr>
                <w:rStyle w:val="69"/>
                <w:rFonts w:ascii="宋体" w:hAnsi="宋体" w:eastAsia="宋体" w:cs="宋体"/>
                <w:color w:val="auto"/>
                <w:sz w:val="18"/>
                <w:szCs w:val="18"/>
                <w:highlight w:val="none"/>
                <w:lang w:bidi="ar"/>
              </w:rPr>
              <w:t></w:t>
            </w:r>
          </w:p>
        </w:tc>
        <w:tc>
          <w:tcPr>
            <w:tcW w:w="80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lang w:bidi="ar"/>
              </w:rPr>
            </w:pPr>
          </w:p>
        </w:tc>
        <w:tc>
          <w:tcPr>
            <w:tcW w:w="661"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lang w:bidi="ar"/>
              </w:rPr>
            </w:pPr>
          </w:p>
        </w:tc>
      </w:tr>
      <w:tr>
        <w:tblPrEx>
          <w:tblCellMar>
            <w:top w:w="0" w:type="dxa"/>
            <w:left w:w="108" w:type="dxa"/>
            <w:bottom w:w="0" w:type="dxa"/>
            <w:right w:w="108" w:type="dxa"/>
          </w:tblCellMar>
        </w:tblPrEx>
        <w:trPr>
          <w:trHeight w:val="347" w:hRule="atLeast"/>
        </w:trPr>
        <w:tc>
          <w:tcPr>
            <w:tcW w:w="809"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2</w:t>
            </w:r>
          </w:p>
        </w:tc>
        <w:tc>
          <w:tcPr>
            <w:tcW w:w="1892"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阀体及管件连接处是否</w:t>
            </w:r>
            <w:r>
              <w:rPr>
                <w:rFonts w:ascii="宋体" w:hAnsi="宋体" w:cs="宋体"/>
                <w:sz w:val="18"/>
                <w:szCs w:val="18"/>
                <w:highlight w:val="none"/>
              </w:rPr>
              <w:t>为螺纹连接；</w:t>
            </w:r>
            <w:r>
              <w:rPr>
                <w:rFonts w:ascii="宋体" w:hAnsi="宋体" w:cs="宋体"/>
                <w:sz w:val="18"/>
                <w:szCs w:val="18"/>
                <w:highlight w:val="none"/>
                <w:lang w:bidi="ar"/>
              </w:rPr>
              <w:t>连接处是否使用生料带</w:t>
            </w:r>
          </w:p>
        </w:tc>
        <w:tc>
          <w:tcPr>
            <w:tcW w:w="83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Style w:val="70"/>
                <w:color w:val="auto"/>
                <w:sz w:val="18"/>
                <w:szCs w:val="18"/>
                <w:highlight w:val="none"/>
                <w:lang w:bidi="ar"/>
              </w:rPr>
              <w:t>是</w:t>
            </w:r>
            <w:r>
              <w:rPr>
                <w:rStyle w:val="69"/>
                <w:rFonts w:ascii="宋体" w:hAnsi="宋体" w:eastAsia="宋体" w:cs="宋体"/>
                <w:color w:val="auto"/>
                <w:sz w:val="18"/>
                <w:szCs w:val="18"/>
                <w:highlight w:val="none"/>
                <w:lang w:bidi="ar"/>
              </w:rPr>
              <w:t></w:t>
            </w:r>
            <w:r>
              <w:rPr>
                <w:rStyle w:val="70"/>
                <w:color w:val="auto"/>
                <w:sz w:val="18"/>
                <w:szCs w:val="18"/>
                <w:highlight w:val="none"/>
                <w:lang w:bidi="ar"/>
              </w:rPr>
              <w:t xml:space="preserve"> 否</w:t>
            </w:r>
            <w:r>
              <w:rPr>
                <w:rStyle w:val="69"/>
                <w:rFonts w:ascii="宋体" w:hAnsi="宋体" w:eastAsia="宋体" w:cs="宋体"/>
                <w:color w:val="auto"/>
                <w:sz w:val="18"/>
                <w:szCs w:val="18"/>
                <w:highlight w:val="none"/>
                <w:lang w:bidi="ar"/>
              </w:rPr>
              <w:t></w:t>
            </w:r>
          </w:p>
        </w:tc>
        <w:tc>
          <w:tcPr>
            <w:tcW w:w="80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661"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rPr>
                <w:rFonts w:ascii="宋体" w:hAnsi="宋体" w:cs="宋体"/>
                <w:sz w:val="18"/>
                <w:szCs w:val="18"/>
                <w:highlight w:val="none"/>
              </w:rPr>
            </w:pPr>
          </w:p>
        </w:tc>
      </w:tr>
      <w:tr>
        <w:tblPrEx>
          <w:tblCellMar>
            <w:top w:w="0" w:type="dxa"/>
            <w:left w:w="108" w:type="dxa"/>
            <w:bottom w:w="0" w:type="dxa"/>
            <w:right w:w="108" w:type="dxa"/>
          </w:tblCellMar>
        </w:tblPrEx>
        <w:trPr>
          <w:trHeight w:val="347" w:hRule="atLeast"/>
        </w:trPr>
        <w:tc>
          <w:tcPr>
            <w:tcW w:w="809"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3</w:t>
            </w:r>
          </w:p>
        </w:tc>
        <w:tc>
          <w:tcPr>
            <w:tcW w:w="1892"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lang w:bidi="ar"/>
              </w:rPr>
            </w:pPr>
            <w:r>
              <w:rPr>
                <w:rFonts w:ascii="宋体" w:hAnsi="宋体" w:cs="宋体"/>
                <w:sz w:val="18"/>
                <w:szCs w:val="18"/>
                <w:highlight w:val="none"/>
                <w:lang w:bidi="ar"/>
              </w:rPr>
              <w:t>阀体及管件</w:t>
            </w:r>
            <w:r>
              <w:rPr>
                <w:rFonts w:ascii="宋体" w:hAnsi="宋体" w:cs="宋体"/>
                <w:sz w:val="18"/>
                <w:szCs w:val="18"/>
                <w:highlight w:val="none"/>
              </w:rPr>
              <w:t>连接处无飞边、毛刺</w:t>
            </w:r>
          </w:p>
        </w:tc>
        <w:tc>
          <w:tcPr>
            <w:tcW w:w="83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Style w:val="70"/>
                <w:color w:val="auto"/>
                <w:sz w:val="18"/>
                <w:szCs w:val="18"/>
                <w:highlight w:val="none"/>
                <w:lang w:bidi="ar"/>
              </w:rPr>
            </w:pPr>
            <w:r>
              <w:rPr>
                <w:rStyle w:val="70"/>
                <w:color w:val="auto"/>
                <w:sz w:val="18"/>
                <w:szCs w:val="18"/>
                <w:highlight w:val="none"/>
                <w:lang w:bidi="ar"/>
              </w:rPr>
              <w:t>是</w:t>
            </w:r>
            <w:r>
              <w:rPr>
                <w:rStyle w:val="69"/>
                <w:rFonts w:ascii="宋体" w:hAnsi="宋体" w:eastAsia="宋体" w:cs="宋体"/>
                <w:color w:val="auto"/>
                <w:sz w:val="18"/>
                <w:szCs w:val="18"/>
                <w:highlight w:val="none"/>
                <w:lang w:bidi="ar"/>
              </w:rPr>
              <w:t></w:t>
            </w:r>
            <w:r>
              <w:rPr>
                <w:rStyle w:val="70"/>
                <w:color w:val="auto"/>
                <w:sz w:val="18"/>
                <w:szCs w:val="18"/>
                <w:highlight w:val="none"/>
                <w:lang w:bidi="ar"/>
              </w:rPr>
              <w:t xml:space="preserve"> 否</w:t>
            </w:r>
            <w:r>
              <w:rPr>
                <w:rStyle w:val="69"/>
                <w:rFonts w:ascii="宋体" w:hAnsi="宋体" w:eastAsia="宋体" w:cs="宋体"/>
                <w:color w:val="auto"/>
                <w:sz w:val="18"/>
                <w:szCs w:val="18"/>
                <w:highlight w:val="none"/>
                <w:lang w:bidi="ar"/>
              </w:rPr>
              <w:t></w:t>
            </w:r>
          </w:p>
        </w:tc>
        <w:tc>
          <w:tcPr>
            <w:tcW w:w="80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661"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rPr>
                <w:rFonts w:ascii="宋体" w:hAnsi="宋体" w:cs="宋体"/>
                <w:sz w:val="18"/>
                <w:szCs w:val="18"/>
                <w:highlight w:val="none"/>
              </w:rPr>
            </w:pPr>
          </w:p>
        </w:tc>
      </w:tr>
      <w:tr>
        <w:tblPrEx>
          <w:tblCellMar>
            <w:top w:w="0" w:type="dxa"/>
            <w:left w:w="108" w:type="dxa"/>
            <w:bottom w:w="0" w:type="dxa"/>
            <w:right w:w="108" w:type="dxa"/>
          </w:tblCellMar>
        </w:tblPrEx>
        <w:trPr>
          <w:trHeight w:val="90" w:hRule="atLeast"/>
        </w:trPr>
        <w:tc>
          <w:tcPr>
            <w:tcW w:w="809"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4</w:t>
            </w:r>
          </w:p>
        </w:tc>
        <w:tc>
          <w:tcPr>
            <w:tcW w:w="1892"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rPr>
              <w:t>阀体及连接件</w:t>
            </w:r>
            <w:r>
              <w:rPr>
                <w:rFonts w:ascii="宋体" w:hAnsi="宋体" w:cs="宋体"/>
                <w:sz w:val="18"/>
                <w:szCs w:val="18"/>
                <w:highlight w:val="none"/>
                <w:lang w:bidi="ar"/>
              </w:rPr>
              <w:t>位置</w:t>
            </w:r>
            <w:r>
              <w:rPr>
                <w:rFonts w:ascii="宋体" w:hAnsi="宋体" w:cs="宋体"/>
                <w:sz w:val="18"/>
                <w:szCs w:val="18"/>
                <w:highlight w:val="none"/>
              </w:rPr>
              <w:t>是否易于拆卸、维修</w:t>
            </w:r>
          </w:p>
        </w:tc>
        <w:tc>
          <w:tcPr>
            <w:tcW w:w="83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Style w:val="70"/>
                <w:color w:val="auto"/>
                <w:sz w:val="18"/>
                <w:szCs w:val="18"/>
                <w:highlight w:val="none"/>
                <w:lang w:bidi="ar"/>
              </w:rPr>
            </w:pPr>
            <w:r>
              <w:rPr>
                <w:rStyle w:val="70"/>
                <w:color w:val="auto"/>
                <w:sz w:val="18"/>
                <w:szCs w:val="18"/>
                <w:highlight w:val="none"/>
                <w:lang w:bidi="ar"/>
              </w:rPr>
              <w:t>是</w:t>
            </w:r>
            <w:r>
              <w:rPr>
                <w:rStyle w:val="69"/>
                <w:rFonts w:ascii="宋体" w:hAnsi="宋体" w:eastAsia="宋体" w:cs="宋体"/>
                <w:color w:val="auto"/>
                <w:sz w:val="18"/>
                <w:szCs w:val="18"/>
                <w:highlight w:val="none"/>
                <w:lang w:bidi="ar"/>
              </w:rPr>
              <w:t></w:t>
            </w:r>
            <w:r>
              <w:rPr>
                <w:rStyle w:val="70"/>
                <w:color w:val="auto"/>
                <w:sz w:val="18"/>
                <w:szCs w:val="18"/>
                <w:highlight w:val="none"/>
                <w:lang w:bidi="ar"/>
              </w:rPr>
              <w:t xml:space="preserve"> 否</w:t>
            </w:r>
            <w:r>
              <w:rPr>
                <w:rStyle w:val="69"/>
                <w:rFonts w:ascii="宋体" w:hAnsi="宋体" w:eastAsia="宋体" w:cs="宋体"/>
                <w:color w:val="auto"/>
                <w:sz w:val="18"/>
                <w:szCs w:val="18"/>
                <w:highlight w:val="none"/>
                <w:lang w:bidi="ar"/>
              </w:rPr>
              <w:t></w:t>
            </w:r>
          </w:p>
        </w:tc>
        <w:tc>
          <w:tcPr>
            <w:tcW w:w="80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661"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rPr>
                <w:rFonts w:ascii="宋体" w:hAnsi="宋体" w:cs="宋体"/>
                <w:sz w:val="18"/>
                <w:szCs w:val="18"/>
                <w:highlight w:val="none"/>
              </w:rPr>
            </w:pPr>
          </w:p>
        </w:tc>
      </w:tr>
      <w:tr>
        <w:tblPrEx>
          <w:tblCellMar>
            <w:top w:w="0" w:type="dxa"/>
            <w:left w:w="108" w:type="dxa"/>
            <w:bottom w:w="0" w:type="dxa"/>
            <w:right w:w="108" w:type="dxa"/>
          </w:tblCellMar>
        </w:tblPrEx>
        <w:trPr>
          <w:trHeight w:val="920" w:hRule="atLeast"/>
        </w:trPr>
        <w:tc>
          <w:tcPr>
            <w:tcW w:w="809"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5</w:t>
            </w:r>
          </w:p>
        </w:tc>
        <w:tc>
          <w:tcPr>
            <w:tcW w:w="1892"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lang w:bidi="ar"/>
              </w:rPr>
            </w:pPr>
            <w:r>
              <w:rPr>
                <w:rFonts w:ascii="宋体" w:hAnsi="宋体" w:cs="宋体"/>
                <w:sz w:val="18"/>
                <w:szCs w:val="18"/>
                <w:highlight w:val="none"/>
              </w:rPr>
              <w:t>脚踏阀踏板距地高度</w:t>
            </w:r>
            <w:r>
              <w:rPr>
                <w:rFonts w:ascii="宋体" w:hAnsi="宋体" w:cs="宋体"/>
                <w:sz w:val="18"/>
                <w:szCs w:val="18"/>
                <w:highlight w:val="none"/>
                <w:lang w:bidi="ar"/>
              </w:rPr>
              <w:t>是否</w:t>
            </w:r>
            <w:r>
              <w:rPr>
                <w:rFonts w:ascii="宋体" w:hAnsi="宋体" w:cs="宋体"/>
                <w:sz w:val="18"/>
                <w:szCs w:val="18"/>
                <w:highlight w:val="none"/>
              </w:rPr>
              <w:t>在130mm±10mm范围内，脚踏阀距离墙体立面间隙</w:t>
            </w:r>
            <w:r>
              <w:rPr>
                <w:rFonts w:ascii="宋体" w:hAnsi="宋体" w:cs="宋体"/>
                <w:sz w:val="18"/>
                <w:szCs w:val="18"/>
                <w:highlight w:val="none"/>
                <w:lang w:bidi="ar"/>
              </w:rPr>
              <w:t>是否</w:t>
            </w:r>
            <w:r>
              <w:rPr>
                <w:rFonts w:ascii="宋体" w:hAnsi="宋体" w:cs="宋体"/>
                <w:sz w:val="18"/>
                <w:szCs w:val="18"/>
                <w:highlight w:val="none"/>
              </w:rPr>
              <w:t>在55mm±10mm范围内</w:t>
            </w:r>
          </w:p>
        </w:tc>
        <w:tc>
          <w:tcPr>
            <w:tcW w:w="83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Style w:val="70"/>
                <w:color w:val="auto"/>
                <w:sz w:val="18"/>
                <w:szCs w:val="18"/>
                <w:highlight w:val="none"/>
                <w:lang w:bidi="ar"/>
              </w:rPr>
            </w:pPr>
            <w:r>
              <w:rPr>
                <w:rStyle w:val="70"/>
                <w:color w:val="auto"/>
                <w:sz w:val="18"/>
                <w:szCs w:val="18"/>
                <w:highlight w:val="none"/>
                <w:lang w:bidi="ar"/>
              </w:rPr>
              <w:t>是</w:t>
            </w:r>
            <w:r>
              <w:rPr>
                <w:rStyle w:val="69"/>
                <w:rFonts w:ascii="宋体" w:hAnsi="宋体" w:eastAsia="宋体" w:cs="宋体"/>
                <w:color w:val="auto"/>
                <w:sz w:val="18"/>
                <w:szCs w:val="18"/>
                <w:highlight w:val="none"/>
                <w:lang w:bidi="ar"/>
              </w:rPr>
              <w:t></w:t>
            </w:r>
            <w:r>
              <w:rPr>
                <w:rStyle w:val="70"/>
                <w:color w:val="auto"/>
                <w:sz w:val="18"/>
                <w:szCs w:val="18"/>
                <w:highlight w:val="none"/>
                <w:lang w:bidi="ar"/>
              </w:rPr>
              <w:t xml:space="preserve"> 否</w:t>
            </w:r>
            <w:r>
              <w:rPr>
                <w:rStyle w:val="69"/>
                <w:rFonts w:ascii="宋体" w:hAnsi="宋体" w:eastAsia="宋体" w:cs="宋体"/>
                <w:color w:val="auto"/>
                <w:sz w:val="18"/>
                <w:szCs w:val="18"/>
                <w:highlight w:val="none"/>
                <w:lang w:bidi="ar"/>
              </w:rPr>
              <w:t></w:t>
            </w:r>
          </w:p>
        </w:tc>
        <w:tc>
          <w:tcPr>
            <w:tcW w:w="80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661"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rPr>
                <w:rFonts w:ascii="宋体" w:hAnsi="宋体" w:cs="宋体"/>
                <w:sz w:val="18"/>
                <w:szCs w:val="18"/>
                <w:highlight w:val="none"/>
              </w:rPr>
            </w:pPr>
          </w:p>
        </w:tc>
      </w:tr>
      <w:tr>
        <w:tblPrEx>
          <w:tblCellMar>
            <w:top w:w="0" w:type="dxa"/>
            <w:left w:w="108" w:type="dxa"/>
            <w:bottom w:w="0" w:type="dxa"/>
            <w:right w:w="108" w:type="dxa"/>
          </w:tblCellMar>
        </w:tblPrEx>
        <w:trPr>
          <w:trHeight w:val="298" w:hRule="atLeast"/>
        </w:trPr>
        <w:tc>
          <w:tcPr>
            <w:tcW w:w="809"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7</w:t>
            </w:r>
          </w:p>
        </w:tc>
        <w:tc>
          <w:tcPr>
            <w:tcW w:w="1892"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阀体及管件安装是否紧固</w:t>
            </w:r>
          </w:p>
        </w:tc>
        <w:tc>
          <w:tcPr>
            <w:tcW w:w="83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Style w:val="70"/>
                <w:color w:val="auto"/>
                <w:sz w:val="18"/>
                <w:szCs w:val="18"/>
                <w:highlight w:val="none"/>
                <w:lang w:bidi="ar"/>
              </w:rPr>
              <w:t>是</w:t>
            </w:r>
            <w:r>
              <w:rPr>
                <w:rStyle w:val="69"/>
                <w:rFonts w:ascii="宋体" w:hAnsi="宋体" w:eastAsia="宋体" w:cs="宋体"/>
                <w:color w:val="auto"/>
                <w:sz w:val="18"/>
                <w:szCs w:val="18"/>
                <w:highlight w:val="none"/>
                <w:lang w:bidi="ar"/>
              </w:rPr>
              <w:t></w:t>
            </w:r>
            <w:r>
              <w:rPr>
                <w:rStyle w:val="70"/>
                <w:color w:val="auto"/>
                <w:sz w:val="18"/>
                <w:szCs w:val="18"/>
                <w:highlight w:val="none"/>
                <w:lang w:bidi="ar"/>
              </w:rPr>
              <w:t xml:space="preserve"> 否</w:t>
            </w:r>
            <w:r>
              <w:rPr>
                <w:rStyle w:val="69"/>
                <w:rFonts w:ascii="宋体" w:hAnsi="宋体" w:eastAsia="宋体" w:cs="宋体"/>
                <w:color w:val="auto"/>
                <w:sz w:val="18"/>
                <w:szCs w:val="18"/>
                <w:highlight w:val="none"/>
                <w:lang w:bidi="ar"/>
              </w:rPr>
              <w:t></w:t>
            </w:r>
          </w:p>
        </w:tc>
        <w:tc>
          <w:tcPr>
            <w:tcW w:w="80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661"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rPr>
                <w:rFonts w:ascii="宋体" w:hAnsi="宋体" w:cs="宋体"/>
                <w:sz w:val="18"/>
                <w:szCs w:val="18"/>
                <w:highlight w:val="none"/>
              </w:rPr>
            </w:pPr>
          </w:p>
        </w:tc>
      </w:tr>
      <w:tr>
        <w:tblPrEx>
          <w:tblCellMar>
            <w:top w:w="0" w:type="dxa"/>
            <w:left w:w="108" w:type="dxa"/>
            <w:bottom w:w="0" w:type="dxa"/>
            <w:right w:w="108" w:type="dxa"/>
          </w:tblCellMar>
        </w:tblPrEx>
        <w:trPr>
          <w:trHeight w:val="298" w:hRule="atLeast"/>
        </w:trPr>
        <w:tc>
          <w:tcPr>
            <w:tcW w:w="809"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8</w:t>
            </w:r>
          </w:p>
        </w:tc>
        <w:tc>
          <w:tcPr>
            <w:tcW w:w="1892"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lang w:bidi="ar"/>
              </w:rPr>
            </w:pPr>
            <w:r>
              <w:rPr>
                <w:rFonts w:ascii="宋体" w:hAnsi="宋体" w:cs="宋体"/>
                <w:sz w:val="18"/>
                <w:szCs w:val="18"/>
                <w:highlight w:val="none"/>
                <w:lang w:bidi="ar"/>
              </w:rPr>
              <w:t>阀体及管件表面无损伤及凹凸弯扁等缺陷</w:t>
            </w:r>
          </w:p>
        </w:tc>
        <w:tc>
          <w:tcPr>
            <w:tcW w:w="83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Style w:val="70"/>
                <w:color w:val="auto"/>
                <w:sz w:val="18"/>
                <w:szCs w:val="18"/>
                <w:highlight w:val="none"/>
                <w:lang w:bidi="ar"/>
              </w:rPr>
            </w:pPr>
            <w:r>
              <w:rPr>
                <w:rStyle w:val="70"/>
                <w:color w:val="auto"/>
                <w:sz w:val="18"/>
                <w:szCs w:val="18"/>
                <w:highlight w:val="none"/>
                <w:lang w:bidi="ar"/>
              </w:rPr>
              <w:t>是</w:t>
            </w:r>
            <w:r>
              <w:rPr>
                <w:rStyle w:val="69"/>
                <w:rFonts w:ascii="宋体" w:hAnsi="宋体" w:eastAsia="宋体" w:cs="宋体"/>
                <w:color w:val="auto"/>
                <w:sz w:val="18"/>
                <w:szCs w:val="18"/>
                <w:highlight w:val="none"/>
                <w:lang w:bidi="ar"/>
              </w:rPr>
              <w:t></w:t>
            </w:r>
            <w:r>
              <w:rPr>
                <w:rStyle w:val="70"/>
                <w:color w:val="auto"/>
                <w:sz w:val="18"/>
                <w:szCs w:val="18"/>
                <w:highlight w:val="none"/>
                <w:lang w:bidi="ar"/>
              </w:rPr>
              <w:t xml:space="preserve"> 否</w:t>
            </w:r>
            <w:r>
              <w:rPr>
                <w:rStyle w:val="69"/>
                <w:rFonts w:ascii="宋体" w:hAnsi="宋体" w:eastAsia="宋体" w:cs="宋体"/>
                <w:color w:val="auto"/>
                <w:sz w:val="18"/>
                <w:szCs w:val="18"/>
                <w:highlight w:val="none"/>
                <w:lang w:bidi="ar"/>
              </w:rPr>
              <w:t></w:t>
            </w:r>
          </w:p>
        </w:tc>
        <w:tc>
          <w:tcPr>
            <w:tcW w:w="80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661"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rPr>
                <w:rFonts w:ascii="宋体" w:hAnsi="宋体" w:cs="宋体"/>
                <w:sz w:val="18"/>
                <w:szCs w:val="18"/>
                <w:highlight w:val="none"/>
              </w:rPr>
            </w:pPr>
          </w:p>
        </w:tc>
      </w:tr>
      <w:tr>
        <w:tblPrEx>
          <w:tblCellMar>
            <w:top w:w="0" w:type="dxa"/>
            <w:left w:w="108" w:type="dxa"/>
            <w:bottom w:w="0" w:type="dxa"/>
            <w:right w:w="108" w:type="dxa"/>
          </w:tblCellMar>
        </w:tblPrEx>
        <w:trPr>
          <w:trHeight w:val="272" w:hRule="atLeast"/>
        </w:trPr>
        <w:tc>
          <w:tcPr>
            <w:tcW w:w="809"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9</w:t>
            </w:r>
          </w:p>
        </w:tc>
        <w:tc>
          <w:tcPr>
            <w:tcW w:w="1892"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冲水管与便盆连接处是否设置密封垫圈</w:t>
            </w:r>
          </w:p>
        </w:tc>
        <w:tc>
          <w:tcPr>
            <w:tcW w:w="83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Style w:val="70"/>
                <w:color w:val="auto"/>
                <w:sz w:val="18"/>
                <w:szCs w:val="18"/>
                <w:highlight w:val="none"/>
                <w:lang w:bidi="ar"/>
              </w:rPr>
              <w:t>是</w:t>
            </w:r>
            <w:r>
              <w:rPr>
                <w:rStyle w:val="69"/>
                <w:rFonts w:ascii="宋体" w:hAnsi="宋体" w:eastAsia="宋体" w:cs="宋体"/>
                <w:color w:val="auto"/>
                <w:sz w:val="18"/>
                <w:szCs w:val="18"/>
                <w:highlight w:val="none"/>
                <w:lang w:bidi="ar"/>
              </w:rPr>
              <w:t></w:t>
            </w:r>
            <w:r>
              <w:rPr>
                <w:rStyle w:val="70"/>
                <w:color w:val="auto"/>
                <w:sz w:val="18"/>
                <w:szCs w:val="18"/>
                <w:highlight w:val="none"/>
                <w:lang w:bidi="ar"/>
              </w:rPr>
              <w:t xml:space="preserve"> 否</w:t>
            </w:r>
            <w:r>
              <w:rPr>
                <w:rStyle w:val="69"/>
                <w:rFonts w:ascii="宋体" w:hAnsi="宋体" w:eastAsia="宋体" w:cs="宋体"/>
                <w:color w:val="auto"/>
                <w:sz w:val="18"/>
                <w:szCs w:val="18"/>
                <w:highlight w:val="none"/>
                <w:lang w:bidi="ar"/>
              </w:rPr>
              <w:t></w:t>
            </w:r>
          </w:p>
        </w:tc>
        <w:tc>
          <w:tcPr>
            <w:tcW w:w="80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661"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rPr>
                <w:rFonts w:ascii="宋体" w:hAnsi="宋体" w:cs="宋体"/>
                <w:sz w:val="18"/>
                <w:szCs w:val="18"/>
                <w:highlight w:val="none"/>
              </w:rPr>
            </w:pPr>
          </w:p>
        </w:tc>
      </w:tr>
      <w:tr>
        <w:tblPrEx>
          <w:tblCellMar>
            <w:top w:w="0" w:type="dxa"/>
            <w:left w:w="108" w:type="dxa"/>
            <w:bottom w:w="0" w:type="dxa"/>
            <w:right w:w="108" w:type="dxa"/>
          </w:tblCellMar>
        </w:tblPrEx>
        <w:trPr>
          <w:trHeight w:val="244" w:hRule="atLeast"/>
        </w:trPr>
        <w:tc>
          <w:tcPr>
            <w:tcW w:w="809"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rPr>
              <w:t>10</w:t>
            </w:r>
          </w:p>
        </w:tc>
        <w:tc>
          <w:tcPr>
            <w:tcW w:w="1892"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整体是否美观</w:t>
            </w:r>
          </w:p>
        </w:tc>
        <w:tc>
          <w:tcPr>
            <w:tcW w:w="83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Style w:val="70"/>
                <w:color w:val="auto"/>
                <w:sz w:val="18"/>
                <w:szCs w:val="18"/>
                <w:highlight w:val="none"/>
                <w:lang w:bidi="ar"/>
              </w:rPr>
              <w:t>是</w:t>
            </w:r>
            <w:r>
              <w:rPr>
                <w:rStyle w:val="69"/>
                <w:rFonts w:ascii="宋体" w:hAnsi="宋体" w:eastAsia="宋体" w:cs="宋体"/>
                <w:color w:val="auto"/>
                <w:sz w:val="18"/>
                <w:szCs w:val="18"/>
                <w:highlight w:val="none"/>
                <w:lang w:bidi="ar"/>
              </w:rPr>
              <w:t></w:t>
            </w:r>
            <w:r>
              <w:rPr>
                <w:rStyle w:val="70"/>
                <w:color w:val="auto"/>
                <w:sz w:val="18"/>
                <w:szCs w:val="18"/>
                <w:highlight w:val="none"/>
                <w:lang w:bidi="ar"/>
              </w:rPr>
              <w:t xml:space="preserve"> 否</w:t>
            </w:r>
            <w:r>
              <w:rPr>
                <w:rStyle w:val="69"/>
                <w:rFonts w:ascii="宋体" w:hAnsi="宋体" w:eastAsia="宋体" w:cs="宋体"/>
                <w:color w:val="auto"/>
                <w:sz w:val="18"/>
                <w:szCs w:val="18"/>
                <w:highlight w:val="none"/>
                <w:lang w:bidi="ar"/>
              </w:rPr>
              <w:t></w:t>
            </w:r>
          </w:p>
        </w:tc>
        <w:tc>
          <w:tcPr>
            <w:tcW w:w="80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661"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rPr>
                <w:rFonts w:ascii="宋体" w:hAnsi="宋体" w:cs="宋体"/>
                <w:sz w:val="18"/>
                <w:szCs w:val="18"/>
                <w:highlight w:val="none"/>
              </w:rPr>
            </w:pPr>
          </w:p>
        </w:tc>
      </w:tr>
      <w:tr>
        <w:tblPrEx>
          <w:tblCellMar>
            <w:top w:w="0" w:type="dxa"/>
            <w:left w:w="108" w:type="dxa"/>
            <w:bottom w:w="0" w:type="dxa"/>
            <w:right w:w="108" w:type="dxa"/>
          </w:tblCellMar>
        </w:tblPrEx>
        <w:trPr>
          <w:trHeight w:val="625" w:hRule="atLeast"/>
        </w:trPr>
        <w:tc>
          <w:tcPr>
            <w:tcW w:w="809" w:type="pct"/>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b/>
                <w:sz w:val="18"/>
                <w:szCs w:val="18"/>
                <w:highlight w:val="none"/>
              </w:rPr>
            </w:pPr>
            <w:r>
              <w:rPr>
                <w:rFonts w:ascii="宋体" w:hAnsi="宋体" w:cs="宋体"/>
                <w:b/>
                <w:sz w:val="18"/>
                <w:szCs w:val="18"/>
                <w:highlight w:val="none"/>
                <w:lang w:bidi="ar"/>
              </w:rPr>
              <w:t>施工单位</w:t>
            </w:r>
          </w:p>
        </w:tc>
        <w:tc>
          <w:tcPr>
            <w:tcW w:w="1892"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施工人员：</w:t>
            </w:r>
          </w:p>
        </w:tc>
        <w:tc>
          <w:tcPr>
            <w:tcW w:w="2298"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r>
        <w:tblPrEx>
          <w:tblCellMar>
            <w:top w:w="0" w:type="dxa"/>
            <w:left w:w="108" w:type="dxa"/>
            <w:bottom w:w="0" w:type="dxa"/>
            <w:right w:w="108" w:type="dxa"/>
          </w:tblCellMar>
        </w:tblPrEx>
        <w:trPr>
          <w:trHeight w:val="535" w:hRule="atLeast"/>
        </w:trPr>
        <w:tc>
          <w:tcPr>
            <w:tcW w:w="809" w:type="pct"/>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b/>
                <w:sz w:val="18"/>
                <w:szCs w:val="18"/>
                <w:highlight w:val="none"/>
              </w:rPr>
            </w:pPr>
          </w:p>
        </w:tc>
        <w:tc>
          <w:tcPr>
            <w:tcW w:w="1892"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项目负责人：</w:t>
            </w:r>
          </w:p>
        </w:tc>
        <w:tc>
          <w:tcPr>
            <w:tcW w:w="2298"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r>
        <w:tblPrEx>
          <w:tblCellMar>
            <w:top w:w="0" w:type="dxa"/>
            <w:left w:w="108" w:type="dxa"/>
            <w:bottom w:w="0" w:type="dxa"/>
            <w:right w:w="108" w:type="dxa"/>
          </w:tblCellMar>
        </w:tblPrEx>
        <w:trPr>
          <w:trHeight w:val="528" w:hRule="atLeast"/>
        </w:trPr>
        <w:tc>
          <w:tcPr>
            <w:tcW w:w="809" w:type="pct"/>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b/>
                <w:sz w:val="18"/>
                <w:szCs w:val="18"/>
                <w:highlight w:val="none"/>
              </w:rPr>
            </w:pPr>
            <w:r>
              <w:rPr>
                <w:rFonts w:ascii="宋体" w:hAnsi="宋体" w:cs="宋体"/>
                <w:b/>
                <w:sz w:val="18"/>
                <w:szCs w:val="18"/>
                <w:highlight w:val="none"/>
                <w:lang w:bidi="ar"/>
              </w:rPr>
              <w:t>检查单位</w:t>
            </w:r>
          </w:p>
        </w:tc>
        <w:tc>
          <w:tcPr>
            <w:tcW w:w="1892"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工班长：</w:t>
            </w:r>
          </w:p>
        </w:tc>
        <w:tc>
          <w:tcPr>
            <w:tcW w:w="2298"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r>
        <w:tblPrEx>
          <w:tblCellMar>
            <w:top w:w="0" w:type="dxa"/>
            <w:left w:w="108" w:type="dxa"/>
            <w:bottom w:w="0" w:type="dxa"/>
            <w:right w:w="108" w:type="dxa"/>
          </w:tblCellMar>
        </w:tblPrEx>
        <w:trPr>
          <w:trHeight w:val="530" w:hRule="atLeast"/>
        </w:trPr>
        <w:tc>
          <w:tcPr>
            <w:tcW w:w="809" w:type="pct"/>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b/>
                <w:sz w:val="18"/>
                <w:szCs w:val="18"/>
                <w:highlight w:val="none"/>
              </w:rPr>
            </w:pPr>
          </w:p>
        </w:tc>
        <w:tc>
          <w:tcPr>
            <w:tcW w:w="1892"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技术主办：</w:t>
            </w:r>
          </w:p>
        </w:tc>
        <w:tc>
          <w:tcPr>
            <w:tcW w:w="2298"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bl>
    <w:p>
      <w:pPr>
        <w:spacing w:line="240" w:lineRule="auto"/>
        <w:rPr>
          <w:rFonts w:ascii="宋体" w:hAnsi="宋体" w:cs="宋体"/>
          <w:b/>
          <w:kern w:val="2"/>
          <w:highlight w:val="none"/>
        </w:rPr>
      </w:pPr>
      <w:r>
        <w:rPr>
          <w:rFonts w:ascii="宋体" w:hAnsi="宋体" w:cs="宋体"/>
          <w:b/>
          <w:kern w:val="2"/>
          <w:highlight w:val="none"/>
        </w:rPr>
        <w:br w:type="page"/>
      </w:r>
    </w:p>
    <w:p>
      <w:pPr>
        <w:spacing w:before="0" w:after="0" w:afterAutospacing="0" w:line="240" w:lineRule="auto"/>
        <w:ind w:left="0" w:right="0" w:firstLine="0"/>
        <w:rPr>
          <w:rFonts w:ascii="宋体" w:hAnsi="宋体" w:cs="Arial"/>
          <w:highlight w:val="none"/>
        </w:rPr>
      </w:pPr>
      <w:r>
        <w:rPr>
          <w:rFonts w:ascii="宋体" w:hAnsi="宋体" w:cs="Arial"/>
          <w:highlight w:val="none"/>
        </w:rPr>
        <w:t>附表3-2</w:t>
      </w:r>
    </w:p>
    <w:tbl>
      <w:tblPr>
        <w:tblStyle w:val="27"/>
        <w:tblW w:w="5000" w:type="pct"/>
        <w:tblInd w:w="0" w:type="dxa"/>
        <w:tblLayout w:type="autofit"/>
        <w:tblCellMar>
          <w:top w:w="0" w:type="dxa"/>
          <w:left w:w="108" w:type="dxa"/>
          <w:bottom w:w="0" w:type="dxa"/>
          <w:right w:w="108" w:type="dxa"/>
        </w:tblCellMar>
      </w:tblPr>
      <w:tblGrid>
        <w:gridCol w:w="1337"/>
        <w:gridCol w:w="3818"/>
        <w:gridCol w:w="1078"/>
        <w:gridCol w:w="3052"/>
      </w:tblGrid>
      <w:tr>
        <w:tblPrEx>
          <w:tblCellMar>
            <w:top w:w="0" w:type="dxa"/>
            <w:left w:w="108" w:type="dxa"/>
            <w:bottom w:w="0" w:type="dxa"/>
            <w:right w:w="108" w:type="dxa"/>
          </w:tblCellMar>
        </w:tblPrEx>
        <w:trPr>
          <w:trHeight w:val="960" w:hRule="atLeast"/>
        </w:trPr>
        <w:tc>
          <w:tcPr>
            <w:tcW w:w="5000" w:type="pct"/>
            <w:gridSpan w:val="4"/>
            <w:tcBorders>
              <w:top w:val="nil"/>
              <w:left w:val="nil"/>
              <w:bottom w:val="nil"/>
              <w:right w:val="nil"/>
              <w:tl2br w:val="nil"/>
              <w:tr2bl w:val="nil"/>
            </w:tcBorders>
            <w:noWrap/>
            <w:vAlign w:val="center"/>
          </w:tcPr>
          <w:p>
            <w:pPr>
              <w:spacing w:line="240" w:lineRule="auto"/>
              <w:jc w:val="center"/>
              <w:textAlignment w:val="center"/>
              <w:rPr>
                <w:rFonts w:ascii="宋体" w:hAnsi="宋体" w:cs="宋体"/>
                <w:b/>
                <w:sz w:val="28"/>
                <w:szCs w:val="28"/>
                <w:highlight w:val="none"/>
              </w:rPr>
            </w:pPr>
            <w:r>
              <w:rPr>
                <w:rFonts w:ascii="宋体" w:hAnsi="宋体" w:cs="宋体"/>
                <w:b/>
                <w:sz w:val="28"/>
                <w:szCs w:val="28"/>
                <w:highlight w:val="none"/>
                <w:lang w:bidi="ar"/>
              </w:rPr>
              <w:t>项目设施安装质量验收表(隐蔽前)</w:t>
            </w:r>
          </w:p>
        </w:tc>
      </w:tr>
      <w:tr>
        <w:tblPrEx>
          <w:tblCellMar>
            <w:top w:w="0" w:type="dxa"/>
            <w:left w:w="108" w:type="dxa"/>
            <w:bottom w:w="0" w:type="dxa"/>
            <w:right w:w="108" w:type="dxa"/>
          </w:tblCellMar>
        </w:tblPrEx>
        <w:trPr>
          <w:trHeight w:val="90" w:hRule="atLeast"/>
        </w:trPr>
        <w:tc>
          <w:tcPr>
            <w:tcW w:w="726" w:type="pct"/>
            <w:tcBorders>
              <w:top w:val="single" w:color="000000" w:sz="4" w:space="0"/>
              <w:left w:val="single" w:color="000000" w:sz="4" w:space="0"/>
              <w:bottom w:val="nil"/>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项目名称、编号及合同编号</w:t>
            </w:r>
          </w:p>
        </w:tc>
        <w:tc>
          <w:tcPr>
            <w:tcW w:w="4273" w:type="pct"/>
            <w:gridSpan w:val="3"/>
            <w:tcBorders>
              <w:top w:val="single" w:color="000000" w:sz="4" w:space="0"/>
              <w:left w:val="single" w:color="000000" w:sz="4" w:space="0"/>
              <w:bottom w:val="nil"/>
              <w:right w:val="single" w:color="000000" w:sz="4" w:space="0"/>
              <w:tl2br w:val="nil"/>
              <w:tr2bl w:val="nil"/>
            </w:tcBorders>
            <w:vAlign w:val="center"/>
          </w:tcPr>
          <w:p>
            <w:pPr>
              <w:spacing w:line="240" w:lineRule="auto"/>
              <w:ind w:left="0" w:firstLine="0"/>
              <w:jc w:val="left"/>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项目名称:</w:t>
            </w:r>
          </w:p>
          <w:p>
            <w:pPr>
              <w:spacing w:line="240" w:lineRule="auto"/>
              <w:ind w:left="0" w:firstLine="0"/>
              <w:jc w:val="left"/>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项目编号：</w:t>
            </w:r>
          </w:p>
          <w:p>
            <w:pPr>
              <w:spacing w:line="240" w:lineRule="auto"/>
              <w:ind w:left="0" w:firstLine="0"/>
              <w:jc w:val="left"/>
              <w:textAlignment w:val="center"/>
              <w:rPr>
                <w:rFonts w:ascii="宋体" w:hAnsi="宋体" w:cs="宋体"/>
                <w:sz w:val="18"/>
                <w:szCs w:val="18"/>
                <w:highlight w:val="none"/>
              </w:rPr>
            </w:pPr>
            <w:r>
              <w:rPr>
                <w:rFonts w:ascii="宋体" w:hAnsi="宋体" w:cs="宋体"/>
                <w:sz w:val="18"/>
                <w:szCs w:val="18"/>
                <w:highlight w:val="none"/>
                <w:lang w:bidi="ar"/>
              </w:rPr>
              <w:t>合同编号：</w:t>
            </w:r>
          </w:p>
        </w:tc>
      </w:tr>
      <w:tr>
        <w:tblPrEx>
          <w:tblCellMar>
            <w:top w:w="0" w:type="dxa"/>
            <w:left w:w="108" w:type="dxa"/>
            <w:bottom w:w="0" w:type="dxa"/>
            <w:right w:w="108" w:type="dxa"/>
          </w:tblCellMar>
        </w:tblPrEx>
        <w:trPr>
          <w:trHeight w:val="241" w:hRule="atLeast"/>
        </w:trPr>
        <w:tc>
          <w:tcPr>
            <w:tcW w:w="726" w:type="pct"/>
            <w:tcBorders>
              <w:top w:val="single" w:color="000000" w:sz="4" w:space="0"/>
              <w:left w:val="single" w:color="000000" w:sz="4" w:space="0"/>
              <w:bottom w:val="nil"/>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项目地点</w:t>
            </w:r>
          </w:p>
        </w:tc>
        <w:tc>
          <w:tcPr>
            <w:tcW w:w="2062" w:type="pct"/>
            <w:tcBorders>
              <w:top w:val="single" w:color="000000" w:sz="4" w:space="0"/>
              <w:left w:val="single" w:color="000000" w:sz="4" w:space="0"/>
              <w:bottom w:val="nil"/>
              <w:right w:val="single" w:color="000000" w:sz="4" w:space="0"/>
              <w:tl2br w:val="nil"/>
              <w:tr2bl w:val="nil"/>
            </w:tcBorders>
            <w:vAlign w:val="center"/>
          </w:tcPr>
          <w:p>
            <w:pPr>
              <w:spacing w:line="240" w:lineRule="auto"/>
              <w:rPr>
                <w:rFonts w:ascii="宋体" w:hAnsi="宋体" w:cs="宋体"/>
                <w:sz w:val="18"/>
                <w:szCs w:val="18"/>
                <w:highlight w:val="none"/>
              </w:rPr>
            </w:pPr>
          </w:p>
        </w:tc>
        <w:tc>
          <w:tcPr>
            <w:tcW w:w="563" w:type="pct"/>
            <w:tcBorders>
              <w:top w:val="single" w:color="000000" w:sz="4" w:space="0"/>
              <w:left w:val="single" w:color="000000" w:sz="4" w:space="0"/>
              <w:bottom w:val="nil"/>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工程数量</w:t>
            </w:r>
          </w:p>
        </w:tc>
        <w:tc>
          <w:tcPr>
            <w:tcW w:w="1647"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rPr>
                <w:rFonts w:ascii="宋体" w:hAnsi="宋体" w:cs="宋体"/>
                <w:sz w:val="18"/>
                <w:szCs w:val="18"/>
                <w:highlight w:val="none"/>
              </w:rPr>
            </w:pPr>
          </w:p>
        </w:tc>
      </w:tr>
      <w:tr>
        <w:tblPrEx>
          <w:tblCellMar>
            <w:top w:w="0" w:type="dxa"/>
            <w:left w:w="108" w:type="dxa"/>
            <w:bottom w:w="0" w:type="dxa"/>
            <w:right w:w="108" w:type="dxa"/>
          </w:tblCellMar>
        </w:tblPrEx>
        <w:trPr>
          <w:trHeight w:val="214" w:hRule="atLeast"/>
        </w:trPr>
        <w:tc>
          <w:tcPr>
            <w:tcW w:w="726" w:type="pct"/>
            <w:tcBorders>
              <w:top w:val="single" w:color="000000" w:sz="4" w:space="0"/>
              <w:left w:val="single" w:color="000000" w:sz="4" w:space="0"/>
              <w:bottom w:val="nil"/>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施工单位</w:t>
            </w:r>
          </w:p>
        </w:tc>
        <w:tc>
          <w:tcPr>
            <w:tcW w:w="4273" w:type="pct"/>
            <w:gridSpan w:val="3"/>
            <w:tcBorders>
              <w:top w:val="single" w:color="000000" w:sz="4" w:space="0"/>
              <w:left w:val="single" w:color="000000" w:sz="4" w:space="0"/>
              <w:bottom w:val="nil"/>
              <w:right w:val="single" w:color="000000" w:sz="4" w:space="0"/>
              <w:tl2br w:val="nil"/>
              <w:tr2bl w:val="nil"/>
            </w:tcBorders>
            <w:vAlign w:val="center"/>
          </w:tcPr>
          <w:p>
            <w:pPr>
              <w:spacing w:line="240" w:lineRule="auto"/>
              <w:jc w:val="left"/>
              <w:rPr>
                <w:rFonts w:ascii="宋体" w:hAnsi="宋体" w:cs="宋体"/>
                <w:sz w:val="18"/>
                <w:szCs w:val="18"/>
                <w:highlight w:val="none"/>
              </w:rPr>
            </w:pPr>
          </w:p>
        </w:tc>
      </w:tr>
      <w:tr>
        <w:tblPrEx>
          <w:tblCellMar>
            <w:top w:w="0" w:type="dxa"/>
            <w:left w:w="108" w:type="dxa"/>
            <w:bottom w:w="0" w:type="dxa"/>
            <w:right w:w="108" w:type="dxa"/>
          </w:tblCellMar>
        </w:tblPrEx>
        <w:trPr>
          <w:trHeight w:val="90" w:hRule="atLeast"/>
        </w:trPr>
        <w:tc>
          <w:tcPr>
            <w:tcW w:w="726" w:type="pct"/>
            <w:tcBorders>
              <w:top w:val="single" w:color="000000" w:sz="4" w:space="0"/>
              <w:left w:val="single" w:color="000000" w:sz="4" w:space="0"/>
              <w:bottom w:val="nil"/>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验收单位</w:t>
            </w:r>
          </w:p>
        </w:tc>
        <w:tc>
          <w:tcPr>
            <w:tcW w:w="4273" w:type="pct"/>
            <w:gridSpan w:val="3"/>
            <w:tcBorders>
              <w:top w:val="single" w:color="000000" w:sz="4" w:space="0"/>
              <w:left w:val="single" w:color="000000" w:sz="4" w:space="0"/>
              <w:bottom w:val="nil"/>
              <w:right w:val="single" w:color="000000" w:sz="4" w:space="0"/>
              <w:tl2br w:val="nil"/>
              <w:tr2bl w:val="nil"/>
            </w:tcBorders>
            <w:vAlign w:val="center"/>
          </w:tcPr>
          <w:p>
            <w:pPr>
              <w:spacing w:line="240" w:lineRule="auto"/>
              <w:jc w:val="left"/>
              <w:rPr>
                <w:rFonts w:ascii="宋体" w:hAnsi="宋体" w:cs="宋体"/>
                <w:sz w:val="18"/>
                <w:szCs w:val="18"/>
                <w:highlight w:val="none"/>
              </w:rPr>
            </w:pPr>
          </w:p>
        </w:tc>
      </w:tr>
      <w:tr>
        <w:tblPrEx>
          <w:tblCellMar>
            <w:top w:w="0" w:type="dxa"/>
            <w:left w:w="108" w:type="dxa"/>
            <w:bottom w:w="0" w:type="dxa"/>
            <w:right w:w="108" w:type="dxa"/>
          </w:tblCellMar>
        </w:tblPrEx>
        <w:trPr>
          <w:trHeight w:val="258" w:hRule="atLeast"/>
        </w:trPr>
        <w:tc>
          <w:tcPr>
            <w:tcW w:w="5000" w:type="pct"/>
            <w:gridSpan w:val="4"/>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项目设施安装质量验收结论</w:t>
            </w:r>
          </w:p>
        </w:tc>
      </w:tr>
      <w:tr>
        <w:tblPrEx>
          <w:tblCellMar>
            <w:top w:w="0" w:type="dxa"/>
            <w:left w:w="108" w:type="dxa"/>
            <w:bottom w:w="0" w:type="dxa"/>
            <w:right w:w="108" w:type="dxa"/>
          </w:tblCellMar>
        </w:tblPrEx>
        <w:trPr>
          <w:trHeight w:val="2300" w:hRule="atLeast"/>
        </w:trPr>
        <w:tc>
          <w:tcPr>
            <w:tcW w:w="5000" w:type="pct"/>
            <w:gridSpan w:val="4"/>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left"/>
              <w:rPr>
                <w:rFonts w:ascii="宋体" w:hAnsi="宋体" w:cs="宋体"/>
                <w:sz w:val="18"/>
                <w:szCs w:val="18"/>
                <w:highlight w:val="none"/>
              </w:rPr>
            </w:pPr>
          </w:p>
        </w:tc>
      </w:tr>
      <w:tr>
        <w:tblPrEx>
          <w:tblCellMar>
            <w:top w:w="0" w:type="dxa"/>
            <w:left w:w="108" w:type="dxa"/>
            <w:bottom w:w="0" w:type="dxa"/>
            <w:right w:w="108" w:type="dxa"/>
          </w:tblCellMar>
        </w:tblPrEx>
        <w:trPr>
          <w:trHeight w:val="800" w:hRule="atLeast"/>
        </w:trPr>
        <w:tc>
          <w:tcPr>
            <w:tcW w:w="726" w:type="pct"/>
            <w:vMerge w:val="restart"/>
            <w:tcBorders>
              <w:top w:val="single" w:color="000000" w:sz="4" w:space="0"/>
              <w:left w:val="single" w:color="000000" w:sz="4" w:space="0"/>
              <w:bottom w:val="single" w:color="000000" w:sz="4" w:space="0"/>
              <w:right w:val="nil"/>
              <w:tl2br w:val="nil"/>
              <w:tr2bl w:val="nil"/>
            </w:tcBorders>
            <w:noWrap/>
            <w:vAlign w:val="center"/>
          </w:tcPr>
          <w:p>
            <w:pPr>
              <w:spacing w:line="240" w:lineRule="auto"/>
              <w:jc w:val="center"/>
              <w:textAlignment w:val="center"/>
              <w:rPr>
                <w:rFonts w:ascii="宋体" w:hAnsi="宋体" w:cs="宋体"/>
                <w:b/>
                <w:sz w:val="18"/>
                <w:szCs w:val="18"/>
                <w:highlight w:val="none"/>
              </w:rPr>
            </w:pPr>
            <w:r>
              <w:rPr>
                <w:rFonts w:ascii="宋体" w:hAnsi="宋体" w:cs="宋体"/>
                <w:b/>
                <w:sz w:val="18"/>
                <w:szCs w:val="18"/>
                <w:highlight w:val="none"/>
                <w:lang w:bidi="ar"/>
              </w:rPr>
              <w:t>施工单位</w:t>
            </w:r>
          </w:p>
        </w:tc>
        <w:tc>
          <w:tcPr>
            <w:tcW w:w="2062"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施工人员：</w:t>
            </w:r>
          </w:p>
        </w:tc>
        <w:tc>
          <w:tcPr>
            <w:tcW w:w="2210"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r>
        <w:tblPrEx>
          <w:tblCellMar>
            <w:top w:w="0" w:type="dxa"/>
            <w:left w:w="108" w:type="dxa"/>
            <w:bottom w:w="0" w:type="dxa"/>
            <w:right w:w="108" w:type="dxa"/>
          </w:tblCellMar>
        </w:tblPrEx>
        <w:trPr>
          <w:trHeight w:val="800" w:hRule="atLeast"/>
        </w:trPr>
        <w:tc>
          <w:tcPr>
            <w:tcW w:w="726" w:type="pct"/>
            <w:vMerge w:val="continue"/>
            <w:tcBorders>
              <w:top w:val="single" w:color="000000" w:sz="4" w:space="0"/>
              <w:left w:val="single" w:color="000000" w:sz="4" w:space="0"/>
              <w:bottom w:val="single" w:color="000000" w:sz="4" w:space="0"/>
              <w:right w:val="nil"/>
              <w:tl2br w:val="nil"/>
              <w:tr2bl w:val="nil"/>
            </w:tcBorders>
            <w:noWrap/>
            <w:vAlign w:val="center"/>
          </w:tcPr>
          <w:p>
            <w:pPr>
              <w:spacing w:line="240" w:lineRule="auto"/>
              <w:jc w:val="center"/>
              <w:rPr>
                <w:rFonts w:ascii="宋体" w:hAnsi="宋体" w:cs="宋体"/>
                <w:b/>
                <w:sz w:val="18"/>
                <w:szCs w:val="18"/>
                <w:highlight w:val="none"/>
              </w:rPr>
            </w:pPr>
          </w:p>
        </w:tc>
        <w:tc>
          <w:tcPr>
            <w:tcW w:w="2062"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项目负责人：</w:t>
            </w:r>
          </w:p>
        </w:tc>
        <w:tc>
          <w:tcPr>
            <w:tcW w:w="2210"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r>
        <w:tblPrEx>
          <w:tblCellMar>
            <w:top w:w="0" w:type="dxa"/>
            <w:left w:w="108" w:type="dxa"/>
            <w:bottom w:w="0" w:type="dxa"/>
            <w:right w:w="108" w:type="dxa"/>
          </w:tblCellMar>
        </w:tblPrEx>
        <w:trPr>
          <w:trHeight w:val="800" w:hRule="atLeast"/>
        </w:trPr>
        <w:tc>
          <w:tcPr>
            <w:tcW w:w="726" w:type="pct"/>
            <w:vMerge w:val="restart"/>
            <w:tcBorders>
              <w:top w:val="single" w:color="000000" w:sz="4" w:space="0"/>
              <w:left w:val="single" w:color="000000" w:sz="4" w:space="0"/>
              <w:bottom w:val="single" w:color="000000" w:sz="4" w:space="0"/>
              <w:right w:val="nil"/>
              <w:tl2br w:val="nil"/>
              <w:tr2bl w:val="nil"/>
            </w:tcBorders>
            <w:noWrap/>
            <w:vAlign w:val="center"/>
          </w:tcPr>
          <w:p>
            <w:pPr>
              <w:spacing w:line="240" w:lineRule="auto"/>
              <w:jc w:val="center"/>
              <w:textAlignment w:val="center"/>
              <w:rPr>
                <w:rFonts w:ascii="宋体" w:hAnsi="宋体" w:cs="宋体"/>
                <w:b/>
                <w:sz w:val="18"/>
                <w:szCs w:val="18"/>
                <w:highlight w:val="none"/>
              </w:rPr>
            </w:pPr>
            <w:r>
              <w:rPr>
                <w:rFonts w:ascii="宋体" w:hAnsi="宋体" w:cs="宋体"/>
                <w:b/>
                <w:sz w:val="18"/>
                <w:szCs w:val="18"/>
                <w:highlight w:val="none"/>
                <w:lang w:bidi="ar"/>
              </w:rPr>
              <w:t>验收单位</w:t>
            </w:r>
          </w:p>
        </w:tc>
        <w:tc>
          <w:tcPr>
            <w:tcW w:w="2062"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工班长：</w:t>
            </w:r>
          </w:p>
        </w:tc>
        <w:tc>
          <w:tcPr>
            <w:tcW w:w="2210"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r>
        <w:tblPrEx>
          <w:tblCellMar>
            <w:top w:w="0" w:type="dxa"/>
            <w:left w:w="108" w:type="dxa"/>
            <w:bottom w:w="0" w:type="dxa"/>
            <w:right w:w="108" w:type="dxa"/>
          </w:tblCellMar>
        </w:tblPrEx>
        <w:trPr>
          <w:trHeight w:val="800" w:hRule="atLeast"/>
        </w:trPr>
        <w:tc>
          <w:tcPr>
            <w:tcW w:w="726" w:type="pct"/>
            <w:vMerge w:val="continue"/>
            <w:tcBorders>
              <w:top w:val="single" w:color="000000" w:sz="4" w:space="0"/>
              <w:left w:val="single" w:color="000000" w:sz="4" w:space="0"/>
              <w:bottom w:val="single" w:color="000000" w:sz="4" w:space="0"/>
              <w:right w:val="nil"/>
              <w:tl2br w:val="nil"/>
              <w:tr2bl w:val="nil"/>
            </w:tcBorders>
            <w:noWrap/>
            <w:vAlign w:val="center"/>
          </w:tcPr>
          <w:p>
            <w:pPr>
              <w:spacing w:line="240" w:lineRule="auto"/>
              <w:jc w:val="center"/>
              <w:rPr>
                <w:rFonts w:ascii="宋体" w:hAnsi="宋体" w:cs="宋体"/>
                <w:b/>
                <w:sz w:val="18"/>
                <w:szCs w:val="18"/>
                <w:highlight w:val="none"/>
              </w:rPr>
            </w:pPr>
          </w:p>
        </w:tc>
        <w:tc>
          <w:tcPr>
            <w:tcW w:w="2062"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技术主办：</w:t>
            </w:r>
          </w:p>
        </w:tc>
        <w:tc>
          <w:tcPr>
            <w:tcW w:w="2210"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bl>
    <w:p>
      <w:pPr>
        <w:spacing w:line="240" w:lineRule="auto"/>
        <w:rPr>
          <w:highlight w:val="none"/>
        </w:rPr>
      </w:pPr>
      <w:r>
        <w:rPr>
          <w:rFonts w:ascii="宋体"/>
          <w:highlight w:val="none"/>
        </w:rPr>
        <w:br w:type="page"/>
      </w:r>
    </w:p>
    <w:tbl>
      <w:tblPr>
        <w:tblStyle w:val="27"/>
        <w:tblpPr w:leftFromText="180" w:rightFromText="180" w:vertAnchor="text" w:horzAnchor="page" w:tblpX="1625" w:tblpY="616"/>
        <w:tblOverlap w:val="never"/>
        <w:tblW w:w="5000" w:type="pct"/>
        <w:tblInd w:w="0" w:type="dxa"/>
        <w:tblLayout w:type="autofit"/>
        <w:tblCellMar>
          <w:top w:w="0" w:type="dxa"/>
          <w:left w:w="108" w:type="dxa"/>
          <w:bottom w:w="0" w:type="dxa"/>
          <w:right w:w="108" w:type="dxa"/>
        </w:tblCellMar>
      </w:tblPr>
      <w:tblGrid>
        <w:gridCol w:w="1395"/>
        <w:gridCol w:w="3231"/>
        <w:gridCol w:w="1552"/>
        <w:gridCol w:w="1573"/>
        <w:gridCol w:w="1534"/>
      </w:tblGrid>
      <w:tr>
        <w:tblPrEx>
          <w:tblCellMar>
            <w:top w:w="0" w:type="dxa"/>
            <w:left w:w="108" w:type="dxa"/>
            <w:bottom w:w="0" w:type="dxa"/>
            <w:right w:w="108" w:type="dxa"/>
          </w:tblCellMar>
        </w:tblPrEx>
        <w:trPr>
          <w:trHeight w:val="1060" w:hRule="atLeast"/>
        </w:trPr>
        <w:tc>
          <w:tcPr>
            <w:tcW w:w="5000" w:type="pct"/>
            <w:gridSpan w:val="5"/>
            <w:tcBorders>
              <w:top w:val="nil"/>
              <w:left w:val="nil"/>
              <w:bottom w:val="nil"/>
              <w:right w:val="nil"/>
              <w:tl2br w:val="nil"/>
              <w:tr2bl w:val="nil"/>
            </w:tcBorders>
            <w:noWrap/>
            <w:vAlign w:val="center"/>
          </w:tcPr>
          <w:p>
            <w:pPr>
              <w:spacing w:line="240" w:lineRule="auto"/>
              <w:jc w:val="center"/>
              <w:textAlignment w:val="center"/>
              <w:rPr>
                <w:rFonts w:ascii="宋体" w:hAnsi="宋体" w:cs="宋体"/>
                <w:b/>
                <w:sz w:val="28"/>
                <w:szCs w:val="28"/>
                <w:highlight w:val="none"/>
              </w:rPr>
            </w:pPr>
            <w:r>
              <w:rPr>
                <w:rFonts w:ascii="宋体" w:hAnsi="宋体" w:cs="宋体"/>
                <w:b/>
                <w:sz w:val="28"/>
                <w:szCs w:val="28"/>
                <w:highlight w:val="none"/>
                <w:lang w:bidi="ar"/>
              </w:rPr>
              <w:t>项目通水及严密性测试记录表(隐蔽前)</w:t>
            </w:r>
          </w:p>
        </w:tc>
      </w:tr>
      <w:tr>
        <w:tblPrEx>
          <w:tblCellMar>
            <w:top w:w="0" w:type="dxa"/>
            <w:left w:w="108" w:type="dxa"/>
            <w:bottom w:w="0" w:type="dxa"/>
            <w:right w:w="108" w:type="dxa"/>
          </w:tblCellMar>
        </w:tblPrEx>
        <w:trPr>
          <w:trHeight w:val="1240" w:hRule="atLeast"/>
        </w:trPr>
        <w:tc>
          <w:tcPr>
            <w:tcW w:w="751" w:type="pct"/>
            <w:tcBorders>
              <w:top w:val="single" w:color="000000" w:sz="4" w:space="0"/>
              <w:left w:val="single" w:color="000000" w:sz="4" w:space="0"/>
              <w:bottom w:val="nil"/>
              <w:right w:val="single" w:color="000000" w:sz="4" w:space="0"/>
              <w:tl2br w:val="nil"/>
              <w:tr2bl w:val="nil"/>
            </w:tcBorders>
            <w:vAlign w:val="center"/>
          </w:tcPr>
          <w:p>
            <w:pPr>
              <w:spacing w:line="240" w:lineRule="auto"/>
              <w:ind w:left="0" w:firstLine="0"/>
              <w:jc w:val="center"/>
              <w:textAlignment w:val="center"/>
              <w:rPr>
                <w:rFonts w:ascii="宋体" w:hAnsi="宋体" w:cs="宋体"/>
                <w:sz w:val="18"/>
                <w:szCs w:val="18"/>
                <w:highlight w:val="none"/>
              </w:rPr>
            </w:pPr>
            <w:r>
              <w:rPr>
                <w:rFonts w:ascii="宋体" w:hAnsi="宋体" w:cs="宋体"/>
                <w:sz w:val="18"/>
                <w:szCs w:val="18"/>
                <w:highlight w:val="none"/>
                <w:lang w:bidi="ar"/>
              </w:rPr>
              <w:t>项目名称、编号及合同编号</w:t>
            </w:r>
          </w:p>
        </w:tc>
        <w:tc>
          <w:tcPr>
            <w:tcW w:w="4248" w:type="pct"/>
            <w:gridSpan w:val="4"/>
            <w:tcBorders>
              <w:top w:val="single" w:color="000000" w:sz="4" w:space="0"/>
              <w:left w:val="single" w:color="000000" w:sz="4" w:space="0"/>
              <w:bottom w:val="nil"/>
              <w:right w:val="single" w:color="000000" w:sz="4" w:space="0"/>
              <w:tl2br w:val="nil"/>
              <w:tr2bl w:val="nil"/>
            </w:tcBorders>
            <w:vAlign w:val="center"/>
          </w:tcPr>
          <w:p>
            <w:pPr>
              <w:spacing w:line="240" w:lineRule="auto"/>
              <w:ind w:left="0" w:firstLine="0"/>
              <w:jc w:val="center"/>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项目名称：</w:t>
            </w:r>
          </w:p>
          <w:p>
            <w:pPr>
              <w:spacing w:line="240" w:lineRule="auto"/>
              <w:ind w:left="0" w:firstLine="0"/>
              <w:jc w:val="center"/>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项目编号：</w:t>
            </w:r>
          </w:p>
          <w:p>
            <w:pPr>
              <w:spacing w:line="240" w:lineRule="auto"/>
              <w:ind w:left="0" w:firstLine="0"/>
              <w:jc w:val="center"/>
              <w:textAlignment w:val="center"/>
              <w:rPr>
                <w:rFonts w:ascii="宋体" w:hAnsi="宋体" w:cs="宋体"/>
                <w:sz w:val="18"/>
                <w:szCs w:val="18"/>
                <w:highlight w:val="none"/>
              </w:rPr>
            </w:pPr>
            <w:r>
              <w:rPr>
                <w:rFonts w:ascii="宋体" w:hAnsi="宋体" w:cs="宋体"/>
                <w:sz w:val="18"/>
                <w:szCs w:val="18"/>
                <w:highlight w:val="none"/>
                <w:lang w:bidi="ar"/>
              </w:rPr>
              <w:t>合同编号：</w:t>
            </w:r>
          </w:p>
        </w:tc>
      </w:tr>
      <w:tr>
        <w:tblPrEx>
          <w:tblCellMar>
            <w:top w:w="0" w:type="dxa"/>
            <w:left w:w="108" w:type="dxa"/>
            <w:bottom w:w="0" w:type="dxa"/>
            <w:right w:w="108" w:type="dxa"/>
          </w:tblCellMar>
        </w:tblPrEx>
        <w:trPr>
          <w:trHeight w:val="391" w:hRule="atLeast"/>
        </w:trPr>
        <w:tc>
          <w:tcPr>
            <w:tcW w:w="751" w:type="pct"/>
            <w:tcBorders>
              <w:top w:val="single" w:color="000000" w:sz="4" w:space="0"/>
              <w:left w:val="single" w:color="000000" w:sz="4" w:space="0"/>
              <w:bottom w:val="nil"/>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项目地点</w:t>
            </w:r>
          </w:p>
        </w:tc>
        <w:tc>
          <w:tcPr>
            <w:tcW w:w="1740" w:type="pct"/>
            <w:tcBorders>
              <w:top w:val="single" w:color="000000" w:sz="4" w:space="0"/>
              <w:left w:val="single" w:color="000000" w:sz="4" w:space="0"/>
              <w:bottom w:val="nil"/>
              <w:right w:val="single" w:color="000000" w:sz="4" w:space="0"/>
              <w:tl2br w:val="nil"/>
              <w:tr2bl w:val="nil"/>
            </w:tcBorders>
            <w:vAlign w:val="center"/>
          </w:tcPr>
          <w:p>
            <w:pPr>
              <w:spacing w:line="240" w:lineRule="auto"/>
              <w:jc w:val="center"/>
              <w:rPr>
                <w:rFonts w:ascii="宋体" w:hAnsi="宋体" w:cs="宋体"/>
                <w:sz w:val="18"/>
                <w:szCs w:val="18"/>
                <w:highlight w:val="none"/>
              </w:rPr>
            </w:pPr>
          </w:p>
        </w:tc>
        <w:tc>
          <w:tcPr>
            <w:tcW w:w="836" w:type="pct"/>
            <w:tcBorders>
              <w:top w:val="single" w:color="000000" w:sz="4" w:space="0"/>
              <w:left w:val="single" w:color="000000" w:sz="4" w:space="0"/>
              <w:bottom w:val="nil"/>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工程数量</w:t>
            </w:r>
          </w:p>
        </w:tc>
        <w:tc>
          <w:tcPr>
            <w:tcW w:w="1672" w:type="pct"/>
            <w:gridSpan w:val="2"/>
            <w:tcBorders>
              <w:top w:val="single" w:color="000000" w:sz="4" w:space="0"/>
              <w:left w:val="single" w:color="000000" w:sz="4" w:space="0"/>
              <w:bottom w:val="nil"/>
              <w:right w:val="single" w:color="000000" w:sz="4" w:space="0"/>
              <w:tl2br w:val="nil"/>
              <w:tr2bl w:val="nil"/>
            </w:tcBorders>
            <w:vAlign w:val="center"/>
          </w:tcPr>
          <w:p>
            <w:pPr>
              <w:spacing w:line="240" w:lineRule="auto"/>
              <w:jc w:val="center"/>
              <w:rPr>
                <w:rFonts w:ascii="宋体" w:hAnsi="宋体" w:cs="宋体"/>
                <w:sz w:val="18"/>
                <w:szCs w:val="18"/>
                <w:highlight w:val="none"/>
              </w:rPr>
            </w:pPr>
          </w:p>
        </w:tc>
      </w:tr>
      <w:tr>
        <w:tblPrEx>
          <w:tblCellMar>
            <w:top w:w="0" w:type="dxa"/>
            <w:left w:w="108" w:type="dxa"/>
            <w:bottom w:w="0" w:type="dxa"/>
            <w:right w:w="108" w:type="dxa"/>
          </w:tblCellMar>
        </w:tblPrEx>
        <w:trPr>
          <w:trHeight w:val="268" w:hRule="atLeast"/>
        </w:trPr>
        <w:tc>
          <w:tcPr>
            <w:tcW w:w="751"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施工单位</w:t>
            </w:r>
          </w:p>
        </w:tc>
        <w:tc>
          <w:tcPr>
            <w:tcW w:w="4248" w:type="pct"/>
            <w:gridSpan w:val="4"/>
            <w:tcBorders>
              <w:top w:val="single" w:color="000000" w:sz="4" w:space="0"/>
              <w:left w:val="single" w:color="000000" w:sz="4" w:space="0"/>
              <w:bottom w:val="nil"/>
              <w:right w:val="single" w:color="000000" w:sz="4" w:space="0"/>
              <w:tl2br w:val="nil"/>
              <w:tr2bl w:val="nil"/>
            </w:tcBorders>
            <w:vAlign w:val="center"/>
          </w:tcPr>
          <w:p>
            <w:pPr>
              <w:spacing w:line="240" w:lineRule="auto"/>
              <w:jc w:val="center"/>
              <w:rPr>
                <w:rFonts w:ascii="宋体" w:hAnsi="宋体" w:cs="宋体"/>
                <w:sz w:val="18"/>
                <w:szCs w:val="18"/>
                <w:highlight w:val="none"/>
              </w:rPr>
            </w:pPr>
          </w:p>
        </w:tc>
      </w:tr>
      <w:tr>
        <w:tblPrEx>
          <w:tblCellMar>
            <w:top w:w="0" w:type="dxa"/>
            <w:left w:w="108" w:type="dxa"/>
            <w:bottom w:w="0" w:type="dxa"/>
            <w:right w:w="108" w:type="dxa"/>
          </w:tblCellMar>
        </w:tblPrEx>
        <w:trPr>
          <w:trHeight w:val="446" w:hRule="atLeast"/>
        </w:trPr>
        <w:tc>
          <w:tcPr>
            <w:tcW w:w="751" w:type="pct"/>
            <w:tcBorders>
              <w:top w:val="single" w:color="000000" w:sz="4" w:space="0"/>
              <w:left w:val="single" w:color="000000" w:sz="4" w:space="0"/>
              <w:bottom w:val="nil"/>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测试单位</w:t>
            </w:r>
          </w:p>
        </w:tc>
        <w:tc>
          <w:tcPr>
            <w:tcW w:w="4248" w:type="pct"/>
            <w:gridSpan w:val="4"/>
            <w:tcBorders>
              <w:top w:val="single" w:color="000000" w:sz="4" w:space="0"/>
              <w:left w:val="single" w:color="000000" w:sz="4" w:space="0"/>
              <w:bottom w:val="nil"/>
              <w:right w:val="single" w:color="000000" w:sz="4" w:space="0"/>
              <w:tl2br w:val="nil"/>
              <w:tr2bl w:val="nil"/>
            </w:tcBorders>
            <w:vAlign w:val="center"/>
          </w:tcPr>
          <w:p>
            <w:pPr>
              <w:spacing w:line="240" w:lineRule="auto"/>
              <w:jc w:val="center"/>
              <w:rPr>
                <w:rFonts w:ascii="宋体" w:hAnsi="宋体" w:cs="宋体"/>
                <w:sz w:val="18"/>
                <w:szCs w:val="18"/>
                <w:highlight w:val="none"/>
              </w:rPr>
            </w:pPr>
          </w:p>
        </w:tc>
      </w:tr>
      <w:tr>
        <w:tblPrEx>
          <w:tblCellMar>
            <w:top w:w="0" w:type="dxa"/>
            <w:left w:w="108" w:type="dxa"/>
            <w:bottom w:w="0" w:type="dxa"/>
            <w:right w:w="108" w:type="dxa"/>
          </w:tblCellMar>
        </w:tblPrEx>
        <w:trPr>
          <w:trHeight w:val="579" w:hRule="atLeast"/>
        </w:trPr>
        <w:tc>
          <w:tcPr>
            <w:tcW w:w="751" w:type="pct"/>
            <w:tcBorders>
              <w:top w:val="single" w:color="000000" w:sz="4" w:space="0"/>
              <w:left w:val="single" w:color="000000" w:sz="4" w:space="0"/>
              <w:bottom w:val="nil"/>
              <w:right w:val="nil"/>
              <w:tl2br w:val="nil"/>
              <w:tr2bl w:val="nil"/>
            </w:tcBorders>
            <w:vAlign w:val="center"/>
          </w:tcPr>
          <w:p>
            <w:pPr>
              <w:spacing w:line="240" w:lineRule="auto"/>
              <w:ind w:left="0" w:firstLine="0"/>
              <w:jc w:val="center"/>
              <w:textAlignment w:val="center"/>
              <w:rPr>
                <w:rFonts w:ascii="宋体" w:hAnsi="宋体" w:cs="宋体"/>
                <w:sz w:val="18"/>
                <w:szCs w:val="18"/>
                <w:highlight w:val="none"/>
              </w:rPr>
            </w:pPr>
            <w:r>
              <w:rPr>
                <w:rFonts w:ascii="宋体" w:hAnsi="宋体" w:cs="宋体"/>
                <w:sz w:val="18"/>
                <w:szCs w:val="18"/>
                <w:highlight w:val="none"/>
                <w:lang w:bidi="ar"/>
              </w:rPr>
              <w:t>质量控制资料</w:t>
            </w:r>
          </w:p>
        </w:tc>
        <w:tc>
          <w:tcPr>
            <w:tcW w:w="174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jc w:val="left"/>
              <w:textAlignment w:val="center"/>
              <w:rPr>
                <w:rFonts w:ascii="宋体" w:hAnsi="宋体" w:cs="宋体"/>
                <w:sz w:val="18"/>
                <w:szCs w:val="18"/>
                <w:highlight w:val="none"/>
              </w:rPr>
            </w:pPr>
            <w:r>
              <w:rPr>
                <w:rFonts w:ascii="宋体" w:hAnsi="宋体" w:cs="宋体"/>
                <w:sz w:val="18"/>
                <w:szCs w:val="18"/>
                <w:highlight w:val="none"/>
                <w:lang w:bidi="ar"/>
              </w:rPr>
              <w:t>项目设施安装质量验收表(隐蔽前)</w:t>
            </w:r>
          </w:p>
        </w:tc>
        <w:tc>
          <w:tcPr>
            <w:tcW w:w="836"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是否完成</w:t>
            </w:r>
          </w:p>
        </w:tc>
        <w:tc>
          <w:tcPr>
            <w:tcW w:w="1672"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是</w:t>
            </w:r>
            <w:r>
              <w:rPr>
                <w:rStyle w:val="71"/>
                <w:color w:val="auto"/>
                <w:sz w:val="18"/>
                <w:szCs w:val="18"/>
                <w:highlight w:val="none"/>
                <w:lang w:bidi="ar"/>
              </w:rPr>
              <w:t></w:t>
            </w:r>
            <w:r>
              <w:rPr>
                <w:rFonts w:ascii="宋体" w:hAnsi="宋体" w:cs="宋体"/>
                <w:sz w:val="18"/>
                <w:szCs w:val="18"/>
                <w:highlight w:val="none"/>
                <w:lang w:bidi="ar"/>
              </w:rPr>
              <w:t xml:space="preserve">   否</w:t>
            </w:r>
            <w:r>
              <w:rPr>
                <w:rStyle w:val="71"/>
                <w:color w:val="auto"/>
                <w:sz w:val="18"/>
                <w:szCs w:val="18"/>
                <w:highlight w:val="none"/>
                <w:lang w:bidi="ar"/>
              </w:rPr>
              <w:t></w:t>
            </w:r>
          </w:p>
        </w:tc>
      </w:tr>
      <w:tr>
        <w:tblPrEx>
          <w:tblCellMar>
            <w:top w:w="0" w:type="dxa"/>
            <w:left w:w="108" w:type="dxa"/>
            <w:bottom w:w="0" w:type="dxa"/>
            <w:right w:w="108" w:type="dxa"/>
          </w:tblCellMar>
        </w:tblPrEx>
        <w:trPr>
          <w:trHeight w:val="504" w:hRule="atLeast"/>
        </w:trPr>
        <w:tc>
          <w:tcPr>
            <w:tcW w:w="751"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序号</w:t>
            </w:r>
          </w:p>
        </w:tc>
        <w:tc>
          <w:tcPr>
            <w:tcW w:w="174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jc w:val="left"/>
              <w:textAlignment w:val="center"/>
              <w:rPr>
                <w:rFonts w:ascii="宋体" w:hAnsi="宋体" w:cs="宋体"/>
                <w:sz w:val="18"/>
                <w:szCs w:val="18"/>
                <w:highlight w:val="none"/>
              </w:rPr>
            </w:pPr>
            <w:r>
              <w:rPr>
                <w:rFonts w:ascii="宋体" w:hAnsi="宋体" w:cs="宋体"/>
                <w:sz w:val="18"/>
                <w:szCs w:val="18"/>
                <w:highlight w:val="none"/>
                <w:lang w:bidi="ar"/>
              </w:rPr>
              <w:t>通水及严密性测试内容</w:t>
            </w:r>
          </w:p>
        </w:tc>
        <w:tc>
          <w:tcPr>
            <w:tcW w:w="836"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jc w:val="center"/>
              <w:textAlignment w:val="center"/>
              <w:rPr>
                <w:rFonts w:ascii="宋体" w:hAnsi="宋体" w:cs="宋体"/>
                <w:sz w:val="18"/>
                <w:szCs w:val="18"/>
                <w:highlight w:val="none"/>
              </w:rPr>
            </w:pPr>
            <w:r>
              <w:rPr>
                <w:rFonts w:ascii="宋体" w:hAnsi="宋体" w:cs="宋体"/>
                <w:sz w:val="18"/>
                <w:szCs w:val="18"/>
                <w:highlight w:val="none"/>
                <w:lang w:bidi="ar"/>
              </w:rPr>
              <w:t>测试结果</w:t>
            </w:r>
          </w:p>
        </w:tc>
        <w:tc>
          <w:tcPr>
            <w:tcW w:w="847"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jc w:val="center"/>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测试人员</w:t>
            </w:r>
          </w:p>
          <w:p>
            <w:pPr>
              <w:spacing w:line="240" w:lineRule="auto"/>
              <w:ind w:left="0" w:firstLine="0"/>
              <w:jc w:val="center"/>
              <w:textAlignment w:val="center"/>
              <w:rPr>
                <w:rFonts w:ascii="宋体" w:hAnsi="宋体" w:cs="宋体"/>
                <w:sz w:val="18"/>
                <w:szCs w:val="18"/>
                <w:highlight w:val="none"/>
              </w:rPr>
            </w:pPr>
            <w:r>
              <w:rPr>
                <w:rFonts w:ascii="宋体" w:hAnsi="宋体" w:cs="宋体"/>
                <w:sz w:val="18"/>
                <w:szCs w:val="18"/>
                <w:highlight w:val="none"/>
                <w:lang w:bidi="ar"/>
              </w:rPr>
              <w:t>(签名/日期)</w:t>
            </w:r>
          </w:p>
        </w:tc>
        <w:tc>
          <w:tcPr>
            <w:tcW w:w="824"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备注</w:t>
            </w:r>
          </w:p>
        </w:tc>
      </w:tr>
      <w:tr>
        <w:tblPrEx>
          <w:tblCellMar>
            <w:top w:w="0" w:type="dxa"/>
            <w:left w:w="108" w:type="dxa"/>
            <w:bottom w:w="0" w:type="dxa"/>
            <w:right w:w="108" w:type="dxa"/>
          </w:tblCellMar>
        </w:tblPrEx>
        <w:trPr>
          <w:trHeight w:val="800" w:hRule="atLeast"/>
        </w:trPr>
        <w:tc>
          <w:tcPr>
            <w:tcW w:w="751"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1</w:t>
            </w:r>
          </w:p>
        </w:tc>
        <w:tc>
          <w:tcPr>
            <w:tcW w:w="174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jc w:val="left"/>
              <w:textAlignment w:val="center"/>
              <w:rPr>
                <w:rFonts w:ascii="宋体" w:hAnsi="宋体" w:cs="宋体"/>
                <w:sz w:val="18"/>
                <w:szCs w:val="18"/>
                <w:highlight w:val="none"/>
              </w:rPr>
            </w:pPr>
            <w:r>
              <w:rPr>
                <w:rFonts w:ascii="宋体" w:hAnsi="宋体" w:cs="宋体"/>
                <w:sz w:val="18"/>
                <w:szCs w:val="18"/>
                <w:highlight w:val="none"/>
                <w:lang w:bidi="ar"/>
              </w:rPr>
              <w:t>进水阀门（一字闭锁球阀）通断功能是否正常</w:t>
            </w:r>
          </w:p>
        </w:tc>
        <w:tc>
          <w:tcPr>
            <w:tcW w:w="83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是</w:t>
            </w:r>
            <w:r>
              <w:rPr>
                <w:rStyle w:val="71"/>
                <w:color w:val="auto"/>
                <w:sz w:val="18"/>
                <w:szCs w:val="18"/>
                <w:highlight w:val="none"/>
                <w:lang w:bidi="ar"/>
              </w:rPr>
              <w:t></w:t>
            </w:r>
            <w:r>
              <w:rPr>
                <w:rFonts w:ascii="宋体" w:hAnsi="宋体" w:cs="宋体"/>
                <w:sz w:val="18"/>
                <w:szCs w:val="18"/>
                <w:highlight w:val="none"/>
                <w:lang w:bidi="ar"/>
              </w:rPr>
              <w:t xml:space="preserve"> 否</w:t>
            </w:r>
            <w:r>
              <w:rPr>
                <w:rStyle w:val="71"/>
                <w:color w:val="auto"/>
                <w:sz w:val="18"/>
                <w:szCs w:val="18"/>
                <w:highlight w:val="none"/>
                <w:lang w:bidi="ar"/>
              </w:rPr>
              <w:t></w:t>
            </w:r>
          </w:p>
        </w:tc>
        <w:tc>
          <w:tcPr>
            <w:tcW w:w="847"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824"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r>
      <w:tr>
        <w:tblPrEx>
          <w:tblCellMar>
            <w:top w:w="0" w:type="dxa"/>
            <w:left w:w="108" w:type="dxa"/>
            <w:bottom w:w="0" w:type="dxa"/>
            <w:right w:w="108" w:type="dxa"/>
          </w:tblCellMar>
        </w:tblPrEx>
        <w:trPr>
          <w:trHeight w:val="800" w:hRule="atLeast"/>
        </w:trPr>
        <w:tc>
          <w:tcPr>
            <w:tcW w:w="751"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2</w:t>
            </w:r>
          </w:p>
        </w:tc>
        <w:tc>
          <w:tcPr>
            <w:tcW w:w="174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jc w:val="left"/>
              <w:textAlignment w:val="center"/>
              <w:rPr>
                <w:rFonts w:ascii="宋体" w:hAnsi="宋体" w:cs="宋体"/>
                <w:sz w:val="18"/>
                <w:szCs w:val="18"/>
                <w:highlight w:val="none"/>
                <w:lang w:bidi="ar"/>
              </w:rPr>
            </w:pPr>
            <w:r>
              <w:rPr>
                <w:rFonts w:ascii="宋体" w:hAnsi="宋体" w:cs="宋体"/>
                <w:sz w:val="18"/>
                <w:szCs w:val="18"/>
                <w:highlight w:val="none"/>
                <w:lang w:bidi="ar"/>
              </w:rPr>
              <w:t>按压脚踏板完成脚踏阀冲水动作，观察脚踏阀及连接管道是否正常通水</w:t>
            </w:r>
          </w:p>
        </w:tc>
        <w:tc>
          <w:tcPr>
            <w:tcW w:w="83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是</w:t>
            </w:r>
            <w:r>
              <w:rPr>
                <w:rStyle w:val="71"/>
                <w:color w:val="auto"/>
                <w:sz w:val="18"/>
                <w:szCs w:val="18"/>
                <w:highlight w:val="none"/>
                <w:lang w:bidi="ar"/>
              </w:rPr>
              <w:t></w:t>
            </w:r>
            <w:r>
              <w:rPr>
                <w:rFonts w:ascii="宋体" w:hAnsi="宋体" w:cs="宋体"/>
                <w:sz w:val="18"/>
                <w:szCs w:val="18"/>
                <w:highlight w:val="none"/>
                <w:lang w:bidi="ar"/>
              </w:rPr>
              <w:t xml:space="preserve"> 否</w:t>
            </w:r>
            <w:r>
              <w:rPr>
                <w:rStyle w:val="71"/>
                <w:color w:val="auto"/>
                <w:sz w:val="18"/>
                <w:szCs w:val="18"/>
                <w:highlight w:val="none"/>
                <w:lang w:bidi="ar"/>
              </w:rPr>
              <w:t></w:t>
            </w:r>
          </w:p>
        </w:tc>
        <w:tc>
          <w:tcPr>
            <w:tcW w:w="847"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824"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r>
      <w:tr>
        <w:tblPrEx>
          <w:tblCellMar>
            <w:top w:w="0" w:type="dxa"/>
            <w:left w:w="108" w:type="dxa"/>
            <w:bottom w:w="0" w:type="dxa"/>
            <w:right w:w="108" w:type="dxa"/>
          </w:tblCellMar>
        </w:tblPrEx>
        <w:trPr>
          <w:trHeight w:val="800" w:hRule="atLeast"/>
        </w:trPr>
        <w:tc>
          <w:tcPr>
            <w:tcW w:w="751"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3</w:t>
            </w:r>
          </w:p>
        </w:tc>
        <w:tc>
          <w:tcPr>
            <w:tcW w:w="174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jc w:val="left"/>
              <w:textAlignment w:val="center"/>
              <w:rPr>
                <w:rFonts w:ascii="宋体" w:hAnsi="宋体" w:cs="宋体"/>
                <w:sz w:val="18"/>
                <w:szCs w:val="18"/>
                <w:highlight w:val="none"/>
              </w:rPr>
            </w:pPr>
            <w:r>
              <w:rPr>
                <w:rFonts w:ascii="宋体" w:hAnsi="宋体" w:cs="宋体"/>
                <w:sz w:val="18"/>
                <w:szCs w:val="18"/>
                <w:highlight w:val="none"/>
                <w:lang w:bidi="ar"/>
              </w:rPr>
              <w:t>阀体或连接管道在使用过程中是否出现渗漏水的现象</w:t>
            </w:r>
          </w:p>
        </w:tc>
        <w:tc>
          <w:tcPr>
            <w:tcW w:w="83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是</w:t>
            </w:r>
            <w:r>
              <w:rPr>
                <w:rStyle w:val="71"/>
                <w:color w:val="auto"/>
                <w:sz w:val="18"/>
                <w:szCs w:val="18"/>
                <w:highlight w:val="none"/>
                <w:lang w:bidi="ar"/>
              </w:rPr>
              <w:t></w:t>
            </w:r>
            <w:r>
              <w:rPr>
                <w:rFonts w:ascii="宋体" w:hAnsi="宋体" w:cs="宋体"/>
                <w:sz w:val="18"/>
                <w:szCs w:val="18"/>
                <w:highlight w:val="none"/>
                <w:lang w:bidi="ar"/>
              </w:rPr>
              <w:t xml:space="preserve"> 否</w:t>
            </w:r>
            <w:r>
              <w:rPr>
                <w:rStyle w:val="71"/>
                <w:color w:val="auto"/>
                <w:sz w:val="18"/>
                <w:szCs w:val="18"/>
                <w:highlight w:val="none"/>
                <w:lang w:bidi="ar"/>
              </w:rPr>
              <w:t></w:t>
            </w:r>
          </w:p>
        </w:tc>
        <w:tc>
          <w:tcPr>
            <w:tcW w:w="847"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824"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r>
      <w:tr>
        <w:tblPrEx>
          <w:tblCellMar>
            <w:top w:w="0" w:type="dxa"/>
            <w:left w:w="108" w:type="dxa"/>
            <w:bottom w:w="0" w:type="dxa"/>
            <w:right w:w="108" w:type="dxa"/>
          </w:tblCellMar>
        </w:tblPrEx>
        <w:trPr>
          <w:trHeight w:val="800" w:hRule="atLeast"/>
        </w:trPr>
        <w:tc>
          <w:tcPr>
            <w:tcW w:w="751"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4</w:t>
            </w:r>
          </w:p>
        </w:tc>
        <w:tc>
          <w:tcPr>
            <w:tcW w:w="174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jc w:val="left"/>
              <w:textAlignment w:val="center"/>
              <w:rPr>
                <w:rFonts w:ascii="宋体" w:hAnsi="宋体" w:cs="宋体"/>
                <w:sz w:val="18"/>
                <w:szCs w:val="18"/>
                <w:highlight w:val="none"/>
              </w:rPr>
            </w:pPr>
            <w:r>
              <w:rPr>
                <w:rFonts w:ascii="宋体" w:hAnsi="宋体" w:cs="宋体"/>
                <w:sz w:val="18"/>
                <w:szCs w:val="18"/>
                <w:highlight w:val="none"/>
                <w:lang w:bidi="ar"/>
              </w:rPr>
              <w:t>打开进水阀门完成冲水动作并静置12h后，观察阀体及连接管道是否出现渗漏水的迹象</w:t>
            </w:r>
          </w:p>
        </w:tc>
        <w:tc>
          <w:tcPr>
            <w:tcW w:w="83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是</w:t>
            </w:r>
            <w:r>
              <w:rPr>
                <w:rStyle w:val="71"/>
                <w:color w:val="auto"/>
                <w:sz w:val="18"/>
                <w:szCs w:val="18"/>
                <w:highlight w:val="none"/>
                <w:lang w:bidi="ar"/>
              </w:rPr>
              <w:t></w:t>
            </w:r>
            <w:r>
              <w:rPr>
                <w:rFonts w:ascii="宋体" w:hAnsi="宋体" w:cs="宋体"/>
                <w:sz w:val="18"/>
                <w:szCs w:val="18"/>
                <w:highlight w:val="none"/>
                <w:lang w:bidi="ar"/>
              </w:rPr>
              <w:t xml:space="preserve"> 否</w:t>
            </w:r>
            <w:r>
              <w:rPr>
                <w:rStyle w:val="71"/>
                <w:color w:val="auto"/>
                <w:sz w:val="18"/>
                <w:szCs w:val="18"/>
                <w:highlight w:val="none"/>
                <w:lang w:bidi="ar"/>
              </w:rPr>
              <w:t></w:t>
            </w:r>
          </w:p>
        </w:tc>
        <w:tc>
          <w:tcPr>
            <w:tcW w:w="847"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824"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r>
      <w:tr>
        <w:tblPrEx>
          <w:tblCellMar>
            <w:top w:w="0" w:type="dxa"/>
            <w:left w:w="108" w:type="dxa"/>
            <w:bottom w:w="0" w:type="dxa"/>
            <w:right w:w="108" w:type="dxa"/>
          </w:tblCellMar>
        </w:tblPrEx>
        <w:trPr>
          <w:trHeight w:val="190" w:hRule="atLeast"/>
        </w:trPr>
        <w:tc>
          <w:tcPr>
            <w:tcW w:w="751" w:type="pct"/>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b/>
                <w:sz w:val="18"/>
                <w:szCs w:val="18"/>
                <w:highlight w:val="none"/>
              </w:rPr>
            </w:pPr>
            <w:r>
              <w:rPr>
                <w:rFonts w:ascii="宋体" w:hAnsi="宋体" w:cs="宋体"/>
                <w:b/>
                <w:sz w:val="18"/>
                <w:szCs w:val="18"/>
                <w:highlight w:val="none"/>
                <w:lang w:bidi="ar"/>
              </w:rPr>
              <w:t>施工单位</w:t>
            </w:r>
          </w:p>
        </w:tc>
        <w:tc>
          <w:tcPr>
            <w:tcW w:w="174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施工人员：</w:t>
            </w:r>
          </w:p>
        </w:tc>
        <w:tc>
          <w:tcPr>
            <w:tcW w:w="2508"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年    月    日</w:t>
            </w:r>
          </w:p>
        </w:tc>
      </w:tr>
      <w:tr>
        <w:tblPrEx>
          <w:tblCellMar>
            <w:top w:w="0" w:type="dxa"/>
            <w:left w:w="108" w:type="dxa"/>
            <w:bottom w:w="0" w:type="dxa"/>
            <w:right w:w="108" w:type="dxa"/>
          </w:tblCellMar>
        </w:tblPrEx>
        <w:trPr>
          <w:trHeight w:val="300" w:hRule="atLeast"/>
        </w:trPr>
        <w:tc>
          <w:tcPr>
            <w:tcW w:w="751" w:type="pct"/>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b/>
                <w:sz w:val="18"/>
                <w:szCs w:val="18"/>
                <w:highlight w:val="none"/>
              </w:rPr>
            </w:pPr>
          </w:p>
        </w:tc>
        <w:tc>
          <w:tcPr>
            <w:tcW w:w="174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项目负责人：</w:t>
            </w:r>
          </w:p>
        </w:tc>
        <w:tc>
          <w:tcPr>
            <w:tcW w:w="2508"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年    月    日</w:t>
            </w:r>
          </w:p>
        </w:tc>
      </w:tr>
      <w:tr>
        <w:tblPrEx>
          <w:tblCellMar>
            <w:top w:w="0" w:type="dxa"/>
            <w:left w:w="108" w:type="dxa"/>
            <w:bottom w:w="0" w:type="dxa"/>
            <w:right w:w="108" w:type="dxa"/>
          </w:tblCellMar>
        </w:tblPrEx>
        <w:trPr>
          <w:trHeight w:val="490" w:hRule="atLeast"/>
        </w:trPr>
        <w:tc>
          <w:tcPr>
            <w:tcW w:w="751" w:type="pct"/>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b/>
                <w:sz w:val="18"/>
                <w:szCs w:val="18"/>
                <w:highlight w:val="none"/>
              </w:rPr>
            </w:pPr>
            <w:r>
              <w:rPr>
                <w:rFonts w:ascii="宋体" w:hAnsi="宋体" w:cs="宋体"/>
                <w:b/>
                <w:sz w:val="18"/>
                <w:szCs w:val="18"/>
                <w:highlight w:val="none"/>
                <w:lang w:bidi="ar"/>
              </w:rPr>
              <w:t>测试单位</w:t>
            </w:r>
          </w:p>
        </w:tc>
        <w:tc>
          <w:tcPr>
            <w:tcW w:w="174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工班长：</w:t>
            </w:r>
          </w:p>
        </w:tc>
        <w:tc>
          <w:tcPr>
            <w:tcW w:w="2508"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年    月    日</w:t>
            </w:r>
          </w:p>
        </w:tc>
      </w:tr>
      <w:tr>
        <w:tblPrEx>
          <w:tblCellMar>
            <w:top w:w="0" w:type="dxa"/>
            <w:left w:w="108" w:type="dxa"/>
            <w:bottom w:w="0" w:type="dxa"/>
            <w:right w:w="108" w:type="dxa"/>
          </w:tblCellMar>
        </w:tblPrEx>
        <w:trPr>
          <w:trHeight w:val="90" w:hRule="atLeast"/>
        </w:trPr>
        <w:tc>
          <w:tcPr>
            <w:tcW w:w="751" w:type="pct"/>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b/>
                <w:sz w:val="18"/>
                <w:szCs w:val="18"/>
                <w:highlight w:val="none"/>
              </w:rPr>
            </w:pPr>
          </w:p>
        </w:tc>
        <w:tc>
          <w:tcPr>
            <w:tcW w:w="174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技术主办：</w:t>
            </w:r>
          </w:p>
        </w:tc>
        <w:tc>
          <w:tcPr>
            <w:tcW w:w="2508"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年    月    日</w:t>
            </w:r>
          </w:p>
        </w:tc>
      </w:tr>
    </w:tbl>
    <w:p>
      <w:pPr>
        <w:spacing w:before="0" w:after="0" w:afterAutospacing="0"/>
        <w:ind w:left="0" w:right="0" w:firstLine="0"/>
        <w:rPr>
          <w:rFonts w:ascii="宋体" w:hAnsi="宋体" w:cs="Arial"/>
          <w:highlight w:val="none"/>
        </w:rPr>
      </w:pPr>
      <w:r>
        <w:rPr>
          <w:rFonts w:ascii="宋体" w:hAnsi="宋体" w:cs="Arial"/>
          <w:highlight w:val="none"/>
        </w:rPr>
        <w:t>附表3-3</w:t>
      </w:r>
      <w:r>
        <w:rPr>
          <w:rFonts w:ascii="宋体" w:hAnsi="宋体" w:cs="Arial"/>
          <w:highlight w:val="none"/>
        </w:rPr>
        <w:br w:type="page"/>
      </w:r>
    </w:p>
    <w:p>
      <w:pPr>
        <w:spacing w:before="0" w:after="0" w:afterAutospacing="0"/>
        <w:ind w:left="0" w:right="0" w:firstLine="0"/>
        <w:rPr>
          <w:rFonts w:ascii="宋体" w:hAnsi="宋体" w:cs="Arial"/>
          <w:highlight w:val="none"/>
        </w:rPr>
      </w:pPr>
      <w:r>
        <w:rPr>
          <w:rFonts w:ascii="宋体" w:hAnsi="宋体" w:cs="Arial"/>
          <w:highlight w:val="none"/>
        </w:rPr>
        <w:t>附表3-4</w:t>
      </w:r>
    </w:p>
    <w:tbl>
      <w:tblPr>
        <w:tblStyle w:val="27"/>
        <w:tblW w:w="5000" w:type="pct"/>
        <w:tblInd w:w="0" w:type="dxa"/>
        <w:tblLayout w:type="autofit"/>
        <w:tblCellMar>
          <w:top w:w="0" w:type="dxa"/>
          <w:left w:w="108" w:type="dxa"/>
          <w:bottom w:w="0" w:type="dxa"/>
          <w:right w:w="108" w:type="dxa"/>
        </w:tblCellMar>
      </w:tblPr>
      <w:tblGrid>
        <w:gridCol w:w="1325"/>
        <w:gridCol w:w="4004"/>
        <w:gridCol w:w="1365"/>
        <w:gridCol w:w="2591"/>
      </w:tblGrid>
      <w:tr>
        <w:tblPrEx>
          <w:tblCellMar>
            <w:top w:w="0" w:type="dxa"/>
            <w:left w:w="108" w:type="dxa"/>
            <w:bottom w:w="0" w:type="dxa"/>
            <w:right w:w="108" w:type="dxa"/>
          </w:tblCellMar>
        </w:tblPrEx>
        <w:trPr>
          <w:trHeight w:val="1060" w:hRule="atLeast"/>
        </w:trPr>
        <w:tc>
          <w:tcPr>
            <w:tcW w:w="5000" w:type="pct"/>
            <w:gridSpan w:val="4"/>
            <w:tcBorders>
              <w:top w:val="nil"/>
              <w:left w:val="nil"/>
              <w:bottom w:val="nil"/>
              <w:right w:val="nil"/>
              <w:tl2br w:val="nil"/>
              <w:tr2bl w:val="nil"/>
            </w:tcBorders>
            <w:noWrap/>
            <w:vAlign w:val="center"/>
          </w:tcPr>
          <w:p>
            <w:pPr>
              <w:spacing w:line="240" w:lineRule="auto"/>
              <w:jc w:val="center"/>
              <w:textAlignment w:val="center"/>
              <w:rPr>
                <w:rFonts w:ascii="宋体" w:hAnsi="宋体" w:cs="宋体"/>
                <w:b/>
                <w:sz w:val="28"/>
                <w:szCs w:val="28"/>
                <w:highlight w:val="none"/>
              </w:rPr>
            </w:pPr>
            <w:r>
              <w:rPr>
                <w:rFonts w:ascii="宋体" w:hAnsi="宋体" w:cs="宋体"/>
                <w:b/>
                <w:sz w:val="28"/>
                <w:szCs w:val="28"/>
                <w:highlight w:val="none"/>
                <w:lang w:bidi="ar"/>
              </w:rPr>
              <w:t>项目通水及严密性测试验收表(隐蔽前)</w:t>
            </w:r>
          </w:p>
        </w:tc>
      </w:tr>
      <w:tr>
        <w:tblPrEx>
          <w:tblCellMar>
            <w:top w:w="0" w:type="dxa"/>
            <w:left w:w="108" w:type="dxa"/>
            <w:bottom w:w="0" w:type="dxa"/>
            <w:right w:w="108" w:type="dxa"/>
          </w:tblCellMar>
        </w:tblPrEx>
        <w:trPr>
          <w:trHeight w:val="817" w:hRule="atLeast"/>
        </w:trPr>
        <w:tc>
          <w:tcPr>
            <w:tcW w:w="714" w:type="pct"/>
            <w:tcBorders>
              <w:top w:val="single" w:color="000000" w:sz="4" w:space="0"/>
              <w:left w:val="single" w:color="000000" w:sz="4" w:space="0"/>
              <w:bottom w:val="nil"/>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项目名称、编号及合同编号</w:t>
            </w:r>
          </w:p>
        </w:tc>
        <w:tc>
          <w:tcPr>
            <w:tcW w:w="4285" w:type="pct"/>
            <w:gridSpan w:val="3"/>
            <w:tcBorders>
              <w:top w:val="single" w:color="000000" w:sz="4" w:space="0"/>
              <w:left w:val="single" w:color="000000" w:sz="4" w:space="0"/>
              <w:bottom w:val="nil"/>
              <w:right w:val="single" w:color="000000" w:sz="4" w:space="0"/>
              <w:tl2br w:val="nil"/>
              <w:tr2bl w:val="nil"/>
            </w:tcBorders>
            <w:vAlign w:val="center"/>
          </w:tcPr>
          <w:p>
            <w:pPr>
              <w:spacing w:line="240" w:lineRule="auto"/>
              <w:ind w:left="0" w:firstLine="0"/>
              <w:jc w:val="left"/>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项目名称:</w:t>
            </w:r>
          </w:p>
          <w:p>
            <w:pPr>
              <w:spacing w:line="240" w:lineRule="auto"/>
              <w:ind w:left="0" w:firstLine="0"/>
              <w:jc w:val="left"/>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项目编号：</w:t>
            </w:r>
          </w:p>
          <w:p>
            <w:pPr>
              <w:spacing w:line="240" w:lineRule="auto"/>
              <w:ind w:left="0" w:firstLine="0"/>
              <w:jc w:val="left"/>
              <w:textAlignment w:val="center"/>
              <w:rPr>
                <w:rFonts w:ascii="宋体" w:hAnsi="宋体" w:cs="宋体"/>
                <w:sz w:val="18"/>
                <w:szCs w:val="18"/>
                <w:highlight w:val="none"/>
              </w:rPr>
            </w:pPr>
            <w:r>
              <w:rPr>
                <w:rFonts w:ascii="宋体" w:hAnsi="宋体" w:cs="宋体"/>
                <w:sz w:val="18"/>
                <w:szCs w:val="18"/>
                <w:highlight w:val="none"/>
                <w:lang w:bidi="ar"/>
              </w:rPr>
              <w:t>合同编号：</w:t>
            </w:r>
          </w:p>
        </w:tc>
      </w:tr>
      <w:tr>
        <w:tblPrEx>
          <w:tblCellMar>
            <w:top w:w="0" w:type="dxa"/>
            <w:left w:w="108" w:type="dxa"/>
            <w:bottom w:w="0" w:type="dxa"/>
            <w:right w:w="108" w:type="dxa"/>
          </w:tblCellMar>
        </w:tblPrEx>
        <w:trPr>
          <w:trHeight w:val="432" w:hRule="atLeast"/>
        </w:trPr>
        <w:tc>
          <w:tcPr>
            <w:tcW w:w="714" w:type="pct"/>
            <w:tcBorders>
              <w:top w:val="single" w:color="000000" w:sz="4" w:space="0"/>
              <w:left w:val="single" w:color="000000" w:sz="4" w:space="0"/>
              <w:bottom w:val="nil"/>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项目地点</w:t>
            </w:r>
          </w:p>
        </w:tc>
        <w:tc>
          <w:tcPr>
            <w:tcW w:w="2156" w:type="pct"/>
            <w:tcBorders>
              <w:top w:val="single" w:color="000000" w:sz="4" w:space="0"/>
              <w:left w:val="single" w:color="000000" w:sz="4" w:space="0"/>
              <w:bottom w:val="nil"/>
              <w:right w:val="single" w:color="000000" w:sz="4" w:space="0"/>
              <w:tl2br w:val="nil"/>
              <w:tr2bl w:val="nil"/>
            </w:tcBorders>
            <w:vAlign w:val="center"/>
          </w:tcPr>
          <w:p>
            <w:pPr>
              <w:spacing w:line="240" w:lineRule="auto"/>
              <w:rPr>
                <w:rFonts w:ascii="宋体" w:hAnsi="宋体" w:cs="宋体"/>
                <w:sz w:val="18"/>
                <w:szCs w:val="18"/>
                <w:highlight w:val="none"/>
              </w:rPr>
            </w:pPr>
          </w:p>
        </w:tc>
        <w:tc>
          <w:tcPr>
            <w:tcW w:w="735" w:type="pct"/>
            <w:tcBorders>
              <w:top w:val="single" w:color="000000" w:sz="4" w:space="0"/>
              <w:left w:val="single" w:color="000000" w:sz="4" w:space="0"/>
              <w:bottom w:val="nil"/>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工程数量</w:t>
            </w:r>
          </w:p>
        </w:tc>
        <w:tc>
          <w:tcPr>
            <w:tcW w:w="1394"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rPr>
                <w:rFonts w:ascii="宋体" w:hAnsi="宋体" w:cs="宋体"/>
                <w:sz w:val="18"/>
                <w:szCs w:val="18"/>
                <w:highlight w:val="none"/>
              </w:rPr>
            </w:pPr>
          </w:p>
        </w:tc>
      </w:tr>
      <w:tr>
        <w:tblPrEx>
          <w:tblCellMar>
            <w:top w:w="0" w:type="dxa"/>
            <w:left w:w="108" w:type="dxa"/>
            <w:bottom w:w="0" w:type="dxa"/>
            <w:right w:w="108" w:type="dxa"/>
          </w:tblCellMar>
        </w:tblPrEx>
        <w:trPr>
          <w:trHeight w:val="282" w:hRule="atLeast"/>
        </w:trPr>
        <w:tc>
          <w:tcPr>
            <w:tcW w:w="714" w:type="pct"/>
            <w:tcBorders>
              <w:top w:val="single" w:color="000000" w:sz="4" w:space="0"/>
              <w:left w:val="single" w:color="000000" w:sz="4" w:space="0"/>
              <w:bottom w:val="nil"/>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施工单位</w:t>
            </w:r>
          </w:p>
        </w:tc>
        <w:tc>
          <w:tcPr>
            <w:tcW w:w="4285" w:type="pct"/>
            <w:gridSpan w:val="3"/>
            <w:tcBorders>
              <w:top w:val="single" w:color="000000" w:sz="4" w:space="0"/>
              <w:left w:val="single" w:color="000000" w:sz="4" w:space="0"/>
              <w:bottom w:val="nil"/>
              <w:right w:val="single" w:color="000000" w:sz="4" w:space="0"/>
              <w:tl2br w:val="nil"/>
              <w:tr2bl w:val="nil"/>
            </w:tcBorders>
            <w:vAlign w:val="center"/>
          </w:tcPr>
          <w:p>
            <w:pPr>
              <w:spacing w:line="240" w:lineRule="auto"/>
              <w:jc w:val="left"/>
              <w:rPr>
                <w:rFonts w:ascii="宋体" w:hAnsi="宋体" w:cs="宋体"/>
                <w:sz w:val="18"/>
                <w:szCs w:val="18"/>
                <w:highlight w:val="none"/>
              </w:rPr>
            </w:pPr>
          </w:p>
        </w:tc>
      </w:tr>
      <w:tr>
        <w:tblPrEx>
          <w:tblCellMar>
            <w:top w:w="0" w:type="dxa"/>
            <w:left w:w="108" w:type="dxa"/>
            <w:bottom w:w="0" w:type="dxa"/>
            <w:right w:w="108" w:type="dxa"/>
          </w:tblCellMar>
        </w:tblPrEx>
        <w:trPr>
          <w:trHeight w:val="200" w:hRule="atLeast"/>
        </w:trPr>
        <w:tc>
          <w:tcPr>
            <w:tcW w:w="714" w:type="pct"/>
            <w:tcBorders>
              <w:top w:val="single" w:color="000000" w:sz="4" w:space="0"/>
              <w:left w:val="single" w:color="000000" w:sz="4" w:space="0"/>
              <w:bottom w:val="nil"/>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验收单位</w:t>
            </w:r>
          </w:p>
        </w:tc>
        <w:tc>
          <w:tcPr>
            <w:tcW w:w="4285" w:type="pct"/>
            <w:gridSpan w:val="3"/>
            <w:tcBorders>
              <w:top w:val="single" w:color="000000" w:sz="4" w:space="0"/>
              <w:left w:val="single" w:color="000000" w:sz="4" w:space="0"/>
              <w:bottom w:val="nil"/>
              <w:right w:val="single" w:color="000000" w:sz="4" w:space="0"/>
              <w:tl2br w:val="nil"/>
              <w:tr2bl w:val="nil"/>
            </w:tcBorders>
            <w:vAlign w:val="center"/>
          </w:tcPr>
          <w:p>
            <w:pPr>
              <w:spacing w:line="240" w:lineRule="auto"/>
              <w:jc w:val="left"/>
              <w:rPr>
                <w:rFonts w:ascii="宋体" w:hAnsi="宋体" w:cs="宋体"/>
                <w:sz w:val="18"/>
                <w:szCs w:val="18"/>
                <w:highlight w:val="none"/>
              </w:rPr>
            </w:pPr>
          </w:p>
        </w:tc>
      </w:tr>
      <w:tr>
        <w:tblPrEx>
          <w:tblCellMar>
            <w:top w:w="0" w:type="dxa"/>
            <w:left w:w="108" w:type="dxa"/>
            <w:bottom w:w="0" w:type="dxa"/>
            <w:right w:w="108" w:type="dxa"/>
          </w:tblCellMar>
        </w:tblPrEx>
        <w:trPr>
          <w:trHeight w:val="432" w:hRule="atLeast"/>
        </w:trPr>
        <w:tc>
          <w:tcPr>
            <w:tcW w:w="5000" w:type="pct"/>
            <w:gridSpan w:val="4"/>
            <w:tcBorders>
              <w:top w:val="single" w:color="000000" w:sz="4" w:space="0"/>
              <w:left w:val="single" w:color="000000" w:sz="4" w:space="0"/>
              <w:bottom w:val="nil"/>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项目通水及严密性测试验收结论</w:t>
            </w:r>
          </w:p>
        </w:tc>
      </w:tr>
      <w:tr>
        <w:tblPrEx>
          <w:tblCellMar>
            <w:top w:w="0" w:type="dxa"/>
            <w:left w:w="108" w:type="dxa"/>
            <w:bottom w:w="0" w:type="dxa"/>
            <w:right w:w="108" w:type="dxa"/>
          </w:tblCellMar>
        </w:tblPrEx>
        <w:trPr>
          <w:trHeight w:val="2080" w:hRule="atLeast"/>
        </w:trPr>
        <w:tc>
          <w:tcPr>
            <w:tcW w:w="5000" w:type="pct"/>
            <w:gridSpan w:val="4"/>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left"/>
              <w:rPr>
                <w:rFonts w:ascii="宋体" w:hAnsi="宋体" w:cs="宋体"/>
                <w:sz w:val="18"/>
                <w:szCs w:val="18"/>
                <w:highlight w:val="none"/>
              </w:rPr>
            </w:pPr>
          </w:p>
        </w:tc>
      </w:tr>
      <w:tr>
        <w:tblPrEx>
          <w:tblCellMar>
            <w:top w:w="0" w:type="dxa"/>
            <w:left w:w="108" w:type="dxa"/>
            <w:bottom w:w="0" w:type="dxa"/>
            <w:right w:w="108" w:type="dxa"/>
          </w:tblCellMar>
        </w:tblPrEx>
        <w:trPr>
          <w:trHeight w:val="800" w:hRule="atLeast"/>
        </w:trPr>
        <w:tc>
          <w:tcPr>
            <w:tcW w:w="714" w:type="pct"/>
            <w:vMerge w:val="restart"/>
            <w:tcBorders>
              <w:top w:val="single" w:color="000000" w:sz="4" w:space="0"/>
              <w:left w:val="single" w:color="000000" w:sz="4" w:space="0"/>
              <w:bottom w:val="single" w:color="000000" w:sz="4" w:space="0"/>
              <w:right w:val="nil"/>
              <w:tl2br w:val="nil"/>
              <w:tr2bl w:val="nil"/>
            </w:tcBorders>
            <w:noWrap/>
            <w:vAlign w:val="center"/>
          </w:tcPr>
          <w:p>
            <w:pPr>
              <w:spacing w:line="240" w:lineRule="auto"/>
              <w:jc w:val="center"/>
              <w:textAlignment w:val="center"/>
              <w:rPr>
                <w:rFonts w:ascii="宋体" w:hAnsi="宋体" w:cs="宋体"/>
                <w:b/>
                <w:sz w:val="18"/>
                <w:szCs w:val="18"/>
                <w:highlight w:val="none"/>
              </w:rPr>
            </w:pPr>
            <w:r>
              <w:rPr>
                <w:rFonts w:ascii="宋体" w:hAnsi="宋体" w:cs="宋体"/>
                <w:b/>
                <w:sz w:val="18"/>
                <w:szCs w:val="18"/>
                <w:highlight w:val="none"/>
                <w:lang w:bidi="ar"/>
              </w:rPr>
              <w:t>施工单位</w:t>
            </w:r>
          </w:p>
        </w:tc>
        <w:tc>
          <w:tcPr>
            <w:tcW w:w="215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施工人员：</w:t>
            </w:r>
          </w:p>
        </w:tc>
        <w:tc>
          <w:tcPr>
            <w:tcW w:w="2129"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r>
        <w:tblPrEx>
          <w:tblCellMar>
            <w:top w:w="0" w:type="dxa"/>
            <w:left w:w="108" w:type="dxa"/>
            <w:bottom w:w="0" w:type="dxa"/>
            <w:right w:w="108" w:type="dxa"/>
          </w:tblCellMar>
        </w:tblPrEx>
        <w:trPr>
          <w:trHeight w:val="800" w:hRule="atLeast"/>
        </w:trPr>
        <w:tc>
          <w:tcPr>
            <w:tcW w:w="714" w:type="pct"/>
            <w:vMerge w:val="continue"/>
            <w:tcBorders>
              <w:top w:val="single" w:color="000000" w:sz="4" w:space="0"/>
              <w:left w:val="single" w:color="000000" w:sz="4" w:space="0"/>
              <w:bottom w:val="single" w:color="000000" w:sz="4" w:space="0"/>
              <w:right w:val="nil"/>
              <w:tl2br w:val="nil"/>
              <w:tr2bl w:val="nil"/>
            </w:tcBorders>
            <w:noWrap/>
            <w:vAlign w:val="center"/>
          </w:tcPr>
          <w:p>
            <w:pPr>
              <w:spacing w:line="240" w:lineRule="auto"/>
              <w:jc w:val="center"/>
              <w:rPr>
                <w:rFonts w:ascii="宋体" w:hAnsi="宋体" w:cs="宋体"/>
                <w:b/>
                <w:sz w:val="18"/>
                <w:szCs w:val="18"/>
                <w:highlight w:val="none"/>
              </w:rPr>
            </w:pPr>
          </w:p>
        </w:tc>
        <w:tc>
          <w:tcPr>
            <w:tcW w:w="215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项目负责人：</w:t>
            </w:r>
          </w:p>
        </w:tc>
        <w:tc>
          <w:tcPr>
            <w:tcW w:w="2129"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r>
        <w:tblPrEx>
          <w:tblCellMar>
            <w:top w:w="0" w:type="dxa"/>
            <w:left w:w="108" w:type="dxa"/>
            <w:bottom w:w="0" w:type="dxa"/>
            <w:right w:w="108" w:type="dxa"/>
          </w:tblCellMar>
        </w:tblPrEx>
        <w:trPr>
          <w:trHeight w:val="800" w:hRule="atLeast"/>
        </w:trPr>
        <w:tc>
          <w:tcPr>
            <w:tcW w:w="714" w:type="pct"/>
            <w:vMerge w:val="restart"/>
            <w:tcBorders>
              <w:top w:val="single" w:color="000000" w:sz="4" w:space="0"/>
              <w:left w:val="single" w:color="000000" w:sz="4" w:space="0"/>
              <w:bottom w:val="single" w:color="000000" w:sz="4" w:space="0"/>
              <w:right w:val="nil"/>
              <w:tl2br w:val="nil"/>
              <w:tr2bl w:val="nil"/>
            </w:tcBorders>
            <w:noWrap/>
            <w:vAlign w:val="center"/>
          </w:tcPr>
          <w:p>
            <w:pPr>
              <w:spacing w:line="240" w:lineRule="auto"/>
              <w:jc w:val="center"/>
              <w:textAlignment w:val="center"/>
              <w:rPr>
                <w:rFonts w:ascii="宋体" w:hAnsi="宋体" w:cs="宋体"/>
                <w:b/>
                <w:sz w:val="18"/>
                <w:szCs w:val="18"/>
                <w:highlight w:val="none"/>
              </w:rPr>
            </w:pPr>
            <w:r>
              <w:rPr>
                <w:rFonts w:ascii="宋体" w:hAnsi="宋体" w:cs="宋体"/>
                <w:b/>
                <w:sz w:val="18"/>
                <w:szCs w:val="18"/>
                <w:highlight w:val="none"/>
                <w:lang w:bidi="ar"/>
              </w:rPr>
              <w:t>验收单位</w:t>
            </w:r>
          </w:p>
        </w:tc>
        <w:tc>
          <w:tcPr>
            <w:tcW w:w="215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工班长：</w:t>
            </w:r>
          </w:p>
        </w:tc>
        <w:tc>
          <w:tcPr>
            <w:tcW w:w="2129"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r>
        <w:tblPrEx>
          <w:tblCellMar>
            <w:top w:w="0" w:type="dxa"/>
            <w:left w:w="108" w:type="dxa"/>
            <w:bottom w:w="0" w:type="dxa"/>
            <w:right w:w="108" w:type="dxa"/>
          </w:tblCellMar>
        </w:tblPrEx>
        <w:trPr>
          <w:trHeight w:val="800" w:hRule="atLeast"/>
        </w:trPr>
        <w:tc>
          <w:tcPr>
            <w:tcW w:w="714" w:type="pct"/>
            <w:vMerge w:val="continue"/>
            <w:tcBorders>
              <w:top w:val="single" w:color="000000" w:sz="4" w:space="0"/>
              <w:left w:val="single" w:color="000000" w:sz="4" w:space="0"/>
              <w:bottom w:val="single" w:color="000000" w:sz="4" w:space="0"/>
              <w:right w:val="nil"/>
              <w:tl2br w:val="nil"/>
              <w:tr2bl w:val="nil"/>
            </w:tcBorders>
            <w:noWrap/>
            <w:vAlign w:val="center"/>
          </w:tcPr>
          <w:p>
            <w:pPr>
              <w:spacing w:line="240" w:lineRule="auto"/>
              <w:jc w:val="center"/>
              <w:rPr>
                <w:rFonts w:ascii="宋体" w:hAnsi="宋体" w:cs="宋体"/>
                <w:b/>
                <w:sz w:val="18"/>
                <w:szCs w:val="18"/>
                <w:highlight w:val="none"/>
              </w:rPr>
            </w:pPr>
          </w:p>
        </w:tc>
        <w:tc>
          <w:tcPr>
            <w:tcW w:w="215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技术主办：</w:t>
            </w:r>
          </w:p>
        </w:tc>
        <w:tc>
          <w:tcPr>
            <w:tcW w:w="2129"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bl>
    <w:p>
      <w:pPr>
        <w:spacing w:line="240" w:lineRule="auto"/>
        <w:rPr>
          <w:highlight w:val="none"/>
        </w:rPr>
      </w:pPr>
      <w:r>
        <w:rPr>
          <w:rFonts w:ascii="宋体"/>
          <w:highlight w:val="none"/>
        </w:rPr>
        <w:br w:type="page"/>
      </w:r>
    </w:p>
    <w:p>
      <w:pPr>
        <w:spacing w:before="0" w:after="0" w:afterAutospacing="0"/>
        <w:ind w:left="0" w:right="0" w:firstLine="0"/>
        <w:rPr>
          <w:rFonts w:ascii="宋体" w:hAnsi="宋体" w:cs="Arial"/>
          <w:highlight w:val="none"/>
        </w:rPr>
      </w:pPr>
      <w:r>
        <w:rPr>
          <w:rFonts w:ascii="宋体" w:hAnsi="宋体" w:cs="Arial"/>
          <w:highlight w:val="none"/>
        </w:rPr>
        <w:t>附表3-5</w:t>
      </w:r>
    </w:p>
    <w:tbl>
      <w:tblPr>
        <w:tblStyle w:val="27"/>
        <w:tblW w:w="5000" w:type="pct"/>
        <w:tblInd w:w="0" w:type="dxa"/>
        <w:tblLayout w:type="autofit"/>
        <w:tblCellMar>
          <w:top w:w="0" w:type="dxa"/>
          <w:left w:w="108" w:type="dxa"/>
          <w:bottom w:w="0" w:type="dxa"/>
          <w:right w:w="108" w:type="dxa"/>
        </w:tblCellMar>
      </w:tblPr>
      <w:tblGrid>
        <w:gridCol w:w="1406"/>
        <w:gridCol w:w="3343"/>
        <w:gridCol w:w="1552"/>
        <w:gridCol w:w="1534"/>
        <w:gridCol w:w="1450"/>
      </w:tblGrid>
      <w:tr>
        <w:tblPrEx>
          <w:tblCellMar>
            <w:top w:w="0" w:type="dxa"/>
            <w:left w:w="108" w:type="dxa"/>
            <w:bottom w:w="0" w:type="dxa"/>
            <w:right w:w="108" w:type="dxa"/>
          </w:tblCellMar>
        </w:tblPrEx>
        <w:trPr>
          <w:trHeight w:val="940" w:hRule="atLeast"/>
        </w:trPr>
        <w:tc>
          <w:tcPr>
            <w:tcW w:w="5000" w:type="pct"/>
            <w:gridSpan w:val="5"/>
            <w:tcBorders>
              <w:top w:val="nil"/>
              <w:left w:val="nil"/>
              <w:bottom w:val="nil"/>
              <w:right w:val="nil"/>
              <w:tl2br w:val="nil"/>
              <w:tr2bl w:val="nil"/>
            </w:tcBorders>
            <w:noWrap/>
            <w:vAlign w:val="center"/>
          </w:tcPr>
          <w:p>
            <w:pPr>
              <w:spacing w:line="240" w:lineRule="auto"/>
              <w:jc w:val="center"/>
              <w:textAlignment w:val="center"/>
              <w:rPr>
                <w:rFonts w:ascii="宋体" w:hAnsi="宋体" w:cs="宋体"/>
                <w:b/>
                <w:sz w:val="28"/>
                <w:szCs w:val="28"/>
                <w:highlight w:val="none"/>
              </w:rPr>
            </w:pPr>
            <w:r>
              <w:rPr>
                <w:rFonts w:ascii="宋体" w:hAnsi="宋体" w:cs="宋体"/>
                <w:b/>
                <w:sz w:val="28"/>
                <w:szCs w:val="28"/>
                <w:highlight w:val="none"/>
                <w:lang w:bidi="ar"/>
              </w:rPr>
              <w:t>项目隐蔽工程检查表</w:t>
            </w:r>
          </w:p>
        </w:tc>
      </w:tr>
      <w:tr>
        <w:tblPrEx>
          <w:tblCellMar>
            <w:top w:w="0" w:type="dxa"/>
            <w:left w:w="108" w:type="dxa"/>
            <w:bottom w:w="0" w:type="dxa"/>
            <w:right w:w="108" w:type="dxa"/>
          </w:tblCellMar>
        </w:tblPrEx>
        <w:trPr>
          <w:trHeight w:val="900" w:hRule="atLeast"/>
        </w:trPr>
        <w:tc>
          <w:tcPr>
            <w:tcW w:w="757" w:type="pct"/>
            <w:tcBorders>
              <w:top w:val="single" w:color="000000" w:sz="4" w:space="0"/>
              <w:left w:val="single" w:color="000000" w:sz="4" w:space="0"/>
              <w:bottom w:val="nil"/>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项目名称、编号及合同编号</w:t>
            </w:r>
          </w:p>
        </w:tc>
        <w:tc>
          <w:tcPr>
            <w:tcW w:w="4242" w:type="pct"/>
            <w:gridSpan w:val="4"/>
            <w:tcBorders>
              <w:top w:val="single" w:color="000000" w:sz="4" w:space="0"/>
              <w:left w:val="single" w:color="000000" w:sz="4" w:space="0"/>
              <w:bottom w:val="nil"/>
              <w:right w:val="single" w:color="000000" w:sz="4" w:space="0"/>
              <w:tl2br w:val="nil"/>
              <w:tr2bl w:val="nil"/>
            </w:tcBorders>
            <w:vAlign w:val="center"/>
          </w:tcPr>
          <w:p>
            <w:pPr>
              <w:spacing w:line="240" w:lineRule="auto"/>
              <w:ind w:left="0" w:firstLine="0"/>
              <w:jc w:val="left"/>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项目名称：</w:t>
            </w:r>
          </w:p>
          <w:p>
            <w:pPr>
              <w:spacing w:line="240" w:lineRule="auto"/>
              <w:ind w:left="0" w:firstLine="0"/>
              <w:jc w:val="left"/>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项目编号：</w:t>
            </w:r>
          </w:p>
          <w:p>
            <w:pPr>
              <w:spacing w:line="240" w:lineRule="auto"/>
              <w:ind w:left="0" w:firstLine="0"/>
              <w:jc w:val="left"/>
              <w:textAlignment w:val="center"/>
              <w:rPr>
                <w:rFonts w:ascii="宋体" w:hAnsi="宋体" w:cs="宋体"/>
                <w:sz w:val="18"/>
                <w:szCs w:val="18"/>
                <w:highlight w:val="none"/>
              </w:rPr>
            </w:pPr>
            <w:r>
              <w:rPr>
                <w:rFonts w:ascii="宋体" w:hAnsi="宋体" w:cs="宋体"/>
                <w:sz w:val="18"/>
                <w:szCs w:val="18"/>
                <w:highlight w:val="none"/>
                <w:lang w:bidi="ar"/>
              </w:rPr>
              <w:t>合同编号：</w:t>
            </w:r>
          </w:p>
        </w:tc>
      </w:tr>
      <w:tr>
        <w:tblPrEx>
          <w:tblCellMar>
            <w:top w:w="0" w:type="dxa"/>
            <w:left w:w="108" w:type="dxa"/>
            <w:bottom w:w="0" w:type="dxa"/>
            <w:right w:w="108" w:type="dxa"/>
          </w:tblCellMar>
        </w:tblPrEx>
        <w:trPr>
          <w:trHeight w:val="90" w:hRule="atLeast"/>
        </w:trPr>
        <w:tc>
          <w:tcPr>
            <w:tcW w:w="757" w:type="pct"/>
            <w:tcBorders>
              <w:top w:val="single" w:color="000000" w:sz="4" w:space="0"/>
              <w:left w:val="single" w:color="000000" w:sz="4" w:space="0"/>
              <w:bottom w:val="nil"/>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项目地点</w:t>
            </w:r>
          </w:p>
        </w:tc>
        <w:tc>
          <w:tcPr>
            <w:tcW w:w="1800" w:type="pct"/>
            <w:tcBorders>
              <w:top w:val="single" w:color="000000" w:sz="4" w:space="0"/>
              <w:left w:val="single" w:color="000000" w:sz="4" w:space="0"/>
              <w:bottom w:val="nil"/>
              <w:right w:val="single" w:color="000000" w:sz="4" w:space="0"/>
              <w:tl2br w:val="nil"/>
              <w:tr2bl w:val="nil"/>
            </w:tcBorders>
            <w:vAlign w:val="center"/>
          </w:tcPr>
          <w:p>
            <w:pPr>
              <w:spacing w:line="240" w:lineRule="auto"/>
              <w:rPr>
                <w:rFonts w:ascii="宋体" w:hAnsi="宋体" w:cs="宋体"/>
                <w:sz w:val="18"/>
                <w:szCs w:val="18"/>
                <w:highlight w:val="none"/>
              </w:rPr>
            </w:pPr>
          </w:p>
        </w:tc>
        <w:tc>
          <w:tcPr>
            <w:tcW w:w="836" w:type="pct"/>
            <w:tcBorders>
              <w:top w:val="single" w:color="000000" w:sz="4" w:space="0"/>
              <w:left w:val="single" w:color="000000" w:sz="4" w:space="0"/>
              <w:bottom w:val="nil"/>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工程数量</w:t>
            </w:r>
          </w:p>
        </w:tc>
        <w:tc>
          <w:tcPr>
            <w:tcW w:w="1606" w:type="pct"/>
            <w:gridSpan w:val="2"/>
            <w:tcBorders>
              <w:top w:val="single" w:color="000000" w:sz="4" w:space="0"/>
              <w:left w:val="single" w:color="000000" w:sz="4" w:space="0"/>
              <w:bottom w:val="nil"/>
              <w:right w:val="single" w:color="000000" w:sz="4" w:space="0"/>
              <w:tl2br w:val="nil"/>
              <w:tr2bl w:val="nil"/>
            </w:tcBorders>
            <w:vAlign w:val="center"/>
          </w:tcPr>
          <w:p>
            <w:pPr>
              <w:spacing w:line="240" w:lineRule="auto"/>
              <w:jc w:val="center"/>
              <w:rPr>
                <w:rFonts w:ascii="宋体" w:hAnsi="宋体" w:cs="宋体"/>
                <w:sz w:val="18"/>
                <w:szCs w:val="18"/>
                <w:highlight w:val="none"/>
              </w:rPr>
            </w:pPr>
          </w:p>
        </w:tc>
      </w:tr>
      <w:tr>
        <w:tblPrEx>
          <w:tblCellMar>
            <w:top w:w="0" w:type="dxa"/>
            <w:left w:w="108" w:type="dxa"/>
            <w:bottom w:w="0" w:type="dxa"/>
            <w:right w:w="108" w:type="dxa"/>
          </w:tblCellMar>
        </w:tblPrEx>
        <w:trPr>
          <w:trHeight w:val="90" w:hRule="atLeast"/>
        </w:trPr>
        <w:tc>
          <w:tcPr>
            <w:tcW w:w="757"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施工单位</w:t>
            </w:r>
          </w:p>
        </w:tc>
        <w:tc>
          <w:tcPr>
            <w:tcW w:w="4242" w:type="pct"/>
            <w:gridSpan w:val="4"/>
            <w:tcBorders>
              <w:top w:val="single" w:color="000000" w:sz="4" w:space="0"/>
              <w:left w:val="single" w:color="000000" w:sz="4" w:space="0"/>
              <w:bottom w:val="nil"/>
              <w:right w:val="single" w:color="000000" w:sz="4" w:space="0"/>
              <w:tl2br w:val="nil"/>
              <w:tr2bl w:val="nil"/>
            </w:tcBorders>
            <w:vAlign w:val="center"/>
          </w:tcPr>
          <w:p>
            <w:pPr>
              <w:spacing w:line="240" w:lineRule="auto"/>
              <w:jc w:val="left"/>
              <w:rPr>
                <w:rFonts w:ascii="宋体" w:hAnsi="宋体" w:cs="宋体"/>
                <w:sz w:val="18"/>
                <w:szCs w:val="18"/>
                <w:highlight w:val="none"/>
              </w:rPr>
            </w:pPr>
          </w:p>
        </w:tc>
      </w:tr>
      <w:tr>
        <w:tblPrEx>
          <w:tblCellMar>
            <w:top w:w="0" w:type="dxa"/>
            <w:left w:w="108" w:type="dxa"/>
            <w:bottom w:w="0" w:type="dxa"/>
            <w:right w:w="108" w:type="dxa"/>
          </w:tblCellMar>
        </w:tblPrEx>
        <w:trPr>
          <w:trHeight w:val="90" w:hRule="atLeast"/>
        </w:trPr>
        <w:tc>
          <w:tcPr>
            <w:tcW w:w="757"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检查单位</w:t>
            </w:r>
          </w:p>
        </w:tc>
        <w:tc>
          <w:tcPr>
            <w:tcW w:w="4242" w:type="pct"/>
            <w:gridSpan w:val="4"/>
            <w:tcBorders>
              <w:top w:val="single" w:color="000000" w:sz="4" w:space="0"/>
              <w:left w:val="single" w:color="000000" w:sz="4" w:space="0"/>
              <w:bottom w:val="nil"/>
              <w:right w:val="single" w:color="000000" w:sz="4" w:space="0"/>
              <w:tl2br w:val="nil"/>
              <w:tr2bl w:val="nil"/>
            </w:tcBorders>
            <w:vAlign w:val="center"/>
          </w:tcPr>
          <w:p>
            <w:pPr>
              <w:spacing w:line="240" w:lineRule="auto"/>
              <w:jc w:val="left"/>
              <w:rPr>
                <w:rFonts w:ascii="宋体" w:hAnsi="宋体" w:cs="宋体"/>
                <w:sz w:val="18"/>
                <w:szCs w:val="18"/>
                <w:highlight w:val="none"/>
              </w:rPr>
            </w:pPr>
          </w:p>
        </w:tc>
      </w:tr>
      <w:tr>
        <w:tblPrEx>
          <w:tblCellMar>
            <w:top w:w="0" w:type="dxa"/>
            <w:left w:w="108" w:type="dxa"/>
            <w:bottom w:w="0" w:type="dxa"/>
            <w:right w:w="108" w:type="dxa"/>
          </w:tblCellMar>
        </w:tblPrEx>
        <w:trPr>
          <w:trHeight w:val="282" w:hRule="atLeast"/>
        </w:trPr>
        <w:tc>
          <w:tcPr>
            <w:tcW w:w="757" w:type="pct"/>
            <w:tcBorders>
              <w:top w:val="single" w:color="000000" w:sz="4" w:space="0"/>
              <w:left w:val="single" w:color="000000" w:sz="4" w:space="0"/>
              <w:bottom w:val="nil"/>
              <w:right w:val="nil"/>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质量控制资料</w:t>
            </w:r>
          </w:p>
        </w:tc>
        <w:tc>
          <w:tcPr>
            <w:tcW w:w="180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项目通水及严密性测试验收表(隐蔽前)</w:t>
            </w:r>
          </w:p>
        </w:tc>
        <w:tc>
          <w:tcPr>
            <w:tcW w:w="836"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是否完成</w:t>
            </w:r>
          </w:p>
        </w:tc>
        <w:tc>
          <w:tcPr>
            <w:tcW w:w="1606"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是</w:t>
            </w:r>
            <w:r>
              <w:rPr>
                <w:rStyle w:val="71"/>
                <w:color w:val="auto"/>
                <w:sz w:val="18"/>
                <w:szCs w:val="18"/>
                <w:highlight w:val="none"/>
                <w:lang w:bidi="ar"/>
              </w:rPr>
              <w:t></w:t>
            </w:r>
            <w:r>
              <w:rPr>
                <w:rFonts w:ascii="宋体" w:hAnsi="宋体" w:cs="宋体"/>
                <w:sz w:val="18"/>
                <w:szCs w:val="18"/>
                <w:highlight w:val="none"/>
                <w:lang w:bidi="ar"/>
              </w:rPr>
              <w:t xml:space="preserve"> 否</w:t>
            </w:r>
            <w:r>
              <w:rPr>
                <w:rStyle w:val="71"/>
                <w:color w:val="auto"/>
                <w:sz w:val="18"/>
                <w:szCs w:val="18"/>
                <w:highlight w:val="none"/>
                <w:lang w:bidi="ar"/>
              </w:rPr>
              <w:t></w:t>
            </w:r>
          </w:p>
        </w:tc>
      </w:tr>
      <w:tr>
        <w:tblPrEx>
          <w:tblCellMar>
            <w:top w:w="0" w:type="dxa"/>
            <w:left w:w="108" w:type="dxa"/>
            <w:bottom w:w="0" w:type="dxa"/>
            <w:right w:w="108" w:type="dxa"/>
          </w:tblCellMar>
        </w:tblPrEx>
        <w:trPr>
          <w:trHeight w:val="90" w:hRule="atLeast"/>
        </w:trPr>
        <w:tc>
          <w:tcPr>
            <w:tcW w:w="757"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序号</w:t>
            </w:r>
          </w:p>
        </w:tc>
        <w:tc>
          <w:tcPr>
            <w:tcW w:w="180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隐蔽工程检查内容</w:t>
            </w:r>
          </w:p>
        </w:tc>
        <w:tc>
          <w:tcPr>
            <w:tcW w:w="836"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检查结果</w:t>
            </w:r>
          </w:p>
        </w:tc>
        <w:tc>
          <w:tcPr>
            <w:tcW w:w="826"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jc w:val="center"/>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检查人员</w:t>
            </w:r>
          </w:p>
          <w:p>
            <w:pPr>
              <w:spacing w:line="240" w:lineRule="auto"/>
              <w:ind w:left="0" w:firstLine="0"/>
              <w:jc w:val="center"/>
              <w:textAlignment w:val="center"/>
              <w:rPr>
                <w:rFonts w:ascii="宋体" w:hAnsi="宋体" w:cs="宋体"/>
                <w:sz w:val="18"/>
                <w:szCs w:val="18"/>
                <w:highlight w:val="none"/>
              </w:rPr>
            </w:pPr>
            <w:r>
              <w:rPr>
                <w:rFonts w:ascii="宋体" w:hAnsi="宋体" w:cs="宋体"/>
                <w:sz w:val="18"/>
                <w:szCs w:val="18"/>
                <w:highlight w:val="none"/>
                <w:lang w:bidi="ar"/>
              </w:rPr>
              <w:t>(签名/日期)</w:t>
            </w:r>
          </w:p>
        </w:tc>
        <w:tc>
          <w:tcPr>
            <w:tcW w:w="779"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备注</w:t>
            </w:r>
          </w:p>
        </w:tc>
      </w:tr>
      <w:tr>
        <w:tblPrEx>
          <w:tblCellMar>
            <w:top w:w="0" w:type="dxa"/>
            <w:left w:w="108" w:type="dxa"/>
            <w:bottom w:w="0" w:type="dxa"/>
            <w:right w:w="108" w:type="dxa"/>
          </w:tblCellMar>
        </w:tblPrEx>
        <w:trPr>
          <w:trHeight w:val="90" w:hRule="atLeast"/>
        </w:trPr>
        <w:tc>
          <w:tcPr>
            <w:tcW w:w="757"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1</w:t>
            </w:r>
          </w:p>
        </w:tc>
        <w:tc>
          <w:tcPr>
            <w:tcW w:w="180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管件在隐蔽前材质是否符合合同要求，未发生更换及损坏</w:t>
            </w:r>
          </w:p>
        </w:tc>
        <w:tc>
          <w:tcPr>
            <w:tcW w:w="142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是</w:t>
            </w:r>
            <w:r>
              <w:rPr>
                <w:rStyle w:val="71"/>
                <w:color w:val="auto"/>
                <w:sz w:val="18"/>
                <w:szCs w:val="18"/>
                <w:highlight w:val="none"/>
                <w:lang w:bidi="ar"/>
              </w:rPr>
              <w:t></w:t>
            </w:r>
            <w:r>
              <w:rPr>
                <w:rFonts w:ascii="宋体" w:hAnsi="宋体" w:cs="宋体"/>
                <w:sz w:val="18"/>
                <w:szCs w:val="18"/>
                <w:highlight w:val="none"/>
                <w:lang w:bidi="ar"/>
              </w:rPr>
              <w:t xml:space="preserve"> 否</w:t>
            </w:r>
            <w:r>
              <w:rPr>
                <w:rStyle w:val="71"/>
                <w:color w:val="auto"/>
                <w:sz w:val="18"/>
                <w:szCs w:val="18"/>
                <w:highlight w:val="none"/>
                <w:lang w:bidi="ar"/>
              </w:rPr>
              <w:t></w:t>
            </w:r>
          </w:p>
        </w:tc>
        <w:tc>
          <w:tcPr>
            <w:tcW w:w="82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779"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rPr>
                <w:rFonts w:ascii="宋体" w:hAnsi="宋体" w:cs="宋体"/>
                <w:sz w:val="18"/>
                <w:szCs w:val="18"/>
                <w:highlight w:val="none"/>
              </w:rPr>
            </w:pPr>
          </w:p>
        </w:tc>
      </w:tr>
      <w:tr>
        <w:tblPrEx>
          <w:tblCellMar>
            <w:top w:w="0" w:type="dxa"/>
            <w:left w:w="108" w:type="dxa"/>
            <w:bottom w:w="0" w:type="dxa"/>
            <w:right w:w="108" w:type="dxa"/>
          </w:tblCellMar>
        </w:tblPrEx>
        <w:trPr>
          <w:trHeight w:val="90" w:hRule="atLeast"/>
        </w:trPr>
        <w:tc>
          <w:tcPr>
            <w:tcW w:w="757"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2</w:t>
            </w:r>
          </w:p>
        </w:tc>
        <w:tc>
          <w:tcPr>
            <w:tcW w:w="180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阀体及管件在隐蔽前是否发生渗漏水情况</w:t>
            </w:r>
          </w:p>
        </w:tc>
        <w:tc>
          <w:tcPr>
            <w:tcW w:w="142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是</w:t>
            </w:r>
            <w:r>
              <w:rPr>
                <w:rStyle w:val="71"/>
                <w:color w:val="auto"/>
                <w:sz w:val="18"/>
                <w:szCs w:val="18"/>
                <w:highlight w:val="none"/>
                <w:lang w:bidi="ar"/>
              </w:rPr>
              <w:t></w:t>
            </w:r>
            <w:r>
              <w:rPr>
                <w:rFonts w:ascii="宋体" w:hAnsi="宋体" w:cs="宋体"/>
                <w:sz w:val="18"/>
                <w:szCs w:val="18"/>
                <w:highlight w:val="none"/>
                <w:lang w:bidi="ar"/>
              </w:rPr>
              <w:t xml:space="preserve"> 否</w:t>
            </w:r>
            <w:r>
              <w:rPr>
                <w:rStyle w:val="71"/>
                <w:color w:val="auto"/>
                <w:sz w:val="18"/>
                <w:szCs w:val="18"/>
                <w:highlight w:val="none"/>
                <w:lang w:bidi="ar"/>
              </w:rPr>
              <w:t></w:t>
            </w:r>
          </w:p>
        </w:tc>
        <w:tc>
          <w:tcPr>
            <w:tcW w:w="82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779"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rPr>
                <w:rFonts w:ascii="宋体" w:hAnsi="宋体" w:cs="宋体"/>
                <w:sz w:val="18"/>
                <w:szCs w:val="18"/>
                <w:highlight w:val="none"/>
              </w:rPr>
            </w:pPr>
          </w:p>
        </w:tc>
      </w:tr>
      <w:tr>
        <w:tblPrEx>
          <w:tblCellMar>
            <w:top w:w="0" w:type="dxa"/>
            <w:left w:w="108" w:type="dxa"/>
            <w:bottom w:w="0" w:type="dxa"/>
            <w:right w:w="108" w:type="dxa"/>
          </w:tblCellMar>
        </w:tblPrEx>
        <w:trPr>
          <w:trHeight w:val="90" w:hRule="atLeast"/>
        </w:trPr>
        <w:tc>
          <w:tcPr>
            <w:tcW w:w="757"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3</w:t>
            </w:r>
          </w:p>
        </w:tc>
        <w:tc>
          <w:tcPr>
            <w:tcW w:w="180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阀体及管件在隐蔽前是否安装紧固</w:t>
            </w:r>
          </w:p>
        </w:tc>
        <w:tc>
          <w:tcPr>
            <w:tcW w:w="142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是</w:t>
            </w:r>
            <w:r>
              <w:rPr>
                <w:rStyle w:val="71"/>
                <w:color w:val="auto"/>
                <w:sz w:val="18"/>
                <w:szCs w:val="18"/>
                <w:highlight w:val="none"/>
                <w:lang w:bidi="ar"/>
              </w:rPr>
              <w:t></w:t>
            </w:r>
            <w:r>
              <w:rPr>
                <w:rFonts w:ascii="宋体" w:hAnsi="宋体" w:cs="宋体"/>
                <w:sz w:val="18"/>
                <w:szCs w:val="18"/>
                <w:highlight w:val="none"/>
                <w:lang w:bidi="ar"/>
              </w:rPr>
              <w:t xml:space="preserve"> 否</w:t>
            </w:r>
            <w:r>
              <w:rPr>
                <w:rStyle w:val="71"/>
                <w:color w:val="auto"/>
                <w:sz w:val="18"/>
                <w:szCs w:val="18"/>
                <w:highlight w:val="none"/>
                <w:lang w:bidi="ar"/>
              </w:rPr>
              <w:t></w:t>
            </w:r>
          </w:p>
        </w:tc>
        <w:tc>
          <w:tcPr>
            <w:tcW w:w="82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779"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rPr>
                <w:rFonts w:ascii="宋体" w:hAnsi="宋体" w:cs="宋体"/>
                <w:sz w:val="18"/>
                <w:szCs w:val="18"/>
                <w:highlight w:val="none"/>
              </w:rPr>
            </w:pPr>
          </w:p>
        </w:tc>
      </w:tr>
      <w:tr>
        <w:tblPrEx>
          <w:tblCellMar>
            <w:top w:w="0" w:type="dxa"/>
            <w:left w:w="108" w:type="dxa"/>
            <w:bottom w:w="0" w:type="dxa"/>
            <w:right w:w="108" w:type="dxa"/>
          </w:tblCellMar>
        </w:tblPrEx>
        <w:trPr>
          <w:trHeight w:val="90" w:hRule="atLeast"/>
        </w:trPr>
        <w:tc>
          <w:tcPr>
            <w:tcW w:w="757"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4</w:t>
            </w:r>
          </w:p>
        </w:tc>
        <w:tc>
          <w:tcPr>
            <w:tcW w:w="180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阀体及管件在隐蔽过程中使用水泥填埋时是否平整</w:t>
            </w:r>
          </w:p>
        </w:tc>
        <w:tc>
          <w:tcPr>
            <w:tcW w:w="142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是</w:t>
            </w:r>
            <w:r>
              <w:rPr>
                <w:rStyle w:val="71"/>
                <w:color w:val="auto"/>
                <w:sz w:val="18"/>
                <w:szCs w:val="18"/>
                <w:highlight w:val="none"/>
                <w:lang w:bidi="ar"/>
              </w:rPr>
              <w:t></w:t>
            </w:r>
            <w:r>
              <w:rPr>
                <w:rFonts w:ascii="宋体" w:hAnsi="宋体" w:cs="宋体"/>
                <w:sz w:val="18"/>
                <w:szCs w:val="18"/>
                <w:highlight w:val="none"/>
                <w:lang w:bidi="ar"/>
              </w:rPr>
              <w:t xml:space="preserve"> 否</w:t>
            </w:r>
            <w:r>
              <w:rPr>
                <w:rStyle w:val="71"/>
                <w:color w:val="auto"/>
                <w:sz w:val="18"/>
                <w:szCs w:val="18"/>
                <w:highlight w:val="none"/>
                <w:lang w:bidi="ar"/>
              </w:rPr>
              <w:t></w:t>
            </w:r>
          </w:p>
        </w:tc>
        <w:tc>
          <w:tcPr>
            <w:tcW w:w="82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779"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rPr>
                <w:rFonts w:ascii="宋体" w:hAnsi="宋体" w:cs="宋体"/>
                <w:sz w:val="18"/>
                <w:szCs w:val="18"/>
                <w:highlight w:val="none"/>
              </w:rPr>
            </w:pPr>
          </w:p>
        </w:tc>
      </w:tr>
      <w:tr>
        <w:tblPrEx>
          <w:tblCellMar>
            <w:top w:w="0" w:type="dxa"/>
            <w:left w:w="108" w:type="dxa"/>
            <w:bottom w:w="0" w:type="dxa"/>
            <w:right w:w="108" w:type="dxa"/>
          </w:tblCellMar>
        </w:tblPrEx>
        <w:trPr>
          <w:trHeight w:val="90" w:hRule="atLeast"/>
        </w:trPr>
        <w:tc>
          <w:tcPr>
            <w:tcW w:w="757"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5</w:t>
            </w:r>
          </w:p>
        </w:tc>
        <w:tc>
          <w:tcPr>
            <w:tcW w:w="180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lang w:bidi="ar"/>
              </w:rPr>
            </w:pPr>
            <w:r>
              <w:rPr>
                <w:rFonts w:ascii="宋体" w:hAnsi="宋体" w:cs="宋体"/>
                <w:sz w:val="18"/>
                <w:szCs w:val="18"/>
                <w:highlight w:val="none"/>
              </w:rPr>
              <w:t>墙面瓷砖铺贴前是否敷设5mm厚1：1水泥砂浆</w:t>
            </w:r>
          </w:p>
        </w:tc>
        <w:tc>
          <w:tcPr>
            <w:tcW w:w="142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是</w:t>
            </w:r>
            <w:r>
              <w:rPr>
                <w:rStyle w:val="71"/>
                <w:color w:val="auto"/>
                <w:sz w:val="18"/>
                <w:szCs w:val="18"/>
                <w:highlight w:val="none"/>
                <w:lang w:bidi="ar"/>
              </w:rPr>
              <w:t></w:t>
            </w:r>
            <w:r>
              <w:rPr>
                <w:rFonts w:ascii="宋体" w:hAnsi="宋体" w:cs="宋体"/>
                <w:sz w:val="18"/>
                <w:szCs w:val="18"/>
                <w:highlight w:val="none"/>
                <w:lang w:bidi="ar"/>
              </w:rPr>
              <w:t xml:space="preserve"> 否</w:t>
            </w:r>
            <w:r>
              <w:rPr>
                <w:rStyle w:val="71"/>
                <w:color w:val="auto"/>
                <w:sz w:val="18"/>
                <w:szCs w:val="18"/>
                <w:highlight w:val="none"/>
                <w:lang w:bidi="ar"/>
              </w:rPr>
              <w:t></w:t>
            </w:r>
          </w:p>
        </w:tc>
        <w:tc>
          <w:tcPr>
            <w:tcW w:w="82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779"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rPr>
                <w:rFonts w:ascii="宋体" w:hAnsi="宋体" w:cs="宋体"/>
                <w:sz w:val="18"/>
                <w:szCs w:val="18"/>
                <w:highlight w:val="none"/>
              </w:rPr>
            </w:pPr>
          </w:p>
        </w:tc>
      </w:tr>
      <w:tr>
        <w:tblPrEx>
          <w:tblCellMar>
            <w:top w:w="0" w:type="dxa"/>
            <w:left w:w="108" w:type="dxa"/>
            <w:bottom w:w="0" w:type="dxa"/>
            <w:right w:w="108" w:type="dxa"/>
          </w:tblCellMar>
        </w:tblPrEx>
        <w:trPr>
          <w:trHeight w:val="118" w:hRule="atLeast"/>
        </w:trPr>
        <w:tc>
          <w:tcPr>
            <w:tcW w:w="757"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6</w:t>
            </w:r>
          </w:p>
        </w:tc>
        <w:tc>
          <w:tcPr>
            <w:tcW w:w="180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rPr>
              <w:t>防滑地砖铺贴前是否敷设30mm厚1:3干硬性水泥砂浆结合层并在面上撒素水泥</w:t>
            </w:r>
          </w:p>
        </w:tc>
        <w:tc>
          <w:tcPr>
            <w:tcW w:w="142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是</w:t>
            </w:r>
            <w:r>
              <w:rPr>
                <w:rStyle w:val="71"/>
                <w:color w:val="auto"/>
                <w:sz w:val="18"/>
                <w:szCs w:val="18"/>
                <w:highlight w:val="none"/>
                <w:lang w:bidi="ar"/>
              </w:rPr>
              <w:t></w:t>
            </w:r>
            <w:r>
              <w:rPr>
                <w:rFonts w:ascii="宋体" w:hAnsi="宋体" w:cs="宋体"/>
                <w:sz w:val="18"/>
                <w:szCs w:val="18"/>
                <w:highlight w:val="none"/>
                <w:lang w:bidi="ar"/>
              </w:rPr>
              <w:t xml:space="preserve"> 否</w:t>
            </w:r>
            <w:r>
              <w:rPr>
                <w:rStyle w:val="71"/>
                <w:color w:val="auto"/>
                <w:sz w:val="18"/>
                <w:szCs w:val="18"/>
                <w:highlight w:val="none"/>
                <w:lang w:bidi="ar"/>
              </w:rPr>
              <w:t></w:t>
            </w:r>
          </w:p>
        </w:tc>
        <w:tc>
          <w:tcPr>
            <w:tcW w:w="82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779"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rPr>
                <w:rFonts w:ascii="宋体" w:hAnsi="宋体" w:cs="宋体"/>
                <w:sz w:val="18"/>
                <w:szCs w:val="18"/>
                <w:highlight w:val="none"/>
              </w:rPr>
            </w:pPr>
          </w:p>
        </w:tc>
      </w:tr>
      <w:tr>
        <w:tblPrEx>
          <w:tblCellMar>
            <w:top w:w="0" w:type="dxa"/>
            <w:left w:w="108" w:type="dxa"/>
            <w:bottom w:w="0" w:type="dxa"/>
            <w:right w:w="108" w:type="dxa"/>
          </w:tblCellMar>
        </w:tblPrEx>
        <w:trPr>
          <w:trHeight w:val="90" w:hRule="atLeast"/>
        </w:trPr>
        <w:tc>
          <w:tcPr>
            <w:tcW w:w="757"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7</w:t>
            </w:r>
          </w:p>
        </w:tc>
        <w:tc>
          <w:tcPr>
            <w:tcW w:w="180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hint="eastAsia" w:ascii="宋体" w:hAnsi="宋体" w:eastAsia="宋体" w:cs="宋体"/>
                <w:sz w:val="18"/>
                <w:szCs w:val="18"/>
                <w:highlight w:val="none"/>
                <w:lang w:eastAsia="zh-CN"/>
              </w:rPr>
            </w:pPr>
            <w:r>
              <w:rPr>
                <w:rFonts w:ascii="宋体" w:hAnsi="宋体" w:cs="宋体"/>
                <w:sz w:val="18"/>
                <w:szCs w:val="18"/>
                <w:highlight w:val="none"/>
                <w:lang w:bidi="ar"/>
              </w:rPr>
              <w:t>瓷砖敷设是否整齐、无</w:t>
            </w:r>
            <w:r>
              <w:rPr>
                <w:rFonts w:hint="eastAsia" w:ascii="宋体" w:hAnsi="宋体" w:cs="宋体"/>
                <w:sz w:val="18"/>
                <w:szCs w:val="18"/>
                <w:highlight w:val="none"/>
                <w:lang w:eastAsia="zh-CN" w:bidi="ar"/>
              </w:rPr>
              <w:t>控股</w:t>
            </w:r>
          </w:p>
        </w:tc>
        <w:tc>
          <w:tcPr>
            <w:tcW w:w="142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是</w:t>
            </w:r>
            <w:r>
              <w:rPr>
                <w:rStyle w:val="71"/>
                <w:color w:val="auto"/>
                <w:sz w:val="18"/>
                <w:szCs w:val="18"/>
                <w:highlight w:val="none"/>
                <w:lang w:bidi="ar"/>
              </w:rPr>
              <w:t></w:t>
            </w:r>
            <w:r>
              <w:rPr>
                <w:rFonts w:ascii="宋体" w:hAnsi="宋体" w:cs="宋体"/>
                <w:sz w:val="18"/>
                <w:szCs w:val="18"/>
                <w:highlight w:val="none"/>
                <w:lang w:bidi="ar"/>
              </w:rPr>
              <w:t xml:space="preserve"> 否</w:t>
            </w:r>
            <w:r>
              <w:rPr>
                <w:rStyle w:val="71"/>
                <w:color w:val="auto"/>
                <w:sz w:val="18"/>
                <w:szCs w:val="18"/>
                <w:highlight w:val="none"/>
                <w:lang w:bidi="ar"/>
              </w:rPr>
              <w:t></w:t>
            </w:r>
          </w:p>
        </w:tc>
        <w:tc>
          <w:tcPr>
            <w:tcW w:w="82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779"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rPr>
                <w:rFonts w:ascii="宋体" w:hAnsi="宋体" w:cs="宋体"/>
                <w:sz w:val="18"/>
                <w:szCs w:val="18"/>
                <w:highlight w:val="none"/>
              </w:rPr>
            </w:pPr>
          </w:p>
        </w:tc>
      </w:tr>
      <w:tr>
        <w:tblPrEx>
          <w:tblCellMar>
            <w:top w:w="0" w:type="dxa"/>
            <w:left w:w="108" w:type="dxa"/>
            <w:bottom w:w="0" w:type="dxa"/>
            <w:right w:w="108" w:type="dxa"/>
          </w:tblCellMar>
        </w:tblPrEx>
        <w:trPr>
          <w:trHeight w:val="586" w:hRule="atLeast"/>
        </w:trPr>
        <w:tc>
          <w:tcPr>
            <w:tcW w:w="757" w:type="pct"/>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b/>
                <w:sz w:val="18"/>
                <w:szCs w:val="18"/>
                <w:highlight w:val="none"/>
              </w:rPr>
            </w:pPr>
            <w:r>
              <w:rPr>
                <w:rFonts w:ascii="宋体" w:hAnsi="宋体" w:cs="宋体"/>
                <w:b/>
                <w:sz w:val="18"/>
                <w:szCs w:val="18"/>
                <w:highlight w:val="none"/>
                <w:lang w:bidi="ar"/>
              </w:rPr>
              <w:t>施工单位</w:t>
            </w:r>
          </w:p>
        </w:tc>
        <w:tc>
          <w:tcPr>
            <w:tcW w:w="180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施工人员：</w:t>
            </w:r>
          </w:p>
        </w:tc>
        <w:tc>
          <w:tcPr>
            <w:tcW w:w="2442"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r>
        <w:tblPrEx>
          <w:tblCellMar>
            <w:top w:w="0" w:type="dxa"/>
            <w:left w:w="108" w:type="dxa"/>
            <w:bottom w:w="0" w:type="dxa"/>
            <w:right w:w="108" w:type="dxa"/>
          </w:tblCellMar>
        </w:tblPrEx>
        <w:trPr>
          <w:trHeight w:val="654" w:hRule="atLeast"/>
        </w:trPr>
        <w:tc>
          <w:tcPr>
            <w:tcW w:w="757" w:type="pct"/>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b/>
                <w:sz w:val="18"/>
                <w:szCs w:val="18"/>
                <w:highlight w:val="none"/>
              </w:rPr>
            </w:pPr>
          </w:p>
        </w:tc>
        <w:tc>
          <w:tcPr>
            <w:tcW w:w="180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项目负责人：</w:t>
            </w:r>
          </w:p>
        </w:tc>
        <w:tc>
          <w:tcPr>
            <w:tcW w:w="2442"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r>
        <w:tblPrEx>
          <w:tblCellMar>
            <w:top w:w="0" w:type="dxa"/>
            <w:left w:w="108" w:type="dxa"/>
            <w:bottom w:w="0" w:type="dxa"/>
            <w:right w:w="108" w:type="dxa"/>
          </w:tblCellMar>
        </w:tblPrEx>
        <w:trPr>
          <w:trHeight w:val="613" w:hRule="atLeast"/>
        </w:trPr>
        <w:tc>
          <w:tcPr>
            <w:tcW w:w="757" w:type="pct"/>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b/>
                <w:sz w:val="18"/>
                <w:szCs w:val="18"/>
                <w:highlight w:val="none"/>
              </w:rPr>
            </w:pPr>
            <w:r>
              <w:rPr>
                <w:rFonts w:ascii="宋体" w:hAnsi="宋体" w:cs="宋体"/>
                <w:b/>
                <w:sz w:val="18"/>
                <w:szCs w:val="18"/>
                <w:highlight w:val="none"/>
                <w:lang w:bidi="ar"/>
              </w:rPr>
              <w:t>检查单位</w:t>
            </w:r>
          </w:p>
        </w:tc>
        <w:tc>
          <w:tcPr>
            <w:tcW w:w="180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工班长：</w:t>
            </w:r>
          </w:p>
        </w:tc>
        <w:tc>
          <w:tcPr>
            <w:tcW w:w="2442"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r>
        <w:tblPrEx>
          <w:tblCellMar>
            <w:top w:w="0" w:type="dxa"/>
            <w:left w:w="108" w:type="dxa"/>
            <w:bottom w:w="0" w:type="dxa"/>
            <w:right w:w="108" w:type="dxa"/>
          </w:tblCellMar>
        </w:tblPrEx>
        <w:trPr>
          <w:trHeight w:val="650" w:hRule="atLeast"/>
        </w:trPr>
        <w:tc>
          <w:tcPr>
            <w:tcW w:w="757" w:type="pct"/>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b/>
                <w:sz w:val="18"/>
                <w:szCs w:val="18"/>
                <w:highlight w:val="none"/>
              </w:rPr>
            </w:pPr>
          </w:p>
        </w:tc>
        <w:tc>
          <w:tcPr>
            <w:tcW w:w="180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技术主办：</w:t>
            </w:r>
          </w:p>
        </w:tc>
        <w:tc>
          <w:tcPr>
            <w:tcW w:w="2442"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bl>
    <w:p>
      <w:pPr>
        <w:spacing w:line="240" w:lineRule="auto"/>
        <w:rPr>
          <w:highlight w:val="none"/>
        </w:rPr>
      </w:pPr>
      <w:r>
        <w:rPr>
          <w:rFonts w:ascii="宋体"/>
          <w:highlight w:val="none"/>
        </w:rPr>
        <w:br w:type="page"/>
      </w:r>
    </w:p>
    <w:p>
      <w:pPr>
        <w:spacing w:before="0" w:after="0" w:afterAutospacing="0"/>
        <w:ind w:left="0" w:right="0" w:firstLine="0"/>
        <w:rPr>
          <w:rFonts w:ascii="宋体" w:hAnsi="宋体" w:cs="Arial"/>
          <w:highlight w:val="none"/>
        </w:rPr>
      </w:pPr>
      <w:r>
        <w:rPr>
          <w:rFonts w:ascii="宋体" w:hAnsi="宋体" w:cs="Arial"/>
          <w:highlight w:val="none"/>
        </w:rPr>
        <w:t>附表3-6</w:t>
      </w:r>
    </w:p>
    <w:tbl>
      <w:tblPr>
        <w:tblStyle w:val="27"/>
        <w:tblW w:w="5000" w:type="pct"/>
        <w:tblInd w:w="0" w:type="dxa"/>
        <w:tblLayout w:type="autofit"/>
        <w:tblCellMar>
          <w:top w:w="0" w:type="dxa"/>
          <w:left w:w="108" w:type="dxa"/>
          <w:bottom w:w="0" w:type="dxa"/>
          <w:right w:w="108" w:type="dxa"/>
        </w:tblCellMar>
      </w:tblPr>
      <w:tblGrid>
        <w:gridCol w:w="1389"/>
        <w:gridCol w:w="4568"/>
        <w:gridCol w:w="1307"/>
        <w:gridCol w:w="2021"/>
      </w:tblGrid>
      <w:tr>
        <w:tblPrEx>
          <w:tblCellMar>
            <w:top w:w="0" w:type="dxa"/>
            <w:left w:w="108" w:type="dxa"/>
            <w:bottom w:w="0" w:type="dxa"/>
            <w:right w:w="108" w:type="dxa"/>
          </w:tblCellMar>
        </w:tblPrEx>
        <w:trPr>
          <w:trHeight w:val="940" w:hRule="atLeast"/>
        </w:trPr>
        <w:tc>
          <w:tcPr>
            <w:tcW w:w="5000" w:type="pct"/>
            <w:gridSpan w:val="4"/>
            <w:tcBorders>
              <w:top w:val="nil"/>
              <w:left w:val="nil"/>
              <w:bottom w:val="nil"/>
              <w:right w:val="nil"/>
              <w:tl2br w:val="nil"/>
              <w:tr2bl w:val="nil"/>
            </w:tcBorders>
            <w:noWrap/>
            <w:vAlign w:val="center"/>
          </w:tcPr>
          <w:p>
            <w:pPr>
              <w:spacing w:line="240" w:lineRule="auto"/>
              <w:jc w:val="center"/>
              <w:textAlignment w:val="center"/>
              <w:rPr>
                <w:rFonts w:ascii="宋体" w:hAnsi="宋体" w:cs="宋体"/>
                <w:b/>
                <w:sz w:val="28"/>
                <w:szCs w:val="28"/>
                <w:highlight w:val="none"/>
              </w:rPr>
            </w:pPr>
            <w:r>
              <w:rPr>
                <w:rFonts w:ascii="宋体" w:hAnsi="宋体" w:cs="宋体"/>
                <w:b/>
                <w:sz w:val="28"/>
                <w:szCs w:val="28"/>
                <w:highlight w:val="none"/>
                <w:lang w:bidi="ar"/>
              </w:rPr>
              <w:t>项目隐蔽工程验收表</w:t>
            </w:r>
          </w:p>
        </w:tc>
      </w:tr>
      <w:tr>
        <w:tblPrEx>
          <w:tblCellMar>
            <w:top w:w="0" w:type="dxa"/>
            <w:left w:w="108" w:type="dxa"/>
            <w:bottom w:w="0" w:type="dxa"/>
            <w:right w:w="108" w:type="dxa"/>
          </w:tblCellMar>
        </w:tblPrEx>
        <w:trPr>
          <w:trHeight w:val="1320" w:hRule="atLeast"/>
        </w:trPr>
        <w:tc>
          <w:tcPr>
            <w:tcW w:w="748"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项目名称、编号及合同编号</w:t>
            </w:r>
          </w:p>
        </w:tc>
        <w:tc>
          <w:tcPr>
            <w:tcW w:w="4251" w:type="pct"/>
            <w:gridSpan w:val="3"/>
            <w:tcBorders>
              <w:top w:val="single" w:color="000000" w:sz="4" w:space="0"/>
              <w:left w:val="single" w:color="000000" w:sz="4" w:space="0"/>
              <w:bottom w:val="nil"/>
              <w:right w:val="single" w:color="000000" w:sz="4" w:space="0"/>
              <w:tl2br w:val="nil"/>
              <w:tr2bl w:val="nil"/>
            </w:tcBorders>
            <w:vAlign w:val="center"/>
          </w:tcPr>
          <w:p>
            <w:pPr>
              <w:spacing w:line="240" w:lineRule="auto"/>
              <w:ind w:left="0" w:firstLine="0"/>
              <w:jc w:val="left"/>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项目名称:</w:t>
            </w:r>
          </w:p>
          <w:p>
            <w:pPr>
              <w:spacing w:line="240" w:lineRule="auto"/>
              <w:ind w:left="0" w:firstLine="0"/>
              <w:jc w:val="left"/>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项目编号：</w:t>
            </w:r>
          </w:p>
          <w:p>
            <w:pPr>
              <w:spacing w:line="240" w:lineRule="auto"/>
              <w:ind w:left="0" w:firstLine="0"/>
              <w:jc w:val="left"/>
              <w:textAlignment w:val="center"/>
              <w:rPr>
                <w:rFonts w:ascii="宋体" w:hAnsi="宋体" w:cs="宋体"/>
                <w:sz w:val="18"/>
                <w:szCs w:val="18"/>
                <w:highlight w:val="none"/>
              </w:rPr>
            </w:pPr>
            <w:r>
              <w:rPr>
                <w:rFonts w:ascii="宋体" w:hAnsi="宋体" w:cs="宋体"/>
                <w:sz w:val="18"/>
                <w:szCs w:val="18"/>
                <w:highlight w:val="none"/>
                <w:lang w:bidi="ar"/>
              </w:rPr>
              <w:t>合同编号：</w:t>
            </w:r>
          </w:p>
        </w:tc>
      </w:tr>
      <w:tr>
        <w:tblPrEx>
          <w:tblCellMar>
            <w:top w:w="0" w:type="dxa"/>
            <w:left w:w="108" w:type="dxa"/>
            <w:bottom w:w="0" w:type="dxa"/>
            <w:right w:w="108" w:type="dxa"/>
          </w:tblCellMar>
        </w:tblPrEx>
        <w:trPr>
          <w:trHeight w:val="800" w:hRule="atLeast"/>
        </w:trPr>
        <w:tc>
          <w:tcPr>
            <w:tcW w:w="748"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项目地点</w:t>
            </w:r>
          </w:p>
        </w:tc>
        <w:tc>
          <w:tcPr>
            <w:tcW w:w="2460" w:type="pct"/>
            <w:tcBorders>
              <w:top w:val="single" w:color="000000" w:sz="4" w:space="0"/>
              <w:left w:val="single" w:color="000000" w:sz="4" w:space="0"/>
              <w:bottom w:val="nil"/>
              <w:right w:val="single" w:color="000000" w:sz="4" w:space="0"/>
              <w:tl2br w:val="nil"/>
              <w:tr2bl w:val="nil"/>
            </w:tcBorders>
            <w:vAlign w:val="center"/>
          </w:tcPr>
          <w:p>
            <w:pPr>
              <w:spacing w:line="240" w:lineRule="auto"/>
              <w:rPr>
                <w:rFonts w:ascii="宋体" w:hAnsi="宋体" w:cs="宋体"/>
                <w:sz w:val="18"/>
                <w:szCs w:val="18"/>
                <w:highlight w:val="none"/>
              </w:rPr>
            </w:pPr>
          </w:p>
        </w:tc>
        <w:tc>
          <w:tcPr>
            <w:tcW w:w="704" w:type="pct"/>
            <w:tcBorders>
              <w:top w:val="single" w:color="000000" w:sz="4" w:space="0"/>
              <w:left w:val="single" w:color="000000" w:sz="4" w:space="0"/>
              <w:bottom w:val="nil"/>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工程数量</w:t>
            </w:r>
          </w:p>
        </w:tc>
        <w:tc>
          <w:tcPr>
            <w:tcW w:w="1087"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rPr>
                <w:rFonts w:ascii="宋体" w:hAnsi="宋体" w:cs="宋体"/>
                <w:sz w:val="18"/>
                <w:szCs w:val="18"/>
                <w:highlight w:val="none"/>
              </w:rPr>
            </w:pPr>
          </w:p>
        </w:tc>
      </w:tr>
      <w:tr>
        <w:tblPrEx>
          <w:tblCellMar>
            <w:top w:w="0" w:type="dxa"/>
            <w:left w:w="108" w:type="dxa"/>
            <w:bottom w:w="0" w:type="dxa"/>
            <w:right w:w="108" w:type="dxa"/>
          </w:tblCellMar>
        </w:tblPrEx>
        <w:trPr>
          <w:trHeight w:val="800" w:hRule="atLeast"/>
        </w:trPr>
        <w:tc>
          <w:tcPr>
            <w:tcW w:w="748" w:type="pct"/>
            <w:tcBorders>
              <w:top w:val="single" w:color="000000" w:sz="4" w:space="0"/>
              <w:left w:val="single" w:color="000000" w:sz="4" w:space="0"/>
              <w:bottom w:val="nil"/>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施工单位</w:t>
            </w:r>
          </w:p>
        </w:tc>
        <w:tc>
          <w:tcPr>
            <w:tcW w:w="4251" w:type="pct"/>
            <w:gridSpan w:val="3"/>
            <w:tcBorders>
              <w:top w:val="single" w:color="000000" w:sz="4" w:space="0"/>
              <w:left w:val="single" w:color="000000" w:sz="4" w:space="0"/>
              <w:bottom w:val="nil"/>
              <w:right w:val="single" w:color="000000" w:sz="4" w:space="0"/>
              <w:tl2br w:val="nil"/>
              <w:tr2bl w:val="nil"/>
            </w:tcBorders>
            <w:vAlign w:val="center"/>
          </w:tcPr>
          <w:p>
            <w:pPr>
              <w:spacing w:line="240" w:lineRule="auto"/>
              <w:jc w:val="left"/>
              <w:rPr>
                <w:rFonts w:ascii="宋体" w:hAnsi="宋体" w:cs="宋体"/>
                <w:sz w:val="18"/>
                <w:szCs w:val="18"/>
                <w:highlight w:val="none"/>
              </w:rPr>
            </w:pPr>
          </w:p>
        </w:tc>
      </w:tr>
      <w:tr>
        <w:tblPrEx>
          <w:tblCellMar>
            <w:top w:w="0" w:type="dxa"/>
            <w:left w:w="108" w:type="dxa"/>
            <w:bottom w:w="0" w:type="dxa"/>
            <w:right w:w="108" w:type="dxa"/>
          </w:tblCellMar>
        </w:tblPrEx>
        <w:trPr>
          <w:trHeight w:val="800" w:hRule="atLeast"/>
        </w:trPr>
        <w:tc>
          <w:tcPr>
            <w:tcW w:w="748" w:type="pct"/>
            <w:tcBorders>
              <w:top w:val="single" w:color="000000" w:sz="4" w:space="0"/>
              <w:left w:val="single" w:color="000000" w:sz="4" w:space="0"/>
              <w:bottom w:val="nil"/>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验收单位</w:t>
            </w:r>
          </w:p>
        </w:tc>
        <w:tc>
          <w:tcPr>
            <w:tcW w:w="4251" w:type="pct"/>
            <w:gridSpan w:val="3"/>
            <w:tcBorders>
              <w:top w:val="single" w:color="000000" w:sz="4" w:space="0"/>
              <w:left w:val="single" w:color="000000" w:sz="4" w:space="0"/>
              <w:bottom w:val="nil"/>
              <w:right w:val="single" w:color="000000" w:sz="4" w:space="0"/>
              <w:tl2br w:val="nil"/>
              <w:tr2bl w:val="nil"/>
            </w:tcBorders>
            <w:vAlign w:val="center"/>
          </w:tcPr>
          <w:p>
            <w:pPr>
              <w:spacing w:line="240" w:lineRule="auto"/>
              <w:jc w:val="left"/>
              <w:rPr>
                <w:rFonts w:ascii="宋体" w:hAnsi="宋体" w:cs="宋体"/>
                <w:sz w:val="18"/>
                <w:szCs w:val="18"/>
                <w:highlight w:val="none"/>
              </w:rPr>
            </w:pPr>
          </w:p>
        </w:tc>
      </w:tr>
      <w:tr>
        <w:tblPrEx>
          <w:tblCellMar>
            <w:top w:w="0" w:type="dxa"/>
            <w:left w:w="108" w:type="dxa"/>
            <w:bottom w:w="0" w:type="dxa"/>
            <w:right w:w="108" w:type="dxa"/>
          </w:tblCellMar>
        </w:tblPrEx>
        <w:trPr>
          <w:trHeight w:val="800" w:hRule="atLeast"/>
        </w:trPr>
        <w:tc>
          <w:tcPr>
            <w:tcW w:w="5000" w:type="pct"/>
            <w:gridSpan w:val="4"/>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项目隐蔽工程验收结论</w:t>
            </w:r>
          </w:p>
        </w:tc>
      </w:tr>
      <w:tr>
        <w:tblPrEx>
          <w:tblCellMar>
            <w:top w:w="0" w:type="dxa"/>
            <w:left w:w="108" w:type="dxa"/>
            <w:bottom w:w="0" w:type="dxa"/>
            <w:right w:w="108" w:type="dxa"/>
          </w:tblCellMar>
        </w:tblPrEx>
        <w:trPr>
          <w:trHeight w:val="2280" w:hRule="atLeast"/>
        </w:trPr>
        <w:tc>
          <w:tcPr>
            <w:tcW w:w="5000" w:type="pct"/>
            <w:gridSpan w:val="4"/>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left"/>
              <w:rPr>
                <w:rFonts w:ascii="宋体" w:hAnsi="宋体" w:cs="宋体"/>
                <w:sz w:val="18"/>
                <w:szCs w:val="18"/>
                <w:highlight w:val="none"/>
              </w:rPr>
            </w:pPr>
          </w:p>
        </w:tc>
      </w:tr>
      <w:tr>
        <w:tblPrEx>
          <w:tblCellMar>
            <w:top w:w="0" w:type="dxa"/>
            <w:left w:w="108" w:type="dxa"/>
            <w:bottom w:w="0" w:type="dxa"/>
            <w:right w:w="108" w:type="dxa"/>
          </w:tblCellMar>
        </w:tblPrEx>
        <w:trPr>
          <w:trHeight w:val="800" w:hRule="atLeast"/>
        </w:trPr>
        <w:tc>
          <w:tcPr>
            <w:tcW w:w="748" w:type="pct"/>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b/>
                <w:sz w:val="18"/>
                <w:szCs w:val="18"/>
                <w:highlight w:val="none"/>
              </w:rPr>
            </w:pPr>
            <w:r>
              <w:rPr>
                <w:rFonts w:ascii="宋体" w:hAnsi="宋体" w:cs="宋体"/>
                <w:b/>
                <w:sz w:val="18"/>
                <w:szCs w:val="18"/>
                <w:highlight w:val="none"/>
                <w:lang w:bidi="ar"/>
              </w:rPr>
              <w:t>施工单位</w:t>
            </w:r>
          </w:p>
        </w:tc>
        <w:tc>
          <w:tcPr>
            <w:tcW w:w="246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施工人员：</w:t>
            </w:r>
          </w:p>
        </w:tc>
        <w:tc>
          <w:tcPr>
            <w:tcW w:w="1791"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r>
        <w:tblPrEx>
          <w:tblCellMar>
            <w:top w:w="0" w:type="dxa"/>
            <w:left w:w="108" w:type="dxa"/>
            <w:bottom w:w="0" w:type="dxa"/>
            <w:right w:w="108" w:type="dxa"/>
          </w:tblCellMar>
        </w:tblPrEx>
        <w:trPr>
          <w:trHeight w:val="800" w:hRule="atLeast"/>
        </w:trPr>
        <w:tc>
          <w:tcPr>
            <w:tcW w:w="748" w:type="pct"/>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b/>
                <w:sz w:val="18"/>
                <w:szCs w:val="18"/>
                <w:highlight w:val="none"/>
              </w:rPr>
            </w:pPr>
          </w:p>
        </w:tc>
        <w:tc>
          <w:tcPr>
            <w:tcW w:w="246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项目负责人：</w:t>
            </w:r>
          </w:p>
        </w:tc>
        <w:tc>
          <w:tcPr>
            <w:tcW w:w="1791"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r>
        <w:tblPrEx>
          <w:tblCellMar>
            <w:top w:w="0" w:type="dxa"/>
            <w:left w:w="108" w:type="dxa"/>
            <w:bottom w:w="0" w:type="dxa"/>
            <w:right w:w="108" w:type="dxa"/>
          </w:tblCellMar>
        </w:tblPrEx>
        <w:trPr>
          <w:trHeight w:val="800" w:hRule="atLeast"/>
        </w:trPr>
        <w:tc>
          <w:tcPr>
            <w:tcW w:w="748" w:type="pct"/>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b/>
                <w:sz w:val="18"/>
                <w:szCs w:val="18"/>
                <w:highlight w:val="none"/>
              </w:rPr>
            </w:pPr>
            <w:r>
              <w:rPr>
                <w:rFonts w:ascii="宋体" w:hAnsi="宋体" w:cs="宋体"/>
                <w:b/>
                <w:sz w:val="18"/>
                <w:szCs w:val="18"/>
                <w:highlight w:val="none"/>
                <w:lang w:bidi="ar"/>
              </w:rPr>
              <w:t>验收单位</w:t>
            </w:r>
          </w:p>
        </w:tc>
        <w:tc>
          <w:tcPr>
            <w:tcW w:w="246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工班长：</w:t>
            </w:r>
          </w:p>
        </w:tc>
        <w:tc>
          <w:tcPr>
            <w:tcW w:w="1791"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r>
        <w:tblPrEx>
          <w:tblCellMar>
            <w:top w:w="0" w:type="dxa"/>
            <w:left w:w="108" w:type="dxa"/>
            <w:bottom w:w="0" w:type="dxa"/>
            <w:right w:w="108" w:type="dxa"/>
          </w:tblCellMar>
        </w:tblPrEx>
        <w:trPr>
          <w:trHeight w:val="800" w:hRule="atLeast"/>
        </w:trPr>
        <w:tc>
          <w:tcPr>
            <w:tcW w:w="748" w:type="pct"/>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b/>
                <w:sz w:val="18"/>
                <w:szCs w:val="18"/>
                <w:highlight w:val="none"/>
              </w:rPr>
            </w:pPr>
          </w:p>
        </w:tc>
        <w:tc>
          <w:tcPr>
            <w:tcW w:w="246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技术主办：</w:t>
            </w:r>
          </w:p>
        </w:tc>
        <w:tc>
          <w:tcPr>
            <w:tcW w:w="1791"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bl>
    <w:p>
      <w:pPr>
        <w:spacing w:line="240" w:lineRule="auto"/>
        <w:rPr>
          <w:highlight w:val="none"/>
        </w:rPr>
      </w:pPr>
      <w:r>
        <w:rPr>
          <w:rFonts w:ascii="宋体"/>
          <w:highlight w:val="none"/>
        </w:rPr>
        <w:br w:type="page"/>
      </w:r>
    </w:p>
    <w:p>
      <w:pPr>
        <w:spacing w:before="0" w:after="0" w:afterAutospacing="0"/>
        <w:ind w:left="0" w:right="0" w:firstLine="0"/>
        <w:rPr>
          <w:rFonts w:ascii="宋体" w:hAnsi="宋体" w:cs="Arial"/>
          <w:highlight w:val="none"/>
        </w:rPr>
      </w:pPr>
      <w:r>
        <w:rPr>
          <w:rFonts w:ascii="宋体" w:hAnsi="宋体" w:cs="Arial"/>
          <w:highlight w:val="none"/>
        </w:rPr>
        <w:t>附表3-7</w:t>
      </w:r>
    </w:p>
    <w:tbl>
      <w:tblPr>
        <w:tblStyle w:val="27"/>
        <w:tblW w:w="5000" w:type="pct"/>
        <w:tblInd w:w="0" w:type="dxa"/>
        <w:tblLayout w:type="autofit"/>
        <w:tblCellMar>
          <w:top w:w="0" w:type="dxa"/>
          <w:left w:w="108" w:type="dxa"/>
          <w:bottom w:w="0" w:type="dxa"/>
          <w:right w:w="108" w:type="dxa"/>
        </w:tblCellMar>
      </w:tblPr>
      <w:tblGrid>
        <w:gridCol w:w="1616"/>
        <w:gridCol w:w="3331"/>
        <w:gridCol w:w="1552"/>
        <w:gridCol w:w="1417"/>
        <w:gridCol w:w="1369"/>
      </w:tblGrid>
      <w:tr>
        <w:tblPrEx>
          <w:tblCellMar>
            <w:top w:w="0" w:type="dxa"/>
            <w:left w:w="108" w:type="dxa"/>
            <w:bottom w:w="0" w:type="dxa"/>
            <w:right w:w="108" w:type="dxa"/>
          </w:tblCellMar>
        </w:tblPrEx>
        <w:trPr>
          <w:trHeight w:val="1060" w:hRule="atLeast"/>
        </w:trPr>
        <w:tc>
          <w:tcPr>
            <w:tcW w:w="5000" w:type="pct"/>
            <w:gridSpan w:val="5"/>
            <w:tcBorders>
              <w:top w:val="nil"/>
              <w:left w:val="nil"/>
              <w:bottom w:val="nil"/>
              <w:right w:val="nil"/>
              <w:tl2br w:val="nil"/>
              <w:tr2bl w:val="nil"/>
            </w:tcBorders>
            <w:noWrap/>
            <w:vAlign w:val="center"/>
          </w:tcPr>
          <w:p>
            <w:pPr>
              <w:spacing w:line="240" w:lineRule="auto"/>
              <w:jc w:val="center"/>
              <w:textAlignment w:val="center"/>
              <w:rPr>
                <w:rFonts w:ascii="宋体" w:hAnsi="宋体" w:cs="宋体"/>
                <w:b/>
                <w:sz w:val="28"/>
                <w:szCs w:val="28"/>
                <w:highlight w:val="none"/>
              </w:rPr>
            </w:pPr>
            <w:r>
              <w:rPr>
                <w:rFonts w:ascii="宋体" w:hAnsi="宋体" w:cs="宋体"/>
                <w:b/>
                <w:sz w:val="28"/>
                <w:szCs w:val="28"/>
                <w:highlight w:val="none"/>
                <w:lang w:bidi="ar"/>
              </w:rPr>
              <w:t>项目使用功能测试记录表</w:t>
            </w:r>
          </w:p>
        </w:tc>
      </w:tr>
      <w:tr>
        <w:tblPrEx>
          <w:tblCellMar>
            <w:top w:w="0" w:type="dxa"/>
            <w:left w:w="108" w:type="dxa"/>
            <w:bottom w:w="0" w:type="dxa"/>
            <w:right w:w="108" w:type="dxa"/>
          </w:tblCellMar>
        </w:tblPrEx>
        <w:trPr>
          <w:trHeight w:val="1140" w:hRule="atLeast"/>
        </w:trPr>
        <w:tc>
          <w:tcPr>
            <w:tcW w:w="870" w:type="pct"/>
            <w:tcBorders>
              <w:top w:val="single" w:color="000000" w:sz="4" w:space="0"/>
              <w:left w:val="single" w:color="000000" w:sz="4" w:space="0"/>
              <w:bottom w:val="nil"/>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项目名称、编号及合同编号</w:t>
            </w:r>
          </w:p>
        </w:tc>
        <w:tc>
          <w:tcPr>
            <w:tcW w:w="4129" w:type="pct"/>
            <w:gridSpan w:val="4"/>
            <w:tcBorders>
              <w:top w:val="single" w:color="000000" w:sz="4" w:space="0"/>
              <w:left w:val="single" w:color="000000" w:sz="4" w:space="0"/>
              <w:bottom w:val="nil"/>
              <w:right w:val="single" w:color="000000" w:sz="4" w:space="0"/>
              <w:tl2br w:val="nil"/>
              <w:tr2bl w:val="nil"/>
            </w:tcBorders>
            <w:vAlign w:val="center"/>
          </w:tcPr>
          <w:p>
            <w:pPr>
              <w:spacing w:line="240" w:lineRule="auto"/>
              <w:ind w:left="0" w:firstLine="0"/>
              <w:jc w:val="left"/>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项目名称：</w:t>
            </w:r>
          </w:p>
          <w:p>
            <w:pPr>
              <w:spacing w:line="240" w:lineRule="auto"/>
              <w:ind w:left="0" w:firstLine="0"/>
              <w:jc w:val="left"/>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项目编号：</w:t>
            </w:r>
          </w:p>
          <w:p>
            <w:pPr>
              <w:spacing w:line="240" w:lineRule="auto"/>
              <w:ind w:left="0" w:firstLine="0"/>
              <w:jc w:val="left"/>
              <w:textAlignment w:val="center"/>
              <w:rPr>
                <w:rFonts w:ascii="宋体" w:hAnsi="宋体" w:cs="宋体"/>
                <w:sz w:val="18"/>
                <w:szCs w:val="18"/>
                <w:highlight w:val="none"/>
              </w:rPr>
            </w:pPr>
            <w:r>
              <w:rPr>
                <w:rFonts w:ascii="宋体" w:hAnsi="宋体" w:cs="宋体"/>
                <w:sz w:val="18"/>
                <w:szCs w:val="18"/>
                <w:highlight w:val="none"/>
                <w:lang w:bidi="ar"/>
              </w:rPr>
              <w:t>合同编号：</w:t>
            </w:r>
          </w:p>
        </w:tc>
      </w:tr>
      <w:tr>
        <w:tblPrEx>
          <w:tblCellMar>
            <w:top w:w="0" w:type="dxa"/>
            <w:left w:w="108" w:type="dxa"/>
            <w:bottom w:w="0" w:type="dxa"/>
            <w:right w:w="108" w:type="dxa"/>
          </w:tblCellMar>
        </w:tblPrEx>
        <w:trPr>
          <w:trHeight w:val="459" w:hRule="atLeast"/>
        </w:trPr>
        <w:tc>
          <w:tcPr>
            <w:tcW w:w="870" w:type="pct"/>
            <w:tcBorders>
              <w:top w:val="single" w:color="000000" w:sz="4" w:space="0"/>
              <w:left w:val="single" w:color="000000" w:sz="4" w:space="0"/>
              <w:bottom w:val="nil"/>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项目地点</w:t>
            </w:r>
          </w:p>
        </w:tc>
        <w:tc>
          <w:tcPr>
            <w:tcW w:w="1794" w:type="pct"/>
            <w:tcBorders>
              <w:top w:val="single" w:color="000000" w:sz="4" w:space="0"/>
              <w:left w:val="single" w:color="000000" w:sz="4" w:space="0"/>
              <w:bottom w:val="nil"/>
              <w:right w:val="single" w:color="000000" w:sz="4" w:space="0"/>
              <w:tl2br w:val="nil"/>
              <w:tr2bl w:val="nil"/>
            </w:tcBorders>
            <w:vAlign w:val="center"/>
          </w:tcPr>
          <w:p>
            <w:pPr>
              <w:spacing w:line="240" w:lineRule="auto"/>
              <w:rPr>
                <w:rFonts w:ascii="宋体" w:hAnsi="宋体" w:cs="宋体"/>
                <w:sz w:val="18"/>
                <w:szCs w:val="18"/>
                <w:highlight w:val="none"/>
              </w:rPr>
            </w:pPr>
          </w:p>
        </w:tc>
        <w:tc>
          <w:tcPr>
            <w:tcW w:w="836" w:type="pct"/>
            <w:tcBorders>
              <w:top w:val="single" w:color="000000" w:sz="4" w:space="0"/>
              <w:left w:val="single" w:color="000000" w:sz="4" w:space="0"/>
              <w:bottom w:val="nil"/>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工程数量</w:t>
            </w:r>
          </w:p>
        </w:tc>
        <w:tc>
          <w:tcPr>
            <w:tcW w:w="1499" w:type="pct"/>
            <w:gridSpan w:val="2"/>
            <w:tcBorders>
              <w:top w:val="single" w:color="000000" w:sz="4" w:space="0"/>
              <w:left w:val="single" w:color="000000" w:sz="4" w:space="0"/>
              <w:bottom w:val="nil"/>
              <w:right w:val="single" w:color="000000" w:sz="4" w:space="0"/>
              <w:tl2br w:val="nil"/>
              <w:tr2bl w:val="nil"/>
            </w:tcBorders>
            <w:vAlign w:val="center"/>
          </w:tcPr>
          <w:p>
            <w:pPr>
              <w:spacing w:line="240" w:lineRule="auto"/>
              <w:jc w:val="center"/>
              <w:rPr>
                <w:rFonts w:ascii="宋体" w:hAnsi="宋体" w:cs="宋体"/>
                <w:sz w:val="18"/>
                <w:szCs w:val="18"/>
                <w:highlight w:val="none"/>
              </w:rPr>
            </w:pPr>
          </w:p>
        </w:tc>
      </w:tr>
      <w:tr>
        <w:tblPrEx>
          <w:tblCellMar>
            <w:top w:w="0" w:type="dxa"/>
            <w:left w:w="108" w:type="dxa"/>
            <w:bottom w:w="0" w:type="dxa"/>
            <w:right w:w="108" w:type="dxa"/>
          </w:tblCellMar>
        </w:tblPrEx>
        <w:trPr>
          <w:trHeight w:val="530" w:hRule="atLeast"/>
        </w:trPr>
        <w:tc>
          <w:tcPr>
            <w:tcW w:w="87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施工单位</w:t>
            </w:r>
          </w:p>
        </w:tc>
        <w:tc>
          <w:tcPr>
            <w:tcW w:w="4129" w:type="pct"/>
            <w:gridSpan w:val="4"/>
            <w:tcBorders>
              <w:top w:val="single" w:color="000000" w:sz="4" w:space="0"/>
              <w:left w:val="single" w:color="000000" w:sz="4" w:space="0"/>
              <w:bottom w:val="nil"/>
              <w:right w:val="single" w:color="000000" w:sz="4" w:space="0"/>
              <w:tl2br w:val="nil"/>
              <w:tr2bl w:val="nil"/>
            </w:tcBorders>
            <w:vAlign w:val="center"/>
          </w:tcPr>
          <w:p>
            <w:pPr>
              <w:spacing w:line="240" w:lineRule="auto"/>
              <w:jc w:val="left"/>
              <w:rPr>
                <w:rFonts w:ascii="宋体" w:hAnsi="宋体" w:cs="宋体"/>
                <w:sz w:val="18"/>
                <w:szCs w:val="18"/>
                <w:highlight w:val="none"/>
              </w:rPr>
            </w:pPr>
          </w:p>
        </w:tc>
      </w:tr>
      <w:tr>
        <w:tblPrEx>
          <w:tblCellMar>
            <w:top w:w="0" w:type="dxa"/>
            <w:left w:w="108" w:type="dxa"/>
            <w:bottom w:w="0" w:type="dxa"/>
            <w:right w:w="108" w:type="dxa"/>
          </w:tblCellMar>
        </w:tblPrEx>
        <w:trPr>
          <w:trHeight w:val="470" w:hRule="atLeast"/>
        </w:trPr>
        <w:tc>
          <w:tcPr>
            <w:tcW w:w="870" w:type="pct"/>
            <w:tcBorders>
              <w:top w:val="single" w:color="000000" w:sz="4" w:space="0"/>
              <w:left w:val="single" w:color="000000" w:sz="4" w:space="0"/>
              <w:bottom w:val="nil"/>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测试单位</w:t>
            </w:r>
          </w:p>
        </w:tc>
        <w:tc>
          <w:tcPr>
            <w:tcW w:w="4129" w:type="pct"/>
            <w:gridSpan w:val="4"/>
            <w:tcBorders>
              <w:top w:val="single" w:color="000000" w:sz="4" w:space="0"/>
              <w:left w:val="single" w:color="000000" w:sz="4" w:space="0"/>
              <w:bottom w:val="nil"/>
              <w:right w:val="single" w:color="000000" w:sz="4" w:space="0"/>
              <w:tl2br w:val="nil"/>
              <w:tr2bl w:val="nil"/>
            </w:tcBorders>
            <w:vAlign w:val="center"/>
          </w:tcPr>
          <w:p>
            <w:pPr>
              <w:spacing w:line="240" w:lineRule="auto"/>
              <w:jc w:val="left"/>
              <w:rPr>
                <w:rFonts w:ascii="宋体" w:hAnsi="宋体" w:cs="宋体"/>
                <w:sz w:val="18"/>
                <w:szCs w:val="18"/>
                <w:highlight w:val="none"/>
              </w:rPr>
            </w:pPr>
          </w:p>
        </w:tc>
      </w:tr>
      <w:tr>
        <w:tblPrEx>
          <w:tblCellMar>
            <w:top w:w="0" w:type="dxa"/>
            <w:left w:w="108" w:type="dxa"/>
            <w:bottom w:w="0" w:type="dxa"/>
            <w:right w:w="108" w:type="dxa"/>
          </w:tblCellMar>
        </w:tblPrEx>
        <w:trPr>
          <w:trHeight w:val="800" w:hRule="atLeast"/>
        </w:trPr>
        <w:tc>
          <w:tcPr>
            <w:tcW w:w="87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序号</w:t>
            </w:r>
          </w:p>
        </w:tc>
        <w:tc>
          <w:tcPr>
            <w:tcW w:w="1794"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使用功能测试内容</w:t>
            </w:r>
          </w:p>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（踩踏3次/套作为测试条件开展以下测试内容）</w:t>
            </w:r>
          </w:p>
        </w:tc>
        <w:tc>
          <w:tcPr>
            <w:tcW w:w="836"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jc w:val="center"/>
              <w:textAlignment w:val="center"/>
              <w:rPr>
                <w:rFonts w:ascii="宋体" w:hAnsi="宋体" w:cs="宋体"/>
                <w:sz w:val="18"/>
                <w:szCs w:val="18"/>
                <w:highlight w:val="none"/>
              </w:rPr>
            </w:pPr>
            <w:r>
              <w:rPr>
                <w:rFonts w:ascii="宋体" w:hAnsi="宋体" w:cs="宋体"/>
                <w:sz w:val="18"/>
                <w:szCs w:val="18"/>
                <w:highlight w:val="none"/>
                <w:lang w:bidi="ar"/>
              </w:rPr>
              <w:t>测试结果</w:t>
            </w:r>
          </w:p>
        </w:tc>
        <w:tc>
          <w:tcPr>
            <w:tcW w:w="763"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jc w:val="center"/>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测试人员</w:t>
            </w:r>
          </w:p>
          <w:p>
            <w:pPr>
              <w:spacing w:line="240" w:lineRule="auto"/>
              <w:ind w:left="0" w:firstLine="0"/>
              <w:jc w:val="center"/>
              <w:textAlignment w:val="center"/>
              <w:rPr>
                <w:rFonts w:ascii="宋体" w:hAnsi="宋体" w:cs="宋体"/>
                <w:sz w:val="18"/>
                <w:szCs w:val="18"/>
                <w:highlight w:val="none"/>
              </w:rPr>
            </w:pPr>
            <w:r>
              <w:rPr>
                <w:rFonts w:ascii="宋体" w:hAnsi="宋体" w:cs="宋体"/>
                <w:sz w:val="18"/>
                <w:szCs w:val="18"/>
                <w:highlight w:val="none"/>
                <w:lang w:bidi="ar"/>
              </w:rPr>
              <w:t>（签名/日期）</w:t>
            </w:r>
          </w:p>
        </w:tc>
        <w:tc>
          <w:tcPr>
            <w:tcW w:w="735"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备注</w:t>
            </w:r>
          </w:p>
        </w:tc>
      </w:tr>
      <w:tr>
        <w:trPr>
          <w:trHeight w:val="422" w:hRule="atLeast"/>
        </w:trPr>
        <w:tc>
          <w:tcPr>
            <w:tcW w:w="87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1</w:t>
            </w:r>
          </w:p>
        </w:tc>
        <w:tc>
          <w:tcPr>
            <w:tcW w:w="1794"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阀体或脚踏板在使用过程中是否出现位移的现象</w:t>
            </w:r>
          </w:p>
        </w:tc>
        <w:tc>
          <w:tcPr>
            <w:tcW w:w="142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是</w:t>
            </w:r>
            <w:r>
              <w:rPr>
                <w:rStyle w:val="71"/>
                <w:color w:val="auto"/>
                <w:sz w:val="18"/>
                <w:szCs w:val="18"/>
                <w:highlight w:val="none"/>
                <w:lang w:bidi="ar"/>
              </w:rPr>
              <w:t></w:t>
            </w:r>
            <w:r>
              <w:rPr>
                <w:rFonts w:ascii="宋体" w:hAnsi="宋体" w:cs="宋体"/>
                <w:sz w:val="18"/>
                <w:szCs w:val="18"/>
                <w:highlight w:val="none"/>
                <w:lang w:bidi="ar"/>
              </w:rPr>
              <w:t xml:space="preserve"> 否</w:t>
            </w:r>
            <w:r>
              <w:rPr>
                <w:rStyle w:val="71"/>
                <w:color w:val="auto"/>
                <w:sz w:val="18"/>
                <w:szCs w:val="18"/>
                <w:highlight w:val="none"/>
                <w:lang w:bidi="ar"/>
              </w:rPr>
              <w:t></w:t>
            </w:r>
          </w:p>
        </w:tc>
        <w:tc>
          <w:tcPr>
            <w:tcW w:w="763"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735"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rPr>
                <w:rFonts w:ascii="宋体" w:hAnsi="宋体" w:cs="宋体"/>
                <w:sz w:val="18"/>
                <w:szCs w:val="18"/>
                <w:highlight w:val="none"/>
              </w:rPr>
            </w:pPr>
          </w:p>
        </w:tc>
      </w:tr>
      <w:tr>
        <w:tblPrEx>
          <w:tblCellMar>
            <w:top w:w="0" w:type="dxa"/>
            <w:left w:w="108" w:type="dxa"/>
            <w:bottom w:w="0" w:type="dxa"/>
            <w:right w:w="108" w:type="dxa"/>
          </w:tblCellMar>
        </w:tblPrEx>
        <w:trPr>
          <w:trHeight w:val="800" w:hRule="atLeast"/>
        </w:trPr>
        <w:tc>
          <w:tcPr>
            <w:tcW w:w="87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2</w:t>
            </w:r>
          </w:p>
        </w:tc>
        <w:tc>
          <w:tcPr>
            <w:tcW w:w="1794"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阀体或脚踏板在使用过程中是否出现损坏、脱落、变形等现象</w:t>
            </w:r>
          </w:p>
        </w:tc>
        <w:tc>
          <w:tcPr>
            <w:tcW w:w="142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是</w:t>
            </w:r>
            <w:r>
              <w:rPr>
                <w:rStyle w:val="71"/>
                <w:color w:val="auto"/>
                <w:sz w:val="18"/>
                <w:szCs w:val="18"/>
                <w:highlight w:val="none"/>
                <w:lang w:bidi="ar"/>
              </w:rPr>
              <w:t></w:t>
            </w:r>
            <w:r>
              <w:rPr>
                <w:rFonts w:ascii="宋体" w:hAnsi="宋体" w:cs="宋体"/>
                <w:sz w:val="18"/>
                <w:szCs w:val="18"/>
                <w:highlight w:val="none"/>
                <w:lang w:bidi="ar"/>
              </w:rPr>
              <w:t xml:space="preserve"> 否</w:t>
            </w:r>
            <w:r>
              <w:rPr>
                <w:rStyle w:val="71"/>
                <w:color w:val="auto"/>
                <w:sz w:val="18"/>
                <w:szCs w:val="18"/>
                <w:highlight w:val="none"/>
                <w:lang w:bidi="ar"/>
              </w:rPr>
              <w:t></w:t>
            </w:r>
          </w:p>
        </w:tc>
        <w:tc>
          <w:tcPr>
            <w:tcW w:w="763"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735"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rPr>
                <w:rFonts w:ascii="宋体" w:hAnsi="宋体" w:cs="宋体"/>
                <w:sz w:val="18"/>
                <w:szCs w:val="18"/>
                <w:highlight w:val="none"/>
              </w:rPr>
            </w:pPr>
          </w:p>
        </w:tc>
      </w:tr>
      <w:tr>
        <w:tblPrEx>
          <w:tblCellMar>
            <w:top w:w="0" w:type="dxa"/>
            <w:left w:w="108" w:type="dxa"/>
            <w:bottom w:w="0" w:type="dxa"/>
            <w:right w:w="108" w:type="dxa"/>
          </w:tblCellMar>
        </w:tblPrEx>
        <w:trPr>
          <w:trHeight w:val="800" w:hRule="atLeast"/>
        </w:trPr>
        <w:tc>
          <w:tcPr>
            <w:tcW w:w="87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3</w:t>
            </w:r>
          </w:p>
        </w:tc>
        <w:tc>
          <w:tcPr>
            <w:tcW w:w="1794"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脚踏阀开启流量是否符合现场要求</w:t>
            </w:r>
          </w:p>
        </w:tc>
        <w:tc>
          <w:tcPr>
            <w:tcW w:w="142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是</w:t>
            </w:r>
            <w:r>
              <w:rPr>
                <w:rStyle w:val="71"/>
                <w:color w:val="auto"/>
                <w:sz w:val="18"/>
                <w:szCs w:val="18"/>
                <w:highlight w:val="none"/>
                <w:lang w:bidi="ar"/>
              </w:rPr>
              <w:t></w:t>
            </w:r>
            <w:r>
              <w:rPr>
                <w:rFonts w:ascii="宋体" w:hAnsi="宋体" w:cs="宋体"/>
                <w:sz w:val="18"/>
                <w:szCs w:val="18"/>
                <w:highlight w:val="none"/>
                <w:lang w:bidi="ar"/>
              </w:rPr>
              <w:t xml:space="preserve"> 否</w:t>
            </w:r>
            <w:r>
              <w:rPr>
                <w:rStyle w:val="71"/>
                <w:color w:val="auto"/>
                <w:sz w:val="18"/>
                <w:szCs w:val="18"/>
                <w:highlight w:val="none"/>
                <w:lang w:bidi="ar"/>
              </w:rPr>
              <w:t></w:t>
            </w:r>
          </w:p>
        </w:tc>
        <w:tc>
          <w:tcPr>
            <w:tcW w:w="763"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sz w:val="18"/>
                <w:szCs w:val="18"/>
                <w:highlight w:val="none"/>
              </w:rPr>
            </w:pPr>
          </w:p>
        </w:tc>
        <w:tc>
          <w:tcPr>
            <w:tcW w:w="735"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rPr>
                <w:rFonts w:ascii="宋体" w:hAnsi="宋体" w:cs="宋体"/>
                <w:sz w:val="18"/>
                <w:szCs w:val="18"/>
                <w:highlight w:val="none"/>
              </w:rPr>
            </w:pPr>
          </w:p>
        </w:tc>
      </w:tr>
      <w:tr>
        <w:tblPrEx>
          <w:tblCellMar>
            <w:top w:w="0" w:type="dxa"/>
            <w:left w:w="108" w:type="dxa"/>
            <w:bottom w:w="0" w:type="dxa"/>
            <w:right w:w="108" w:type="dxa"/>
          </w:tblCellMar>
        </w:tblPrEx>
        <w:trPr>
          <w:trHeight w:val="800" w:hRule="atLeast"/>
        </w:trPr>
        <w:tc>
          <w:tcPr>
            <w:tcW w:w="87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4</w:t>
            </w:r>
          </w:p>
        </w:tc>
        <w:tc>
          <w:tcPr>
            <w:tcW w:w="1794"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脚踏阀在使用过程中是否出现冲水不止的现象</w:t>
            </w:r>
          </w:p>
        </w:tc>
        <w:tc>
          <w:tcPr>
            <w:tcW w:w="142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是</w:t>
            </w:r>
            <w:r>
              <w:rPr>
                <w:rStyle w:val="71"/>
                <w:color w:val="auto"/>
                <w:sz w:val="18"/>
                <w:szCs w:val="18"/>
                <w:highlight w:val="none"/>
                <w:lang w:bidi="ar"/>
              </w:rPr>
              <w:t></w:t>
            </w:r>
            <w:r>
              <w:rPr>
                <w:rFonts w:ascii="宋体" w:hAnsi="宋体" w:cs="宋体"/>
                <w:sz w:val="18"/>
                <w:szCs w:val="18"/>
                <w:highlight w:val="none"/>
                <w:lang w:bidi="ar"/>
              </w:rPr>
              <w:t xml:space="preserve"> 否</w:t>
            </w:r>
            <w:r>
              <w:rPr>
                <w:rStyle w:val="71"/>
                <w:color w:val="auto"/>
                <w:sz w:val="18"/>
                <w:szCs w:val="18"/>
                <w:highlight w:val="none"/>
                <w:lang w:bidi="ar"/>
              </w:rPr>
              <w:t></w:t>
            </w:r>
          </w:p>
        </w:tc>
        <w:tc>
          <w:tcPr>
            <w:tcW w:w="763"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rPr>
                <w:rFonts w:ascii="宋体" w:hAnsi="宋体" w:cs="宋体"/>
                <w:sz w:val="18"/>
                <w:szCs w:val="18"/>
                <w:highlight w:val="none"/>
              </w:rPr>
            </w:pPr>
          </w:p>
        </w:tc>
        <w:tc>
          <w:tcPr>
            <w:tcW w:w="735"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rPr>
                <w:rFonts w:ascii="宋体" w:hAnsi="宋体" w:cs="宋体"/>
                <w:sz w:val="18"/>
                <w:szCs w:val="18"/>
                <w:highlight w:val="none"/>
              </w:rPr>
            </w:pPr>
          </w:p>
        </w:tc>
      </w:tr>
      <w:tr>
        <w:tblPrEx>
          <w:tblCellMar>
            <w:top w:w="0" w:type="dxa"/>
            <w:left w:w="108" w:type="dxa"/>
            <w:bottom w:w="0" w:type="dxa"/>
            <w:right w:w="108" w:type="dxa"/>
          </w:tblCellMar>
        </w:tblPrEx>
        <w:trPr>
          <w:trHeight w:val="800" w:hRule="atLeast"/>
        </w:trPr>
        <w:tc>
          <w:tcPr>
            <w:tcW w:w="87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5</w:t>
            </w:r>
          </w:p>
        </w:tc>
        <w:tc>
          <w:tcPr>
            <w:tcW w:w="1794"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脚踏阀在使用过程中是否出现无法冲水的现象</w:t>
            </w:r>
          </w:p>
        </w:tc>
        <w:tc>
          <w:tcPr>
            <w:tcW w:w="142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是</w:t>
            </w:r>
            <w:r>
              <w:rPr>
                <w:rStyle w:val="71"/>
                <w:color w:val="auto"/>
                <w:sz w:val="18"/>
                <w:szCs w:val="18"/>
                <w:highlight w:val="none"/>
                <w:lang w:bidi="ar"/>
              </w:rPr>
              <w:t></w:t>
            </w:r>
            <w:r>
              <w:rPr>
                <w:rFonts w:ascii="宋体" w:hAnsi="宋体" w:cs="宋体"/>
                <w:sz w:val="18"/>
                <w:szCs w:val="18"/>
                <w:highlight w:val="none"/>
                <w:lang w:bidi="ar"/>
              </w:rPr>
              <w:t xml:space="preserve"> 否</w:t>
            </w:r>
            <w:r>
              <w:rPr>
                <w:rStyle w:val="71"/>
                <w:color w:val="auto"/>
                <w:sz w:val="18"/>
                <w:szCs w:val="18"/>
                <w:highlight w:val="none"/>
                <w:lang w:bidi="ar"/>
              </w:rPr>
              <w:t></w:t>
            </w:r>
          </w:p>
        </w:tc>
        <w:tc>
          <w:tcPr>
            <w:tcW w:w="763"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rPr>
                <w:rFonts w:ascii="宋体" w:hAnsi="宋体" w:cs="宋体"/>
                <w:sz w:val="18"/>
                <w:szCs w:val="18"/>
                <w:highlight w:val="none"/>
              </w:rPr>
            </w:pPr>
          </w:p>
        </w:tc>
        <w:tc>
          <w:tcPr>
            <w:tcW w:w="735"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rPr>
                <w:rFonts w:ascii="宋体" w:hAnsi="宋体" w:cs="宋体"/>
                <w:sz w:val="18"/>
                <w:szCs w:val="18"/>
                <w:highlight w:val="none"/>
              </w:rPr>
            </w:pPr>
          </w:p>
        </w:tc>
      </w:tr>
      <w:tr>
        <w:tblPrEx>
          <w:tblCellMar>
            <w:top w:w="0" w:type="dxa"/>
            <w:left w:w="108" w:type="dxa"/>
            <w:bottom w:w="0" w:type="dxa"/>
            <w:right w:w="108" w:type="dxa"/>
          </w:tblCellMar>
        </w:tblPrEx>
        <w:trPr>
          <w:trHeight w:val="800" w:hRule="atLeast"/>
        </w:trPr>
        <w:tc>
          <w:tcPr>
            <w:tcW w:w="870"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6</w:t>
            </w:r>
          </w:p>
        </w:tc>
        <w:tc>
          <w:tcPr>
            <w:tcW w:w="305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lang w:bidi="ar"/>
              </w:rPr>
            </w:pPr>
            <w:r>
              <w:rPr>
                <w:rFonts w:ascii="宋体" w:hAnsi="宋体" w:cs="宋体"/>
                <w:sz w:val="18"/>
                <w:szCs w:val="18"/>
                <w:highlight w:val="none"/>
                <w:lang w:bidi="ar"/>
              </w:rPr>
              <w:t>冲洗阀冲水时不应有溅水现象，冲洗时间不应超过12s，当连续冲洗3次超过12s，既判定为不合格。</w:t>
            </w:r>
          </w:p>
        </w:tc>
        <w:tc>
          <w:tcPr>
            <w:tcW w:w="1425" w:type="dxa"/>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 xml:space="preserve">合格 </w:t>
            </w:r>
          </w:p>
          <w:p>
            <w:pPr>
              <w:spacing w:line="240" w:lineRule="auto"/>
              <w:jc w:val="center"/>
              <w:textAlignment w:val="center"/>
              <w:rPr>
                <w:rFonts w:ascii="宋体" w:hAnsi="宋体" w:cs="宋体"/>
                <w:sz w:val="18"/>
                <w:szCs w:val="18"/>
                <w:highlight w:val="none"/>
                <w:lang w:bidi="ar"/>
              </w:rPr>
            </w:pPr>
            <w:r>
              <w:rPr>
                <w:rFonts w:ascii="宋体" w:hAnsi="宋体" w:cs="宋体"/>
                <w:sz w:val="18"/>
                <w:szCs w:val="18"/>
                <w:highlight w:val="none"/>
                <w:lang w:bidi="ar"/>
              </w:rPr>
              <w:t>不合格</w:t>
            </w:r>
          </w:p>
        </w:tc>
        <w:tc>
          <w:tcPr>
            <w:tcW w:w="763"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rPr>
                <w:rFonts w:ascii="宋体" w:hAnsi="宋体" w:cs="宋体"/>
                <w:sz w:val="18"/>
                <w:szCs w:val="18"/>
                <w:highlight w:val="none"/>
              </w:rPr>
            </w:pPr>
          </w:p>
        </w:tc>
        <w:tc>
          <w:tcPr>
            <w:tcW w:w="735"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rPr>
                <w:rFonts w:ascii="宋体" w:hAnsi="宋体" w:cs="宋体"/>
                <w:sz w:val="18"/>
                <w:szCs w:val="18"/>
                <w:highlight w:val="none"/>
              </w:rPr>
            </w:pPr>
          </w:p>
        </w:tc>
      </w:tr>
      <w:tr>
        <w:tblPrEx>
          <w:tblCellMar>
            <w:top w:w="0" w:type="dxa"/>
            <w:left w:w="108" w:type="dxa"/>
            <w:bottom w:w="0" w:type="dxa"/>
            <w:right w:w="108" w:type="dxa"/>
          </w:tblCellMar>
        </w:tblPrEx>
        <w:trPr>
          <w:trHeight w:val="626" w:hRule="atLeast"/>
        </w:trPr>
        <w:tc>
          <w:tcPr>
            <w:tcW w:w="870" w:type="pct"/>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b/>
                <w:sz w:val="18"/>
                <w:szCs w:val="18"/>
                <w:highlight w:val="none"/>
              </w:rPr>
            </w:pPr>
            <w:r>
              <w:rPr>
                <w:rFonts w:ascii="宋体" w:hAnsi="宋体" w:cs="宋体"/>
                <w:b/>
                <w:sz w:val="18"/>
                <w:szCs w:val="18"/>
                <w:highlight w:val="none"/>
                <w:lang w:bidi="ar"/>
              </w:rPr>
              <w:t>施工单位</w:t>
            </w:r>
          </w:p>
        </w:tc>
        <w:tc>
          <w:tcPr>
            <w:tcW w:w="1794"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施工人员：</w:t>
            </w:r>
          </w:p>
        </w:tc>
        <w:tc>
          <w:tcPr>
            <w:tcW w:w="2335"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r>
        <w:tblPrEx>
          <w:tblCellMar>
            <w:top w:w="0" w:type="dxa"/>
            <w:left w:w="108" w:type="dxa"/>
            <w:bottom w:w="0" w:type="dxa"/>
            <w:right w:w="108" w:type="dxa"/>
          </w:tblCellMar>
        </w:tblPrEx>
        <w:trPr>
          <w:trHeight w:val="558" w:hRule="atLeast"/>
        </w:trPr>
        <w:tc>
          <w:tcPr>
            <w:tcW w:w="870" w:type="pct"/>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b/>
                <w:sz w:val="18"/>
                <w:szCs w:val="18"/>
                <w:highlight w:val="none"/>
              </w:rPr>
            </w:pPr>
          </w:p>
        </w:tc>
        <w:tc>
          <w:tcPr>
            <w:tcW w:w="1794"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项目负责人：</w:t>
            </w:r>
          </w:p>
        </w:tc>
        <w:tc>
          <w:tcPr>
            <w:tcW w:w="2335"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r>
        <w:trPr>
          <w:trHeight w:val="640" w:hRule="atLeast"/>
        </w:trPr>
        <w:tc>
          <w:tcPr>
            <w:tcW w:w="870" w:type="pct"/>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b/>
                <w:sz w:val="18"/>
                <w:szCs w:val="18"/>
                <w:highlight w:val="none"/>
              </w:rPr>
            </w:pPr>
            <w:r>
              <w:rPr>
                <w:rFonts w:ascii="宋体" w:hAnsi="宋体" w:cs="宋体"/>
                <w:b/>
                <w:sz w:val="18"/>
                <w:szCs w:val="18"/>
                <w:highlight w:val="none"/>
                <w:lang w:bidi="ar"/>
              </w:rPr>
              <w:t>测试单位</w:t>
            </w:r>
          </w:p>
        </w:tc>
        <w:tc>
          <w:tcPr>
            <w:tcW w:w="1794"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工班长：</w:t>
            </w:r>
          </w:p>
        </w:tc>
        <w:tc>
          <w:tcPr>
            <w:tcW w:w="2335"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r>
        <w:tblPrEx>
          <w:tblCellMar>
            <w:top w:w="0" w:type="dxa"/>
            <w:left w:w="108" w:type="dxa"/>
            <w:bottom w:w="0" w:type="dxa"/>
            <w:right w:w="108" w:type="dxa"/>
          </w:tblCellMar>
        </w:tblPrEx>
        <w:trPr>
          <w:trHeight w:val="622" w:hRule="atLeast"/>
        </w:trPr>
        <w:tc>
          <w:tcPr>
            <w:tcW w:w="870" w:type="pct"/>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rPr>
                <w:rFonts w:ascii="宋体" w:hAnsi="宋体" w:cs="宋体"/>
                <w:b/>
                <w:sz w:val="18"/>
                <w:szCs w:val="18"/>
                <w:highlight w:val="none"/>
              </w:rPr>
            </w:pPr>
          </w:p>
        </w:tc>
        <w:tc>
          <w:tcPr>
            <w:tcW w:w="1794"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技术主办：</w:t>
            </w:r>
          </w:p>
        </w:tc>
        <w:tc>
          <w:tcPr>
            <w:tcW w:w="2335"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bl>
    <w:p>
      <w:pPr>
        <w:spacing w:line="240" w:lineRule="auto"/>
        <w:rPr>
          <w:highlight w:val="none"/>
        </w:rPr>
      </w:pPr>
      <w:r>
        <w:rPr>
          <w:rFonts w:ascii="宋体"/>
          <w:highlight w:val="none"/>
        </w:rPr>
        <w:br w:type="page"/>
      </w:r>
    </w:p>
    <w:p>
      <w:pPr>
        <w:spacing w:before="0" w:after="0" w:afterAutospacing="0" w:line="240" w:lineRule="auto"/>
        <w:ind w:left="0" w:right="0" w:firstLine="0"/>
        <w:rPr>
          <w:rFonts w:ascii="宋体" w:hAnsi="宋体" w:cs="Arial"/>
          <w:highlight w:val="none"/>
        </w:rPr>
      </w:pPr>
      <w:r>
        <w:rPr>
          <w:rFonts w:ascii="宋体" w:hAnsi="宋体" w:cs="Arial"/>
          <w:highlight w:val="none"/>
        </w:rPr>
        <w:t>附表3-8</w:t>
      </w:r>
    </w:p>
    <w:tbl>
      <w:tblPr>
        <w:tblStyle w:val="27"/>
        <w:tblW w:w="5000" w:type="pct"/>
        <w:tblInd w:w="0" w:type="dxa"/>
        <w:tblLayout w:type="autofit"/>
        <w:tblCellMar>
          <w:top w:w="0" w:type="dxa"/>
          <w:left w:w="108" w:type="dxa"/>
          <w:bottom w:w="0" w:type="dxa"/>
          <w:right w:w="108" w:type="dxa"/>
        </w:tblCellMar>
      </w:tblPr>
      <w:tblGrid>
        <w:gridCol w:w="1515"/>
        <w:gridCol w:w="3699"/>
        <w:gridCol w:w="1651"/>
        <w:gridCol w:w="2420"/>
      </w:tblGrid>
      <w:tr>
        <w:tblPrEx>
          <w:tblCellMar>
            <w:top w:w="0" w:type="dxa"/>
            <w:left w:w="108" w:type="dxa"/>
            <w:bottom w:w="0" w:type="dxa"/>
            <w:right w:w="108" w:type="dxa"/>
          </w:tblCellMar>
        </w:tblPrEx>
        <w:trPr>
          <w:trHeight w:val="1060" w:hRule="atLeast"/>
        </w:trPr>
        <w:tc>
          <w:tcPr>
            <w:tcW w:w="5000" w:type="pct"/>
            <w:gridSpan w:val="4"/>
            <w:tcBorders>
              <w:top w:val="nil"/>
              <w:left w:val="nil"/>
              <w:bottom w:val="nil"/>
              <w:right w:val="nil"/>
              <w:tl2br w:val="nil"/>
              <w:tr2bl w:val="nil"/>
            </w:tcBorders>
            <w:noWrap/>
            <w:vAlign w:val="center"/>
          </w:tcPr>
          <w:p>
            <w:pPr>
              <w:spacing w:line="240" w:lineRule="auto"/>
              <w:jc w:val="center"/>
              <w:textAlignment w:val="center"/>
              <w:rPr>
                <w:rFonts w:ascii="宋体" w:hAnsi="宋体" w:cs="宋体"/>
                <w:b/>
                <w:sz w:val="28"/>
                <w:szCs w:val="28"/>
                <w:highlight w:val="none"/>
              </w:rPr>
            </w:pPr>
            <w:r>
              <w:rPr>
                <w:rFonts w:ascii="宋体" w:hAnsi="宋体" w:cs="宋体"/>
                <w:b/>
                <w:sz w:val="28"/>
                <w:szCs w:val="28"/>
                <w:highlight w:val="none"/>
                <w:lang w:bidi="ar"/>
              </w:rPr>
              <w:t>项目使用功能测试验收表</w:t>
            </w:r>
          </w:p>
        </w:tc>
      </w:tr>
      <w:tr>
        <w:tblPrEx>
          <w:tblCellMar>
            <w:top w:w="0" w:type="dxa"/>
            <w:left w:w="108" w:type="dxa"/>
            <w:bottom w:w="0" w:type="dxa"/>
            <w:right w:w="108" w:type="dxa"/>
          </w:tblCellMar>
        </w:tblPrEx>
        <w:trPr>
          <w:trHeight w:val="1140" w:hRule="atLeast"/>
        </w:trPr>
        <w:tc>
          <w:tcPr>
            <w:tcW w:w="816" w:type="pct"/>
            <w:tcBorders>
              <w:top w:val="single" w:color="000000" w:sz="4" w:space="0"/>
              <w:left w:val="single" w:color="000000" w:sz="4" w:space="0"/>
              <w:bottom w:val="nil"/>
              <w:right w:val="single" w:color="000000" w:sz="4" w:space="0"/>
              <w:tl2br w:val="nil"/>
              <w:tr2bl w:val="nil"/>
            </w:tcBorders>
            <w:vAlign w:val="center"/>
          </w:tcPr>
          <w:p>
            <w:pPr>
              <w:spacing w:line="240" w:lineRule="auto"/>
              <w:ind w:left="0" w:firstLine="0"/>
              <w:textAlignment w:val="center"/>
              <w:rPr>
                <w:rFonts w:ascii="宋体" w:hAnsi="宋体" w:cs="宋体"/>
                <w:sz w:val="18"/>
                <w:szCs w:val="18"/>
                <w:highlight w:val="none"/>
              </w:rPr>
            </w:pPr>
            <w:r>
              <w:rPr>
                <w:rFonts w:ascii="宋体" w:hAnsi="宋体" w:cs="宋体"/>
                <w:sz w:val="18"/>
                <w:szCs w:val="18"/>
                <w:highlight w:val="none"/>
                <w:lang w:bidi="ar"/>
              </w:rPr>
              <w:t>项目名称、编号及合同编号</w:t>
            </w:r>
          </w:p>
        </w:tc>
        <w:tc>
          <w:tcPr>
            <w:tcW w:w="4183" w:type="pct"/>
            <w:gridSpan w:val="3"/>
            <w:tcBorders>
              <w:top w:val="single" w:color="000000" w:sz="4" w:space="0"/>
              <w:left w:val="single" w:color="000000" w:sz="4" w:space="0"/>
              <w:bottom w:val="nil"/>
              <w:right w:val="single" w:color="000000" w:sz="4" w:space="0"/>
              <w:tl2br w:val="nil"/>
              <w:tr2bl w:val="nil"/>
            </w:tcBorders>
            <w:vAlign w:val="center"/>
          </w:tcPr>
          <w:p>
            <w:pPr>
              <w:spacing w:line="240" w:lineRule="auto"/>
              <w:ind w:left="0" w:firstLine="0"/>
              <w:jc w:val="left"/>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项目名称:</w:t>
            </w:r>
          </w:p>
          <w:p>
            <w:pPr>
              <w:spacing w:line="240" w:lineRule="auto"/>
              <w:ind w:left="0" w:firstLine="0"/>
              <w:jc w:val="left"/>
              <w:textAlignment w:val="center"/>
              <w:rPr>
                <w:rFonts w:hint="eastAsia" w:ascii="宋体" w:hAnsi="宋体" w:eastAsia="宋体" w:cs="宋体"/>
                <w:sz w:val="18"/>
                <w:szCs w:val="18"/>
                <w:highlight w:val="none"/>
                <w:lang w:eastAsia="zh-CN" w:bidi="ar"/>
              </w:rPr>
            </w:pPr>
            <w:r>
              <w:rPr>
                <w:rFonts w:ascii="宋体" w:hAnsi="宋体" w:cs="宋体"/>
                <w:sz w:val="18"/>
                <w:szCs w:val="18"/>
                <w:highlight w:val="none"/>
                <w:lang w:bidi="ar"/>
              </w:rPr>
              <w:t>项目编号：</w:t>
            </w:r>
          </w:p>
          <w:p>
            <w:pPr>
              <w:spacing w:line="240" w:lineRule="auto"/>
              <w:ind w:left="0" w:firstLine="0"/>
              <w:jc w:val="left"/>
              <w:textAlignment w:val="center"/>
              <w:rPr>
                <w:rFonts w:ascii="宋体" w:hAnsi="宋体" w:cs="宋体"/>
                <w:sz w:val="18"/>
                <w:szCs w:val="18"/>
                <w:highlight w:val="none"/>
              </w:rPr>
            </w:pPr>
            <w:r>
              <w:rPr>
                <w:rFonts w:ascii="宋体" w:hAnsi="宋体" w:cs="宋体"/>
                <w:sz w:val="18"/>
                <w:szCs w:val="18"/>
                <w:highlight w:val="none"/>
                <w:lang w:bidi="ar"/>
              </w:rPr>
              <w:t>合同编号：</w:t>
            </w:r>
          </w:p>
        </w:tc>
      </w:tr>
      <w:tr>
        <w:tblPrEx>
          <w:tblCellMar>
            <w:top w:w="0" w:type="dxa"/>
            <w:left w:w="108" w:type="dxa"/>
            <w:bottom w:w="0" w:type="dxa"/>
            <w:right w:w="108" w:type="dxa"/>
          </w:tblCellMar>
        </w:tblPrEx>
        <w:trPr>
          <w:trHeight w:val="800" w:hRule="atLeast"/>
        </w:trPr>
        <w:tc>
          <w:tcPr>
            <w:tcW w:w="816" w:type="pct"/>
            <w:tcBorders>
              <w:top w:val="single" w:color="000000" w:sz="4" w:space="0"/>
              <w:left w:val="single" w:color="000000" w:sz="4" w:space="0"/>
              <w:bottom w:val="nil"/>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项目地点</w:t>
            </w:r>
          </w:p>
        </w:tc>
        <w:tc>
          <w:tcPr>
            <w:tcW w:w="1992" w:type="pct"/>
            <w:tcBorders>
              <w:top w:val="single" w:color="000000" w:sz="4" w:space="0"/>
              <w:left w:val="single" w:color="000000" w:sz="4" w:space="0"/>
              <w:bottom w:val="nil"/>
              <w:right w:val="single" w:color="000000" w:sz="4" w:space="0"/>
              <w:tl2br w:val="nil"/>
              <w:tr2bl w:val="nil"/>
            </w:tcBorders>
            <w:vAlign w:val="center"/>
          </w:tcPr>
          <w:p>
            <w:pPr>
              <w:spacing w:line="240" w:lineRule="auto"/>
              <w:rPr>
                <w:rFonts w:ascii="宋体" w:hAnsi="宋体" w:cs="宋体"/>
                <w:sz w:val="18"/>
                <w:szCs w:val="18"/>
                <w:highlight w:val="none"/>
              </w:rPr>
            </w:pPr>
          </w:p>
        </w:tc>
        <w:tc>
          <w:tcPr>
            <w:tcW w:w="889" w:type="pct"/>
            <w:tcBorders>
              <w:top w:val="single" w:color="000000" w:sz="4" w:space="0"/>
              <w:left w:val="single" w:color="000000" w:sz="4" w:space="0"/>
              <w:bottom w:val="nil"/>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工程数量</w:t>
            </w:r>
          </w:p>
        </w:tc>
        <w:tc>
          <w:tcPr>
            <w:tcW w:w="1301" w:type="pct"/>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center"/>
              <w:rPr>
                <w:rFonts w:ascii="宋体" w:hAnsi="宋体" w:cs="宋体"/>
                <w:sz w:val="18"/>
                <w:szCs w:val="18"/>
                <w:highlight w:val="none"/>
              </w:rPr>
            </w:pPr>
          </w:p>
        </w:tc>
      </w:tr>
      <w:tr>
        <w:tblPrEx>
          <w:tblCellMar>
            <w:top w:w="0" w:type="dxa"/>
            <w:left w:w="108" w:type="dxa"/>
            <w:bottom w:w="0" w:type="dxa"/>
            <w:right w:w="108" w:type="dxa"/>
          </w:tblCellMar>
        </w:tblPrEx>
        <w:trPr>
          <w:trHeight w:val="800" w:hRule="atLeast"/>
        </w:trPr>
        <w:tc>
          <w:tcPr>
            <w:tcW w:w="816" w:type="pct"/>
            <w:tcBorders>
              <w:top w:val="single" w:color="000000" w:sz="4" w:space="0"/>
              <w:left w:val="single" w:color="000000" w:sz="4" w:space="0"/>
              <w:bottom w:val="nil"/>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施工单位</w:t>
            </w:r>
          </w:p>
        </w:tc>
        <w:tc>
          <w:tcPr>
            <w:tcW w:w="4183" w:type="pct"/>
            <w:gridSpan w:val="3"/>
            <w:tcBorders>
              <w:top w:val="single" w:color="000000" w:sz="4" w:space="0"/>
              <w:left w:val="single" w:color="000000" w:sz="4" w:space="0"/>
              <w:bottom w:val="nil"/>
              <w:right w:val="single" w:color="000000" w:sz="4" w:space="0"/>
              <w:tl2br w:val="nil"/>
              <w:tr2bl w:val="nil"/>
            </w:tcBorders>
            <w:vAlign w:val="center"/>
          </w:tcPr>
          <w:p>
            <w:pPr>
              <w:spacing w:line="240" w:lineRule="auto"/>
              <w:jc w:val="left"/>
              <w:rPr>
                <w:rFonts w:ascii="宋体" w:hAnsi="宋体" w:cs="宋体"/>
                <w:sz w:val="18"/>
                <w:szCs w:val="18"/>
                <w:highlight w:val="none"/>
              </w:rPr>
            </w:pPr>
          </w:p>
        </w:tc>
      </w:tr>
      <w:tr>
        <w:tblPrEx>
          <w:tblCellMar>
            <w:top w:w="0" w:type="dxa"/>
            <w:left w:w="108" w:type="dxa"/>
            <w:bottom w:w="0" w:type="dxa"/>
            <w:right w:w="108" w:type="dxa"/>
          </w:tblCellMar>
        </w:tblPrEx>
        <w:trPr>
          <w:trHeight w:val="800" w:hRule="atLeast"/>
        </w:trPr>
        <w:tc>
          <w:tcPr>
            <w:tcW w:w="816" w:type="pct"/>
            <w:tcBorders>
              <w:top w:val="single" w:color="000000" w:sz="4" w:space="0"/>
              <w:left w:val="single" w:color="000000" w:sz="4" w:space="0"/>
              <w:bottom w:val="nil"/>
              <w:right w:val="single" w:color="000000" w:sz="4" w:space="0"/>
              <w:tl2br w:val="nil"/>
              <w:tr2bl w:val="nil"/>
            </w:tcBorders>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验收单位</w:t>
            </w:r>
          </w:p>
        </w:tc>
        <w:tc>
          <w:tcPr>
            <w:tcW w:w="4183" w:type="pct"/>
            <w:gridSpan w:val="3"/>
            <w:tcBorders>
              <w:top w:val="single" w:color="000000" w:sz="4" w:space="0"/>
              <w:left w:val="single" w:color="000000" w:sz="4" w:space="0"/>
              <w:bottom w:val="nil"/>
              <w:right w:val="single" w:color="000000" w:sz="4" w:space="0"/>
              <w:tl2br w:val="nil"/>
              <w:tr2bl w:val="nil"/>
            </w:tcBorders>
            <w:vAlign w:val="center"/>
          </w:tcPr>
          <w:p>
            <w:pPr>
              <w:spacing w:line="240" w:lineRule="auto"/>
              <w:jc w:val="left"/>
              <w:rPr>
                <w:rFonts w:ascii="宋体" w:hAnsi="宋体" w:cs="宋体"/>
                <w:sz w:val="18"/>
                <w:szCs w:val="18"/>
                <w:highlight w:val="none"/>
              </w:rPr>
            </w:pPr>
          </w:p>
        </w:tc>
      </w:tr>
      <w:tr>
        <w:tblPrEx>
          <w:tblCellMar>
            <w:top w:w="0" w:type="dxa"/>
            <w:left w:w="108" w:type="dxa"/>
            <w:bottom w:w="0" w:type="dxa"/>
            <w:right w:w="108" w:type="dxa"/>
          </w:tblCellMar>
        </w:tblPrEx>
        <w:trPr>
          <w:trHeight w:val="800" w:hRule="atLeast"/>
        </w:trPr>
        <w:tc>
          <w:tcPr>
            <w:tcW w:w="5000" w:type="pct"/>
            <w:gridSpan w:val="4"/>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center"/>
              <w:textAlignment w:val="center"/>
              <w:rPr>
                <w:rFonts w:ascii="宋体" w:hAnsi="宋体" w:cs="宋体"/>
                <w:sz w:val="18"/>
                <w:szCs w:val="18"/>
                <w:highlight w:val="none"/>
              </w:rPr>
            </w:pPr>
            <w:r>
              <w:rPr>
                <w:rFonts w:ascii="宋体" w:hAnsi="宋体" w:cs="宋体"/>
                <w:sz w:val="18"/>
                <w:szCs w:val="18"/>
                <w:highlight w:val="none"/>
                <w:lang w:bidi="ar"/>
              </w:rPr>
              <w:t>项目使用功能测试验收结论</w:t>
            </w:r>
          </w:p>
        </w:tc>
      </w:tr>
      <w:tr>
        <w:tblPrEx>
          <w:tblCellMar>
            <w:top w:w="0" w:type="dxa"/>
            <w:left w:w="108" w:type="dxa"/>
            <w:bottom w:w="0" w:type="dxa"/>
            <w:right w:w="108" w:type="dxa"/>
          </w:tblCellMar>
        </w:tblPrEx>
        <w:trPr>
          <w:trHeight w:val="2680" w:hRule="atLeast"/>
        </w:trPr>
        <w:tc>
          <w:tcPr>
            <w:tcW w:w="5000" w:type="pct"/>
            <w:gridSpan w:val="4"/>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jc w:val="left"/>
              <w:rPr>
                <w:rFonts w:ascii="宋体" w:hAnsi="宋体" w:cs="宋体"/>
                <w:sz w:val="18"/>
                <w:szCs w:val="18"/>
                <w:highlight w:val="none"/>
              </w:rPr>
            </w:pPr>
          </w:p>
        </w:tc>
      </w:tr>
      <w:tr>
        <w:tblPrEx>
          <w:tblCellMar>
            <w:top w:w="0" w:type="dxa"/>
            <w:left w:w="108" w:type="dxa"/>
            <w:bottom w:w="0" w:type="dxa"/>
            <w:right w:w="108" w:type="dxa"/>
          </w:tblCellMar>
        </w:tblPrEx>
        <w:trPr>
          <w:trHeight w:val="800" w:hRule="atLeast"/>
        </w:trPr>
        <w:tc>
          <w:tcPr>
            <w:tcW w:w="816" w:type="pct"/>
            <w:vMerge w:val="restart"/>
            <w:tcBorders>
              <w:top w:val="single" w:color="000000" w:sz="4" w:space="0"/>
              <w:left w:val="single" w:color="000000" w:sz="4" w:space="0"/>
              <w:bottom w:val="single" w:color="000000" w:sz="4" w:space="0"/>
              <w:right w:val="nil"/>
              <w:tl2br w:val="nil"/>
              <w:tr2bl w:val="nil"/>
            </w:tcBorders>
            <w:noWrap/>
            <w:vAlign w:val="center"/>
          </w:tcPr>
          <w:p>
            <w:pPr>
              <w:spacing w:line="240" w:lineRule="auto"/>
              <w:jc w:val="center"/>
              <w:textAlignment w:val="center"/>
              <w:rPr>
                <w:rFonts w:ascii="宋体" w:hAnsi="宋体" w:cs="宋体"/>
                <w:b/>
                <w:sz w:val="18"/>
                <w:szCs w:val="18"/>
                <w:highlight w:val="none"/>
              </w:rPr>
            </w:pPr>
            <w:r>
              <w:rPr>
                <w:rFonts w:ascii="宋体" w:hAnsi="宋体" w:cs="宋体"/>
                <w:b/>
                <w:sz w:val="18"/>
                <w:szCs w:val="18"/>
                <w:highlight w:val="none"/>
                <w:lang w:bidi="ar"/>
              </w:rPr>
              <w:t>施工单位</w:t>
            </w:r>
          </w:p>
        </w:tc>
        <w:tc>
          <w:tcPr>
            <w:tcW w:w="1992"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施工人员：</w:t>
            </w:r>
          </w:p>
        </w:tc>
        <w:tc>
          <w:tcPr>
            <w:tcW w:w="2191"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r>
        <w:tblPrEx>
          <w:tblCellMar>
            <w:top w:w="0" w:type="dxa"/>
            <w:left w:w="108" w:type="dxa"/>
            <w:bottom w:w="0" w:type="dxa"/>
            <w:right w:w="108" w:type="dxa"/>
          </w:tblCellMar>
        </w:tblPrEx>
        <w:trPr>
          <w:trHeight w:val="800" w:hRule="atLeast"/>
        </w:trPr>
        <w:tc>
          <w:tcPr>
            <w:tcW w:w="816" w:type="pct"/>
            <w:vMerge w:val="continue"/>
            <w:tcBorders>
              <w:top w:val="single" w:color="000000" w:sz="4" w:space="0"/>
              <w:left w:val="single" w:color="000000" w:sz="4" w:space="0"/>
              <w:bottom w:val="single" w:color="000000" w:sz="4" w:space="0"/>
              <w:right w:val="nil"/>
              <w:tl2br w:val="nil"/>
              <w:tr2bl w:val="nil"/>
            </w:tcBorders>
            <w:noWrap/>
            <w:vAlign w:val="center"/>
          </w:tcPr>
          <w:p>
            <w:pPr>
              <w:spacing w:line="240" w:lineRule="auto"/>
              <w:jc w:val="center"/>
              <w:rPr>
                <w:rFonts w:ascii="宋体" w:hAnsi="宋体" w:cs="宋体"/>
                <w:b/>
                <w:sz w:val="18"/>
                <w:szCs w:val="18"/>
                <w:highlight w:val="none"/>
              </w:rPr>
            </w:pPr>
          </w:p>
        </w:tc>
        <w:tc>
          <w:tcPr>
            <w:tcW w:w="1992"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项目负责人：</w:t>
            </w:r>
          </w:p>
        </w:tc>
        <w:tc>
          <w:tcPr>
            <w:tcW w:w="2191"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r>
        <w:tblPrEx>
          <w:tblCellMar>
            <w:top w:w="0" w:type="dxa"/>
            <w:left w:w="108" w:type="dxa"/>
            <w:bottom w:w="0" w:type="dxa"/>
            <w:right w:w="108" w:type="dxa"/>
          </w:tblCellMar>
        </w:tblPrEx>
        <w:trPr>
          <w:trHeight w:val="800" w:hRule="atLeast"/>
        </w:trPr>
        <w:tc>
          <w:tcPr>
            <w:tcW w:w="816" w:type="pct"/>
            <w:vMerge w:val="restart"/>
            <w:tcBorders>
              <w:top w:val="single" w:color="000000" w:sz="4" w:space="0"/>
              <w:left w:val="single" w:color="000000" w:sz="4" w:space="0"/>
              <w:bottom w:val="single" w:color="000000" w:sz="4" w:space="0"/>
              <w:right w:val="nil"/>
              <w:tl2br w:val="nil"/>
              <w:tr2bl w:val="nil"/>
            </w:tcBorders>
            <w:noWrap/>
            <w:vAlign w:val="center"/>
          </w:tcPr>
          <w:p>
            <w:pPr>
              <w:spacing w:line="240" w:lineRule="auto"/>
              <w:jc w:val="center"/>
              <w:textAlignment w:val="center"/>
              <w:rPr>
                <w:rFonts w:ascii="宋体" w:hAnsi="宋体" w:cs="宋体"/>
                <w:b/>
                <w:sz w:val="18"/>
                <w:szCs w:val="18"/>
                <w:highlight w:val="none"/>
              </w:rPr>
            </w:pPr>
            <w:r>
              <w:rPr>
                <w:rFonts w:ascii="宋体" w:hAnsi="宋体" w:cs="宋体"/>
                <w:b/>
                <w:sz w:val="18"/>
                <w:szCs w:val="18"/>
                <w:highlight w:val="none"/>
                <w:lang w:bidi="ar"/>
              </w:rPr>
              <w:t>验收单位</w:t>
            </w:r>
          </w:p>
        </w:tc>
        <w:tc>
          <w:tcPr>
            <w:tcW w:w="1992"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工班长：</w:t>
            </w:r>
          </w:p>
        </w:tc>
        <w:tc>
          <w:tcPr>
            <w:tcW w:w="2191"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r>
        <w:tblPrEx>
          <w:tblCellMar>
            <w:top w:w="0" w:type="dxa"/>
            <w:left w:w="108" w:type="dxa"/>
            <w:bottom w:w="0" w:type="dxa"/>
            <w:right w:w="108" w:type="dxa"/>
          </w:tblCellMar>
        </w:tblPrEx>
        <w:trPr>
          <w:trHeight w:val="800" w:hRule="atLeast"/>
        </w:trPr>
        <w:tc>
          <w:tcPr>
            <w:tcW w:w="816" w:type="pct"/>
            <w:vMerge w:val="continue"/>
            <w:tcBorders>
              <w:top w:val="single" w:color="000000" w:sz="4" w:space="0"/>
              <w:left w:val="single" w:color="000000" w:sz="4" w:space="0"/>
              <w:bottom w:val="single" w:color="000000" w:sz="4" w:space="0"/>
              <w:right w:val="nil"/>
              <w:tl2br w:val="nil"/>
              <w:tr2bl w:val="nil"/>
            </w:tcBorders>
            <w:noWrap/>
            <w:vAlign w:val="center"/>
          </w:tcPr>
          <w:p>
            <w:pPr>
              <w:spacing w:line="240" w:lineRule="auto"/>
              <w:jc w:val="center"/>
              <w:rPr>
                <w:rFonts w:ascii="宋体" w:hAnsi="宋体" w:cs="宋体"/>
                <w:b/>
                <w:sz w:val="18"/>
                <w:szCs w:val="18"/>
                <w:highlight w:val="none"/>
              </w:rPr>
            </w:pPr>
          </w:p>
        </w:tc>
        <w:tc>
          <w:tcPr>
            <w:tcW w:w="1992"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技术主办：</w:t>
            </w:r>
          </w:p>
        </w:tc>
        <w:tc>
          <w:tcPr>
            <w:tcW w:w="2191"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spacing w:line="240" w:lineRule="auto"/>
              <w:jc w:val="left"/>
              <w:textAlignment w:val="center"/>
              <w:rPr>
                <w:rFonts w:ascii="宋体" w:hAnsi="宋体" w:cs="宋体"/>
                <w:sz w:val="18"/>
                <w:szCs w:val="18"/>
                <w:highlight w:val="none"/>
              </w:rPr>
            </w:pPr>
            <w:r>
              <w:rPr>
                <w:rFonts w:ascii="宋体" w:hAnsi="宋体" w:cs="宋体"/>
                <w:sz w:val="18"/>
                <w:szCs w:val="18"/>
                <w:highlight w:val="none"/>
                <w:lang w:bidi="ar"/>
              </w:rPr>
              <w:t xml:space="preserve">        年    月    日 </w:t>
            </w:r>
          </w:p>
        </w:tc>
      </w:tr>
    </w:tbl>
    <w:p>
      <w:pPr>
        <w:pStyle w:val="12"/>
        <w:spacing w:line="240" w:lineRule="auto"/>
        <w:ind w:left="0" w:firstLine="0"/>
        <w:rPr>
          <w:highlight w:val="none"/>
        </w:rPr>
      </w:pPr>
    </w:p>
    <w:p>
      <w:pPr>
        <w:spacing w:line="240" w:lineRule="auto"/>
        <w:rPr>
          <w:rFonts w:ascii="宋体" w:hAnsi="宋体" w:cs="宋体"/>
          <w:b/>
          <w:kern w:val="2"/>
          <w:highlight w:val="none"/>
        </w:rPr>
      </w:pPr>
      <w:r>
        <w:rPr>
          <w:rFonts w:ascii="宋体" w:hAnsi="宋体" w:cs="宋体"/>
          <w:b/>
          <w:kern w:val="2"/>
          <w:highlight w:val="none"/>
        </w:rPr>
        <w:br w:type="page"/>
      </w:r>
    </w:p>
    <w:p>
      <w:pPr>
        <w:widowControl w:val="0"/>
        <w:spacing w:line="240" w:lineRule="auto"/>
        <w:outlineLvl w:val="3"/>
        <w:rPr>
          <w:rFonts w:ascii="宋体" w:hAnsi="宋体" w:cs="宋体"/>
          <w:b/>
          <w:kern w:val="2"/>
          <w:highlight w:val="none"/>
        </w:rPr>
      </w:pPr>
      <w:r>
        <w:rPr>
          <w:rFonts w:ascii="宋体" w:hAnsi="宋体" w:cs="宋体"/>
          <w:b/>
          <w:kern w:val="2"/>
          <w:highlight w:val="none"/>
        </w:rPr>
        <w:t>附件4：</w:t>
      </w:r>
    </w:p>
    <w:bookmarkEnd w:id="1590"/>
    <w:p>
      <w:pPr>
        <w:widowControl w:val="0"/>
        <w:spacing w:before="0" w:after="0" w:afterAutospacing="0" w:line="240" w:lineRule="auto"/>
        <w:ind w:left="0" w:right="0" w:firstLine="0"/>
        <w:jc w:val="center"/>
        <w:outlineLvl w:val="3"/>
        <w:rPr>
          <w:rFonts w:ascii="黑体" w:hAnsi="黑体" w:eastAsia="黑体" w:cs="宋体"/>
          <w:sz w:val="32"/>
          <w:szCs w:val="32"/>
          <w:highlight w:val="none"/>
        </w:rPr>
      </w:pPr>
      <w:bookmarkStart w:id="1601" w:name="_Toc12175"/>
      <w:r>
        <w:rPr>
          <w:rFonts w:hint="eastAsia" w:ascii="黑体" w:hAnsi="黑体" w:eastAsia="黑体" w:cs="宋体"/>
          <w:sz w:val="32"/>
          <w:szCs w:val="32"/>
          <w:highlight w:val="none"/>
        </w:rPr>
        <w:t>合同违约处理通知单</w:t>
      </w:r>
      <w:bookmarkEnd w:id="1601"/>
    </w:p>
    <w:p>
      <w:pPr>
        <w:widowControl w:val="0"/>
        <w:spacing w:line="240" w:lineRule="auto"/>
        <w:outlineLvl w:val="3"/>
        <w:rPr>
          <w:rFonts w:ascii="宋体" w:hAnsi="Courier New" w:eastAsia="Malgun Gothic" w:cs="Courier New"/>
          <w:kern w:val="2"/>
          <w:highlight w:val="none"/>
        </w:rPr>
      </w:pPr>
      <w:bookmarkStart w:id="1602" w:name="_Toc11321"/>
      <w:r>
        <w:rPr>
          <w:rFonts w:hint="eastAsia" w:ascii="宋体" w:hAnsi="宋体" w:eastAsia="Malgun Gothic" w:cs="Courier New"/>
          <w:b/>
          <w:kern w:val="2"/>
          <w:highlight w:val="none"/>
        </w:rPr>
        <w:t>编号：</w:t>
      </w:r>
      <w:r>
        <w:rPr>
          <w:rFonts w:hint="eastAsia" w:ascii="宋体" w:hAnsi="宋体" w:eastAsia="Malgun Gothic" w:cs="Courier New"/>
          <w:kern w:val="2"/>
          <w:highlight w:val="none"/>
        </w:rPr>
        <w:t>合同编号-年月-两位数</w:t>
      </w:r>
      <w:bookmarkEnd w:id="1602"/>
    </w:p>
    <w:tbl>
      <w:tblPr>
        <w:tblStyle w:val="27"/>
        <w:tblpPr w:leftFromText="180" w:rightFromText="180" w:vertAnchor="text" w:horzAnchor="page" w:tblpX="906" w:tblpY="2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475"/>
        <w:gridCol w:w="1876"/>
        <w:gridCol w:w="907"/>
        <w:gridCol w:w="376"/>
        <w:gridCol w:w="1750"/>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003" w:type="dxa"/>
            <w:gridSpan w:val="2"/>
            <w:tcBorders>
              <w:top w:val="thinThickSmallGap" w:color="auto" w:sz="18" w:space="0"/>
              <w:left w:val="thinThickSmallGap" w:color="auto" w:sz="18" w:space="0"/>
              <w:bottom w:val="single" w:color="auto" w:sz="4" w:space="0"/>
              <w:right w:val="single" w:color="auto" w:sz="4" w:space="0"/>
              <w:tl2br w:val="nil"/>
              <w:tr2bl w:val="nil"/>
            </w:tcBorders>
            <w:vAlign w:val="center"/>
          </w:tcPr>
          <w:p>
            <w:pPr>
              <w:widowControl w:val="0"/>
              <w:spacing w:before="0" w:after="0" w:afterAutospacing="0" w:line="240" w:lineRule="auto"/>
              <w:ind w:left="0" w:right="0" w:firstLine="0"/>
              <w:jc w:val="center"/>
              <w:rPr>
                <w:rFonts w:ascii="宋体" w:hAnsi="宋体" w:cs="宋体"/>
                <w:b/>
                <w:kern w:val="2"/>
                <w:sz w:val="18"/>
                <w:szCs w:val="18"/>
                <w:highlight w:val="none"/>
              </w:rPr>
            </w:pPr>
            <w:r>
              <w:rPr>
                <w:rFonts w:ascii="宋体" w:hAnsi="宋体" w:cs="宋体"/>
                <w:b/>
                <w:kern w:val="2"/>
                <w:sz w:val="18"/>
                <w:szCs w:val="18"/>
                <w:highlight w:val="none"/>
              </w:rPr>
              <w:t>项目名称</w:t>
            </w:r>
          </w:p>
        </w:tc>
        <w:tc>
          <w:tcPr>
            <w:tcW w:w="2783" w:type="dxa"/>
            <w:gridSpan w:val="2"/>
            <w:tcBorders>
              <w:top w:val="thinThickSmallGap" w:color="auto" w:sz="18" w:space="0"/>
              <w:left w:val="single" w:color="auto" w:sz="4" w:space="0"/>
              <w:bottom w:val="single" w:color="auto" w:sz="4" w:space="0"/>
              <w:right w:val="single" w:color="auto" w:sz="4" w:space="0"/>
              <w:tl2br w:val="nil"/>
              <w:tr2bl w:val="nil"/>
            </w:tcBorders>
            <w:vAlign w:val="center"/>
          </w:tcPr>
          <w:p>
            <w:pPr>
              <w:widowControl w:val="0"/>
              <w:spacing w:before="0" w:after="0" w:afterAutospacing="0" w:line="240" w:lineRule="auto"/>
              <w:ind w:left="0" w:right="0" w:firstLine="0"/>
              <w:jc w:val="center"/>
              <w:rPr>
                <w:rFonts w:ascii="宋体" w:hAnsi="宋体" w:cs="宋体"/>
                <w:b/>
                <w:kern w:val="2"/>
                <w:sz w:val="18"/>
                <w:szCs w:val="18"/>
                <w:highlight w:val="none"/>
              </w:rPr>
            </w:pPr>
          </w:p>
        </w:tc>
        <w:tc>
          <w:tcPr>
            <w:tcW w:w="2126" w:type="dxa"/>
            <w:gridSpan w:val="2"/>
            <w:tcBorders>
              <w:top w:val="thinThickSmallGap" w:color="auto" w:sz="18" w:space="0"/>
              <w:left w:val="single" w:color="auto" w:sz="4" w:space="0"/>
              <w:bottom w:val="single" w:color="auto" w:sz="4" w:space="0"/>
              <w:right w:val="single" w:color="auto" w:sz="4" w:space="0"/>
              <w:tl2br w:val="nil"/>
              <w:tr2bl w:val="nil"/>
            </w:tcBorders>
            <w:vAlign w:val="center"/>
          </w:tcPr>
          <w:p>
            <w:pPr>
              <w:widowControl w:val="0"/>
              <w:spacing w:before="0" w:after="0" w:afterAutospacing="0" w:line="240" w:lineRule="auto"/>
              <w:ind w:left="0" w:right="0" w:firstLine="0"/>
              <w:jc w:val="center"/>
              <w:rPr>
                <w:rFonts w:ascii="宋体" w:hAnsi="宋体" w:cs="宋体"/>
                <w:b/>
                <w:kern w:val="2"/>
                <w:sz w:val="18"/>
                <w:szCs w:val="18"/>
                <w:highlight w:val="none"/>
              </w:rPr>
            </w:pPr>
            <w:r>
              <w:rPr>
                <w:rFonts w:ascii="宋体" w:hAnsi="宋体" w:cs="宋体"/>
                <w:b/>
                <w:kern w:val="2"/>
                <w:sz w:val="18"/>
                <w:szCs w:val="18"/>
                <w:highlight w:val="none"/>
              </w:rPr>
              <w:t>合同编号</w:t>
            </w:r>
          </w:p>
        </w:tc>
        <w:tc>
          <w:tcPr>
            <w:tcW w:w="2835" w:type="dxa"/>
            <w:tcBorders>
              <w:top w:val="thinThickSmallGap" w:color="auto" w:sz="18" w:space="0"/>
              <w:left w:val="single" w:color="auto" w:sz="4" w:space="0"/>
              <w:bottom w:val="single" w:color="auto" w:sz="4" w:space="0"/>
              <w:right w:val="thinThickSmallGap" w:color="auto" w:sz="18" w:space="0"/>
              <w:tl2br w:val="nil"/>
              <w:tr2bl w:val="nil"/>
            </w:tcBorders>
            <w:vAlign w:val="center"/>
          </w:tcPr>
          <w:p>
            <w:pPr>
              <w:widowControl w:val="0"/>
              <w:spacing w:before="0" w:after="0" w:afterAutospacing="0" w:line="240" w:lineRule="auto"/>
              <w:ind w:left="0" w:right="0" w:firstLine="0"/>
              <w:jc w:val="center"/>
              <w:rPr>
                <w:rFonts w:ascii="宋体" w:hAnsi="宋体" w:cs="宋体"/>
                <w:kern w:val="2"/>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003" w:type="dxa"/>
            <w:gridSpan w:val="2"/>
            <w:tcBorders>
              <w:top w:val="single" w:color="auto" w:sz="4" w:space="0"/>
              <w:left w:val="thinThickSmallGap" w:color="auto" w:sz="18" w:space="0"/>
              <w:bottom w:val="single" w:color="auto" w:sz="4" w:space="0"/>
              <w:right w:val="single" w:color="auto" w:sz="4" w:space="0"/>
              <w:tl2br w:val="nil"/>
              <w:tr2bl w:val="nil"/>
            </w:tcBorders>
            <w:vAlign w:val="center"/>
          </w:tcPr>
          <w:p>
            <w:pPr>
              <w:widowControl w:val="0"/>
              <w:spacing w:before="0" w:after="0" w:afterAutospacing="0" w:line="240" w:lineRule="auto"/>
              <w:ind w:left="0" w:right="0" w:firstLine="0"/>
              <w:jc w:val="center"/>
              <w:rPr>
                <w:rFonts w:ascii="宋体" w:hAnsi="宋体" w:cs="宋体"/>
                <w:b/>
                <w:kern w:val="2"/>
                <w:sz w:val="18"/>
                <w:szCs w:val="18"/>
                <w:highlight w:val="none"/>
              </w:rPr>
            </w:pPr>
            <w:r>
              <w:rPr>
                <w:rFonts w:ascii="宋体" w:hAnsi="宋体" w:cs="宋体"/>
                <w:b/>
                <w:kern w:val="2"/>
                <w:sz w:val="18"/>
                <w:szCs w:val="18"/>
                <w:highlight w:val="none"/>
              </w:rPr>
              <w:t>乙方</w:t>
            </w:r>
          </w:p>
        </w:tc>
        <w:tc>
          <w:tcPr>
            <w:tcW w:w="2783" w:type="dxa"/>
            <w:gridSpan w:val="2"/>
            <w:tcBorders>
              <w:top w:val="single" w:color="auto" w:sz="4" w:space="0"/>
              <w:left w:val="single" w:color="auto" w:sz="4" w:space="0"/>
              <w:bottom w:val="single" w:color="auto" w:sz="4" w:space="0"/>
              <w:right w:val="single" w:color="auto" w:sz="4" w:space="0"/>
              <w:tl2br w:val="nil"/>
              <w:tr2bl w:val="nil"/>
            </w:tcBorders>
            <w:vAlign w:val="center"/>
          </w:tcPr>
          <w:p>
            <w:pPr>
              <w:widowControl w:val="0"/>
              <w:spacing w:before="0" w:after="0" w:afterAutospacing="0" w:line="240" w:lineRule="auto"/>
              <w:ind w:left="0" w:right="0" w:firstLine="0"/>
              <w:jc w:val="center"/>
              <w:rPr>
                <w:rFonts w:ascii="宋体" w:hAnsi="宋体" w:cs="宋体"/>
                <w:kern w:val="2"/>
                <w:sz w:val="18"/>
                <w:szCs w:val="18"/>
                <w:highlight w:val="none"/>
              </w:rPr>
            </w:pPr>
          </w:p>
        </w:tc>
        <w:tc>
          <w:tcPr>
            <w:tcW w:w="2126" w:type="dxa"/>
            <w:gridSpan w:val="2"/>
            <w:tcBorders>
              <w:top w:val="single" w:color="auto" w:sz="4" w:space="0"/>
              <w:left w:val="single" w:color="auto" w:sz="4" w:space="0"/>
              <w:bottom w:val="single" w:color="auto" w:sz="4" w:space="0"/>
              <w:right w:val="single" w:color="auto" w:sz="4" w:space="0"/>
              <w:tl2br w:val="nil"/>
              <w:tr2bl w:val="nil"/>
            </w:tcBorders>
            <w:vAlign w:val="center"/>
          </w:tcPr>
          <w:p>
            <w:pPr>
              <w:widowControl w:val="0"/>
              <w:spacing w:before="0" w:after="0" w:afterAutospacing="0" w:line="240" w:lineRule="auto"/>
              <w:ind w:left="0" w:right="0" w:firstLine="0"/>
              <w:jc w:val="center"/>
              <w:rPr>
                <w:rFonts w:ascii="宋体" w:hAnsi="宋体" w:cs="宋体"/>
                <w:b/>
                <w:kern w:val="2"/>
                <w:sz w:val="18"/>
                <w:szCs w:val="18"/>
                <w:highlight w:val="none"/>
              </w:rPr>
            </w:pPr>
            <w:r>
              <w:rPr>
                <w:rFonts w:ascii="宋体" w:hAnsi="宋体" w:cs="宋体"/>
                <w:b/>
                <w:kern w:val="2"/>
                <w:sz w:val="18"/>
                <w:szCs w:val="18"/>
                <w:highlight w:val="none"/>
              </w:rPr>
              <w:t>业主主办部门</w:t>
            </w:r>
          </w:p>
        </w:tc>
        <w:tc>
          <w:tcPr>
            <w:tcW w:w="2835" w:type="dxa"/>
            <w:tcBorders>
              <w:top w:val="single" w:color="auto" w:sz="4" w:space="0"/>
              <w:left w:val="single" w:color="auto" w:sz="4" w:space="0"/>
              <w:bottom w:val="single" w:color="auto" w:sz="4" w:space="0"/>
              <w:right w:val="thinThickSmallGap" w:color="auto" w:sz="18" w:space="0"/>
              <w:tl2br w:val="nil"/>
              <w:tr2bl w:val="nil"/>
            </w:tcBorders>
            <w:vAlign w:val="center"/>
          </w:tcPr>
          <w:p>
            <w:pPr>
              <w:widowControl w:val="0"/>
              <w:spacing w:before="0" w:after="0" w:afterAutospacing="0" w:line="240" w:lineRule="auto"/>
              <w:ind w:left="0" w:right="0" w:firstLine="0"/>
              <w:jc w:val="center"/>
              <w:rPr>
                <w:rFonts w:ascii="宋体" w:hAnsi="宋体" w:cs="宋体"/>
                <w:kern w:val="2"/>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4" w:hRule="atLeast"/>
        </w:trPr>
        <w:tc>
          <w:tcPr>
            <w:tcW w:w="2003" w:type="dxa"/>
            <w:gridSpan w:val="2"/>
            <w:tcBorders>
              <w:top w:val="single" w:color="auto" w:sz="4" w:space="0"/>
              <w:left w:val="thinThickSmallGap" w:color="auto" w:sz="18" w:space="0"/>
              <w:bottom w:val="single" w:color="auto" w:sz="4" w:space="0"/>
              <w:right w:val="single" w:color="auto" w:sz="4" w:space="0"/>
              <w:tl2br w:val="nil"/>
              <w:tr2bl w:val="nil"/>
            </w:tcBorders>
            <w:vAlign w:val="center"/>
          </w:tcPr>
          <w:p>
            <w:pPr>
              <w:widowControl w:val="0"/>
              <w:spacing w:before="0" w:after="0" w:afterAutospacing="0" w:line="240" w:lineRule="auto"/>
              <w:ind w:left="0" w:right="0" w:firstLine="0"/>
              <w:jc w:val="center"/>
              <w:rPr>
                <w:rFonts w:ascii="宋体" w:hAnsi="宋体" w:cs="宋体"/>
                <w:b/>
                <w:kern w:val="2"/>
                <w:sz w:val="18"/>
                <w:szCs w:val="18"/>
                <w:highlight w:val="none"/>
              </w:rPr>
            </w:pPr>
            <w:r>
              <w:rPr>
                <w:rFonts w:ascii="宋体" w:hAnsi="宋体" w:cs="宋体"/>
                <w:b/>
                <w:kern w:val="2"/>
                <w:sz w:val="18"/>
                <w:szCs w:val="18"/>
                <w:highlight w:val="none"/>
              </w:rPr>
              <w:t>合同违约情况</w:t>
            </w:r>
          </w:p>
        </w:tc>
        <w:tc>
          <w:tcPr>
            <w:tcW w:w="7744" w:type="dxa"/>
            <w:gridSpan w:val="5"/>
            <w:tcBorders>
              <w:top w:val="single" w:color="auto" w:sz="4" w:space="0"/>
              <w:left w:val="single" w:color="auto" w:sz="4" w:space="0"/>
              <w:bottom w:val="single" w:color="auto" w:sz="4" w:space="0"/>
              <w:right w:val="thinThickSmallGap" w:color="auto" w:sz="18" w:space="0"/>
              <w:tl2br w:val="nil"/>
              <w:tr2bl w:val="nil"/>
            </w:tcBorders>
          </w:tcPr>
          <w:p>
            <w:pPr>
              <w:widowControl w:val="0"/>
              <w:spacing w:before="0" w:after="0" w:afterAutospacing="0" w:line="240" w:lineRule="auto"/>
              <w:ind w:left="0" w:right="0" w:firstLine="0"/>
              <w:rPr>
                <w:rFonts w:ascii="宋体" w:hAnsi="宋体" w:cs="宋体"/>
                <w:kern w:val="2"/>
                <w:sz w:val="18"/>
                <w:szCs w:val="18"/>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trPr>
        <w:tc>
          <w:tcPr>
            <w:tcW w:w="2003" w:type="dxa"/>
            <w:gridSpan w:val="2"/>
            <w:tcBorders>
              <w:top w:val="single" w:color="auto" w:sz="4" w:space="0"/>
              <w:left w:val="thinThickSmallGap" w:color="auto" w:sz="18" w:space="0"/>
              <w:bottom w:val="single" w:color="auto" w:sz="4" w:space="0"/>
              <w:right w:val="single" w:color="auto" w:sz="4" w:space="0"/>
              <w:tl2br w:val="nil"/>
              <w:tr2bl w:val="nil"/>
            </w:tcBorders>
            <w:vAlign w:val="center"/>
          </w:tcPr>
          <w:p>
            <w:pPr>
              <w:widowControl w:val="0"/>
              <w:spacing w:before="0" w:after="0" w:afterAutospacing="0" w:line="240" w:lineRule="auto"/>
              <w:ind w:left="0" w:right="0" w:firstLine="0"/>
              <w:jc w:val="center"/>
              <w:rPr>
                <w:rFonts w:ascii="宋体" w:hAnsi="宋体" w:cs="宋体"/>
                <w:b/>
                <w:kern w:val="2"/>
                <w:sz w:val="18"/>
                <w:szCs w:val="18"/>
                <w:highlight w:val="none"/>
              </w:rPr>
            </w:pPr>
            <w:r>
              <w:rPr>
                <w:rFonts w:ascii="宋体" w:hAnsi="宋体" w:cs="宋体"/>
                <w:b/>
                <w:kern w:val="2"/>
                <w:sz w:val="18"/>
                <w:szCs w:val="18"/>
                <w:highlight w:val="none"/>
              </w:rPr>
              <w:t>违约处理意向</w:t>
            </w:r>
          </w:p>
        </w:tc>
        <w:tc>
          <w:tcPr>
            <w:tcW w:w="7744" w:type="dxa"/>
            <w:gridSpan w:val="5"/>
            <w:tcBorders>
              <w:top w:val="single" w:color="auto" w:sz="4" w:space="0"/>
              <w:left w:val="single" w:color="auto" w:sz="4" w:space="0"/>
              <w:bottom w:val="single" w:color="auto" w:sz="4" w:space="0"/>
              <w:right w:val="thinThickSmallGap" w:color="auto" w:sz="18" w:space="0"/>
              <w:tl2br w:val="nil"/>
              <w:tr2bl w:val="nil"/>
            </w:tcBorders>
          </w:tcPr>
          <w:p>
            <w:pPr>
              <w:snapToGrid w:val="0"/>
              <w:spacing w:before="0" w:after="0" w:afterAutospacing="0" w:line="240" w:lineRule="auto"/>
              <w:ind w:left="0" w:right="0" w:firstLine="0"/>
              <w:rPr>
                <w:rFonts w:ascii="宋体" w:hAnsi="宋体" w:cs="宋体"/>
                <w:kern w:val="2"/>
                <w:sz w:val="18"/>
                <w:szCs w:val="18"/>
                <w:highlight w:val="none"/>
              </w:rPr>
            </w:pPr>
          </w:p>
          <w:p>
            <w:pPr>
              <w:widowControl w:val="0"/>
              <w:spacing w:before="0" w:after="0" w:afterAutospacing="0" w:line="240" w:lineRule="auto"/>
              <w:ind w:left="0" w:right="0" w:firstLine="0"/>
              <w:rPr>
                <w:rFonts w:ascii="宋体" w:hAnsi="宋体" w:cs="宋体"/>
                <w:kern w:val="2"/>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trPr>
        <w:tc>
          <w:tcPr>
            <w:tcW w:w="528" w:type="dxa"/>
            <w:vMerge w:val="restart"/>
            <w:tcBorders>
              <w:top w:val="single" w:color="auto" w:sz="4" w:space="0"/>
              <w:left w:val="thinThickSmallGap" w:color="auto" w:sz="18" w:space="0"/>
              <w:bottom w:val="single" w:color="auto" w:sz="4" w:space="0"/>
              <w:right w:val="single" w:color="auto" w:sz="4" w:space="0"/>
              <w:tl2br w:val="nil"/>
              <w:tr2bl w:val="nil"/>
            </w:tcBorders>
            <w:vAlign w:val="center"/>
          </w:tcPr>
          <w:p>
            <w:pPr>
              <w:widowControl w:val="0"/>
              <w:spacing w:before="0" w:after="0" w:afterAutospacing="0" w:line="240" w:lineRule="auto"/>
              <w:ind w:left="0" w:right="0" w:firstLine="0"/>
              <w:jc w:val="center"/>
              <w:rPr>
                <w:rFonts w:ascii="宋体" w:hAnsi="宋体" w:cs="宋体"/>
                <w:b/>
                <w:kern w:val="2"/>
                <w:sz w:val="18"/>
                <w:szCs w:val="18"/>
                <w:highlight w:val="none"/>
              </w:rPr>
            </w:pPr>
            <w:r>
              <w:rPr>
                <w:rFonts w:ascii="宋体" w:hAnsi="宋体" w:cs="宋体"/>
                <w:b/>
                <w:kern w:val="2"/>
                <w:sz w:val="18"/>
                <w:szCs w:val="18"/>
                <w:highlight w:val="none"/>
              </w:rPr>
              <w:t>业主审批意见</w:t>
            </w:r>
          </w:p>
        </w:tc>
        <w:tc>
          <w:tcPr>
            <w:tcW w:w="1475"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spacing w:before="0" w:after="0" w:afterAutospacing="0" w:line="240" w:lineRule="auto"/>
              <w:ind w:left="0" w:right="0" w:firstLine="0"/>
              <w:jc w:val="center"/>
              <w:rPr>
                <w:rFonts w:ascii="宋体" w:hAnsi="宋体" w:cs="宋体"/>
                <w:b/>
                <w:kern w:val="2"/>
                <w:sz w:val="18"/>
                <w:szCs w:val="18"/>
                <w:highlight w:val="none"/>
              </w:rPr>
            </w:pPr>
            <w:r>
              <w:rPr>
                <w:rFonts w:ascii="宋体" w:hAnsi="宋体" w:cs="宋体"/>
                <w:b/>
                <w:kern w:val="2"/>
                <w:sz w:val="18"/>
                <w:szCs w:val="18"/>
                <w:highlight w:val="none"/>
              </w:rPr>
              <w:t>主办部门</w:t>
            </w:r>
          </w:p>
        </w:tc>
        <w:tc>
          <w:tcPr>
            <w:tcW w:w="7744" w:type="dxa"/>
            <w:gridSpan w:val="5"/>
            <w:tcBorders>
              <w:top w:val="single" w:color="auto" w:sz="4" w:space="0"/>
              <w:left w:val="single" w:color="auto" w:sz="4" w:space="0"/>
              <w:bottom w:val="single" w:color="auto" w:sz="4" w:space="0"/>
              <w:right w:val="thinThickSmallGap" w:color="auto" w:sz="18" w:space="0"/>
              <w:tl2br w:val="nil"/>
              <w:tr2bl w:val="nil"/>
            </w:tcBorders>
          </w:tcPr>
          <w:p>
            <w:pPr>
              <w:widowControl w:val="0"/>
              <w:spacing w:before="0" w:after="0" w:afterAutospacing="0" w:line="240" w:lineRule="auto"/>
              <w:ind w:left="0" w:right="113" w:firstLine="0"/>
              <w:rPr>
                <w:rFonts w:ascii="宋体" w:hAnsi="宋体" w:cs="宋体"/>
                <w:kern w:val="2"/>
                <w:sz w:val="18"/>
                <w:szCs w:val="18"/>
                <w:highlight w:val="none"/>
              </w:rPr>
            </w:pPr>
          </w:p>
          <w:p>
            <w:pPr>
              <w:widowControl w:val="0"/>
              <w:spacing w:before="0" w:after="0" w:afterAutospacing="0" w:line="240" w:lineRule="auto"/>
              <w:ind w:left="0" w:right="113" w:firstLine="0"/>
              <w:rPr>
                <w:rFonts w:ascii="宋体" w:hAnsi="宋体" w:cs="宋体"/>
                <w:kern w:val="2"/>
                <w:sz w:val="18"/>
                <w:szCs w:val="18"/>
                <w:highlight w:val="none"/>
              </w:rPr>
            </w:pPr>
          </w:p>
          <w:p>
            <w:pPr>
              <w:widowControl w:val="0"/>
              <w:spacing w:before="0" w:after="0" w:afterAutospacing="0" w:line="240" w:lineRule="auto"/>
              <w:ind w:left="0" w:right="113" w:firstLine="0"/>
              <w:rPr>
                <w:rFonts w:ascii="宋体" w:hAnsi="宋体" w:cs="宋体"/>
                <w:kern w:val="2"/>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528" w:type="dxa"/>
            <w:vMerge w:val="continue"/>
            <w:tcBorders>
              <w:top w:val="single" w:color="auto" w:sz="4" w:space="0"/>
              <w:left w:val="thinThickSmallGap" w:color="auto" w:sz="18" w:space="0"/>
              <w:bottom w:val="single" w:color="auto" w:sz="4" w:space="0"/>
              <w:right w:val="single" w:color="auto" w:sz="4" w:space="0"/>
              <w:tl2br w:val="nil"/>
              <w:tr2bl w:val="nil"/>
            </w:tcBorders>
            <w:vAlign w:val="center"/>
          </w:tcPr>
          <w:p>
            <w:pPr>
              <w:widowControl w:val="0"/>
              <w:spacing w:before="0" w:after="0" w:afterAutospacing="0" w:line="240" w:lineRule="auto"/>
              <w:ind w:left="0" w:right="0" w:firstLine="0"/>
              <w:jc w:val="center"/>
              <w:rPr>
                <w:rFonts w:ascii="宋体" w:hAnsi="宋体" w:cs="宋体"/>
                <w:b/>
                <w:kern w:val="2"/>
                <w:sz w:val="18"/>
                <w:szCs w:val="18"/>
                <w:highlight w:val="none"/>
              </w:rPr>
            </w:pPr>
          </w:p>
        </w:tc>
        <w:tc>
          <w:tcPr>
            <w:tcW w:w="1475"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spacing w:before="0" w:after="0" w:afterAutospacing="0" w:line="240" w:lineRule="auto"/>
              <w:ind w:left="0" w:right="0" w:firstLine="0"/>
              <w:jc w:val="center"/>
              <w:rPr>
                <w:rFonts w:ascii="宋体" w:hAnsi="宋体" w:cs="宋体"/>
                <w:b/>
                <w:kern w:val="2"/>
                <w:sz w:val="18"/>
                <w:szCs w:val="18"/>
                <w:highlight w:val="none"/>
              </w:rPr>
            </w:pPr>
            <w:r>
              <w:rPr>
                <w:rFonts w:ascii="宋体" w:hAnsi="宋体" w:cs="宋体"/>
                <w:b/>
                <w:kern w:val="2"/>
                <w:sz w:val="18"/>
                <w:szCs w:val="18"/>
                <w:highlight w:val="none"/>
              </w:rPr>
              <w:t>相关部门</w:t>
            </w:r>
          </w:p>
        </w:tc>
        <w:tc>
          <w:tcPr>
            <w:tcW w:w="7744" w:type="dxa"/>
            <w:gridSpan w:val="5"/>
            <w:tcBorders>
              <w:top w:val="single" w:color="auto" w:sz="4" w:space="0"/>
              <w:left w:val="single" w:color="auto" w:sz="4" w:space="0"/>
              <w:bottom w:val="single" w:color="auto" w:sz="4" w:space="0"/>
              <w:right w:val="thinThickSmallGap" w:color="auto" w:sz="18" w:space="0"/>
              <w:tl2br w:val="nil"/>
              <w:tr2bl w:val="nil"/>
            </w:tcBorders>
          </w:tcPr>
          <w:p>
            <w:pPr>
              <w:widowControl w:val="0"/>
              <w:spacing w:before="0" w:after="0" w:afterAutospacing="0" w:line="240" w:lineRule="auto"/>
              <w:ind w:left="113" w:right="113" w:firstLine="0"/>
              <w:jc w:val="center"/>
              <w:rPr>
                <w:rFonts w:ascii="宋体" w:hAnsi="宋体" w:cs="宋体"/>
                <w:kern w:val="2"/>
                <w:sz w:val="18"/>
                <w:szCs w:val="18"/>
                <w:highlight w:val="none"/>
              </w:rPr>
            </w:pPr>
          </w:p>
          <w:p>
            <w:pPr>
              <w:widowControl w:val="0"/>
              <w:spacing w:before="0" w:after="0" w:afterAutospacing="0" w:line="240" w:lineRule="auto"/>
              <w:ind w:left="0" w:right="113" w:firstLine="0"/>
              <w:rPr>
                <w:rFonts w:ascii="宋体" w:hAnsi="宋体" w:cs="宋体"/>
                <w:kern w:val="2"/>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6" w:hRule="atLeast"/>
        </w:trPr>
        <w:tc>
          <w:tcPr>
            <w:tcW w:w="528" w:type="dxa"/>
            <w:vMerge w:val="continue"/>
            <w:tcBorders>
              <w:top w:val="single" w:color="auto" w:sz="4" w:space="0"/>
              <w:left w:val="thinThickSmallGap" w:color="auto" w:sz="18" w:space="0"/>
              <w:bottom w:val="single" w:color="auto" w:sz="4" w:space="0"/>
              <w:right w:val="single" w:color="auto" w:sz="4" w:space="0"/>
              <w:tl2br w:val="nil"/>
              <w:tr2bl w:val="nil"/>
            </w:tcBorders>
            <w:vAlign w:val="center"/>
          </w:tcPr>
          <w:p>
            <w:pPr>
              <w:widowControl w:val="0"/>
              <w:spacing w:before="0" w:after="0" w:afterAutospacing="0" w:line="240" w:lineRule="auto"/>
              <w:ind w:left="0" w:right="0" w:firstLine="0"/>
              <w:jc w:val="center"/>
              <w:rPr>
                <w:rFonts w:ascii="宋体" w:hAnsi="宋体" w:cs="宋体"/>
                <w:b/>
                <w:kern w:val="2"/>
                <w:sz w:val="18"/>
                <w:szCs w:val="18"/>
                <w:highlight w:val="none"/>
              </w:rPr>
            </w:pPr>
          </w:p>
        </w:tc>
        <w:tc>
          <w:tcPr>
            <w:tcW w:w="1475"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spacing w:before="0" w:after="0" w:afterAutospacing="0" w:line="240" w:lineRule="auto"/>
              <w:ind w:left="0" w:right="0" w:firstLine="0"/>
              <w:jc w:val="center"/>
              <w:rPr>
                <w:rFonts w:ascii="宋体" w:hAnsi="宋体" w:cs="宋体"/>
                <w:b/>
                <w:kern w:val="2"/>
                <w:sz w:val="18"/>
                <w:szCs w:val="18"/>
                <w:highlight w:val="none"/>
              </w:rPr>
            </w:pPr>
            <w:r>
              <w:rPr>
                <w:rFonts w:ascii="宋体" w:hAnsi="宋体" w:cs="宋体"/>
                <w:b/>
                <w:kern w:val="2"/>
                <w:sz w:val="18"/>
                <w:szCs w:val="18"/>
                <w:highlight w:val="none"/>
              </w:rPr>
              <w:t>公司分管副总经理</w:t>
            </w:r>
          </w:p>
        </w:tc>
        <w:tc>
          <w:tcPr>
            <w:tcW w:w="7744" w:type="dxa"/>
            <w:gridSpan w:val="5"/>
            <w:tcBorders>
              <w:top w:val="single" w:color="auto" w:sz="4" w:space="0"/>
              <w:left w:val="single" w:color="auto" w:sz="4" w:space="0"/>
              <w:bottom w:val="single" w:color="auto" w:sz="4" w:space="0"/>
              <w:right w:val="thinThickSmallGap" w:color="auto" w:sz="18" w:space="0"/>
              <w:tl2br w:val="nil"/>
              <w:tr2bl w:val="nil"/>
            </w:tcBorders>
          </w:tcPr>
          <w:p>
            <w:pPr>
              <w:widowControl w:val="0"/>
              <w:spacing w:before="0" w:after="0" w:afterAutospacing="0" w:line="240" w:lineRule="auto"/>
              <w:ind w:left="0" w:right="113" w:firstLine="720" w:firstLineChars="400"/>
              <w:rPr>
                <w:rFonts w:ascii="宋体" w:hAnsi="宋体" w:cs="宋体"/>
                <w:kern w:val="2"/>
                <w:sz w:val="18"/>
                <w:szCs w:val="18"/>
                <w:highlight w:val="none"/>
              </w:rPr>
            </w:pPr>
          </w:p>
          <w:p>
            <w:pPr>
              <w:widowControl w:val="0"/>
              <w:spacing w:before="0" w:after="0" w:afterAutospacing="0" w:line="240" w:lineRule="auto"/>
              <w:ind w:left="0" w:right="0"/>
              <w:rPr>
                <w:rFonts w:ascii="宋体" w:hAnsi="宋体" w:cs="宋体"/>
                <w:kern w:val="2"/>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trPr>
        <w:tc>
          <w:tcPr>
            <w:tcW w:w="528" w:type="dxa"/>
            <w:vMerge w:val="continue"/>
            <w:tcBorders>
              <w:top w:val="single" w:color="auto" w:sz="4" w:space="0"/>
              <w:left w:val="thinThickSmallGap" w:color="auto" w:sz="18" w:space="0"/>
              <w:bottom w:val="single" w:color="auto" w:sz="4" w:space="0"/>
              <w:right w:val="single" w:color="auto" w:sz="4" w:space="0"/>
              <w:tl2br w:val="nil"/>
              <w:tr2bl w:val="nil"/>
            </w:tcBorders>
            <w:vAlign w:val="center"/>
          </w:tcPr>
          <w:p>
            <w:pPr>
              <w:widowControl w:val="0"/>
              <w:spacing w:before="0" w:after="0" w:afterAutospacing="0" w:line="240" w:lineRule="auto"/>
              <w:ind w:left="0" w:right="0" w:firstLine="0"/>
              <w:jc w:val="center"/>
              <w:rPr>
                <w:rFonts w:ascii="宋体" w:hAnsi="宋体" w:cs="宋体"/>
                <w:b/>
                <w:kern w:val="2"/>
                <w:sz w:val="18"/>
                <w:szCs w:val="18"/>
                <w:highlight w:val="none"/>
              </w:rPr>
            </w:pPr>
          </w:p>
        </w:tc>
        <w:tc>
          <w:tcPr>
            <w:tcW w:w="1475"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spacing w:before="0" w:after="0" w:afterAutospacing="0" w:line="240" w:lineRule="auto"/>
              <w:ind w:left="0" w:right="0" w:firstLine="0"/>
              <w:jc w:val="center"/>
              <w:rPr>
                <w:rFonts w:ascii="宋体" w:hAnsi="宋体" w:cs="宋体"/>
                <w:b/>
                <w:kern w:val="2"/>
                <w:sz w:val="18"/>
                <w:szCs w:val="18"/>
                <w:highlight w:val="none"/>
              </w:rPr>
            </w:pPr>
            <w:r>
              <w:rPr>
                <w:rFonts w:ascii="宋体" w:hAnsi="宋体" w:cs="宋体"/>
                <w:b/>
                <w:kern w:val="2"/>
                <w:sz w:val="18"/>
                <w:szCs w:val="18"/>
                <w:highlight w:val="none"/>
              </w:rPr>
              <w:t>公司</w:t>
            </w:r>
          </w:p>
          <w:p>
            <w:pPr>
              <w:widowControl w:val="0"/>
              <w:spacing w:before="0" w:after="0" w:afterAutospacing="0" w:line="240" w:lineRule="auto"/>
              <w:ind w:left="0" w:right="0" w:firstLine="0"/>
              <w:jc w:val="center"/>
              <w:rPr>
                <w:rFonts w:ascii="宋体" w:hAnsi="宋体" w:cs="宋体"/>
                <w:b/>
                <w:kern w:val="2"/>
                <w:sz w:val="18"/>
                <w:szCs w:val="18"/>
                <w:highlight w:val="none"/>
              </w:rPr>
            </w:pPr>
            <w:r>
              <w:rPr>
                <w:rFonts w:ascii="宋体" w:hAnsi="宋体" w:cs="宋体"/>
                <w:b/>
                <w:kern w:val="2"/>
                <w:sz w:val="18"/>
                <w:szCs w:val="18"/>
                <w:highlight w:val="none"/>
              </w:rPr>
              <w:t>总经理</w:t>
            </w:r>
          </w:p>
        </w:tc>
        <w:tc>
          <w:tcPr>
            <w:tcW w:w="7744" w:type="dxa"/>
            <w:gridSpan w:val="5"/>
            <w:tcBorders>
              <w:top w:val="single" w:color="auto" w:sz="4" w:space="0"/>
              <w:left w:val="single" w:color="auto" w:sz="4" w:space="0"/>
              <w:bottom w:val="single" w:color="auto" w:sz="4" w:space="0"/>
              <w:right w:val="thinThickSmallGap" w:color="auto" w:sz="18" w:space="0"/>
              <w:tl2br w:val="nil"/>
              <w:tr2bl w:val="nil"/>
            </w:tcBorders>
          </w:tcPr>
          <w:p>
            <w:pPr>
              <w:widowControl w:val="0"/>
              <w:spacing w:before="0" w:after="0" w:afterAutospacing="0" w:line="240" w:lineRule="auto"/>
              <w:ind w:left="0" w:right="0" w:firstLine="0"/>
              <w:rPr>
                <w:rFonts w:ascii="宋体" w:hAnsi="宋体" w:cs="宋体"/>
                <w:kern w:val="2"/>
                <w:sz w:val="18"/>
                <w:szCs w:val="18"/>
                <w:highlight w:val="none"/>
              </w:rPr>
            </w:pPr>
          </w:p>
          <w:p>
            <w:pPr>
              <w:widowControl w:val="0"/>
              <w:spacing w:before="0" w:after="0" w:afterAutospacing="0" w:line="240" w:lineRule="auto"/>
              <w:ind w:left="0" w:right="113" w:firstLine="0"/>
              <w:rPr>
                <w:rFonts w:ascii="宋体" w:hAnsi="宋体" w:cs="宋体"/>
                <w:kern w:val="2"/>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trPr>
        <w:tc>
          <w:tcPr>
            <w:tcW w:w="2003" w:type="dxa"/>
            <w:gridSpan w:val="2"/>
            <w:tcBorders>
              <w:top w:val="single" w:color="auto" w:sz="4" w:space="0"/>
              <w:left w:val="thinThickSmallGap" w:color="auto" w:sz="18" w:space="0"/>
              <w:bottom w:val="thinThickSmallGap" w:color="auto" w:sz="18" w:space="0"/>
              <w:right w:val="single" w:color="auto" w:sz="4" w:space="0"/>
              <w:tl2br w:val="nil"/>
              <w:tr2bl w:val="nil"/>
            </w:tcBorders>
            <w:vAlign w:val="center"/>
          </w:tcPr>
          <w:p>
            <w:pPr>
              <w:widowControl w:val="0"/>
              <w:spacing w:before="0" w:after="0" w:afterAutospacing="0" w:line="240" w:lineRule="auto"/>
              <w:ind w:left="0" w:right="0" w:firstLine="0"/>
              <w:jc w:val="center"/>
              <w:rPr>
                <w:rFonts w:ascii="宋体" w:hAnsi="宋体" w:cs="宋体"/>
                <w:b/>
                <w:kern w:val="2"/>
                <w:sz w:val="18"/>
                <w:szCs w:val="18"/>
                <w:highlight w:val="none"/>
              </w:rPr>
            </w:pPr>
            <w:r>
              <w:rPr>
                <w:rFonts w:ascii="宋体" w:hAnsi="宋体" w:cs="宋体"/>
                <w:b/>
                <w:kern w:val="2"/>
                <w:sz w:val="18"/>
                <w:szCs w:val="18"/>
                <w:highlight w:val="none"/>
              </w:rPr>
              <w:t>送达日期</w:t>
            </w:r>
          </w:p>
        </w:tc>
        <w:tc>
          <w:tcPr>
            <w:tcW w:w="1876" w:type="dxa"/>
            <w:tcBorders>
              <w:top w:val="single" w:color="auto" w:sz="4" w:space="0"/>
              <w:left w:val="single" w:color="auto" w:sz="4" w:space="0"/>
              <w:bottom w:val="thinThickSmallGap" w:color="auto" w:sz="18" w:space="0"/>
              <w:right w:val="single" w:color="auto" w:sz="4" w:space="0"/>
              <w:tl2br w:val="nil"/>
              <w:tr2bl w:val="nil"/>
            </w:tcBorders>
          </w:tcPr>
          <w:p>
            <w:pPr>
              <w:spacing w:before="0" w:after="0" w:afterAutospacing="0" w:line="240" w:lineRule="auto"/>
              <w:ind w:left="0" w:right="0" w:firstLine="0"/>
              <w:rPr>
                <w:rFonts w:ascii="宋体" w:hAnsi="宋体" w:cs="宋体"/>
                <w:b/>
                <w:kern w:val="2"/>
                <w:sz w:val="18"/>
                <w:szCs w:val="18"/>
                <w:highlight w:val="none"/>
              </w:rPr>
            </w:pPr>
          </w:p>
        </w:tc>
        <w:tc>
          <w:tcPr>
            <w:tcW w:w="1283" w:type="dxa"/>
            <w:gridSpan w:val="2"/>
            <w:tcBorders>
              <w:top w:val="single" w:color="auto" w:sz="4" w:space="0"/>
              <w:left w:val="single" w:color="auto" w:sz="4" w:space="0"/>
              <w:bottom w:val="thinThickSmallGap" w:color="auto" w:sz="18" w:space="0"/>
              <w:right w:val="single" w:color="auto" w:sz="4" w:space="0"/>
              <w:tl2br w:val="nil"/>
              <w:tr2bl w:val="nil"/>
            </w:tcBorders>
            <w:vAlign w:val="center"/>
          </w:tcPr>
          <w:p>
            <w:pPr>
              <w:spacing w:before="0" w:after="0" w:afterAutospacing="0" w:line="240" w:lineRule="auto"/>
              <w:ind w:left="0" w:right="0" w:firstLine="0"/>
              <w:jc w:val="center"/>
              <w:rPr>
                <w:rFonts w:ascii="宋体" w:hAnsi="宋体" w:cs="宋体"/>
                <w:kern w:val="2"/>
                <w:sz w:val="18"/>
                <w:szCs w:val="18"/>
                <w:highlight w:val="none"/>
              </w:rPr>
            </w:pPr>
            <w:r>
              <w:rPr>
                <w:rFonts w:ascii="宋体" w:hAnsi="宋体" w:cs="宋体"/>
                <w:b/>
                <w:kern w:val="2"/>
                <w:sz w:val="18"/>
                <w:szCs w:val="18"/>
                <w:highlight w:val="none"/>
              </w:rPr>
              <w:t>送达方式</w:t>
            </w:r>
          </w:p>
        </w:tc>
        <w:tc>
          <w:tcPr>
            <w:tcW w:w="4585" w:type="dxa"/>
            <w:gridSpan w:val="2"/>
            <w:tcBorders>
              <w:top w:val="single" w:color="auto" w:sz="4" w:space="0"/>
              <w:left w:val="single" w:color="auto" w:sz="4" w:space="0"/>
              <w:bottom w:val="thinThickSmallGap" w:color="auto" w:sz="18" w:space="0"/>
              <w:right w:val="thinThickSmallGap" w:color="auto" w:sz="18" w:space="0"/>
              <w:tl2br w:val="nil"/>
              <w:tr2bl w:val="nil"/>
            </w:tcBorders>
          </w:tcPr>
          <w:p>
            <w:pPr>
              <w:spacing w:before="0" w:after="0" w:afterAutospacing="0" w:line="240" w:lineRule="auto"/>
              <w:ind w:left="0" w:right="0" w:firstLine="180" w:firstLineChars="100"/>
              <w:rPr>
                <w:rFonts w:ascii="宋体" w:hAnsi="宋体" w:cs="宋体"/>
                <w:kern w:val="2"/>
                <w:sz w:val="18"/>
                <w:szCs w:val="18"/>
                <w:highlight w:val="none"/>
              </w:rPr>
            </w:pPr>
            <w:r>
              <w:rPr>
                <w:rFonts w:ascii="宋体" w:hAnsi="宋体" w:cs="宋体"/>
                <w:kern w:val="2"/>
                <w:sz w:val="18"/>
                <w:szCs w:val="18"/>
                <w:highlight w:val="none"/>
              </w:rPr>
              <w:t>直接送达</w:t>
            </w:r>
            <w:r>
              <w:rPr>
                <w:rFonts w:ascii="宋体" w:hAnsi="宋体" w:cs="宋体"/>
                <w:kern w:val="2"/>
                <w:sz w:val="18"/>
                <w:szCs w:val="18"/>
                <w:highlight w:val="none"/>
              </w:rPr>
              <w:sym w:font="Times New Roman" w:char="0000"/>
            </w:r>
            <w:r>
              <w:rPr>
                <w:rFonts w:ascii="宋体" w:hAnsi="宋体" w:cs="宋体"/>
                <w:kern w:val="2"/>
                <w:sz w:val="18"/>
                <w:szCs w:val="18"/>
                <w:highlight w:val="none"/>
              </w:rPr>
              <w:t>(  签收人：</w:t>
            </w:r>
          </w:p>
          <w:p>
            <w:pPr>
              <w:widowControl w:val="0"/>
              <w:spacing w:before="0" w:after="0" w:afterAutospacing="0" w:line="240" w:lineRule="auto"/>
              <w:ind w:left="604" w:leftChars="85" w:right="0" w:hanging="426" w:hangingChars="237"/>
              <w:rPr>
                <w:rFonts w:ascii="宋体" w:hAnsi="宋体" w:cs="宋体"/>
                <w:kern w:val="2"/>
                <w:sz w:val="18"/>
                <w:szCs w:val="18"/>
                <w:highlight w:val="none"/>
              </w:rPr>
            </w:pPr>
            <w:r>
              <w:rPr>
                <w:rFonts w:ascii="宋体" w:hAnsi="宋体" w:cs="宋体"/>
                <w:kern w:val="2"/>
                <w:sz w:val="18"/>
                <w:szCs w:val="18"/>
                <w:highlight w:val="none"/>
              </w:rPr>
              <w:t>留置送达</w:t>
            </w:r>
            <w:r>
              <w:rPr>
                <w:rFonts w:ascii="宋体" w:hAnsi="宋体" w:cs="宋体"/>
                <w:kern w:val="2"/>
                <w:sz w:val="18"/>
                <w:szCs w:val="18"/>
                <w:highlight w:val="none"/>
              </w:rPr>
              <w:sym w:font="Times New Roman" w:char="0000"/>
            </w:r>
            <w:r>
              <w:rPr>
                <w:rFonts w:ascii="宋体" w:hAnsi="宋体" w:cs="宋体"/>
                <w:kern w:val="2"/>
                <w:sz w:val="18"/>
                <w:szCs w:val="18"/>
                <w:highlight w:val="none"/>
              </w:rPr>
              <w:t xml:space="preserve">(  送达地址：                    </w:t>
            </w:r>
          </w:p>
          <w:p>
            <w:pPr>
              <w:widowControl w:val="0"/>
              <w:spacing w:before="0" w:after="0" w:afterAutospacing="0" w:line="240" w:lineRule="auto"/>
              <w:ind w:left="0" w:right="0"/>
              <w:rPr>
                <w:rFonts w:ascii="宋体" w:hAnsi="宋体" w:cs="宋体"/>
                <w:kern w:val="2"/>
                <w:sz w:val="18"/>
                <w:szCs w:val="18"/>
                <w:highlight w:val="none"/>
              </w:rPr>
            </w:pPr>
            <w:r>
              <w:rPr>
                <w:rFonts w:ascii="宋体" w:hAnsi="宋体" w:cs="宋体"/>
                <w:kern w:val="2"/>
                <w:sz w:val="18"/>
                <w:szCs w:val="18"/>
                <w:highlight w:val="none"/>
              </w:rPr>
              <w:t xml:space="preserve">          情况说明：（举例：XXX拒签）</w:t>
            </w:r>
          </w:p>
          <w:p>
            <w:pPr>
              <w:widowControl w:val="0"/>
              <w:spacing w:before="0" w:after="0" w:afterAutospacing="0" w:line="240" w:lineRule="auto"/>
              <w:ind w:left="0" w:right="0" w:firstLine="0"/>
              <w:rPr>
                <w:rFonts w:ascii="宋体" w:hAnsi="宋体" w:cs="宋体"/>
                <w:kern w:val="2"/>
                <w:sz w:val="18"/>
                <w:szCs w:val="18"/>
                <w:highlight w:val="none"/>
              </w:rPr>
            </w:pPr>
            <w:r>
              <w:rPr>
                <w:rFonts w:ascii="宋体" w:hAnsi="宋体" w:cs="宋体"/>
                <w:kern w:val="2"/>
                <w:sz w:val="18"/>
                <w:szCs w:val="18"/>
                <w:highlight w:val="none"/>
              </w:rPr>
              <w:t xml:space="preserve">  电子送达</w:t>
            </w:r>
            <w:r>
              <w:rPr>
                <w:rFonts w:ascii="宋体" w:hAnsi="宋体" w:cs="宋体"/>
                <w:kern w:val="2"/>
                <w:sz w:val="18"/>
                <w:szCs w:val="18"/>
                <w:highlight w:val="none"/>
              </w:rPr>
              <w:sym w:font="Times New Roman" w:char="0000"/>
            </w:r>
            <w:r>
              <w:rPr>
                <w:rFonts w:ascii="宋体" w:hAnsi="宋体" w:cs="宋体"/>
                <w:kern w:val="2"/>
                <w:sz w:val="18"/>
                <w:szCs w:val="18"/>
                <w:highlight w:val="none"/>
              </w:rPr>
              <w:t>(  （网络通讯工具账号、电子邮箱地址等）</w:t>
            </w:r>
          </w:p>
        </w:tc>
      </w:tr>
    </w:tbl>
    <w:p>
      <w:pPr>
        <w:widowControl w:val="0"/>
        <w:spacing w:before="0" w:after="0" w:afterAutospacing="0" w:line="240" w:lineRule="exact"/>
        <w:ind w:left="0" w:right="-779" w:rightChars="-371" w:firstLine="0"/>
        <w:rPr>
          <w:rFonts w:ascii="宋体" w:hAnsi="宋体" w:eastAsia="Malgun Gothic"/>
          <w:kern w:val="2"/>
          <w:sz w:val="18"/>
          <w:szCs w:val="18"/>
          <w:highlight w:val="none"/>
        </w:rPr>
      </w:pPr>
    </w:p>
    <w:p>
      <w:pPr>
        <w:widowControl w:val="0"/>
        <w:spacing w:before="0" w:after="0" w:afterAutospacing="0" w:line="240" w:lineRule="exact"/>
        <w:ind w:left="-619" w:leftChars="-295" w:right="-170" w:rightChars="-81" w:firstLine="0"/>
        <w:rPr>
          <w:rFonts w:ascii="宋体" w:hAnsi="宋体" w:eastAsia="Malgun Gothic"/>
          <w:kern w:val="2"/>
          <w:sz w:val="18"/>
          <w:szCs w:val="18"/>
          <w:highlight w:val="none"/>
        </w:rPr>
      </w:pPr>
      <w:r>
        <w:rPr>
          <w:rFonts w:hint="eastAsia" w:ascii="宋体" w:hAnsi="宋体" w:eastAsia="Malgun Gothic"/>
          <w:kern w:val="2"/>
          <w:sz w:val="18"/>
          <w:szCs w:val="18"/>
          <w:highlight w:val="none"/>
        </w:rPr>
        <w:t>说明：</w:t>
      </w:r>
      <w:r>
        <w:rPr>
          <w:rFonts w:ascii="宋体" w:hAnsi="宋体" w:eastAsia="Malgun Gothic"/>
          <w:kern w:val="2"/>
          <w:sz w:val="18"/>
          <w:szCs w:val="18"/>
          <w:highlight w:val="none"/>
        </w:rPr>
        <w:t>1</w:t>
      </w:r>
      <w:r>
        <w:rPr>
          <w:rFonts w:hint="eastAsia" w:ascii="宋体" w:hAnsi="宋体" w:eastAsia="Malgun Gothic"/>
          <w:kern w:val="2"/>
          <w:sz w:val="18"/>
          <w:szCs w:val="18"/>
          <w:highlight w:val="none"/>
        </w:rPr>
        <w:t>.本通知单一式三份，</w:t>
      </w:r>
      <w:r>
        <w:rPr>
          <w:rFonts w:ascii="宋体" w:hAnsi="宋体"/>
          <w:kern w:val="2"/>
          <w:sz w:val="18"/>
          <w:szCs w:val="18"/>
          <w:highlight w:val="none"/>
        </w:rPr>
        <w:t>乙方</w:t>
      </w:r>
      <w:r>
        <w:rPr>
          <w:rFonts w:hint="eastAsia" w:ascii="宋体" w:hAnsi="宋体" w:eastAsia="Malgun Gothic"/>
          <w:kern w:val="2"/>
          <w:sz w:val="18"/>
          <w:szCs w:val="18"/>
          <w:highlight w:val="none"/>
        </w:rPr>
        <w:t>执一份，业主执两份，由业主在合同执行过程中发现问题时填写；</w:t>
      </w:r>
    </w:p>
    <w:p>
      <w:pPr>
        <w:widowControl w:val="0"/>
        <w:spacing w:before="0" w:after="0" w:afterAutospacing="0" w:line="240" w:lineRule="exact"/>
        <w:ind w:left="-619" w:leftChars="-295" w:right="-170" w:rightChars="-81" w:firstLine="540" w:firstLineChars="300"/>
        <w:rPr>
          <w:rFonts w:ascii="宋体" w:hAnsi="宋体" w:eastAsia="Malgun Gothic"/>
          <w:kern w:val="2"/>
          <w:sz w:val="18"/>
          <w:szCs w:val="18"/>
          <w:highlight w:val="none"/>
        </w:rPr>
      </w:pPr>
      <w:r>
        <w:rPr>
          <w:rFonts w:hint="eastAsia" w:ascii="宋体" w:hAnsi="宋体" w:eastAsia="Malgun Gothic"/>
          <w:kern w:val="2"/>
          <w:sz w:val="18"/>
          <w:szCs w:val="18"/>
          <w:highlight w:val="none"/>
        </w:rPr>
        <w:t>2.</w:t>
      </w:r>
      <w:r>
        <w:rPr>
          <w:rFonts w:ascii="宋体" w:hAnsi="宋体"/>
          <w:kern w:val="2"/>
          <w:sz w:val="18"/>
          <w:szCs w:val="18"/>
          <w:highlight w:val="none"/>
        </w:rPr>
        <w:t>乙方</w:t>
      </w:r>
      <w:r>
        <w:rPr>
          <w:rFonts w:hint="eastAsia" w:ascii="宋体" w:hAnsi="宋体" w:eastAsia="Malgun Gothic"/>
          <w:kern w:val="2"/>
          <w:sz w:val="18"/>
          <w:szCs w:val="18"/>
          <w:highlight w:val="none"/>
        </w:rPr>
        <w:t>若对本次违约处理有意见，须在《违约处理通知单》送达后2个工作日内向项目主办部门提交正式申诉材料提出申诉，否则视为接受违约处理意见，项目主办部门在收到申诉材料后须在5个工作日给予回复；</w:t>
      </w:r>
    </w:p>
    <w:p>
      <w:pPr>
        <w:widowControl w:val="0"/>
        <w:spacing w:before="0" w:after="0" w:afterAutospacing="0" w:line="240" w:lineRule="exact"/>
        <w:ind w:left="-619" w:leftChars="-295" w:right="-170" w:rightChars="-81" w:firstLine="540" w:firstLineChars="300"/>
        <w:rPr>
          <w:rFonts w:ascii="宋体" w:hAnsi="宋体" w:eastAsia="Malgun Gothic"/>
          <w:kern w:val="2"/>
          <w:sz w:val="18"/>
          <w:szCs w:val="18"/>
          <w:highlight w:val="none"/>
        </w:rPr>
      </w:pPr>
      <w:r>
        <w:rPr>
          <w:rFonts w:hint="eastAsia" w:ascii="宋体" w:hAnsi="宋体" w:eastAsia="Malgun Gothic"/>
          <w:kern w:val="2"/>
          <w:sz w:val="18"/>
          <w:szCs w:val="18"/>
          <w:highlight w:val="none"/>
        </w:rPr>
        <w:t>3.《合同违约处理通知单》按照违约处理决定的金额和授权方案逐级签批或用印，不超过5000元由主办部门签批，5000（不含）-10000元</w:t>
      </w:r>
      <w:r>
        <w:rPr>
          <w:rFonts w:ascii="宋体" w:hAnsi="宋体"/>
          <w:kern w:val="2"/>
          <w:sz w:val="18"/>
          <w:szCs w:val="18"/>
          <w:highlight w:val="none"/>
        </w:rPr>
        <w:t>公司</w:t>
      </w:r>
      <w:r>
        <w:rPr>
          <w:rFonts w:hint="eastAsia" w:ascii="宋体" w:hAnsi="宋体" w:eastAsia="Malgun Gothic"/>
          <w:kern w:val="2"/>
          <w:sz w:val="18"/>
          <w:szCs w:val="18"/>
          <w:highlight w:val="none"/>
        </w:rPr>
        <w:t>分管副总经理签批并用</w:t>
      </w:r>
      <w:r>
        <w:rPr>
          <w:rFonts w:ascii="宋体" w:hAnsi="宋体"/>
          <w:kern w:val="2"/>
          <w:sz w:val="18"/>
          <w:szCs w:val="18"/>
          <w:highlight w:val="none"/>
        </w:rPr>
        <w:t>运营公司</w:t>
      </w:r>
      <w:r>
        <w:rPr>
          <w:rFonts w:hint="eastAsia" w:ascii="宋体" w:hAnsi="宋体" w:eastAsia="Malgun Gothic"/>
          <w:kern w:val="2"/>
          <w:sz w:val="18"/>
          <w:szCs w:val="18"/>
          <w:highlight w:val="none"/>
        </w:rPr>
        <w:t>印，10000元以上由</w:t>
      </w:r>
      <w:r>
        <w:rPr>
          <w:rFonts w:ascii="宋体" w:hAnsi="宋体"/>
          <w:kern w:val="2"/>
          <w:sz w:val="18"/>
          <w:szCs w:val="18"/>
          <w:highlight w:val="none"/>
        </w:rPr>
        <w:t>公司</w:t>
      </w:r>
      <w:r>
        <w:rPr>
          <w:rFonts w:hint="eastAsia" w:ascii="宋体" w:hAnsi="宋体" w:eastAsia="Malgun Gothic"/>
          <w:kern w:val="2"/>
          <w:sz w:val="18"/>
          <w:szCs w:val="18"/>
          <w:highlight w:val="none"/>
        </w:rPr>
        <w:t>总经理签批并用</w:t>
      </w:r>
      <w:r>
        <w:rPr>
          <w:rFonts w:ascii="宋体" w:hAnsi="宋体"/>
          <w:kern w:val="2"/>
          <w:sz w:val="18"/>
          <w:szCs w:val="18"/>
          <w:highlight w:val="none"/>
        </w:rPr>
        <w:t>运营公司</w:t>
      </w:r>
      <w:r>
        <w:rPr>
          <w:rFonts w:hint="eastAsia" w:ascii="宋体" w:hAnsi="宋体" w:eastAsia="Malgun Gothic"/>
          <w:kern w:val="2"/>
          <w:sz w:val="18"/>
          <w:szCs w:val="18"/>
          <w:highlight w:val="none"/>
        </w:rPr>
        <w:t>印；</w:t>
      </w:r>
    </w:p>
    <w:p>
      <w:pPr>
        <w:widowControl w:val="0"/>
        <w:spacing w:before="0" w:after="0" w:afterAutospacing="0" w:line="240" w:lineRule="exact"/>
        <w:ind w:left="-619" w:leftChars="-295" w:right="-170" w:rightChars="-81" w:firstLine="540" w:firstLineChars="300"/>
        <w:rPr>
          <w:rStyle w:val="41"/>
          <w:rFonts w:ascii="宋体" w:hAnsi="宋体" w:eastAsia="宋体"/>
          <w:highlight w:val="none"/>
        </w:rPr>
      </w:pPr>
      <w:r>
        <w:rPr>
          <w:rFonts w:hint="eastAsia" w:ascii="宋体" w:hAnsi="宋体" w:eastAsia="Malgun Gothic"/>
          <w:kern w:val="2"/>
          <w:sz w:val="18"/>
          <w:szCs w:val="18"/>
          <w:highlight w:val="none"/>
        </w:rPr>
        <w:t>4.本通知单自送达之日起生效。送达时间基准为:(1)直接送达以签收人签收时间为准；（2）留置送达以通知单送达指定地点时间为准（如出现拒签情况，以通知单送达指定地点时派送人现场照片或物流信息显示送达时间为准）；（3）电子送达以发送人发出通知单时间为准。</w:t>
      </w:r>
    </w:p>
    <w:bookmarkEnd w:id="1214"/>
    <w:p>
      <w:pPr>
        <w:pStyle w:val="12"/>
        <w:pageBreakBefore/>
        <w:ind w:right="-57" w:firstLine="0"/>
        <w:jc w:val="center"/>
        <w:outlineLvl w:val="1"/>
        <w:rPr>
          <w:rStyle w:val="41"/>
          <w:rFonts w:hint="eastAsia" w:ascii="宋体" w:hAnsi="宋体" w:eastAsia="宋体"/>
          <w:highlight w:val="none"/>
        </w:rPr>
        <w:sectPr>
          <w:headerReference r:id="rId7" w:type="default"/>
          <w:pgSz w:w="11905" w:h="16838"/>
          <w:pgMar w:top="1418" w:right="1418" w:bottom="1304" w:left="1418" w:header="454" w:footer="567" w:gutter="0"/>
          <w:cols w:space="720" w:num="1"/>
          <w:docGrid w:linePitch="312" w:charSpace="0"/>
        </w:sectPr>
      </w:pPr>
      <w:bookmarkStart w:id="1603" w:name="_Toc147"/>
      <w:bookmarkStart w:id="1604" w:name="_Toc3551"/>
      <w:bookmarkStart w:id="1605" w:name="_Toc25908"/>
      <w:bookmarkStart w:id="1606" w:name="_Toc14738"/>
      <w:bookmarkStart w:id="1607" w:name="_Toc21231"/>
      <w:bookmarkStart w:id="1608" w:name="_Toc531"/>
      <w:bookmarkStart w:id="1609" w:name="_Toc25750691"/>
      <w:bookmarkStart w:id="1610" w:name="_Toc1777"/>
      <w:bookmarkStart w:id="1611" w:name="_Toc3174"/>
      <w:bookmarkStart w:id="1612" w:name="_Toc6090"/>
      <w:bookmarkStart w:id="1613" w:name="_Toc9329"/>
      <w:bookmarkStart w:id="1614" w:name="_Toc5008"/>
      <w:bookmarkStart w:id="1615" w:name="_Toc14104"/>
      <w:bookmarkStart w:id="1616" w:name="_Toc17186"/>
      <w:bookmarkStart w:id="1617" w:name="_Toc22547"/>
      <w:bookmarkStart w:id="1618" w:name="_Toc26286"/>
      <w:bookmarkStart w:id="1619" w:name="_Toc4284"/>
      <w:bookmarkStart w:id="1620" w:name="_Toc1104"/>
    </w:p>
    <w:p>
      <w:pPr>
        <w:pStyle w:val="12"/>
        <w:pageBreakBefore/>
        <w:ind w:right="-57" w:firstLine="0"/>
        <w:jc w:val="center"/>
        <w:outlineLvl w:val="0"/>
        <w:rPr>
          <w:rStyle w:val="41"/>
          <w:rFonts w:ascii="宋体" w:hAnsi="宋体" w:eastAsia="宋体"/>
          <w:highlight w:val="none"/>
        </w:rPr>
      </w:pPr>
      <w:bookmarkStart w:id="1621" w:name="_Toc2561"/>
      <w:r>
        <w:rPr>
          <w:rStyle w:val="41"/>
          <w:rFonts w:hint="eastAsia" w:ascii="宋体" w:hAnsi="宋体" w:eastAsia="宋体"/>
          <w:highlight w:val="none"/>
        </w:rPr>
        <w:t>第六章评分办法</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pPr>
        <w:spacing w:before="0" w:after="0" w:afterAutospacing="0"/>
        <w:ind w:left="0" w:right="0" w:firstLine="562" w:firstLineChars="200"/>
        <w:outlineLvl w:val="1"/>
        <w:rPr>
          <w:rFonts w:ascii="宋体" w:hAnsi="宋体" w:cs="Arial"/>
          <w:b/>
          <w:bCs/>
          <w:color w:val="auto"/>
          <w:sz w:val="28"/>
          <w:szCs w:val="28"/>
          <w:highlight w:val="none"/>
        </w:rPr>
      </w:pPr>
      <w:bookmarkStart w:id="1622" w:name="_Toc21743"/>
      <w:bookmarkStart w:id="1623" w:name="_Toc25750692"/>
      <w:r>
        <w:rPr>
          <w:rFonts w:hint="eastAsia" w:ascii="宋体" w:hAnsi="宋体" w:cs="Arial"/>
          <w:b/>
          <w:bCs/>
          <w:sz w:val="28"/>
          <w:szCs w:val="28"/>
          <w:highlight w:val="none"/>
        </w:rPr>
        <w:t>一、评审原则</w:t>
      </w:r>
      <w:bookmarkEnd w:id="1622"/>
      <w:bookmarkEnd w:id="1623"/>
    </w:p>
    <w:p>
      <w:pPr>
        <w:spacing w:before="0" w:after="0" w:afterAutospacing="0"/>
        <w:ind w:left="0" w:right="0" w:firstLine="420" w:firstLineChars="200"/>
        <w:rPr>
          <w:rFonts w:ascii="宋体" w:hAnsi="宋体" w:cs="Arial"/>
          <w:color w:val="auto"/>
          <w:highlight w:val="none"/>
        </w:rPr>
      </w:pPr>
      <w:r>
        <w:rPr>
          <w:rFonts w:ascii="宋体" w:hAnsi="宋体" w:cs="Arial"/>
          <w:color w:val="auto"/>
          <w:highlight w:val="none"/>
        </w:rPr>
        <w:t>1.1</w:t>
      </w:r>
      <w:r>
        <w:rPr>
          <w:rFonts w:hint="eastAsia" w:ascii="宋体" w:hAnsi="宋体" w:cs="Arial"/>
          <w:bCs/>
          <w:color w:val="auto"/>
          <w:highlight w:val="none"/>
        </w:rPr>
        <w:t>评审委员会成员构成：本项目由南宁轨道交通运营有限公司3人及以上单数组成评审小组，对比选申请文件按评审标准进行评审；由南宁轨道交通运营有限公司</w:t>
      </w:r>
      <w:r>
        <w:rPr>
          <w:rFonts w:hint="eastAsia" w:ascii="宋体" w:hAnsi="宋体" w:cs="Arial"/>
          <w:bCs/>
          <w:strike w:val="0"/>
          <w:color w:val="auto"/>
          <w:highlight w:val="none"/>
          <w:lang w:eastAsia="zh-CN"/>
        </w:rPr>
        <w:t>，</w:t>
      </w:r>
      <w:r>
        <w:rPr>
          <w:rFonts w:hint="eastAsia" w:ascii="宋体" w:hAnsi="宋体" w:cs="Arial"/>
          <w:bCs/>
          <w:color w:val="auto"/>
          <w:highlight w:val="none"/>
        </w:rPr>
        <w:t>纪检监察部门进行监督。</w:t>
      </w:r>
    </w:p>
    <w:p>
      <w:pPr>
        <w:spacing w:before="0" w:after="0" w:afterAutospacing="0"/>
        <w:ind w:left="0" w:right="0" w:firstLine="420" w:firstLineChars="200"/>
        <w:rPr>
          <w:rFonts w:ascii="宋体" w:hAnsi="宋体" w:cs="Arial"/>
          <w:color w:val="auto"/>
          <w:highlight w:val="none"/>
        </w:rPr>
      </w:pPr>
      <w:r>
        <w:rPr>
          <w:rFonts w:ascii="宋体" w:hAnsi="宋体" w:cs="Arial"/>
          <w:color w:val="auto"/>
          <w:highlight w:val="none"/>
        </w:rPr>
        <w:t>1.2</w:t>
      </w:r>
      <w:r>
        <w:rPr>
          <w:rFonts w:hint="eastAsia" w:ascii="宋体" w:hAnsi="宋体" w:cs="Arial"/>
          <w:bCs/>
          <w:color w:val="auto"/>
          <w:highlight w:val="none"/>
        </w:rPr>
        <w:t>评审依据：评审委员会以比选文件、比选申请文件为评审依据。</w:t>
      </w:r>
    </w:p>
    <w:p>
      <w:pPr>
        <w:spacing w:before="0" w:after="0" w:afterAutospacing="0"/>
        <w:ind w:left="0" w:right="0" w:firstLine="420" w:firstLineChars="200"/>
        <w:rPr>
          <w:rFonts w:ascii="宋体" w:hAnsi="宋体" w:cs="Arial"/>
          <w:bCs/>
          <w:color w:val="auto"/>
          <w:highlight w:val="none"/>
        </w:rPr>
      </w:pPr>
      <w:r>
        <w:rPr>
          <w:rFonts w:ascii="宋体" w:hAnsi="宋体" w:cs="Arial"/>
          <w:color w:val="auto"/>
          <w:highlight w:val="none"/>
        </w:rPr>
        <w:t>1.3</w:t>
      </w:r>
      <w:r>
        <w:rPr>
          <w:rFonts w:hint="eastAsia" w:ascii="宋体" w:hAnsi="宋体" w:cs="Arial"/>
          <w:bCs/>
          <w:color w:val="auto"/>
          <w:highlight w:val="none"/>
        </w:rPr>
        <w:t>评审方式：以封闭方式进行。</w:t>
      </w:r>
    </w:p>
    <w:p>
      <w:pPr>
        <w:spacing w:before="0" w:after="0" w:afterAutospacing="0"/>
        <w:ind w:left="0" w:right="0" w:firstLine="562" w:firstLineChars="200"/>
        <w:outlineLvl w:val="1"/>
        <w:rPr>
          <w:rFonts w:ascii="宋体" w:hAnsi="宋体" w:cs="Arial"/>
          <w:b/>
          <w:color w:val="auto"/>
          <w:highlight w:val="none"/>
        </w:rPr>
      </w:pPr>
      <w:bookmarkStart w:id="1624" w:name="_Toc25750693"/>
      <w:bookmarkStart w:id="1625" w:name="_Toc29000"/>
      <w:bookmarkStart w:id="1626" w:name="_Toc5136"/>
      <w:bookmarkStart w:id="1627" w:name="_Toc15880"/>
      <w:bookmarkStart w:id="1628" w:name="_Toc11240"/>
      <w:bookmarkStart w:id="1629" w:name="_Toc28537"/>
      <w:bookmarkStart w:id="1630" w:name="_Toc478566177"/>
      <w:r>
        <w:rPr>
          <w:rFonts w:hint="eastAsia" w:ascii="宋体" w:hAnsi="宋体" w:cs="Arial"/>
          <w:b/>
          <w:bCs/>
          <w:color w:val="auto"/>
          <w:sz w:val="28"/>
          <w:szCs w:val="28"/>
          <w:highlight w:val="none"/>
        </w:rPr>
        <w:t>二、评定方法</w:t>
      </w:r>
      <w:bookmarkEnd w:id="1624"/>
      <w:bookmarkEnd w:id="1625"/>
      <w:bookmarkEnd w:id="1626"/>
      <w:bookmarkEnd w:id="1627"/>
      <w:bookmarkEnd w:id="1628"/>
      <w:bookmarkEnd w:id="1629"/>
      <w:bookmarkEnd w:id="1630"/>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2.1对资格性和符合性检查合格的比选申请文件，采用综合评分法进行评审，满分100分，其中技术满分</w:t>
      </w:r>
      <w:r>
        <w:rPr>
          <w:rFonts w:hint="eastAsia" w:ascii="宋体" w:hAnsi="宋体" w:cs="Arial"/>
          <w:color w:val="auto"/>
          <w:highlight w:val="none"/>
          <w:lang w:val="en-US" w:eastAsia="zh-CN"/>
        </w:rPr>
        <w:t>6</w:t>
      </w:r>
      <w:r>
        <w:rPr>
          <w:rFonts w:hint="eastAsia" w:ascii="宋体" w:hAnsi="宋体" w:cs="Arial"/>
          <w:color w:val="auto"/>
          <w:highlight w:val="none"/>
        </w:rPr>
        <w:t>0分，价格满分</w:t>
      </w:r>
      <w:r>
        <w:rPr>
          <w:rFonts w:hint="eastAsia" w:ascii="宋体" w:hAnsi="宋体" w:cs="Arial"/>
          <w:color w:val="auto"/>
          <w:highlight w:val="none"/>
          <w:lang w:val="en-US" w:eastAsia="zh-CN"/>
        </w:rPr>
        <w:t>4</w:t>
      </w:r>
      <w:r>
        <w:rPr>
          <w:rFonts w:hint="eastAsia" w:ascii="宋体" w:hAnsi="宋体" w:cs="Arial"/>
          <w:color w:val="auto"/>
          <w:highlight w:val="none"/>
        </w:rPr>
        <w:t>0分。</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2.2评审委员会将依照本比选文件相关要求，对照比选申请文件的应答进行比较，并对各比选申请文件的技术、价格内容进行评审打分。</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2.3如比选申请文件中有含义不明确，对同类问题表达不一致，或有明显的文字、数字计算错误的，评审小组可要求比选申请人进行必要的澄清、说明或补正，并详细记录，但不得改变比选申请文件的实质内容。评审小组对比选申请人提交的澄清、说明或补正有疑问的，可以要求比选申请人进一步澄清、说明或补正，直至满足比选评审小组的要求。如比选申请人拒绝接受澄清、说明或补正，该报价做无效报价处理。</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2.4总分=技术得分+价格得分。各项指标的分数计算四舍五入，取小数点后两位。计算比选申请人综合评分，并按照总分（综合得分）由高到低的顺序提出1-3名中选候选人，并编写评审报告。若比选申请人的综合得分相等时，技术评分高者优先；技术评分也相等的，比选报价评分高者优先，比选报价评分也相等的，以评审委员会记名投票的方式按少数服从多数的原则决定其排名顺序。</w:t>
      </w:r>
    </w:p>
    <w:p>
      <w:pPr>
        <w:spacing w:before="0" w:after="0" w:afterAutospacing="0"/>
        <w:ind w:left="0" w:right="0" w:firstLine="562" w:firstLineChars="200"/>
        <w:outlineLvl w:val="1"/>
        <w:rPr>
          <w:rFonts w:ascii="宋体" w:hAnsi="宋体" w:cs="Arial"/>
          <w:b/>
          <w:highlight w:val="none"/>
        </w:rPr>
      </w:pPr>
      <w:bookmarkStart w:id="1631" w:name="_Toc22921"/>
      <w:r>
        <w:rPr>
          <w:rFonts w:hint="eastAsia" w:ascii="宋体" w:hAnsi="宋体" w:cs="Arial"/>
          <w:b/>
          <w:bCs/>
          <w:sz w:val="28"/>
          <w:szCs w:val="28"/>
          <w:highlight w:val="none"/>
        </w:rPr>
        <w:t>三、评审流程</w:t>
      </w:r>
      <w:bookmarkEnd w:id="1631"/>
    </w:p>
    <w:p>
      <w:pPr>
        <w:tabs>
          <w:tab w:val="left" w:pos="567"/>
        </w:tabs>
        <w:spacing w:before="0" w:after="0" w:afterAutospacing="0"/>
        <w:ind w:left="422" w:right="0" w:firstLine="0"/>
        <w:rPr>
          <w:rFonts w:ascii="宋体" w:hAnsi="宋体"/>
          <w:b/>
          <w:highlight w:val="none"/>
        </w:rPr>
      </w:pPr>
      <w:r>
        <w:rPr>
          <w:rFonts w:hint="eastAsia" w:ascii="宋体" w:hAnsi="宋体"/>
          <w:b/>
          <w:highlight w:val="none"/>
        </w:rPr>
        <w:t>3.1资格审查</w:t>
      </w:r>
    </w:p>
    <w:p>
      <w:pPr>
        <w:spacing w:before="0" w:after="0" w:afterAutospacing="0"/>
        <w:ind w:left="0" w:right="0" w:firstLine="420" w:firstLineChars="200"/>
        <w:rPr>
          <w:rFonts w:ascii="宋体" w:hAnsi="宋体"/>
          <w:highlight w:val="none"/>
        </w:rPr>
      </w:pPr>
      <w:r>
        <w:rPr>
          <w:rFonts w:hint="eastAsia" w:ascii="宋体" w:hAnsi="宋体"/>
          <w:highlight w:val="none"/>
        </w:rPr>
        <w:t>资格审查采用定性评审法，审查比选申请人是否符合法律、法规、规章及比选文件对企业资质、业绩和其他强制性标准，是否处于正常的经营状况等情况。</w:t>
      </w:r>
    </w:p>
    <w:p>
      <w:pPr>
        <w:spacing w:before="0" w:after="0" w:afterAutospacing="0"/>
        <w:ind w:left="0" w:right="0" w:firstLine="420" w:firstLineChars="200"/>
        <w:rPr>
          <w:rFonts w:ascii="宋体" w:hAnsi="宋体"/>
          <w:highlight w:val="none"/>
        </w:rPr>
      </w:pPr>
      <w:r>
        <w:rPr>
          <w:rFonts w:hint="eastAsia" w:ascii="宋体" w:hAnsi="宋体"/>
          <w:highlight w:val="none"/>
        </w:rPr>
        <w:t>在本阶段不符合任何一项资格评审标准的比选申请人将被招标人拒绝，不得进入下一阶段的评审。评审标准详见附表一《资格审查表》。</w:t>
      </w:r>
    </w:p>
    <w:p>
      <w:pPr>
        <w:tabs>
          <w:tab w:val="left" w:pos="567"/>
        </w:tabs>
        <w:spacing w:before="0" w:after="0" w:afterAutospacing="0"/>
        <w:ind w:left="422" w:right="0" w:firstLine="0"/>
        <w:rPr>
          <w:rFonts w:ascii="宋体" w:hAnsi="宋体"/>
          <w:b/>
          <w:highlight w:val="none"/>
        </w:rPr>
      </w:pPr>
      <w:r>
        <w:rPr>
          <w:rFonts w:hint="eastAsia" w:ascii="宋体" w:hAnsi="宋体"/>
          <w:b/>
          <w:highlight w:val="none"/>
        </w:rPr>
        <w:t>3.2初步评审</w:t>
      </w:r>
    </w:p>
    <w:p>
      <w:pPr>
        <w:tabs>
          <w:tab w:val="left" w:pos="851"/>
        </w:tabs>
        <w:spacing w:before="0" w:after="0" w:afterAutospacing="0"/>
        <w:ind w:left="0" w:right="0" w:firstLine="420" w:firstLineChars="200"/>
        <w:rPr>
          <w:rFonts w:hAnsi="宋体"/>
          <w:highlight w:val="none"/>
        </w:rPr>
      </w:pPr>
      <w:r>
        <w:rPr>
          <w:rFonts w:hint="eastAsia" w:hAnsi="宋体"/>
          <w:highlight w:val="none"/>
        </w:rPr>
        <w:t>（1）评审委员会将对比选申请文件的实质性内容进行初步评审，判定其内容是否真实、完整，是否满足比选文件要求并在实质性内容上予以响应。</w:t>
      </w:r>
    </w:p>
    <w:p>
      <w:pPr>
        <w:tabs>
          <w:tab w:val="left" w:pos="851"/>
        </w:tabs>
        <w:spacing w:before="0" w:after="0" w:afterAutospacing="0"/>
        <w:ind w:left="0" w:right="0" w:firstLine="420" w:firstLineChars="200"/>
        <w:rPr>
          <w:rFonts w:hAnsi="宋体"/>
          <w:highlight w:val="none"/>
        </w:rPr>
      </w:pPr>
      <w:r>
        <w:rPr>
          <w:rFonts w:hint="eastAsia" w:hAnsi="宋体"/>
          <w:highlight w:val="none"/>
        </w:rPr>
        <w:t>（2） 如果比选申请文件实质性不响应比选文件的要求和条件的，评审委员会将判定为重大偏差并作否决比选申请处理，并且不允许比选申请人通过修正或撤销其不符要求的差异或保留，使之成为具有响应性的比选申请文件。</w:t>
      </w:r>
    </w:p>
    <w:p>
      <w:pPr>
        <w:tabs>
          <w:tab w:val="left" w:pos="851"/>
        </w:tabs>
        <w:spacing w:before="0" w:after="0" w:afterAutospacing="0"/>
        <w:ind w:left="0" w:right="0" w:firstLine="420" w:firstLineChars="200"/>
        <w:rPr>
          <w:rFonts w:ascii="宋体" w:hAnsi="宋体"/>
          <w:highlight w:val="none"/>
        </w:rPr>
      </w:pPr>
      <w:r>
        <w:rPr>
          <w:rFonts w:hint="eastAsia" w:hAnsi="宋体"/>
          <w:highlight w:val="none"/>
        </w:rPr>
        <w:t>（3）</w:t>
      </w:r>
      <w:r>
        <w:rPr>
          <w:highlight w:val="none"/>
        </w:rPr>
        <w:t>评审委员会</w:t>
      </w:r>
      <w:r>
        <w:rPr>
          <w:rFonts w:hAnsi="宋体"/>
          <w:highlight w:val="none"/>
        </w:rPr>
        <w:t>根据</w:t>
      </w:r>
      <w:r>
        <w:rPr>
          <w:rFonts w:hint="eastAsia" w:hAnsi="宋体"/>
          <w:highlight w:val="none"/>
        </w:rPr>
        <w:t>比选</w:t>
      </w:r>
      <w:r>
        <w:rPr>
          <w:rFonts w:hAnsi="宋体"/>
          <w:highlight w:val="none"/>
        </w:rPr>
        <w:t>文件的要求对</w:t>
      </w:r>
      <w:r>
        <w:rPr>
          <w:rFonts w:hint="eastAsia" w:hAnsi="宋体"/>
          <w:highlight w:val="none"/>
        </w:rPr>
        <w:t>比选申请</w:t>
      </w:r>
      <w:r>
        <w:rPr>
          <w:rFonts w:hAnsi="宋体"/>
          <w:highlight w:val="none"/>
        </w:rPr>
        <w:t>人进行</w:t>
      </w:r>
      <w:r>
        <w:rPr>
          <w:rFonts w:hint="eastAsia" w:hAnsi="宋体"/>
          <w:highlight w:val="none"/>
        </w:rPr>
        <w:t>符合性</w:t>
      </w:r>
      <w:r>
        <w:rPr>
          <w:rFonts w:hAnsi="宋体"/>
          <w:highlight w:val="none"/>
        </w:rPr>
        <w:t>评审，未通过</w:t>
      </w:r>
      <w:r>
        <w:rPr>
          <w:rFonts w:hint="eastAsia" w:hAnsi="宋体"/>
          <w:highlight w:val="none"/>
        </w:rPr>
        <w:t>符合性</w:t>
      </w:r>
      <w:r>
        <w:rPr>
          <w:rFonts w:hAnsi="宋体"/>
          <w:highlight w:val="none"/>
        </w:rPr>
        <w:t>评审的</w:t>
      </w:r>
      <w:r>
        <w:rPr>
          <w:rFonts w:hint="eastAsia" w:hAnsi="宋体"/>
          <w:highlight w:val="none"/>
        </w:rPr>
        <w:t>比选申请</w:t>
      </w:r>
      <w:r>
        <w:rPr>
          <w:rFonts w:hAnsi="宋体"/>
          <w:highlight w:val="none"/>
        </w:rPr>
        <w:t>人不得进入下一阶段的评审。评审</w:t>
      </w:r>
      <w:r>
        <w:rPr>
          <w:rFonts w:hint="eastAsia" w:hAnsi="宋体"/>
          <w:highlight w:val="none"/>
        </w:rPr>
        <w:t>标准</w:t>
      </w:r>
      <w:r>
        <w:rPr>
          <w:rFonts w:hAnsi="宋体"/>
          <w:highlight w:val="none"/>
        </w:rPr>
        <w:t>见附表二《</w:t>
      </w:r>
      <w:r>
        <w:rPr>
          <w:rFonts w:hint="eastAsia" w:hAnsi="宋体"/>
          <w:highlight w:val="none"/>
        </w:rPr>
        <w:t>符合性</w:t>
      </w:r>
      <w:r>
        <w:rPr>
          <w:rFonts w:hAnsi="宋体"/>
          <w:highlight w:val="none"/>
        </w:rPr>
        <w:t>评审表》。</w:t>
      </w:r>
    </w:p>
    <w:p>
      <w:pPr>
        <w:tabs>
          <w:tab w:val="left" w:pos="851"/>
          <w:tab w:val="left" w:pos="1134"/>
        </w:tabs>
        <w:spacing w:before="0" w:after="0" w:afterAutospacing="0"/>
        <w:ind w:left="422" w:right="0" w:firstLine="0"/>
        <w:rPr>
          <w:rFonts w:ascii="宋体" w:hAnsi="宋体"/>
          <w:b/>
          <w:highlight w:val="none"/>
        </w:rPr>
      </w:pPr>
      <w:bookmarkStart w:id="1632" w:name="_Toc23314"/>
      <w:bookmarkStart w:id="1633" w:name="_Toc492478849"/>
      <w:bookmarkStart w:id="1634" w:name="_Toc22464"/>
      <w:bookmarkStart w:id="1635" w:name="_Toc25750694"/>
      <w:bookmarkStart w:id="1636" w:name="_Toc19557"/>
      <w:bookmarkStart w:id="1637" w:name="_Toc15073"/>
      <w:bookmarkStart w:id="1638" w:name="_Toc11845"/>
      <w:bookmarkStart w:id="1639" w:name="_Toc10968"/>
      <w:bookmarkStart w:id="1640" w:name="_Toc28404"/>
      <w:bookmarkStart w:id="1641" w:name="_Toc9189"/>
      <w:bookmarkStart w:id="1642" w:name="_Toc18096"/>
      <w:bookmarkStart w:id="1643" w:name="_Toc29923"/>
      <w:bookmarkStart w:id="1644" w:name="_Toc434"/>
      <w:bookmarkStart w:id="1645" w:name="_Toc9730"/>
      <w:bookmarkStart w:id="1646" w:name="_Toc27271"/>
      <w:bookmarkStart w:id="1647" w:name="_Toc414290583"/>
      <w:bookmarkStart w:id="1648" w:name="_Toc15224"/>
      <w:bookmarkStart w:id="1649" w:name="_Toc31611"/>
      <w:bookmarkStart w:id="1650" w:name="_Toc9588"/>
      <w:bookmarkStart w:id="1651" w:name="_Toc29245"/>
      <w:bookmarkStart w:id="1652" w:name="_Toc16364"/>
      <w:r>
        <w:rPr>
          <w:rFonts w:hint="eastAsia" w:ascii="宋体" w:hAnsi="宋体"/>
          <w:b/>
          <w:highlight w:val="none"/>
        </w:rPr>
        <w:t>3.3详细评审</w:t>
      </w:r>
    </w:p>
    <w:p>
      <w:pPr>
        <w:spacing w:before="0" w:after="0" w:afterAutospacing="0"/>
        <w:ind w:left="705" w:leftChars="200" w:right="0" w:hanging="285" w:hangingChars="136"/>
        <w:rPr>
          <w:rFonts w:ascii="宋体" w:hAnsi="宋体" w:cs="Arial"/>
          <w:highlight w:val="none"/>
        </w:rPr>
      </w:pPr>
      <w:r>
        <w:rPr>
          <w:rFonts w:hint="eastAsia" w:ascii="宋体" w:hAnsi="宋体" w:cs="Arial"/>
          <w:highlight w:val="none"/>
        </w:rPr>
        <w:t>3.3.1</w:t>
      </w:r>
      <w:r>
        <w:rPr>
          <w:rFonts w:ascii="宋体" w:hAnsi="宋体" w:cs="Arial"/>
          <w:highlight w:val="none"/>
        </w:rPr>
        <w:t>评审委员会对通过初步评审的投标文件的资信文件和技术文件进行详细评审。</w:t>
      </w:r>
    </w:p>
    <w:p>
      <w:pPr>
        <w:tabs>
          <w:tab w:val="left" w:pos="851"/>
        </w:tabs>
        <w:spacing w:before="0" w:after="0" w:afterAutospacing="0"/>
        <w:ind w:left="0" w:right="0" w:firstLine="420" w:firstLineChars="200"/>
        <w:rPr>
          <w:rFonts w:ascii="宋体" w:hAnsi="宋体"/>
          <w:highlight w:val="none"/>
        </w:rPr>
      </w:pPr>
      <w:r>
        <w:rPr>
          <w:rFonts w:ascii="宋体" w:hAnsi="宋体" w:cs="Arial"/>
          <w:highlight w:val="none"/>
        </w:rPr>
        <w:t>3</w:t>
      </w:r>
      <w:r>
        <w:rPr>
          <w:rFonts w:hint="eastAsia" w:ascii="宋体" w:hAnsi="宋体" w:cs="Arial"/>
          <w:highlight w:val="none"/>
        </w:rPr>
        <w:t>.</w:t>
      </w:r>
      <w:r>
        <w:rPr>
          <w:rFonts w:ascii="宋体" w:hAnsi="宋体" w:cs="Arial"/>
          <w:highlight w:val="none"/>
        </w:rPr>
        <w:t>3</w:t>
      </w:r>
      <w:r>
        <w:rPr>
          <w:rFonts w:hint="eastAsia" w:ascii="宋体" w:hAnsi="宋体" w:cs="Arial"/>
          <w:highlight w:val="none"/>
        </w:rPr>
        <w:t>.2</w:t>
      </w:r>
      <w:r>
        <w:rPr>
          <w:rFonts w:ascii="宋体" w:hAnsi="宋体" w:cs="Arial"/>
          <w:highlight w:val="none"/>
        </w:rPr>
        <w:t>评审委员会按照附表三《技术文件评分表》规定的量化因素和分值，对各比选申请人技</w:t>
      </w:r>
      <w:r>
        <w:rPr>
          <w:rFonts w:ascii="宋体"/>
          <w:highlight w:val="none"/>
        </w:rPr>
        <w:t>术部分评审。各评委对比选申请人的各评分项评分累加后得出各评委的总得分。比选申请人技术得分取所有评委总得分的算术平均值（得分出现小数点，保留小数点后二位，第三位小数四舍五入）。</w:t>
      </w:r>
    </w:p>
    <w:p>
      <w:pPr>
        <w:spacing w:before="0" w:after="0" w:afterAutospacing="0"/>
        <w:ind w:left="0" w:right="0" w:firstLine="420" w:firstLineChars="200"/>
        <w:rPr>
          <w:rFonts w:ascii="宋体" w:hAnsi="宋体" w:cs="Arial"/>
          <w:highlight w:val="none"/>
        </w:rPr>
      </w:pPr>
      <w:r>
        <w:rPr>
          <w:rFonts w:hint="eastAsia" w:ascii="宋体" w:hAnsi="宋体" w:cs="Arial"/>
          <w:highlight w:val="none"/>
        </w:rPr>
        <w:t>3.3</w:t>
      </w:r>
      <w:r>
        <w:rPr>
          <w:rFonts w:ascii="宋体" w:hAnsi="宋体" w:cs="Arial"/>
          <w:highlight w:val="none"/>
        </w:rPr>
        <w:t>.3价格评审</w:t>
      </w:r>
    </w:p>
    <w:p>
      <w:pPr>
        <w:spacing w:before="0" w:after="0" w:afterAutospacing="0"/>
        <w:ind w:left="0" w:right="0" w:firstLine="420" w:firstLineChars="200"/>
        <w:rPr>
          <w:rFonts w:ascii="宋体" w:hAnsi="宋体" w:cs="Arial"/>
          <w:highlight w:val="none"/>
        </w:rPr>
      </w:pPr>
      <w:r>
        <w:rPr>
          <w:rFonts w:ascii="宋体" w:hAnsi="宋体" w:cs="Arial"/>
          <w:highlight w:val="none"/>
        </w:rPr>
        <w:t>3.3.3.1评审委员会对通过初步评审的投标文件的报价文件进行详细评审。</w:t>
      </w:r>
    </w:p>
    <w:p>
      <w:pPr>
        <w:tabs>
          <w:tab w:val="left" w:pos="851"/>
          <w:tab w:val="left" w:pos="1134"/>
        </w:tabs>
        <w:spacing w:before="0" w:after="0" w:afterAutospacing="0"/>
        <w:ind w:left="105" w:leftChars="50" w:right="0" w:firstLine="105" w:firstLineChars="50"/>
        <w:jc w:val="left"/>
        <w:rPr>
          <w:highlight w:val="none"/>
        </w:rPr>
      </w:pPr>
      <w:r>
        <w:rPr>
          <w:rFonts w:ascii="宋体" w:hAnsi="宋体" w:cs="Arial"/>
          <w:highlight w:val="none"/>
        </w:rPr>
        <w:t>3.3.3.2投标报价有算术错误的，评标委员会按以下原则对投标报价进行修正，修正的价格经比</w:t>
      </w:r>
      <w:r>
        <w:rPr>
          <w:rFonts w:ascii="宋体"/>
          <w:highlight w:val="none"/>
        </w:rPr>
        <w:t>选申请人书面确认后具有约束力。比选申请人不接受修正价格的，其投标作否决投标处理：</w:t>
      </w:r>
    </w:p>
    <w:p>
      <w:pPr>
        <w:tabs>
          <w:tab w:val="left" w:pos="851"/>
          <w:tab w:val="left" w:pos="1134"/>
        </w:tabs>
        <w:spacing w:before="0" w:after="0" w:afterAutospacing="0"/>
        <w:ind w:left="0" w:right="0" w:firstLine="420" w:firstLineChars="200"/>
        <w:jc w:val="left"/>
        <w:rPr>
          <w:rFonts w:cs="宋体"/>
          <w:highlight w:val="none"/>
        </w:rPr>
      </w:pPr>
      <w:r>
        <w:rPr>
          <w:rFonts w:ascii="宋体"/>
          <w:highlight w:val="none"/>
        </w:rPr>
        <w:t>(1）比选申请</w:t>
      </w:r>
      <w:r>
        <w:rPr>
          <w:rFonts w:ascii="宋体" w:cs="宋体"/>
          <w:highlight w:val="none"/>
        </w:rPr>
        <w:t>文件中的大写金额与小写金额不一致的，以大写金额为准；</w:t>
      </w:r>
    </w:p>
    <w:p>
      <w:pPr>
        <w:tabs>
          <w:tab w:val="left" w:pos="851"/>
          <w:tab w:val="left" w:pos="1134"/>
        </w:tabs>
        <w:spacing w:before="0" w:after="0" w:afterAutospacing="0"/>
        <w:ind w:left="0" w:right="0" w:firstLine="420" w:firstLineChars="200"/>
        <w:jc w:val="left"/>
        <w:rPr>
          <w:rFonts w:cs="宋体"/>
          <w:highlight w:val="none"/>
        </w:rPr>
      </w:pPr>
      <w:r>
        <w:rPr>
          <w:rFonts w:hint="eastAsia" w:ascii="宋体"/>
          <w:highlight w:val="none"/>
        </w:rPr>
        <w:t>（</w:t>
      </w:r>
      <w:r>
        <w:rPr>
          <w:rFonts w:ascii="宋体"/>
          <w:highlight w:val="none"/>
        </w:rPr>
        <w:t>2）</w:t>
      </w:r>
      <w:r>
        <w:rPr>
          <w:rFonts w:ascii="宋体" w:cs="宋体"/>
          <w:highlight w:val="none"/>
        </w:rPr>
        <w:t>总价金额与依据单价计算出的结果不一致的，以单价金额为准修正总价，但单价金额小数点有明显错误的除外；</w:t>
      </w:r>
    </w:p>
    <w:p>
      <w:pPr>
        <w:tabs>
          <w:tab w:val="left" w:pos="851"/>
          <w:tab w:val="left" w:pos="1134"/>
        </w:tabs>
        <w:spacing w:before="0" w:after="0" w:afterAutospacing="0"/>
        <w:ind w:left="0" w:right="0" w:firstLine="420" w:firstLineChars="200"/>
        <w:jc w:val="left"/>
        <w:rPr>
          <w:rFonts w:ascii="宋体"/>
          <w:highlight w:val="none"/>
        </w:rPr>
      </w:pPr>
      <w:r>
        <w:rPr>
          <w:rFonts w:ascii="宋体" w:cs="宋体"/>
          <w:highlight w:val="none"/>
        </w:rPr>
        <w:t>(3)</w:t>
      </w:r>
      <w:r>
        <w:rPr>
          <w:rFonts w:ascii="宋体"/>
          <w:highlight w:val="none"/>
        </w:rPr>
        <w:t xml:space="preserve"> 修正后的最终比选申请报价超过上限控制价的比选申请文件作否决投标处理。修正后的分项报价超过分项控制价的比选申请文件作否决投标处理。如项目设有综合单价控制价的，修正后的综合单价超过综合单价控制价的比选申请文件作否决投标处理；</w:t>
      </w:r>
    </w:p>
    <w:p>
      <w:pPr>
        <w:tabs>
          <w:tab w:val="left" w:pos="851"/>
          <w:tab w:val="left" w:pos="1134"/>
        </w:tabs>
        <w:spacing w:before="0" w:after="0" w:afterAutospacing="0"/>
        <w:ind w:left="0" w:right="0" w:firstLine="420" w:firstLineChars="200"/>
        <w:jc w:val="left"/>
        <w:rPr>
          <w:rFonts w:ascii="宋体"/>
          <w:highlight w:val="none"/>
        </w:rPr>
      </w:pPr>
      <w:r>
        <w:rPr>
          <w:rFonts w:ascii="宋体"/>
          <w:highlight w:val="none"/>
        </w:rPr>
        <w:t>（4）</w:t>
      </w:r>
      <w:r>
        <w:rPr>
          <w:rFonts w:ascii="宋体" w:hAnsi="宋体"/>
          <w:highlight w:val="none"/>
        </w:rPr>
        <w:t>若修正后的总价与投标报价不相等，则评标总价和中标价均以修正后的总价为准，如投人不接受按以上规则确定的评标总价和中标价，则其投标将被拒绝</w:t>
      </w:r>
      <w:r>
        <w:rPr>
          <w:rFonts w:ascii="宋体"/>
          <w:highlight w:val="none"/>
        </w:rPr>
        <w:t>。</w:t>
      </w:r>
    </w:p>
    <w:p>
      <w:pPr>
        <w:tabs>
          <w:tab w:val="left" w:pos="851"/>
          <w:tab w:val="left" w:pos="1134"/>
        </w:tabs>
        <w:spacing w:before="0" w:after="0" w:afterAutospacing="0"/>
        <w:ind w:left="0" w:right="0" w:firstLine="420" w:firstLineChars="200"/>
        <w:jc w:val="left"/>
        <w:rPr>
          <w:rFonts w:ascii="宋体" w:hAnsi="宋体" w:cs="Arial"/>
          <w:highlight w:val="none"/>
        </w:rPr>
      </w:pPr>
      <w:r>
        <w:rPr>
          <w:rFonts w:ascii="宋体" w:hAnsi="宋体" w:cs="Arial"/>
          <w:highlight w:val="none"/>
        </w:rPr>
        <w:t>3.3.3.3出现下列情况的比选申请文件将予以否决：</w:t>
      </w:r>
    </w:p>
    <w:p>
      <w:pPr>
        <w:tabs>
          <w:tab w:val="left" w:pos="851"/>
          <w:tab w:val="left" w:pos="1134"/>
        </w:tabs>
        <w:spacing w:before="0" w:after="0" w:afterAutospacing="0"/>
        <w:ind w:left="0" w:right="0" w:firstLine="420" w:firstLineChars="200"/>
        <w:jc w:val="left"/>
        <w:rPr>
          <w:highlight w:val="none"/>
        </w:rPr>
      </w:pPr>
      <w:r>
        <w:rPr>
          <w:rFonts w:ascii="宋体"/>
          <w:highlight w:val="none"/>
        </w:rPr>
        <w:t>（1）评审委员会发现比选申请人的报价明显低于其他比选申请报价，使得其投标报价可能低于其个别成本的，应当要求该比选申请人作出书面说明并提供相应的证明材料。比选申请人不能合理说明或者不能提供相应证明材料的，评审委员会应当认定该比选申请人以低于成本报价投标，否决其投标。</w:t>
      </w:r>
    </w:p>
    <w:p>
      <w:pPr>
        <w:tabs>
          <w:tab w:val="left" w:pos="851"/>
          <w:tab w:val="left" w:pos="1134"/>
        </w:tabs>
        <w:spacing w:before="0" w:after="0" w:afterAutospacing="0"/>
        <w:ind w:left="0" w:right="0" w:firstLine="420" w:firstLineChars="200"/>
        <w:jc w:val="left"/>
        <w:rPr>
          <w:b/>
          <w:highlight w:val="none"/>
        </w:rPr>
      </w:pPr>
      <w:r>
        <w:rPr>
          <w:rFonts w:ascii="宋体"/>
          <w:highlight w:val="none"/>
        </w:rPr>
        <w:t>（2）</w:t>
      </w:r>
      <w:bookmarkStart w:id="1653" w:name="_Hlk36511445"/>
      <w:r>
        <w:rPr>
          <w:rFonts w:ascii="宋体"/>
          <w:b/>
          <w:highlight w:val="none"/>
        </w:rPr>
        <w:t>投标报价清单如有漏项的投标文件，将予以否决。</w:t>
      </w:r>
      <w:bookmarkEnd w:id="1653"/>
    </w:p>
    <w:p>
      <w:pPr>
        <w:tabs>
          <w:tab w:val="left" w:pos="851"/>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 xml:space="preserve">3.3.4.4评审委员会按照附表四《比选报价评分表》规定的量化因素和分值，对各比选申请人的投标报价评审，并计算出价格得分（得分出现小数点，保留小数点后二位，第三位小数四舍五入）。   </w:t>
      </w:r>
    </w:p>
    <w:p>
      <w:pPr>
        <w:tabs>
          <w:tab w:val="left" w:pos="851"/>
          <w:tab w:val="left" w:pos="1134"/>
        </w:tabs>
        <w:spacing w:before="0" w:after="0" w:afterAutospacing="0"/>
        <w:ind w:left="0" w:right="0" w:firstLine="422" w:firstLineChars="200"/>
        <w:rPr>
          <w:rFonts w:ascii="宋体" w:hAnsi="宋体"/>
          <w:b/>
          <w:highlight w:val="none"/>
        </w:rPr>
      </w:pPr>
      <w:r>
        <w:rPr>
          <w:rFonts w:hint="eastAsia" w:ascii="宋体" w:hAnsi="宋体"/>
          <w:b/>
          <w:highlight w:val="none"/>
        </w:rPr>
        <w:t>3.3.6评审结果</w:t>
      </w:r>
    </w:p>
    <w:p>
      <w:pPr>
        <w:tabs>
          <w:tab w:val="left" w:pos="851"/>
        </w:tabs>
        <w:spacing w:before="0" w:after="0" w:afterAutospacing="0"/>
        <w:ind w:left="0" w:right="0" w:firstLine="420" w:firstLineChars="200"/>
        <w:rPr>
          <w:rFonts w:ascii="宋体" w:hAnsi="宋体"/>
          <w:highlight w:val="none"/>
        </w:rPr>
      </w:pPr>
      <w:r>
        <w:rPr>
          <w:rFonts w:hint="eastAsia" w:ascii="宋体" w:hAnsi="宋体"/>
          <w:highlight w:val="none"/>
        </w:rPr>
        <w:t>通过价格评审计算出比选申请人的实际评审总价，填写《比选申请评审表》（见附表六），由评审委员会根据通过资格审查及符合性评审的比选申请人</w:t>
      </w:r>
      <w:r>
        <w:rPr>
          <w:rFonts w:ascii="宋体" w:hAnsi="宋体"/>
          <w:highlight w:val="none"/>
        </w:rPr>
        <w:t>综合评分按照由高到低的顺序进行排序</w:t>
      </w:r>
      <w:r>
        <w:rPr>
          <w:rFonts w:hint="eastAsia" w:ascii="宋体" w:hAnsi="宋体" w:cs="Arial"/>
          <w:highlight w:val="none"/>
        </w:rPr>
        <w:t>提出</w:t>
      </w:r>
      <w:r>
        <w:rPr>
          <w:rFonts w:ascii="宋体" w:hAnsi="宋体" w:cs="Arial"/>
          <w:highlight w:val="none"/>
        </w:rPr>
        <w:t>1-3</w:t>
      </w:r>
      <w:r>
        <w:rPr>
          <w:rFonts w:hint="eastAsia" w:ascii="宋体" w:hAnsi="宋体" w:cs="Arial"/>
          <w:highlight w:val="none"/>
        </w:rPr>
        <w:t>名中选候选人，并编写评审报告。</w:t>
      </w:r>
    </w:p>
    <w:p>
      <w:pPr>
        <w:tabs>
          <w:tab w:val="left" w:pos="567"/>
        </w:tabs>
        <w:spacing w:before="0" w:after="0" w:afterAutospacing="0"/>
        <w:ind w:left="422" w:right="0" w:firstLine="0"/>
        <w:rPr>
          <w:rFonts w:ascii="宋体" w:hAnsi="宋体"/>
          <w:b/>
          <w:highlight w:val="none"/>
        </w:rPr>
      </w:pPr>
      <w:r>
        <w:rPr>
          <w:rFonts w:hint="eastAsia" w:ascii="宋体" w:hAnsi="宋体"/>
          <w:b/>
          <w:highlight w:val="none"/>
        </w:rPr>
        <w:t>3.4</w:t>
      </w:r>
      <w:r>
        <w:rPr>
          <w:rFonts w:ascii="宋体" w:hAnsi="宋体"/>
          <w:b/>
          <w:highlight w:val="none"/>
        </w:rPr>
        <w:t>澄清或补正</w:t>
      </w:r>
    </w:p>
    <w:p>
      <w:pPr>
        <w:tabs>
          <w:tab w:val="left" w:pos="851"/>
        </w:tabs>
        <w:spacing w:before="0" w:after="0" w:afterAutospacing="0"/>
        <w:ind w:left="0" w:right="0" w:firstLine="420" w:firstLineChars="200"/>
        <w:rPr>
          <w:rFonts w:ascii="宋体" w:hAnsi="宋体"/>
          <w:highlight w:val="none"/>
        </w:rPr>
      </w:pPr>
      <w:r>
        <w:rPr>
          <w:rFonts w:hint="eastAsia" w:ascii="宋体" w:hAnsi="宋体"/>
          <w:highlight w:val="none"/>
        </w:rPr>
        <w:t>3.4.1在评审阶段，评审委员会认为必要时，可书面通知比选申请人要求其澄清或补正比选申请文件中的问题，或者要求其补充某些资料。对此，比选申请人不得拒绝。</w:t>
      </w:r>
    </w:p>
    <w:p>
      <w:pPr>
        <w:tabs>
          <w:tab w:val="left" w:pos="851"/>
        </w:tabs>
        <w:spacing w:before="0" w:after="0" w:afterAutospacing="0"/>
        <w:ind w:left="0" w:right="0" w:firstLine="420" w:firstLineChars="200"/>
        <w:rPr>
          <w:rFonts w:ascii="宋体" w:hAnsi="宋体"/>
          <w:highlight w:val="none"/>
        </w:rPr>
      </w:pPr>
      <w:r>
        <w:rPr>
          <w:rFonts w:hint="eastAsia" w:ascii="宋体" w:hAnsi="宋体"/>
          <w:highlight w:val="none"/>
        </w:rPr>
        <w:t>3.4.2比选申请人须以书面形式提供澄清或补正文件，经评审委员会确认方可作为比选申请文件的组成部分。</w:t>
      </w:r>
    </w:p>
    <w:p>
      <w:pPr>
        <w:tabs>
          <w:tab w:val="left" w:pos="851"/>
        </w:tabs>
        <w:spacing w:before="0" w:after="0" w:afterAutospacing="0"/>
        <w:ind w:left="0" w:right="0" w:firstLine="420" w:firstLineChars="200"/>
        <w:rPr>
          <w:rFonts w:ascii="宋体" w:hAnsi="宋体"/>
          <w:highlight w:val="none"/>
        </w:rPr>
      </w:pPr>
      <w:r>
        <w:rPr>
          <w:rFonts w:hint="eastAsia" w:ascii="宋体" w:hAnsi="宋体"/>
          <w:highlight w:val="none"/>
        </w:rPr>
        <w:t>3.4.3比选申请人能够合理说明或提供有效证明资料的，评审委员会将予以采信，取消该疑问事项及对应的比选申请报价偏差；不能合理说明或者不能提供有效证明材料的，评审委员会将不予采信，该疑问事项及对应的比选申请报价偏差将确认成立，但其比选申请总价保持不变。</w:t>
      </w:r>
    </w:p>
    <w:p>
      <w:pPr>
        <w:tabs>
          <w:tab w:val="left" w:pos="851"/>
        </w:tabs>
        <w:spacing w:before="0" w:after="0" w:afterAutospacing="0"/>
        <w:ind w:left="0" w:right="0" w:firstLine="420" w:firstLineChars="200"/>
        <w:rPr>
          <w:rFonts w:ascii="宋体" w:hAnsi="宋体"/>
          <w:highlight w:val="none"/>
        </w:rPr>
      </w:pPr>
      <w:r>
        <w:rPr>
          <w:rFonts w:hint="eastAsia" w:ascii="宋体" w:hAnsi="宋体"/>
          <w:highlight w:val="none"/>
        </w:rPr>
        <w:t>3.4.4如果评审委员会对比选申请人提交的澄清、说明或补正依然存有疑问，可以对比选申请人进一步质疑。比选申请人应当相应地进一步澄清、说明或补正，直至评审委员会认为全部质疑得到解答。</w:t>
      </w:r>
    </w:p>
    <w:p>
      <w:pPr>
        <w:tabs>
          <w:tab w:val="left" w:pos="851"/>
        </w:tabs>
        <w:spacing w:before="0" w:after="0" w:afterAutospacing="0"/>
        <w:ind w:left="0" w:right="0" w:firstLine="420" w:firstLineChars="200"/>
        <w:rPr>
          <w:rFonts w:ascii="宋体" w:hAnsi="宋体"/>
          <w:highlight w:val="none"/>
        </w:rPr>
      </w:pPr>
      <w:r>
        <w:rPr>
          <w:rFonts w:hint="eastAsia" w:ascii="宋体" w:hAnsi="宋体"/>
          <w:highlight w:val="none"/>
        </w:rPr>
        <w:t>3.4.5比选申请人不得借澄清或补正问题的机会，与比选人及评审委员会私下接触或对原比选申请价和内容提出修改，但在评审中进行的初步修正，则不在此列。比选人不接受比选申请人主动提出的对比选申请文件的澄清或补正。</w:t>
      </w:r>
    </w:p>
    <w:p>
      <w:pPr>
        <w:spacing w:before="0" w:after="0" w:afterAutospacing="0"/>
        <w:ind w:left="0" w:right="0" w:firstLine="422" w:firstLineChars="200"/>
        <w:rPr>
          <w:rFonts w:ascii="宋体" w:hAnsi="宋体"/>
          <w:b/>
          <w:highlight w:val="none"/>
        </w:rPr>
      </w:pPr>
      <w:r>
        <w:rPr>
          <w:rFonts w:hint="eastAsia" w:ascii="宋体" w:hAnsi="宋体"/>
          <w:b/>
          <w:highlight w:val="none"/>
        </w:rPr>
        <w:t>3.5</w:t>
      </w:r>
      <w:r>
        <w:rPr>
          <w:rFonts w:ascii="宋体" w:hAnsi="宋体"/>
          <w:b/>
          <w:highlight w:val="none"/>
        </w:rPr>
        <w:t>评审报告</w:t>
      </w:r>
    </w:p>
    <w:p>
      <w:pPr>
        <w:tabs>
          <w:tab w:val="left" w:pos="993"/>
          <w:tab w:val="left" w:pos="1134"/>
        </w:tabs>
        <w:spacing w:before="0" w:after="0" w:afterAutospacing="0"/>
        <w:ind w:left="0" w:right="0" w:firstLine="420" w:firstLineChars="200"/>
        <w:rPr>
          <w:rFonts w:ascii="宋体" w:hAnsi="宋体"/>
          <w:highlight w:val="none"/>
        </w:rPr>
      </w:pPr>
      <w:r>
        <w:rPr>
          <w:rFonts w:hint="eastAsia" w:ascii="宋体" w:hAnsi="宋体"/>
          <w:highlight w:val="none"/>
        </w:rPr>
        <w:t>（</w:t>
      </w:r>
      <w:r>
        <w:rPr>
          <w:rFonts w:ascii="宋体" w:hAnsi="宋体"/>
          <w:highlight w:val="none"/>
        </w:rPr>
        <w:t>1</w:t>
      </w:r>
      <w:r>
        <w:rPr>
          <w:rFonts w:hint="eastAsia" w:ascii="宋体" w:hAnsi="宋体"/>
          <w:highlight w:val="none"/>
        </w:rPr>
        <w:t>）评审委员会应根据评审情况和结果，向比选人提交评审报告。评审报告由评审委员会成员起草，按少数服从多数的原则通过。评审委员会全体成员应在评审报告上签字确认，评审专家如有保留意见可以在评审报告中阐明</w:t>
      </w:r>
      <w:r>
        <w:rPr>
          <w:rFonts w:ascii="宋体" w:hAnsi="宋体"/>
          <w:highlight w:val="none"/>
        </w:rPr>
        <w:t>。</w:t>
      </w:r>
    </w:p>
    <w:p>
      <w:pPr>
        <w:tabs>
          <w:tab w:val="left" w:pos="851"/>
          <w:tab w:val="left" w:pos="993"/>
        </w:tabs>
        <w:spacing w:before="0" w:after="0" w:afterAutospacing="0"/>
        <w:ind w:left="0" w:right="0" w:firstLine="420" w:firstLineChars="200"/>
        <w:rPr>
          <w:rFonts w:ascii="宋体" w:hAnsi="宋体"/>
          <w:color w:val="auto"/>
          <w:highlight w:val="none"/>
        </w:rPr>
      </w:pPr>
      <w:r>
        <w:rPr>
          <w:rFonts w:hint="eastAsia" w:ascii="宋体" w:hAnsi="宋体"/>
          <w:highlight w:val="none"/>
        </w:rPr>
        <w:t>（</w:t>
      </w:r>
      <w:r>
        <w:rPr>
          <w:rFonts w:ascii="宋体" w:hAnsi="宋体"/>
          <w:highlight w:val="none"/>
        </w:rPr>
        <w:t>2</w:t>
      </w:r>
      <w:r>
        <w:rPr>
          <w:rFonts w:hint="eastAsia" w:ascii="宋体" w:hAnsi="宋体"/>
          <w:highlight w:val="none"/>
        </w:rPr>
        <w:t>）评审委员</w:t>
      </w:r>
      <w:r>
        <w:rPr>
          <w:rFonts w:hint="eastAsia" w:ascii="宋体" w:hAnsi="宋体"/>
          <w:color w:val="auto"/>
          <w:highlight w:val="none"/>
        </w:rPr>
        <w:t>会根据综合评分由高到低顺序推荐中选候选人。综合评分相同时，则技术得分较高的排名靠前；如技术得分也相同，则价格得分较高的排名靠前；如价格得分也相同，则由评审委员会记名投票的方式按少数服从多数的原则决定其排名顺序。</w:t>
      </w:r>
    </w:p>
    <w:p>
      <w:pPr>
        <w:spacing w:before="0" w:after="0" w:afterAutospacing="0"/>
        <w:ind w:left="0" w:right="0" w:firstLine="422" w:firstLineChars="200"/>
        <w:rPr>
          <w:rFonts w:ascii="宋体" w:hAnsi="宋体"/>
          <w:b/>
          <w:color w:val="auto"/>
          <w:highlight w:val="none"/>
        </w:rPr>
      </w:pPr>
      <w:r>
        <w:rPr>
          <w:rFonts w:hint="eastAsia" w:ascii="宋体" w:hAnsi="宋体"/>
          <w:b/>
          <w:color w:val="auto"/>
          <w:highlight w:val="none"/>
        </w:rPr>
        <w:t>3.6</w:t>
      </w:r>
      <w:r>
        <w:rPr>
          <w:rFonts w:ascii="宋体" w:hAnsi="宋体"/>
          <w:b/>
          <w:color w:val="auto"/>
          <w:highlight w:val="none"/>
        </w:rPr>
        <w:t>否决比选申请条件</w:t>
      </w:r>
    </w:p>
    <w:p>
      <w:pPr>
        <w:spacing w:before="0" w:after="0" w:afterAutospacing="0"/>
        <w:ind w:left="0" w:right="0" w:firstLine="420" w:firstLineChars="200"/>
        <w:rPr>
          <w:rFonts w:ascii="宋体" w:hAnsi="宋体"/>
          <w:highlight w:val="none"/>
        </w:rPr>
      </w:pPr>
      <w:r>
        <w:rPr>
          <w:rFonts w:ascii="宋体" w:hAnsi="宋体"/>
          <w:color w:val="auto"/>
          <w:highlight w:val="none"/>
        </w:rPr>
        <w:t>比选申请文件有下列情形之一的，评审委员会应按否决比选申请处</w:t>
      </w:r>
      <w:r>
        <w:rPr>
          <w:rFonts w:ascii="宋体" w:hAnsi="宋体"/>
          <w:highlight w:val="none"/>
        </w:rPr>
        <w:t>理：</w:t>
      </w:r>
    </w:p>
    <w:p>
      <w:pPr>
        <w:tabs>
          <w:tab w:val="left" w:pos="1276"/>
        </w:tabs>
        <w:spacing w:before="0" w:after="0" w:afterAutospacing="0"/>
        <w:ind w:left="0" w:right="0" w:firstLine="422" w:firstLineChars="200"/>
        <w:jc w:val="left"/>
        <w:rPr>
          <w:rFonts w:ascii="宋体" w:hAnsi="宋体"/>
          <w:b/>
          <w:highlight w:val="none"/>
        </w:rPr>
      </w:pPr>
      <w:r>
        <w:rPr>
          <w:rFonts w:ascii="宋体" w:hAnsi="宋体"/>
          <w:b/>
          <w:highlight w:val="none"/>
        </w:rPr>
        <w:t>（1）不符合附表一《资格审查表》规定的；</w:t>
      </w:r>
    </w:p>
    <w:p>
      <w:pPr>
        <w:tabs>
          <w:tab w:val="left" w:pos="1276"/>
        </w:tabs>
        <w:spacing w:before="0" w:after="0" w:afterAutospacing="0"/>
        <w:ind w:left="0" w:right="0" w:firstLine="422" w:firstLineChars="200"/>
        <w:jc w:val="left"/>
        <w:rPr>
          <w:rFonts w:ascii="宋体" w:hAnsi="宋体"/>
          <w:b/>
          <w:highlight w:val="none"/>
        </w:rPr>
      </w:pPr>
      <w:r>
        <w:rPr>
          <w:rFonts w:ascii="宋体" w:hAnsi="宋体"/>
          <w:b/>
          <w:highlight w:val="none"/>
        </w:rPr>
        <w:t>（2）不符合附表二《符合性评审表》规定的；</w:t>
      </w:r>
    </w:p>
    <w:p>
      <w:pPr>
        <w:tabs>
          <w:tab w:val="left" w:pos="1276"/>
        </w:tabs>
        <w:spacing w:before="0" w:after="0" w:afterAutospacing="0"/>
        <w:ind w:left="0" w:right="0" w:firstLine="422" w:firstLineChars="200"/>
        <w:jc w:val="left"/>
        <w:rPr>
          <w:rFonts w:ascii="宋体" w:hAnsi="宋体"/>
          <w:b/>
          <w:highlight w:val="none"/>
        </w:rPr>
      </w:pPr>
      <w:r>
        <w:rPr>
          <w:rFonts w:ascii="宋体" w:hAnsi="宋体"/>
          <w:b/>
          <w:highlight w:val="none"/>
        </w:rPr>
        <w:t>（3）法定代表人未按规定出具授权委托书的(采用委托代理人形式的)；</w:t>
      </w:r>
    </w:p>
    <w:p>
      <w:pPr>
        <w:tabs>
          <w:tab w:val="left" w:pos="1276"/>
        </w:tabs>
        <w:spacing w:before="0" w:after="0" w:afterAutospacing="0"/>
        <w:ind w:left="0" w:right="0" w:firstLine="422" w:firstLineChars="200"/>
        <w:jc w:val="left"/>
        <w:rPr>
          <w:rFonts w:ascii="宋体" w:hAnsi="宋体"/>
          <w:b/>
          <w:highlight w:val="none"/>
        </w:rPr>
      </w:pPr>
      <w:r>
        <w:rPr>
          <w:rFonts w:ascii="宋体" w:hAnsi="宋体"/>
          <w:b/>
          <w:highlight w:val="none"/>
        </w:rPr>
        <w:t>（4）在比选申请文件中有虚假文件和/或资料的；</w:t>
      </w:r>
    </w:p>
    <w:p>
      <w:pPr>
        <w:tabs>
          <w:tab w:val="left" w:pos="1276"/>
        </w:tabs>
        <w:spacing w:before="0" w:after="0" w:afterAutospacing="0"/>
        <w:ind w:left="0" w:right="0" w:firstLine="422" w:firstLineChars="200"/>
        <w:jc w:val="left"/>
        <w:rPr>
          <w:rFonts w:ascii="宋体" w:hAnsi="宋体"/>
          <w:b/>
          <w:highlight w:val="none"/>
        </w:rPr>
      </w:pPr>
      <w:r>
        <w:rPr>
          <w:rFonts w:ascii="宋体" w:hAnsi="宋体"/>
          <w:b/>
          <w:highlight w:val="none"/>
        </w:rPr>
        <w:t>（5）比选申请文件中附有比选人不能接受的条件；</w:t>
      </w:r>
    </w:p>
    <w:p>
      <w:pPr>
        <w:tabs>
          <w:tab w:val="left" w:pos="1276"/>
        </w:tabs>
        <w:spacing w:before="0" w:after="0" w:afterAutospacing="0"/>
        <w:ind w:left="0" w:right="0" w:firstLine="422" w:firstLineChars="200"/>
        <w:jc w:val="left"/>
        <w:rPr>
          <w:rFonts w:ascii="宋体" w:hAnsi="宋体"/>
          <w:b/>
          <w:highlight w:val="none"/>
        </w:rPr>
      </w:pPr>
      <w:r>
        <w:rPr>
          <w:rFonts w:ascii="宋体" w:hAnsi="宋体"/>
          <w:b/>
          <w:highlight w:val="none"/>
        </w:rPr>
        <w:t>（6）比选申请文件实质上不响应比选文件的要求的；</w:t>
      </w:r>
    </w:p>
    <w:p>
      <w:pPr>
        <w:tabs>
          <w:tab w:val="left" w:pos="1276"/>
        </w:tabs>
        <w:spacing w:before="0" w:after="0" w:afterAutospacing="0"/>
        <w:ind w:left="0" w:right="0" w:firstLine="422" w:firstLineChars="200"/>
        <w:jc w:val="left"/>
        <w:rPr>
          <w:rFonts w:ascii="宋体" w:hAnsi="宋体"/>
          <w:b/>
          <w:highlight w:val="none"/>
        </w:rPr>
      </w:pPr>
      <w:r>
        <w:rPr>
          <w:rFonts w:ascii="宋体" w:hAnsi="宋体"/>
          <w:b/>
          <w:highlight w:val="none"/>
        </w:rPr>
        <w:t xml:space="preserve">（7）比选申请人以经评审委员会评审认定为低于成本的报价竞标； </w:t>
      </w:r>
    </w:p>
    <w:p>
      <w:pPr>
        <w:tabs>
          <w:tab w:val="left" w:pos="1276"/>
        </w:tabs>
        <w:spacing w:before="0" w:after="0" w:afterAutospacing="0"/>
        <w:ind w:left="0" w:right="0" w:firstLine="422" w:firstLineChars="200"/>
        <w:jc w:val="left"/>
        <w:rPr>
          <w:rFonts w:ascii="宋体" w:hAnsi="宋体"/>
          <w:b/>
          <w:highlight w:val="none"/>
        </w:rPr>
      </w:pPr>
      <w:r>
        <w:rPr>
          <w:rFonts w:ascii="宋体" w:hAnsi="宋体"/>
          <w:b/>
          <w:highlight w:val="none"/>
        </w:rPr>
        <w:t>（8）比选申请人扰乱会场秩序，经劝阻仍然无理取闹的；</w:t>
      </w:r>
    </w:p>
    <w:p>
      <w:pPr>
        <w:tabs>
          <w:tab w:val="left" w:pos="1276"/>
        </w:tabs>
        <w:spacing w:before="0" w:after="0" w:afterAutospacing="0"/>
        <w:ind w:left="0" w:right="0" w:firstLine="422" w:firstLineChars="200"/>
        <w:jc w:val="left"/>
        <w:rPr>
          <w:rFonts w:ascii="宋体" w:hAnsi="宋体"/>
          <w:b/>
          <w:highlight w:val="none"/>
        </w:rPr>
      </w:pPr>
      <w:r>
        <w:rPr>
          <w:rFonts w:ascii="宋体" w:hAnsi="宋体"/>
          <w:b/>
          <w:highlight w:val="none"/>
        </w:rPr>
        <w:t>（9）比选申请人未能按照评审委员会要求，对其比选申请文件进行澄清、说明和补正的；</w:t>
      </w:r>
    </w:p>
    <w:p>
      <w:pPr>
        <w:tabs>
          <w:tab w:val="left" w:pos="1276"/>
        </w:tabs>
        <w:spacing w:before="0" w:after="0" w:afterAutospacing="0"/>
        <w:ind w:left="0" w:right="0" w:firstLine="422" w:firstLineChars="200"/>
        <w:jc w:val="left"/>
        <w:rPr>
          <w:rFonts w:ascii="宋体" w:hAnsi="宋体"/>
          <w:b/>
          <w:highlight w:val="none"/>
        </w:rPr>
      </w:pPr>
      <w:r>
        <w:rPr>
          <w:rFonts w:ascii="宋体" w:hAnsi="宋体"/>
          <w:b/>
          <w:highlight w:val="none"/>
        </w:rPr>
        <w:t>（10）比选申请人以他人的名义比选申请、串通比选申请、以行贿手段谋取中选或者以其他弄虚作假方式比选申请的。</w:t>
      </w:r>
    </w:p>
    <w:p>
      <w:pPr>
        <w:rPr>
          <w:rFonts w:hint="eastAsia"/>
          <w:sz w:val="21"/>
          <w:szCs w:val="21"/>
          <w:highlight w:val="none"/>
        </w:rPr>
      </w:pPr>
      <w:r>
        <w:rPr>
          <w:rFonts w:hint="eastAsia"/>
          <w:sz w:val="21"/>
          <w:szCs w:val="21"/>
          <w:highlight w:val="none"/>
        </w:rPr>
        <w:br w:type="page"/>
      </w:r>
    </w:p>
    <w:p>
      <w:pPr>
        <w:pStyle w:val="6"/>
        <w:spacing w:after="0" w:line="360" w:lineRule="auto"/>
        <w:ind w:right="-57" w:firstLine="0"/>
        <w:rPr>
          <w:sz w:val="21"/>
          <w:szCs w:val="21"/>
          <w:highlight w:val="none"/>
        </w:rPr>
      </w:pPr>
      <w:r>
        <w:rPr>
          <w:rFonts w:hint="eastAsia"/>
          <w:sz w:val="21"/>
          <w:szCs w:val="21"/>
          <w:highlight w:val="none"/>
        </w:rPr>
        <w:t>附表一 资格审查表</w:t>
      </w:r>
    </w:p>
    <w:p>
      <w:pPr>
        <w:snapToGrid w:val="0"/>
        <w:spacing w:before="0" w:line="360" w:lineRule="exact"/>
        <w:ind w:left="420" w:right="240" w:firstLine="0"/>
        <w:jc w:val="center"/>
        <w:rPr>
          <w:rFonts w:ascii="宋体" w:hAnsi="宋体"/>
          <w:b/>
          <w:sz w:val="24"/>
          <w:szCs w:val="24"/>
          <w:highlight w:val="none"/>
        </w:rPr>
      </w:pPr>
      <w:r>
        <w:rPr>
          <w:rFonts w:hint="eastAsia" w:ascii="宋体" w:hAnsi="宋体"/>
          <w:b/>
          <w:sz w:val="24"/>
          <w:szCs w:val="24"/>
          <w:highlight w:val="none"/>
        </w:rPr>
        <w:t>资格审查表</w:t>
      </w:r>
    </w:p>
    <w:tbl>
      <w:tblPr>
        <w:tblStyle w:val="27"/>
        <w:tblW w:w="926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37"/>
        <w:gridCol w:w="1076"/>
        <w:gridCol w:w="2968"/>
        <w:gridCol w:w="1284"/>
        <w:gridCol w:w="1146"/>
        <w:gridCol w:w="234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37" w:hRule="atLeast"/>
          <w:tblHeader/>
          <w:jc w:val="center"/>
        </w:trPr>
        <w:tc>
          <w:tcPr>
            <w:tcW w:w="437" w:type="dxa"/>
            <w:vAlign w:val="center"/>
          </w:tcPr>
          <w:p>
            <w:pPr>
              <w:spacing w:before="0" w:after="0" w:afterAutospacing="0" w:line="240" w:lineRule="auto"/>
              <w:ind w:left="0" w:right="0" w:firstLine="0"/>
              <w:jc w:val="center"/>
              <w:rPr>
                <w:rFonts w:ascii="宋体" w:hAnsi="宋体"/>
                <w:highlight w:val="none"/>
              </w:rPr>
            </w:pPr>
            <w:r>
              <w:rPr>
                <w:rFonts w:hint="eastAsia" w:ascii="宋体" w:hAnsi="宋体"/>
                <w:highlight w:val="none"/>
              </w:rPr>
              <w:t>序号</w:t>
            </w:r>
          </w:p>
        </w:tc>
        <w:tc>
          <w:tcPr>
            <w:tcW w:w="1076" w:type="dxa"/>
            <w:vAlign w:val="center"/>
          </w:tcPr>
          <w:p>
            <w:pPr>
              <w:spacing w:before="0" w:after="0" w:afterAutospacing="0" w:line="240" w:lineRule="auto"/>
              <w:ind w:left="0" w:right="0" w:firstLine="0"/>
              <w:jc w:val="center"/>
              <w:rPr>
                <w:rFonts w:ascii="宋体" w:hAnsi="宋体"/>
                <w:highlight w:val="none"/>
              </w:rPr>
            </w:pPr>
            <w:r>
              <w:rPr>
                <w:rFonts w:hint="eastAsia" w:ascii="宋体" w:hAnsi="宋体"/>
                <w:highlight w:val="none"/>
              </w:rPr>
              <w:t>项目内容</w:t>
            </w:r>
          </w:p>
        </w:tc>
        <w:tc>
          <w:tcPr>
            <w:tcW w:w="2968" w:type="dxa"/>
            <w:vAlign w:val="center"/>
          </w:tcPr>
          <w:p>
            <w:pPr>
              <w:spacing w:before="0" w:after="0" w:afterAutospacing="0" w:line="240" w:lineRule="auto"/>
              <w:ind w:left="0" w:right="0" w:firstLine="0"/>
              <w:jc w:val="center"/>
              <w:rPr>
                <w:rFonts w:ascii="宋体" w:hAnsi="宋体"/>
                <w:highlight w:val="none"/>
              </w:rPr>
            </w:pPr>
            <w:r>
              <w:rPr>
                <w:rFonts w:hint="eastAsia" w:ascii="宋体" w:hAnsi="宋体"/>
                <w:highlight w:val="none"/>
              </w:rPr>
              <w:t>合格条件标准</w:t>
            </w:r>
          </w:p>
        </w:tc>
        <w:tc>
          <w:tcPr>
            <w:tcW w:w="1284" w:type="dxa"/>
            <w:vAlign w:val="center"/>
          </w:tcPr>
          <w:p>
            <w:pPr>
              <w:spacing w:before="0" w:after="0" w:afterAutospacing="0" w:line="240" w:lineRule="auto"/>
              <w:ind w:left="0" w:right="0" w:firstLine="0"/>
              <w:jc w:val="center"/>
              <w:rPr>
                <w:rFonts w:ascii="宋体" w:hAnsi="宋体"/>
                <w:highlight w:val="none"/>
              </w:rPr>
            </w:pPr>
            <w:r>
              <w:rPr>
                <w:rFonts w:hint="eastAsia" w:ascii="宋体" w:hAnsi="宋体"/>
                <w:highlight w:val="none"/>
              </w:rPr>
              <w:t>评审依据</w:t>
            </w:r>
          </w:p>
        </w:tc>
        <w:tc>
          <w:tcPr>
            <w:tcW w:w="1146" w:type="dxa"/>
            <w:vAlign w:val="center"/>
          </w:tcPr>
          <w:p>
            <w:pPr>
              <w:spacing w:before="0" w:after="0" w:afterAutospacing="0" w:line="240" w:lineRule="auto"/>
              <w:ind w:left="0" w:right="0" w:firstLine="0"/>
              <w:jc w:val="center"/>
              <w:rPr>
                <w:rFonts w:ascii="宋体" w:hAnsi="宋体"/>
                <w:highlight w:val="none"/>
              </w:rPr>
            </w:pPr>
            <w:r>
              <w:rPr>
                <w:rFonts w:hint="eastAsia" w:ascii="宋体" w:hAnsi="宋体"/>
                <w:highlight w:val="none"/>
              </w:rPr>
              <w:t>评审结果（合格</w:t>
            </w:r>
            <w:r>
              <w:rPr>
                <w:rFonts w:ascii="宋体" w:hAnsi="宋体"/>
                <w:highlight w:val="none"/>
              </w:rPr>
              <w:t>/</w:t>
            </w:r>
            <w:r>
              <w:rPr>
                <w:rFonts w:hint="eastAsia" w:ascii="宋体" w:hAnsi="宋体"/>
                <w:highlight w:val="none"/>
              </w:rPr>
              <w:t>不合格）</w:t>
            </w:r>
          </w:p>
        </w:tc>
        <w:tc>
          <w:tcPr>
            <w:tcW w:w="2349" w:type="dxa"/>
            <w:vAlign w:val="center"/>
          </w:tcPr>
          <w:p>
            <w:pPr>
              <w:spacing w:before="0" w:after="0" w:afterAutospacing="0" w:line="240" w:lineRule="auto"/>
              <w:ind w:left="0" w:right="0" w:firstLine="0"/>
              <w:jc w:val="center"/>
              <w:rPr>
                <w:rFonts w:ascii="宋体" w:hAnsi="宋体"/>
                <w:highlight w:val="none"/>
              </w:rPr>
            </w:pPr>
            <w:r>
              <w:rPr>
                <w:rFonts w:hint="eastAsia" w:ascii="宋体" w:hAnsi="宋体"/>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90" w:hRule="atLeast"/>
          <w:jc w:val="center"/>
        </w:trPr>
        <w:tc>
          <w:tcPr>
            <w:tcW w:w="437" w:type="dxa"/>
            <w:vAlign w:val="center"/>
          </w:tcPr>
          <w:p>
            <w:pPr>
              <w:spacing w:before="0" w:after="0" w:afterAutospacing="0"/>
              <w:ind w:left="0" w:right="0" w:firstLine="0"/>
              <w:jc w:val="center"/>
              <w:rPr>
                <w:rFonts w:ascii="宋体" w:hAnsi="宋体"/>
                <w:highlight w:val="none"/>
              </w:rPr>
            </w:pPr>
            <w:r>
              <w:rPr>
                <w:rFonts w:ascii="宋体" w:hAnsi="宋体"/>
                <w:highlight w:val="none"/>
              </w:rPr>
              <w:t>1</w:t>
            </w:r>
          </w:p>
        </w:tc>
        <w:tc>
          <w:tcPr>
            <w:tcW w:w="1076" w:type="dxa"/>
            <w:vAlign w:val="center"/>
          </w:tcPr>
          <w:p>
            <w:pPr>
              <w:spacing w:before="0" w:after="0" w:afterAutospacing="0" w:line="240" w:lineRule="auto"/>
              <w:ind w:left="0" w:right="0" w:firstLine="0"/>
              <w:jc w:val="center"/>
              <w:rPr>
                <w:rFonts w:ascii="宋体" w:hAnsi="宋体"/>
                <w:highlight w:val="none"/>
              </w:rPr>
            </w:pPr>
            <w:r>
              <w:rPr>
                <w:rFonts w:hint="eastAsia" w:ascii="宋体" w:hAnsi="宋体"/>
                <w:highlight w:val="none"/>
              </w:rPr>
              <w:t>身份证明材料</w:t>
            </w:r>
          </w:p>
        </w:tc>
        <w:tc>
          <w:tcPr>
            <w:tcW w:w="2968" w:type="dxa"/>
            <w:vAlign w:val="center"/>
          </w:tcPr>
          <w:p>
            <w:pPr>
              <w:spacing w:before="0" w:after="0" w:afterAutospacing="0" w:line="240" w:lineRule="auto"/>
              <w:ind w:left="0" w:right="0" w:firstLine="0"/>
              <w:rPr>
                <w:rFonts w:ascii="宋体" w:hAnsi="宋体"/>
                <w:highlight w:val="none"/>
              </w:rPr>
            </w:pPr>
            <w:r>
              <w:rPr>
                <w:rFonts w:hint="eastAsia" w:ascii="宋体" w:hAnsi="宋体"/>
                <w:highlight w:val="none"/>
              </w:rPr>
              <w:t>法定代表人授权书及法定代表人资格证明书（如无授权时，只需提供法定代表人资格证明书）、法定代表人及被授权人身份证复印件。</w:t>
            </w:r>
          </w:p>
        </w:tc>
        <w:tc>
          <w:tcPr>
            <w:tcW w:w="1284" w:type="dxa"/>
            <w:vAlign w:val="center"/>
          </w:tcPr>
          <w:p>
            <w:pPr>
              <w:spacing w:before="0" w:after="0" w:afterAutospacing="0" w:line="240" w:lineRule="auto"/>
              <w:ind w:left="0" w:right="0" w:firstLine="0"/>
              <w:jc w:val="center"/>
              <w:rPr>
                <w:rFonts w:ascii="宋体" w:hAnsi="宋体"/>
                <w:highlight w:val="none"/>
              </w:rPr>
            </w:pPr>
            <w:r>
              <w:rPr>
                <w:rFonts w:hint="eastAsia" w:ascii="宋体" w:hAnsi="宋体"/>
                <w:highlight w:val="none"/>
              </w:rPr>
              <w:t>法定代表人授权书，法定代表人资格证明书和身份证复印件</w:t>
            </w:r>
          </w:p>
        </w:tc>
        <w:tc>
          <w:tcPr>
            <w:tcW w:w="1146" w:type="dxa"/>
            <w:vAlign w:val="center"/>
          </w:tcPr>
          <w:p>
            <w:pPr>
              <w:spacing w:before="0" w:after="0" w:afterAutospacing="0" w:line="240" w:lineRule="auto"/>
              <w:ind w:left="0" w:right="0" w:firstLine="0"/>
              <w:jc w:val="center"/>
              <w:rPr>
                <w:rFonts w:ascii="宋体" w:hAnsi="宋体"/>
                <w:highlight w:val="none"/>
              </w:rPr>
            </w:pPr>
          </w:p>
        </w:tc>
        <w:tc>
          <w:tcPr>
            <w:tcW w:w="2349" w:type="dxa"/>
            <w:vAlign w:val="center"/>
          </w:tcPr>
          <w:p>
            <w:pPr>
              <w:spacing w:before="0" w:after="0" w:afterAutospacing="0" w:line="240" w:lineRule="auto"/>
              <w:ind w:left="0" w:right="0" w:firstLine="0"/>
              <w:jc w:val="center"/>
              <w:rPr>
                <w:rFonts w:ascii="宋体" w:hAnsi="宋体"/>
                <w:highlight w:val="none"/>
              </w:rPr>
            </w:pPr>
            <w:r>
              <w:rPr>
                <w:rFonts w:hint="eastAsia" w:ascii="宋体" w:hAnsi="宋体"/>
                <w:highlight w:val="none"/>
              </w:rPr>
              <w:t>提供法定代表人授权书及法定代表人资格证明书（如无授权时，只需提供法定代表人资格证明书），法人及被授权人身份证复印件加盖公章。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806" w:hRule="atLeast"/>
          <w:jc w:val="center"/>
        </w:trPr>
        <w:tc>
          <w:tcPr>
            <w:tcW w:w="437" w:type="dxa"/>
            <w:vAlign w:val="center"/>
          </w:tcPr>
          <w:p>
            <w:pPr>
              <w:spacing w:before="0" w:after="0" w:afterAutospacing="0"/>
              <w:ind w:left="0" w:right="0" w:firstLine="0"/>
              <w:jc w:val="center"/>
              <w:rPr>
                <w:rFonts w:ascii="宋体" w:hAnsi="宋体"/>
                <w:highlight w:val="none"/>
              </w:rPr>
            </w:pPr>
            <w:r>
              <w:rPr>
                <w:rFonts w:ascii="宋体" w:hAnsi="宋体"/>
                <w:highlight w:val="none"/>
              </w:rPr>
              <w:t>2</w:t>
            </w:r>
          </w:p>
        </w:tc>
        <w:tc>
          <w:tcPr>
            <w:tcW w:w="1076" w:type="dxa"/>
            <w:vAlign w:val="center"/>
          </w:tcPr>
          <w:p>
            <w:pPr>
              <w:spacing w:before="0" w:after="0" w:afterAutospacing="0" w:line="240" w:lineRule="auto"/>
              <w:ind w:left="0" w:right="0" w:firstLine="0"/>
              <w:jc w:val="center"/>
              <w:rPr>
                <w:rFonts w:ascii="宋体" w:hAnsi="宋体"/>
                <w:highlight w:val="none"/>
              </w:rPr>
            </w:pPr>
            <w:r>
              <w:rPr>
                <w:rFonts w:hint="eastAsia" w:ascii="宋体" w:hAnsi="宋体"/>
                <w:highlight w:val="none"/>
              </w:rPr>
              <w:t>比选申请人资格</w:t>
            </w:r>
          </w:p>
        </w:tc>
        <w:tc>
          <w:tcPr>
            <w:tcW w:w="2968" w:type="dxa"/>
            <w:vAlign w:val="center"/>
          </w:tcPr>
          <w:p>
            <w:pPr>
              <w:spacing w:before="0" w:after="0" w:afterAutospacing="0" w:line="240" w:lineRule="auto"/>
              <w:ind w:left="0" w:right="0" w:firstLine="0"/>
              <w:rPr>
                <w:rFonts w:ascii="宋体" w:hAnsi="宋体"/>
                <w:highlight w:val="none"/>
              </w:rPr>
            </w:pPr>
            <w:r>
              <w:rPr>
                <w:rFonts w:hint="eastAsia" w:ascii="宋体" w:hAnsi="宋体"/>
                <w:highlight w:val="none"/>
              </w:rPr>
              <w:t>比选申请人为中华人民共和国境内依法设立的法人或其他组织。</w:t>
            </w:r>
          </w:p>
        </w:tc>
        <w:tc>
          <w:tcPr>
            <w:tcW w:w="1284" w:type="dxa"/>
            <w:vAlign w:val="center"/>
          </w:tcPr>
          <w:p>
            <w:pPr>
              <w:spacing w:before="0" w:after="0" w:afterAutospacing="0" w:line="240" w:lineRule="auto"/>
              <w:ind w:left="0" w:right="0" w:firstLine="0"/>
              <w:jc w:val="center"/>
              <w:rPr>
                <w:rFonts w:ascii="宋体" w:hAnsi="宋体"/>
                <w:highlight w:val="none"/>
              </w:rPr>
            </w:pPr>
            <w:r>
              <w:rPr>
                <w:rFonts w:hint="eastAsia" w:ascii="宋体" w:hAnsi="宋体"/>
                <w:highlight w:val="none"/>
              </w:rPr>
              <w:t>营业执照副本或事业单位法人证书等证明文件</w:t>
            </w:r>
          </w:p>
        </w:tc>
        <w:tc>
          <w:tcPr>
            <w:tcW w:w="1146" w:type="dxa"/>
            <w:vAlign w:val="center"/>
          </w:tcPr>
          <w:p>
            <w:pPr>
              <w:spacing w:before="0" w:after="0" w:afterAutospacing="0" w:line="240" w:lineRule="auto"/>
              <w:ind w:left="0" w:right="0" w:firstLine="0"/>
              <w:jc w:val="center"/>
              <w:rPr>
                <w:rFonts w:ascii="宋体" w:hAnsi="宋体"/>
                <w:highlight w:val="none"/>
              </w:rPr>
            </w:pPr>
          </w:p>
        </w:tc>
        <w:tc>
          <w:tcPr>
            <w:tcW w:w="2349" w:type="dxa"/>
            <w:vAlign w:val="center"/>
          </w:tcPr>
          <w:p>
            <w:pPr>
              <w:spacing w:before="0" w:after="0" w:afterAutospacing="0" w:line="240" w:lineRule="auto"/>
              <w:ind w:left="0" w:right="0" w:firstLine="0"/>
              <w:jc w:val="center"/>
              <w:rPr>
                <w:rFonts w:ascii="宋体" w:hAnsi="宋体"/>
                <w:highlight w:val="none"/>
              </w:rPr>
            </w:pPr>
            <w:r>
              <w:rPr>
                <w:rFonts w:hint="eastAsia" w:ascii="宋体" w:hAnsi="宋体"/>
                <w:highlight w:val="none"/>
              </w:rPr>
              <w:t>比选申请人有效的营业执照或事业单位法人证书复印件等证明文件，并加盖公章。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806" w:hRule="atLeast"/>
          <w:jc w:val="center"/>
        </w:trPr>
        <w:tc>
          <w:tcPr>
            <w:tcW w:w="437" w:type="dxa"/>
            <w:vAlign w:val="center"/>
          </w:tcPr>
          <w:p>
            <w:pPr>
              <w:spacing w:before="0" w:after="0" w:afterAutospacing="0"/>
              <w:ind w:left="0" w:right="0" w:firstLine="0"/>
              <w:jc w:val="center"/>
              <w:rPr>
                <w:rFonts w:hint="eastAsia" w:ascii="宋体" w:hAnsi="宋体" w:eastAsia="宋体"/>
                <w:color w:val="auto"/>
                <w:highlight w:val="none"/>
                <w:lang w:val="en-US" w:eastAsia="zh-CN"/>
              </w:rPr>
            </w:pPr>
            <w:r>
              <w:rPr>
                <w:rFonts w:hint="eastAsia" w:ascii="宋体" w:hAnsi="宋体"/>
                <w:highlight w:val="none"/>
                <w:lang w:val="en-US" w:eastAsia="zh-CN"/>
              </w:rPr>
              <w:t>3</w:t>
            </w:r>
          </w:p>
        </w:tc>
        <w:tc>
          <w:tcPr>
            <w:tcW w:w="1076" w:type="dxa"/>
            <w:vAlign w:val="center"/>
          </w:tcPr>
          <w:p>
            <w:pPr>
              <w:spacing w:before="0" w:after="0" w:afterAutospacing="0" w:line="240" w:lineRule="auto"/>
              <w:ind w:left="0" w:right="0" w:firstLine="0"/>
              <w:jc w:val="center"/>
              <w:rPr>
                <w:rFonts w:ascii="宋体" w:hAnsi="宋体"/>
                <w:color w:val="auto"/>
                <w:highlight w:val="none"/>
              </w:rPr>
            </w:pPr>
            <w:r>
              <w:rPr>
                <w:rFonts w:hint="eastAsia" w:ascii="宋体" w:hAnsi="宋体"/>
                <w:color w:val="auto"/>
                <w:highlight w:val="none"/>
              </w:rPr>
              <w:t>业绩证明</w:t>
            </w:r>
          </w:p>
        </w:tc>
        <w:tc>
          <w:tcPr>
            <w:tcW w:w="2968" w:type="dxa"/>
            <w:vAlign w:val="center"/>
          </w:tcPr>
          <w:p>
            <w:pPr>
              <w:spacing w:before="0" w:after="0" w:afterAutospacing="0" w:line="240" w:lineRule="auto"/>
              <w:ind w:left="0" w:right="0" w:firstLine="0"/>
              <w:rPr>
                <w:rFonts w:ascii="宋体" w:hAnsi="宋体"/>
                <w:color w:val="auto"/>
                <w:highlight w:val="none"/>
              </w:rPr>
            </w:pPr>
            <w:r>
              <w:rPr>
                <w:rFonts w:hint="eastAsia" w:ascii="宋体" w:hAnsi="宋体"/>
                <w:color w:val="auto"/>
                <w:highlight w:val="none"/>
              </w:rPr>
              <w:t>比选申请人自2017年1月1日（备注：近5年）至比选申请截止时间前至少承接过1项合同金额不少于10万元的生活给水设备安装项目或参与</w:t>
            </w:r>
            <w:r>
              <w:rPr>
                <w:rFonts w:hint="eastAsia" w:ascii="宋体" w:hAnsi="宋体"/>
                <w:color w:val="auto"/>
                <w:highlight w:val="none"/>
                <w:lang w:eastAsia="zh-CN"/>
              </w:rPr>
              <w:t>1项轨道交通（车站数量不少于10座或者线路长度不少于12公里）综合机电设备（至少包含给排水专业）维修保养项目业绩</w:t>
            </w:r>
            <w:r>
              <w:rPr>
                <w:rFonts w:hint="eastAsia" w:ascii="宋体" w:hAnsi="宋体"/>
                <w:color w:val="auto"/>
                <w:highlight w:val="none"/>
              </w:rPr>
              <w:t>。</w:t>
            </w:r>
          </w:p>
        </w:tc>
        <w:tc>
          <w:tcPr>
            <w:tcW w:w="1284" w:type="dxa"/>
            <w:vAlign w:val="center"/>
          </w:tcPr>
          <w:p>
            <w:pPr>
              <w:spacing w:before="0" w:after="0" w:afterAutospacing="0" w:line="240" w:lineRule="auto"/>
              <w:ind w:left="0" w:right="0" w:firstLine="0"/>
              <w:jc w:val="center"/>
              <w:rPr>
                <w:rFonts w:ascii="宋体" w:hAnsi="宋体"/>
                <w:color w:val="auto"/>
                <w:highlight w:val="none"/>
              </w:rPr>
            </w:pPr>
            <w:r>
              <w:rPr>
                <w:rFonts w:hint="eastAsia" w:ascii="宋体" w:hAnsi="宋体"/>
                <w:color w:val="auto"/>
                <w:highlight w:val="none"/>
              </w:rPr>
              <w:t>相应的业绩证明材料</w:t>
            </w:r>
          </w:p>
        </w:tc>
        <w:tc>
          <w:tcPr>
            <w:tcW w:w="1146" w:type="dxa"/>
            <w:vAlign w:val="center"/>
          </w:tcPr>
          <w:p>
            <w:pPr>
              <w:spacing w:before="0" w:after="0" w:afterAutospacing="0" w:line="240" w:lineRule="auto"/>
              <w:ind w:left="0" w:right="0" w:firstLine="0"/>
              <w:jc w:val="center"/>
              <w:rPr>
                <w:rFonts w:ascii="宋体" w:hAnsi="宋体"/>
                <w:color w:val="auto"/>
                <w:highlight w:val="none"/>
              </w:rPr>
            </w:pPr>
          </w:p>
        </w:tc>
        <w:tc>
          <w:tcPr>
            <w:tcW w:w="2349" w:type="dxa"/>
            <w:vAlign w:val="center"/>
          </w:tcPr>
          <w:p>
            <w:pPr>
              <w:spacing w:before="0" w:after="0" w:afterAutospacing="0" w:line="240" w:lineRule="auto"/>
              <w:ind w:left="0" w:right="0" w:firstLine="0"/>
              <w:jc w:val="center"/>
              <w:rPr>
                <w:rFonts w:ascii="宋体" w:hAnsi="宋体"/>
                <w:color w:val="auto"/>
                <w:highlight w:val="none"/>
              </w:rPr>
            </w:pPr>
            <w:r>
              <w:rPr>
                <w:rFonts w:hint="eastAsia"/>
                <w:color w:val="auto"/>
                <w:highlight w:val="none"/>
              </w:rPr>
              <w:t>提供相应的业绩证明材料：①合同文件；②业主（采购方）开具的证明材料，但所提供的材料须能明确反映项目特征，复印件加盖比选申请人公章</w:t>
            </w:r>
            <w:r>
              <w:rPr>
                <w:rFonts w:hint="eastAsia" w:ascii="宋体" w:hAnsi="宋体"/>
                <w:color w:val="auto"/>
                <w:highlight w:val="none"/>
              </w:rPr>
              <w:t>；③比选申请人为子公司的，需提供以下业绩证明文件：合同或业主证明，合同或业主证明文件中须体现出合同双方、合同签订时间、合同服务、承接线路车站座数或线路长度等内容，否则视为无效证明文件。上述业绩可以是投标人自身的，也可以是其母公司的业绩，若为其母公司业绩时，须提供其母公司全额出资的证明材料，证明材料是指《国家企业信用信息公示系统》截图或公司章程关键页，同时按格式提供《业绩承诺函》，否则不予认可。不接受分包或转包的合同业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65" w:hRule="atLeast"/>
          <w:jc w:val="center"/>
        </w:trPr>
        <w:tc>
          <w:tcPr>
            <w:tcW w:w="437" w:type="dxa"/>
            <w:vAlign w:val="center"/>
          </w:tcPr>
          <w:p>
            <w:pPr>
              <w:spacing w:before="0" w:after="0" w:afterAutospacing="0"/>
              <w:ind w:left="0" w:right="0" w:firstLine="0"/>
              <w:jc w:val="center"/>
              <w:rPr>
                <w:rFonts w:ascii="宋体" w:hAnsi="宋体"/>
                <w:highlight w:val="none"/>
              </w:rPr>
            </w:pPr>
            <w:r>
              <w:rPr>
                <w:rFonts w:hint="eastAsia" w:ascii="宋体" w:hAnsi="宋体"/>
                <w:highlight w:val="none"/>
              </w:rPr>
              <w:t>4</w:t>
            </w:r>
          </w:p>
        </w:tc>
        <w:tc>
          <w:tcPr>
            <w:tcW w:w="1076" w:type="dxa"/>
            <w:vAlign w:val="center"/>
          </w:tcPr>
          <w:p>
            <w:pPr>
              <w:spacing w:before="0" w:after="0" w:afterAutospacing="0" w:line="240" w:lineRule="auto"/>
              <w:ind w:left="0" w:right="0" w:firstLine="0"/>
              <w:jc w:val="center"/>
              <w:rPr>
                <w:rFonts w:ascii="宋体" w:hAnsi="宋体"/>
                <w:color w:val="auto"/>
                <w:highlight w:val="none"/>
              </w:rPr>
            </w:pPr>
            <w:r>
              <w:rPr>
                <w:rFonts w:hint="eastAsia" w:ascii="宋体" w:hAnsi="宋体"/>
                <w:color w:val="auto"/>
                <w:highlight w:val="none"/>
              </w:rPr>
              <w:t>承诺书</w:t>
            </w:r>
          </w:p>
        </w:tc>
        <w:tc>
          <w:tcPr>
            <w:tcW w:w="2968" w:type="dxa"/>
            <w:vAlign w:val="center"/>
          </w:tcPr>
          <w:p>
            <w:pPr>
              <w:spacing w:before="0" w:after="0" w:afterAutospacing="0" w:line="240" w:lineRule="auto"/>
              <w:ind w:left="0" w:right="0" w:firstLine="0"/>
              <w:jc w:val="center"/>
              <w:rPr>
                <w:rFonts w:ascii="宋体" w:hAnsi="宋体"/>
                <w:color w:val="auto"/>
                <w:highlight w:val="none"/>
              </w:rPr>
            </w:pPr>
            <w:r>
              <w:rPr>
                <w:rFonts w:hint="eastAsia" w:ascii="宋体" w:hAnsi="宋体"/>
                <w:color w:val="auto"/>
                <w:highlight w:val="none"/>
              </w:rPr>
              <w:t>比选申请人没有处于行政主管部门或业主取消比选申请资格的处罚期内，且没有被责令停业，财产被接管，破产状态；比选申请截止日前</w:t>
            </w:r>
            <w:r>
              <w:rPr>
                <w:rFonts w:hint="eastAsia" w:ascii="宋体" w:hAnsi="宋体"/>
                <w:color w:val="auto"/>
                <w:highlight w:val="none"/>
                <w:lang w:val="en-US" w:eastAsia="zh-CN"/>
              </w:rPr>
              <w:t>3</w:t>
            </w:r>
            <w:r>
              <w:rPr>
                <w:rFonts w:hint="eastAsia" w:ascii="宋体" w:hAnsi="宋体"/>
                <w:color w:val="auto"/>
                <w:highlight w:val="none"/>
              </w:rPr>
              <w:t>年内没有骗取中选、严重违约或重大质量安全责任事故的情况。与其他比选申请人之间不存在单位负责人为同一人或者控股、管理关系的情况。比选申请人未列入比选人不良信用名单。</w:t>
            </w:r>
          </w:p>
        </w:tc>
        <w:tc>
          <w:tcPr>
            <w:tcW w:w="1284" w:type="dxa"/>
            <w:vAlign w:val="center"/>
          </w:tcPr>
          <w:p>
            <w:pPr>
              <w:spacing w:before="0" w:after="0" w:afterAutospacing="0" w:line="240" w:lineRule="auto"/>
              <w:ind w:left="0" w:right="0" w:firstLine="0"/>
              <w:jc w:val="center"/>
              <w:rPr>
                <w:rFonts w:ascii="宋体" w:hAnsi="宋体"/>
                <w:color w:val="auto"/>
                <w:highlight w:val="none"/>
              </w:rPr>
            </w:pPr>
            <w:r>
              <w:rPr>
                <w:rFonts w:hint="eastAsia" w:ascii="宋体" w:hAnsi="宋体"/>
                <w:color w:val="auto"/>
                <w:highlight w:val="none"/>
              </w:rPr>
              <w:t>承诺书原件</w:t>
            </w:r>
          </w:p>
        </w:tc>
        <w:tc>
          <w:tcPr>
            <w:tcW w:w="1146" w:type="dxa"/>
            <w:vAlign w:val="center"/>
          </w:tcPr>
          <w:p>
            <w:pPr>
              <w:spacing w:before="0" w:after="0" w:afterAutospacing="0" w:line="240" w:lineRule="auto"/>
              <w:ind w:left="0" w:right="0" w:firstLine="0"/>
              <w:jc w:val="center"/>
              <w:rPr>
                <w:rFonts w:ascii="宋体" w:hAnsi="宋体"/>
                <w:color w:val="auto"/>
                <w:highlight w:val="none"/>
              </w:rPr>
            </w:pPr>
          </w:p>
        </w:tc>
        <w:tc>
          <w:tcPr>
            <w:tcW w:w="2349" w:type="dxa"/>
            <w:vAlign w:val="center"/>
          </w:tcPr>
          <w:p>
            <w:pPr>
              <w:spacing w:before="0" w:after="0" w:afterAutospacing="0" w:line="240" w:lineRule="auto"/>
              <w:ind w:left="0" w:right="0" w:firstLine="0"/>
              <w:jc w:val="center"/>
              <w:rPr>
                <w:rFonts w:ascii="宋体" w:hAnsi="宋体"/>
                <w:color w:val="auto"/>
                <w:highlight w:val="none"/>
              </w:rPr>
            </w:pPr>
            <w:r>
              <w:rPr>
                <w:rFonts w:hint="eastAsia" w:ascii="宋体" w:hAnsi="宋体"/>
                <w:color w:val="auto"/>
                <w:highlight w:val="none"/>
              </w:rPr>
              <w:t>按规定格式提供承诺书</w:t>
            </w:r>
          </w:p>
        </w:tc>
      </w:tr>
    </w:tbl>
    <w:p>
      <w:pPr>
        <w:snapToGrid w:val="0"/>
        <w:spacing w:before="0" w:after="0" w:afterAutospacing="0" w:line="240" w:lineRule="auto"/>
        <w:ind w:left="0" w:right="0" w:firstLine="0"/>
        <w:rPr>
          <w:rFonts w:hint="eastAsia" w:ascii="宋体" w:hAnsi="宋体"/>
          <w:b/>
          <w:highlight w:val="none"/>
        </w:rPr>
      </w:pPr>
      <w:r>
        <w:rPr>
          <w:rFonts w:hint="eastAsia" w:ascii="宋体" w:hAnsi="宋体"/>
          <w:b/>
          <w:highlight w:val="none"/>
        </w:rPr>
        <w:t>注：</w:t>
      </w:r>
    </w:p>
    <w:p>
      <w:pPr>
        <w:snapToGrid w:val="0"/>
        <w:spacing w:before="0" w:after="0" w:afterAutospacing="0" w:line="240" w:lineRule="auto"/>
        <w:ind w:left="0" w:right="0" w:firstLine="0"/>
        <w:rPr>
          <w:rFonts w:hint="eastAsia" w:ascii="宋体" w:hAnsi="宋体"/>
          <w:b/>
          <w:highlight w:val="none"/>
        </w:rPr>
      </w:pPr>
      <w:r>
        <w:rPr>
          <w:rFonts w:hint="eastAsia" w:ascii="宋体" w:hAnsi="宋体"/>
          <w:b/>
          <w:highlight w:val="none"/>
        </w:rPr>
        <w:t>1.比选申请文件中的所有证明资料的复印件均应加盖比选申请人公章，原件备查；</w:t>
      </w:r>
    </w:p>
    <w:p>
      <w:pPr>
        <w:snapToGrid w:val="0"/>
        <w:spacing w:before="0" w:after="0" w:afterAutospacing="0" w:line="240" w:lineRule="auto"/>
        <w:ind w:left="0" w:right="0" w:firstLine="0"/>
        <w:rPr>
          <w:rFonts w:hint="eastAsia" w:ascii="宋体" w:hAnsi="宋体"/>
          <w:b/>
          <w:highlight w:val="none"/>
        </w:rPr>
      </w:pPr>
      <w:r>
        <w:rPr>
          <w:rFonts w:hint="eastAsia" w:ascii="宋体" w:hAnsi="宋体"/>
          <w:b/>
          <w:highlight w:val="none"/>
        </w:rPr>
        <w:t>2. 评审结果填写：合格打√，不合格打×，凡评审结果有一项不合格者，结论为不通过。</w:t>
      </w:r>
    </w:p>
    <w:p>
      <w:pPr>
        <w:snapToGrid w:val="0"/>
        <w:spacing w:before="0" w:after="0" w:afterAutospacing="0" w:line="240" w:lineRule="auto"/>
        <w:ind w:left="0" w:right="0" w:firstLine="0"/>
        <w:rPr>
          <w:rFonts w:ascii="宋体" w:hAnsi="宋体"/>
          <w:b/>
          <w:highlight w:val="none"/>
        </w:rPr>
      </w:pPr>
      <w:r>
        <w:rPr>
          <w:rFonts w:hint="eastAsia" w:ascii="宋体" w:hAnsi="宋体"/>
          <w:b/>
          <w:highlight w:val="none"/>
        </w:rPr>
        <w:t>3.未通过资格审查，则作比选申请被否决处理并不得进入下一阶段评审。</w:t>
      </w:r>
    </w:p>
    <w:p>
      <w:pPr>
        <w:pStyle w:val="6"/>
        <w:spacing w:after="0" w:line="360" w:lineRule="auto"/>
        <w:ind w:right="-57" w:firstLine="0"/>
        <w:rPr>
          <w:sz w:val="24"/>
          <w:szCs w:val="24"/>
          <w:highlight w:val="none"/>
        </w:rPr>
      </w:pPr>
      <w:r>
        <w:rPr>
          <w:rFonts w:ascii="宋体" w:hAnsi="宋体"/>
          <w:highlight w:val="none"/>
        </w:rPr>
        <w:br w:type="page"/>
      </w:r>
      <w:r>
        <w:rPr>
          <w:sz w:val="21"/>
          <w:szCs w:val="21"/>
          <w:highlight w:val="none"/>
        </w:rPr>
        <w:t xml:space="preserve">附表二 </w:t>
      </w:r>
      <w:r>
        <w:rPr>
          <w:rFonts w:hint="eastAsia"/>
          <w:sz w:val="21"/>
          <w:szCs w:val="21"/>
          <w:highlight w:val="none"/>
        </w:rPr>
        <w:t>符合性</w:t>
      </w:r>
      <w:r>
        <w:rPr>
          <w:sz w:val="21"/>
          <w:szCs w:val="21"/>
          <w:highlight w:val="none"/>
        </w:rPr>
        <w:t>评审表</w:t>
      </w:r>
    </w:p>
    <w:p>
      <w:pPr>
        <w:widowControl w:val="0"/>
        <w:spacing w:before="0" w:after="0" w:afterAutospacing="0"/>
        <w:ind w:left="0" w:right="0" w:firstLine="0"/>
        <w:jc w:val="center"/>
        <w:rPr>
          <w:rFonts w:ascii="Calibri" w:hAnsi="宋体"/>
          <w:b/>
          <w:kern w:val="2"/>
          <w:sz w:val="24"/>
          <w:szCs w:val="24"/>
          <w:highlight w:val="none"/>
        </w:rPr>
      </w:pPr>
      <w:r>
        <w:rPr>
          <w:rFonts w:hint="eastAsia" w:ascii="Calibri" w:hAnsi="宋体"/>
          <w:b/>
          <w:kern w:val="2"/>
          <w:sz w:val="24"/>
          <w:szCs w:val="24"/>
          <w:highlight w:val="none"/>
        </w:rPr>
        <w:t>符合性评审表</w:t>
      </w:r>
    </w:p>
    <w:tbl>
      <w:tblPr>
        <w:tblStyle w:val="27"/>
        <w:tblW w:w="90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6096"/>
        <w:gridCol w:w="1134"/>
        <w:gridCol w:w="10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02" w:hRule="atLeast"/>
          <w:tblHeader/>
          <w:jc w:val="center"/>
        </w:trPr>
        <w:tc>
          <w:tcPr>
            <w:tcW w:w="675" w:type="dxa"/>
            <w:tcBorders>
              <w:top w:val="single" w:color="auto" w:sz="12" w:space="0"/>
            </w:tcBorders>
            <w:vAlign w:val="center"/>
          </w:tcPr>
          <w:p>
            <w:pPr>
              <w:ind w:left="0" w:firstLine="0"/>
              <w:rPr>
                <w:highlight w:val="none"/>
              </w:rPr>
            </w:pPr>
            <w:r>
              <w:rPr>
                <w:highlight w:val="none"/>
              </w:rPr>
              <w:t>序号</w:t>
            </w:r>
          </w:p>
        </w:tc>
        <w:tc>
          <w:tcPr>
            <w:tcW w:w="6096" w:type="dxa"/>
            <w:tcBorders>
              <w:top w:val="single" w:color="auto" w:sz="12" w:space="0"/>
            </w:tcBorders>
            <w:vAlign w:val="center"/>
          </w:tcPr>
          <w:p>
            <w:pPr>
              <w:ind w:left="0" w:firstLine="0"/>
              <w:rPr>
                <w:highlight w:val="none"/>
              </w:rPr>
            </w:pPr>
            <w:r>
              <w:rPr>
                <w:rFonts w:hint="eastAsia"/>
                <w:highlight w:val="none"/>
              </w:rPr>
              <w:t>评审项目</w:t>
            </w:r>
          </w:p>
        </w:tc>
        <w:tc>
          <w:tcPr>
            <w:tcW w:w="1134" w:type="dxa"/>
            <w:tcBorders>
              <w:top w:val="single" w:color="auto" w:sz="12" w:space="0"/>
            </w:tcBorders>
          </w:tcPr>
          <w:p>
            <w:pPr>
              <w:ind w:left="0" w:firstLine="0"/>
              <w:rPr>
                <w:highlight w:val="none"/>
              </w:rPr>
            </w:pPr>
            <w:r>
              <w:rPr>
                <w:rFonts w:hint="eastAsia"/>
                <w:highlight w:val="none"/>
              </w:rPr>
              <w:t>评审结果</w:t>
            </w:r>
          </w:p>
        </w:tc>
        <w:tc>
          <w:tcPr>
            <w:tcW w:w="1098" w:type="dxa"/>
            <w:tcBorders>
              <w:top w:val="single" w:color="auto" w:sz="12" w:space="0"/>
            </w:tcBorders>
            <w:vAlign w:val="center"/>
          </w:tcPr>
          <w:p>
            <w:pPr>
              <w:ind w:left="0" w:firstLine="0"/>
              <w:rPr>
                <w:highlight w:val="none"/>
              </w:rPr>
            </w:pPr>
            <w:r>
              <w:rPr>
                <w:rFonts w:hint="eastAsia"/>
                <w:highlight w:val="none"/>
              </w:rPr>
              <w:t>结论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3" w:hRule="atLeast"/>
          <w:jc w:val="center"/>
        </w:trPr>
        <w:tc>
          <w:tcPr>
            <w:tcW w:w="675" w:type="dxa"/>
            <w:vAlign w:val="center"/>
          </w:tcPr>
          <w:p>
            <w:pPr>
              <w:ind w:left="0" w:firstLine="0"/>
              <w:jc w:val="center"/>
              <w:rPr>
                <w:highlight w:val="none"/>
              </w:rPr>
            </w:pPr>
            <w:r>
              <w:rPr>
                <w:highlight w:val="none"/>
              </w:rPr>
              <w:t>1</w:t>
            </w:r>
          </w:p>
        </w:tc>
        <w:tc>
          <w:tcPr>
            <w:tcW w:w="6096" w:type="dxa"/>
            <w:vAlign w:val="center"/>
          </w:tcPr>
          <w:p>
            <w:pPr>
              <w:ind w:left="0" w:firstLine="0"/>
              <w:rPr>
                <w:highlight w:val="none"/>
              </w:rPr>
            </w:pPr>
            <w:r>
              <w:rPr>
                <w:rFonts w:ascii="宋体"/>
                <w:highlight w:val="none"/>
              </w:rPr>
              <w:t>比选申请文件按规定签署和盖章</w:t>
            </w:r>
          </w:p>
        </w:tc>
        <w:tc>
          <w:tcPr>
            <w:tcW w:w="1134" w:type="dxa"/>
          </w:tcPr>
          <w:p>
            <w:pPr>
              <w:ind w:left="0" w:firstLine="0"/>
              <w:rPr>
                <w:highlight w:val="none"/>
              </w:rPr>
            </w:pPr>
          </w:p>
        </w:tc>
        <w:tc>
          <w:tcPr>
            <w:tcW w:w="1098" w:type="dxa"/>
            <w:vMerge w:val="restart"/>
            <w:vAlign w:val="center"/>
          </w:tcPr>
          <w:p>
            <w:pPr>
              <w:ind w:left="0" w:firstLine="0"/>
              <w:rPr>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648" w:hRule="atLeast"/>
          <w:jc w:val="center"/>
        </w:trPr>
        <w:tc>
          <w:tcPr>
            <w:tcW w:w="675" w:type="dxa"/>
            <w:vAlign w:val="center"/>
          </w:tcPr>
          <w:p>
            <w:pPr>
              <w:ind w:left="0" w:firstLine="0"/>
              <w:jc w:val="center"/>
              <w:rPr>
                <w:highlight w:val="none"/>
              </w:rPr>
            </w:pPr>
            <w:r>
              <w:rPr>
                <w:highlight w:val="none"/>
              </w:rPr>
              <w:t>2</w:t>
            </w:r>
          </w:p>
        </w:tc>
        <w:tc>
          <w:tcPr>
            <w:tcW w:w="6096" w:type="dxa"/>
            <w:vAlign w:val="center"/>
          </w:tcPr>
          <w:p>
            <w:pPr>
              <w:ind w:left="0" w:firstLine="0"/>
              <w:rPr>
                <w:highlight w:val="none"/>
              </w:rPr>
            </w:pPr>
            <w:r>
              <w:rPr>
                <w:rFonts w:ascii="宋体"/>
                <w:highlight w:val="none"/>
              </w:rPr>
              <w:t>比选申请文件的实质性内容按规定填写、内容齐全；（按比选文件第四章节规定格式填写的）</w:t>
            </w:r>
          </w:p>
        </w:tc>
        <w:tc>
          <w:tcPr>
            <w:tcW w:w="1134" w:type="dxa"/>
          </w:tcPr>
          <w:p>
            <w:pPr>
              <w:ind w:left="0" w:firstLine="0"/>
              <w:rPr>
                <w:highlight w:val="none"/>
              </w:rPr>
            </w:pPr>
          </w:p>
        </w:tc>
        <w:tc>
          <w:tcPr>
            <w:tcW w:w="1098" w:type="dxa"/>
            <w:vMerge w:val="continue"/>
            <w:vAlign w:val="center"/>
          </w:tcPr>
          <w:p>
            <w:pPr>
              <w:ind w:left="0" w:firstLine="0"/>
              <w:rPr>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highlight w:val="none"/>
              </w:rPr>
            </w:pPr>
            <w:r>
              <w:rPr>
                <w:rFonts w:hint="eastAsia"/>
                <w:highlight w:val="none"/>
              </w:rPr>
              <w:t>3</w:t>
            </w:r>
          </w:p>
        </w:tc>
        <w:tc>
          <w:tcPr>
            <w:tcW w:w="6096" w:type="dxa"/>
            <w:vAlign w:val="center"/>
          </w:tcPr>
          <w:p>
            <w:pPr>
              <w:ind w:left="0" w:firstLine="0"/>
              <w:rPr>
                <w:highlight w:val="none"/>
              </w:rPr>
            </w:pPr>
            <w:r>
              <w:rPr>
                <w:rFonts w:ascii="宋体"/>
                <w:highlight w:val="none"/>
              </w:rPr>
              <w:t>比选申请</w:t>
            </w:r>
            <w:r>
              <w:rPr>
                <w:rFonts w:hint="eastAsia" w:ascii="宋体"/>
                <w:highlight w:val="none"/>
              </w:rPr>
              <w:t>人</w:t>
            </w:r>
            <w:r>
              <w:rPr>
                <w:rFonts w:ascii="宋体"/>
                <w:highlight w:val="none"/>
              </w:rPr>
              <w:t>在资格审查文件或技术文件中未透露有关报价的信息</w:t>
            </w:r>
          </w:p>
        </w:tc>
        <w:tc>
          <w:tcPr>
            <w:tcW w:w="1134" w:type="dxa"/>
          </w:tcPr>
          <w:p>
            <w:pPr>
              <w:ind w:left="0" w:firstLine="0"/>
              <w:rPr>
                <w:highlight w:val="none"/>
              </w:rPr>
            </w:pPr>
          </w:p>
        </w:tc>
        <w:tc>
          <w:tcPr>
            <w:tcW w:w="1098" w:type="dxa"/>
            <w:vMerge w:val="continue"/>
            <w:vAlign w:val="center"/>
          </w:tcPr>
          <w:p>
            <w:pPr>
              <w:ind w:left="0" w:firstLine="0"/>
              <w:rPr>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rPr>
                <w:highlight w:val="none"/>
              </w:rPr>
            </w:pPr>
            <w:r>
              <w:rPr>
                <w:rFonts w:hint="eastAsia"/>
                <w:highlight w:val="none"/>
              </w:rPr>
              <w:t>4</w:t>
            </w:r>
          </w:p>
        </w:tc>
        <w:tc>
          <w:tcPr>
            <w:tcW w:w="6096" w:type="dxa"/>
            <w:vAlign w:val="center"/>
          </w:tcPr>
          <w:p>
            <w:pPr>
              <w:ind w:left="0" w:firstLine="0"/>
              <w:rPr>
                <w:highlight w:val="none"/>
              </w:rPr>
            </w:pPr>
            <w:r>
              <w:rPr>
                <w:rFonts w:ascii="宋体"/>
                <w:highlight w:val="none"/>
              </w:rPr>
              <w:t>在比选申请文件中无虚假文件或资料的</w:t>
            </w:r>
          </w:p>
        </w:tc>
        <w:tc>
          <w:tcPr>
            <w:tcW w:w="1134" w:type="dxa"/>
            <w:tcBorders>
              <w:bottom w:val="single" w:color="auto" w:sz="4" w:space="0"/>
            </w:tcBorders>
          </w:tcPr>
          <w:p>
            <w:pPr>
              <w:ind w:left="0" w:firstLine="0"/>
              <w:rPr>
                <w:highlight w:val="none"/>
              </w:rPr>
            </w:pPr>
          </w:p>
        </w:tc>
        <w:tc>
          <w:tcPr>
            <w:tcW w:w="1098" w:type="dxa"/>
            <w:vMerge w:val="continue"/>
            <w:vAlign w:val="center"/>
          </w:tcPr>
          <w:p>
            <w:pPr>
              <w:ind w:left="0" w:firstLine="0"/>
              <w:rPr>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rPr>
                <w:highlight w:val="none"/>
              </w:rPr>
            </w:pPr>
            <w:r>
              <w:rPr>
                <w:rFonts w:hint="eastAsia"/>
                <w:highlight w:val="none"/>
              </w:rPr>
              <w:t>5</w:t>
            </w:r>
          </w:p>
        </w:tc>
        <w:tc>
          <w:tcPr>
            <w:tcW w:w="6096" w:type="dxa"/>
            <w:vAlign w:val="center"/>
          </w:tcPr>
          <w:p>
            <w:pPr>
              <w:ind w:left="0" w:firstLine="0"/>
              <w:rPr>
                <w:highlight w:val="none"/>
              </w:rPr>
            </w:pPr>
            <w:r>
              <w:rPr>
                <w:rFonts w:ascii="宋体"/>
                <w:highlight w:val="none"/>
              </w:rPr>
              <w:t>技术部分响应、偏离情况说明无负偏离的</w:t>
            </w:r>
          </w:p>
        </w:tc>
        <w:tc>
          <w:tcPr>
            <w:tcW w:w="1134" w:type="dxa"/>
            <w:tcBorders>
              <w:bottom w:val="single" w:color="auto" w:sz="4" w:space="0"/>
            </w:tcBorders>
          </w:tcPr>
          <w:p>
            <w:pPr>
              <w:ind w:left="0" w:firstLine="0"/>
              <w:rPr>
                <w:highlight w:val="none"/>
              </w:rPr>
            </w:pPr>
          </w:p>
        </w:tc>
        <w:tc>
          <w:tcPr>
            <w:tcW w:w="1098" w:type="dxa"/>
            <w:vMerge w:val="continue"/>
            <w:vAlign w:val="center"/>
          </w:tcPr>
          <w:p>
            <w:pPr>
              <w:ind w:left="0" w:firstLine="0"/>
              <w:rPr>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675" w:type="dxa"/>
            <w:vAlign w:val="center"/>
          </w:tcPr>
          <w:p>
            <w:pPr>
              <w:ind w:left="0" w:firstLine="0"/>
              <w:jc w:val="center"/>
              <w:rPr>
                <w:highlight w:val="none"/>
              </w:rPr>
            </w:pPr>
            <w:r>
              <w:rPr>
                <w:rFonts w:hint="eastAsia"/>
                <w:highlight w:val="none"/>
              </w:rPr>
              <w:t>6</w:t>
            </w:r>
          </w:p>
        </w:tc>
        <w:tc>
          <w:tcPr>
            <w:tcW w:w="6096" w:type="dxa"/>
            <w:vAlign w:val="center"/>
          </w:tcPr>
          <w:p>
            <w:pPr>
              <w:ind w:left="0" w:firstLine="0"/>
              <w:rPr>
                <w:rFonts w:hAnsi="宋体"/>
                <w:highlight w:val="none"/>
              </w:rPr>
            </w:pPr>
            <w:r>
              <w:rPr>
                <w:rFonts w:ascii="宋体"/>
                <w:highlight w:val="none"/>
              </w:rPr>
              <w:t>商务响应表无负偏离的</w:t>
            </w:r>
          </w:p>
        </w:tc>
        <w:tc>
          <w:tcPr>
            <w:tcW w:w="1134" w:type="dxa"/>
            <w:tcBorders>
              <w:top w:val="single" w:color="auto" w:sz="4" w:space="0"/>
            </w:tcBorders>
          </w:tcPr>
          <w:p>
            <w:pPr>
              <w:ind w:left="0" w:firstLine="0"/>
              <w:rPr>
                <w:highlight w:val="none"/>
              </w:rPr>
            </w:pPr>
          </w:p>
        </w:tc>
        <w:tc>
          <w:tcPr>
            <w:tcW w:w="1098" w:type="dxa"/>
            <w:vMerge w:val="continue"/>
            <w:vAlign w:val="center"/>
          </w:tcPr>
          <w:p>
            <w:pPr>
              <w:ind w:left="0" w:firstLine="0"/>
              <w:rPr>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highlight w:val="none"/>
              </w:rPr>
            </w:pPr>
            <w:r>
              <w:rPr>
                <w:rFonts w:hint="eastAsia"/>
                <w:highlight w:val="none"/>
              </w:rPr>
              <w:t>7</w:t>
            </w:r>
          </w:p>
        </w:tc>
        <w:tc>
          <w:tcPr>
            <w:tcW w:w="6096" w:type="dxa"/>
            <w:vAlign w:val="center"/>
          </w:tcPr>
          <w:p>
            <w:pPr>
              <w:ind w:left="0" w:firstLine="0"/>
              <w:rPr>
                <w:highlight w:val="none"/>
              </w:rPr>
            </w:pPr>
            <w:r>
              <w:rPr>
                <w:rFonts w:ascii="宋体" w:hAnsi="宋体"/>
                <w:highlight w:val="none"/>
              </w:rPr>
              <w:t>比选申请文件按比选文件要求提供按期完成承诺书的</w:t>
            </w:r>
          </w:p>
        </w:tc>
        <w:tc>
          <w:tcPr>
            <w:tcW w:w="1134" w:type="dxa"/>
          </w:tcPr>
          <w:p>
            <w:pPr>
              <w:ind w:left="0" w:firstLine="0"/>
              <w:rPr>
                <w:highlight w:val="none"/>
              </w:rPr>
            </w:pPr>
          </w:p>
        </w:tc>
        <w:tc>
          <w:tcPr>
            <w:tcW w:w="1098" w:type="dxa"/>
            <w:vMerge w:val="continue"/>
            <w:vAlign w:val="center"/>
          </w:tcPr>
          <w:p>
            <w:pPr>
              <w:ind w:left="0" w:firstLine="0"/>
              <w:rPr>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highlight w:val="none"/>
              </w:rPr>
            </w:pPr>
            <w:r>
              <w:rPr>
                <w:rFonts w:hint="eastAsia"/>
                <w:highlight w:val="none"/>
              </w:rPr>
              <w:t>8</w:t>
            </w:r>
          </w:p>
        </w:tc>
        <w:tc>
          <w:tcPr>
            <w:tcW w:w="6096" w:type="dxa"/>
            <w:vAlign w:val="center"/>
          </w:tcPr>
          <w:p>
            <w:pPr>
              <w:ind w:left="0" w:firstLine="0"/>
              <w:rPr>
                <w:highlight w:val="none"/>
              </w:rPr>
            </w:pPr>
            <w:r>
              <w:rPr>
                <w:rFonts w:ascii="宋体" w:hAnsi="宋体"/>
                <w:highlight w:val="none"/>
              </w:rPr>
              <w:t>比选申请文件按比选文件要求提供售后服务承诺书的</w:t>
            </w:r>
          </w:p>
        </w:tc>
        <w:tc>
          <w:tcPr>
            <w:tcW w:w="1134" w:type="dxa"/>
          </w:tcPr>
          <w:p>
            <w:pPr>
              <w:ind w:left="0" w:firstLine="0"/>
              <w:rPr>
                <w:highlight w:val="none"/>
              </w:rPr>
            </w:pPr>
          </w:p>
        </w:tc>
        <w:tc>
          <w:tcPr>
            <w:tcW w:w="1098" w:type="dxa"/>
            <w:vAlign w:val="center"/>
          </w:tcPr>
          <w:p>
            <w:pPr>
              <w:ind w:left="0" w:firstLine="0"/>
              <w:rPr>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highlight w:val="none"/>
              </w:rPr>
            </w:pPr>
            <w:r>
              <w:rPr>
                <w:rFonts w:hint="eastAsia"/>
                <w:highlight w:val="none"/>
              </w:rPr>
              <w:t>9</w:t>
            </w:r>
          </w:p>
        </w:tc>
        <w:tc>
          <w:tcPr>
            <w:tcW w:w="6096" w:type="dxa"/>
            <w:vAlign w:val="center"/>
          </w:tcPr>
          <w:p>
            <w:pPr>
              <w:ind w:left="0" w:firstLine="0"/>
              <w:rPr>
                <w:highlight w:val="none"/>
              </w:rPr>
            </w:pPr>
            <w:r>
              <w:rPr>
                <w:rFonts w:ascii="宋体"/>
                <w:highlight w:val="none"/>
              </w:rPr>
              <w:t>无比选文件、法律、法规规定的其他否决比选申请条件</w:t>
            </w:r>
          </w:p>
        </w:tc>
        <w:tc>
          <w:tcPr>
            <w:tcW w:w="1134" w:type="dxa"/>
          </w:tcPr>
          <w:p>
            <w:pPr>
              <w:ind w:left="0" w:firstLine="0"/>
              <w:rPr>
                <w:highlight w:val="none"/>
              </w:rPr>
            </w:pPr>
          </w:p>
        </w:tc>
        <w:tc>
          <w:tcPr>
            <w:tcW w:w="1098" w:type="dxa"/>
            <w:vAlign w:val="center"/>
          </w:tcPr>
          <w:p>
            <w:pPr>
              <w:ind w:left="0" w:firstLine="0"/>
              <w:rPr>
                <w:highlight w:val="none"/>
              </w:rPr>
            </w:pPr>
          </w:p>
        </w:tc>
      </w:tr>
    </w:tbl>
    <w:p>
      <w:pPr>
        <w:spacing w:before="0" w:after="0" w:afterAutospacing="0"/>
        <w:ind w:left="0" w:right="0" w:firstLine="0"/>
        <w:jc w:val="left"/>
        <w:rPr>
          <w:sz w:val="24"/>
          <w:szCs w:val="24"/>
          <w:highlight w:val="none"/>
        </w:rPr>
      </w:pPr>
      <w:r>
        <w:rPr>
          <w:rFonts w:hAnsi="宋体"/>
          <w:highlight w:val="none"/>
        </w:rPr>
        <w:t>注：</w:t>
      </w:r>
      <w:r>
        <w:rPr>
          <w:rFonts w:hint="eastAsia" w:hAnsi="宋体"/>
          <w:highlight w:val="none"/>
        </w:rPr>
        <w:t>1.</w:t>
      </w:r>
      <w:r>
        <w:rPr>
          <w:rFonts w:hAnsi="宋体"/>
          <w:highlight w:val="none"/>
        </w:rPr>
        <w:t>评审结果填写合格打</w:t>
      </w:r>
      <w:r>
        <w:rPr>
          <w:highlight w:val="none"/>
        </w:rPr>
        <w:t>√</w:t>
      </w:r>
      <w:r>
        <w:rPr>
          <w:rFonts w:hAnsi="宋体"/>
          <w:highlight w:val="none"/>
        </w:rPr>
        <w:t>，不合格打</w:t>
      </w:r>
      <w:r>
        <w:rPr>
          <w:highlight w:val="none"/>
        </w:rPr>
        <w:t>×</w:t>
      </w:r>
      <w:r>
        <w:rPr>
          <w:rFonts w:hAnsi="宋体"/>
          <w:highlight w:val="none"/>
        </w:rPr>
        <w:t>，凡评审结果有一项不合格者，结论为不通过。</w:t>
      </w:r>
    </w:p>
    <w:p>
      <w:pPr>
        <w:rPr>
          <w:highlight w:val="none"/>
        </w:rPr>
      </w:pPr>
      <w:r>
        <w:rPr>
          <w:rFonts w:hAnsi="宋体"/>
          <w:b/>
          <w:sz w:val="24"/>
          <w:szCs w:val="24"/>
          <w:highlight w:val="none"/>
        </w:rPr>
        <w:br w:type="page"/>
      </w:r>
    </w:p>
    <w:p>
      <w:pPr>
        <w:pStyle w:val="6"/>
        <w:rPr>
          <w:sz w:val="21"/>
          <w:szCs w:val="21"/>
          <w:highlight w:val="none"/>
        </w:rPr>
      </w:pPr>
      <w:r>
        <w:rPr>
          <w:rFonts w:hint="eastAsia"/>
          <w:sz w:val="21"/>
          <w:szCs w:val="21"/>
          <w:highlight w:val="none"/>
        </w:rPr>
        <w:t>附表三 技术文件评分标准表</w:t>
      </w:r>
    </w:p>
    <w:p>
      <w:pPr>
        <w:widowControl w:val="0"/>
        <w:spacing w:before="0" w:after="0" w:afterAutospacing="0"/>
        <w:ind w:left="0" w:right="0" w:firstLine="0"/>
        <w:jc w:val="center"/>
        <w:rPr>
          <w:rFonts w:ascii="Calibri" w:hAnsi="宋体"/>
          <w:b/>
          <w:kern w:val="2"/>
          <w:sz w:val="24"/>
          <w:szCs w:val="24"/>
          <w:highlight w:val="none"/>
        </w:rPr>
      </w:pPr>
      <w:r>
        <w:rPr>
          <w:rFonts w:hint="eastAsia" w:ascii="Calibri" w:hAnsi="宋体"/>
          <w:b/>
          <w:kern w:val="2"/>
          <w:sz w:val="24"/>
          <w:szCs w:val="24"/>
          <w:highlight w:val="none"/>
        </w:rPr>
        <w:t>技术文件评分标准表</w:t>
      </w:r>
    </w:p>
    <w:tbl>
      <w:tblPr>
        <w:tblStyle w:val="27"/>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796"/>
        <w:gridCol w:w="784"/>
        <w:gridCol w:w="1250"/>
        <w:gridCol w:w="5795"/>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22" w:type="dxa"/>
            <w:vAlign w:val="center"/>
          </w:tcPr>
          <w:p>
            <w:pPr>
              <w:widowControl w:val="0"/>
              <w:spacing w:before="0" w:after="0" w:afterAutospacing="0" w:line="276" w:lineRule="auto"/>
              <w:ind w:left="0" w:right="0" w:firstLine="0"/>
              <w:jc w:val="center"/>
              <w:rPr>
                <w:rFonts w:ascii="宋体" w:hAnsi="宋体"/>
                <w:b/>
                <w:bCs/>
                <w:kern w:val="2"/>
                <w:highlight w:val="none"/>
              </w:rPr>
            </w:pPr>
            <w:r>
              <w:rPr>
                <w:rFonts w:ascii="宋体" w:hAnsi="宋体"/>
                <w:b/>
                <w:bCs/>
                <w:kern w:val="2"/>
                <w:highlight w:val="none"/>
              </w:rPr>
              <w:t>序号</w:t>
            </w:r>
          </w:p>
        </w:tc>
        <w:tc>
          <w:tcPr>
            <w:tcW w:w="1580" w:type="dxa"/>
            <w:gridSpan w:val="2"/>
            <w:vAlign w:val="center"/>
          </w:tcPr>
          <w:p>
            <w:pPr>
              <w:widowControl w:val="0"/>
              <w:spacing w:before="0" w:after="0" w:afterAutospacing="0" w:line="276" w:lineRule="auto"/>
              <w:ind w:left="0" w:right="0" w:firstLine="0"/>
              <w:jc w:val="center"/>
              <w:rPr>
                <w:rFonts w:ascii="宋体" w:hAnsi="宋体"/>
                <w:b/>
                <w:bCs/>
                <w:kern w:val="2"/>
                <w:highlight w:val="none"/>
              </w:rPr>
            </w:pPr>
            <w:r>
              <w:rPr>
                <w:rFonts w:hint="eastAsia" w:ascii="宋体" w:hAnsi="宋体"/>
                <w:b/>
                <w:bCs/>
                <w:kern w:val="2"/>
                <w:highlight w:val="none"/>
              </w:rPr>
              <w:t>评审内容及分值</w:t>
            </w:r>
          </w:p>
        </w:tc>
        <w:tc>
          <w:tcPr>
            <w:tcW w:w="1250" w:type="dxa"/>
            <w:vAlign w:val="center"/>
          </w:tcPr>
          <w:p>
            <w:pPr>
              <w:widowControl w:val="0"/>
              <w:spacing w:before="0" w:after="0" w:afterAutospacing="0" w:line="276" w:lineRule="auto"/>
              <w:ind w:left="0" w:right="0" w:firstLine="0"/>
              <w:jc w:val="center"/>
              <w:rPr>
                <w:rFonts w:ascii="宋体" w:hAnsi="宋体"/>
                <w:b/>
                <w:bCs/>
                <w:kern w:val="2"/>
                <w:highlight w:val="none"/>
              </w:rPr>
            </w:pPr>
            <w:r>
              <w:rPr>
                <w:rFonts w:ascii="宋体" w:hAnsi="宋体"/>
                <w:b/>
                <w:bCs/>
                <w:kern w:val="2"/>
                <w:highlight w:val="none"/>
              </w:rPr>
              <w:t>标准分</w:t>
            </w:r>
          </w:p>
        </w:tc>
        <w:tc>
          <w:tcPr>
            <w:tcW w:w="5795" w:type="dxa"/>
            <w:vAlign w:val="center"/>
          </w:tcPr>
          <w:p>
            <w:pPr>
              <w:widowControl w:val="0"/>
              <w:spacing w:before="0" w:after="0" w:afterAutospacing="0" w:line="276" w:lineRule="auto"/>
              <w:ind w:left="0" w:right="0" w:firstLine="0"/>
              <w:jc w:val="center"/>
              <w:rPr>
                <w:rFonts w:ascii="宋体" w:hAnsi="宋体"/>
                <w:b/>
                <w:bCs/>
                <w:kern w:val="2"/>
                <w:highlight w:val="none"/>
              </w:rPr>
            </w:pPr>
            <w:r>
              <w:rPr>
                <w:rFonts w:hint="eastAsia" w:ascii="宋体" w:hAnsi="宋体"/>
                <w:b/>
                <w:bCs/>
                <w:kern w:val="2"/>
                <w:highlight w:val="none"/>
              </w:rPr>
              <w:t>评审标准</w:t>
            </w:r>
          </w:p>
        </w:tc>
        <w:tc>
          <w:tcPr>
            <w:tcW w:w="678" w:type="dxa"/>
            <w:vAlign w:val="center"/>
          </w:tcPr>
          <w:p>
            <w:pPr>
              <w:widowControl w:val="0"/>
              <w:spacing w:before="0" w:after="0" w:afterAutospacing="0" w:line="276" w:lineRule="auto"/>
              <w:ind w:left="0" w:right="0" w:firstLine="0"/>
              <w:jc w:val="center"/>
              <w:rPr>
                <w:rFonts w:ascii="宋体" w:hAnsi="宋体"/>
                <w:b/>
                <w:bCs/>
                <w:kern w:val="2"/>
                <w:highlight w:val="none"/>
              </w:rPr>
            </w:pPr>
            <w:r>
              <w:rPr>
                <w:rFonts w:hint="eastAsia" w:ascii="宋体" w:hAnsi="宋体"/>
                <w:b/>
                <w:bCs/>
                <w:kern w:val="2"/>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1" w:hRule="atLeast"/>
          <w:jc w:val="center"/>
        </w:trPr>
        <w:tc>
          <w:tcPr>
            <w:tcW w:w="522" w:type="dxa"/>
            <w:vAlign w:val="center"/>
          </w:tcPr>
          <w:p>
            <w:pPr>
              <w:widowControl w:val="0"/>
              <w:spacing w:before="0" w:after="0" w:afterAutospacing="0" w:line="276" w:lineRule="auto"/>
              <w:ind w:left="0" w:right="0" w:firstLine="0"/>
              <w:rPr>
                <w:rFonts w:ascii="宋体" w:hAnsi="宋体"/>
                <w:bCs/>
                <w:color w:val="auto"/>
                <w:kern w:val="2"/>
                <w:highlight w:val="none"/>
              </w:rPr>
            </w:pPr>
            <w:r>
              <w:rPr>
                <w:rFonts w:hint="eastAsia" w:ascii="宋体" w:hAnsi="宋体"/>
                <w:bCs/>
                <w:color w:val="auto"/>
                <w:kern w:val="2"/>
                <w:highlight w:val="none"/>
              </w:rPr>
              <w:t>1</w:t>
            </w:r>
          </w:p>
        </w:tc>
        <w:tc>
          <w:tcPr>
            <w:tcW w:w="796" w:type="dxa"/>
            <w:vAlign w:val="center"/>
          </w:tcPr>
          <w:p>
            <w:pPr>
              <w:widowControl w:val="0"/>
              <w:spacing w:before="0" w:after="0" w:afterAutospacing="0" w:line="276" w:lineRule="auto"/>
              <w:ind w:left="0" w:right="0" w:firstLine="0"/>
              <w:rPr>
                <w:rFonts w:ascii="宋体" w:hAnsi="宋体"/>
                <w:bCs/>
                <w:color w:val="auto"/>
                <w:kern w:val="2"/>
                <w:highlight w:val="none"/>
              </w:rPr>
            </w:pPr>
            <w:r>
              <w:rPr>
                <w:rFonts w:hint="eastAsia" w:ascii="宋体" w:hAnsi="宋体"/>
                <w:bCs/>
                <w:color w:val="auto"/>
                <w:kern w:val="2"/>
                <w:highlight w:val="none"/>
              </w:rPr>
              <w:t>人员配置（满分</w:t>
            </w:r>
            <w:r>
              <w:rPr>
                <w:rFonts w:hint="eastAsia" w:ascii="宋体" w:hAnsi="宋体"/>
                <w:bCs/>
                <w:color w:val="auto"/>
                <w:kern w:val="2"/>
                <w:highlight w:val="none"/>
                <w:lang w:val="en-US" w:eastAsia="zh-CN"/>
              </w:rPr>
              <w:t>14</w:t>
            </w:r>
            <w:r>
              <w:rPr>
                <w:rFonts w:hint="eastAsia" w:ascii="宋体" w:hAnsi="宋体"/>
                <w:bCs/>
                <w:color w:val="auto"/>
                <w:kern w:val="2"/>
                <w:highlight w:val="none"/>
              </w:rPr>
              <w:t>分）</w:t>
            </w:r>
          </w:p>
        </w:tc>
        <w:tc>
          <w:tcPr>
            <w:tcW w:w="784" w:type="dxa"/>
            <w:vAlign w:val="center"/>
          </w:tcPr>
          <w:p>
            <w:pPr>
              <w:widowControl w:val="0"/>
              <w:spacing w:before="0" w:after="0" w:afterAutospacing="0" w:line="276" w:lineRule="auto"/>
              <w:ind w:left="0" w:right="0" w:firstLine="0"/>
              <w:rPr>
                <w:rFonts w:hint="eastAsia" w:ascii="宋体" w:hAnsi="宋体" w:eastAsia="宋体"/>
                <w:bCs/>
                <w:color w:val="auto"/>
                <w:kern w:val="2"/>
                <w:highlight w:val="none"/>
                <w:lang w:eastAsia="zh-CN"/>
              </w:rPr>
            </w:pPr>
            <w:r>
              <w:rPr>
                <w:rFonts w:hint="eastAsia" w:ascii="宋体" w:hAnsi="宋体"/>
                <w:bCs/>
                <w:color w:val="auto"/>
                <w:kern w:val="2"/>
                <w:highlight w:val="none"/>
              </w:rPr>
              <w:t>项目经理（兼技术负责人）</w:t>
            </w:r>
            <w:r>
              <w:rPr>
                <w:rFonts w:hint="eastAsia" w:ascii="宋体" w:hAnsi="宋体"/>
                <w:bCs/>
                <w:color w:val="auto"/>
                <w:kern w:val="2"/>
                <w:highlight w:val="none"/>
                <w:lang w:eastAsia="zh-CN"/>
              </w:rPr>
              <w:t>资历</w:t>
            </w:r>
          </w:p>
        </w:tc>
        <w:tc>
          <w:tcPr>
            <w:tcW w:w="1250" w:type="dxa"/>
            <w:vAlign w:val="center"/>
          </w:tcPr>
          <w:p>
            <w:pPr>
              <w:widowControl w:val="0"/>
              <w:spacing w:before="0" w:after="0" w:afterAutospacing="0" w:line="276" w:lineRule="auto"/>
              <w:ind w:left="0" w:right="0" w:firstLine="0"/>
              <w:jc w:val="center"/>
              <w:rPr>
                <w:rFonts w:hint="default" w:ascii="宋体" w:hAnsi="宋体" w:eastAsia="宋体"/>
                <w:bCs/>
                <w:color w:val="auto"/>
                <w:kern w:val="2"/>
                <w:highlight w:val="none"/>
                <w:lang w:val="en-US" w:eastAsia="zh-CN"/>
              </w:rPr>
            </w:pPr>
            <w:r>
              <w:rPr>
                <w:rFonts w:hint="eastAsia" w:ascii="宋体" w:hAnsi="宋体"/>
                <w:bCs/>
                <w:color w:val="auto"/>
                <w:kern w:val="2"/>
                <w:highlight w:val="none"/>
              </w:rPr>
              <w:t>0≤m≤</w:t>
            </w:r>
            <w:r>
              <w:rPr>
                <w:rFonts w:hint="eastAsia" w:ascii="宋体" w:hAnsi="宋体"/>
                <w:bCs/>
                <w:color w:val="auto"/>
                <w:kern w:val="2"/>
                <w:highlight w:val="none"/>
                <w:lang w:val="en-US" w:eastAsia="zh-CN"/>
              </w:rPr>
              <w:t>14</w:t>
            </w:r>
          </w:p>
        </w:tc>
        <w:tc>
          <w:tcPr>
            <w:tcW w:w="5795" w:type="dxa"/>
            <w:vAlign w:val="center"/>
          </w:tcPr>
          <w:p>
            <w:pPr>
              <w:widowControl w:val="0"/>
              <w:spacing w:before="0" w:after="0" w:afterAutospacing="0" w:line="276" w:lineRule="auto"/>
              <w:ind w:left="0" w:right="0" w:firstLine="0"/>
              <w:rPr>
                <w:rFonts w:ascii="宋体" w:hAnsi="宋体"/>
                <w:bCs/>
                <w:color w:val="auto"/>
                <w:kern w:val="2"/>
                <w:highlight w:val="none"/>
              </w:rPr>
            </w:pPr>
            <w:r>
              <w:rPr>
                <w:rFonts w:hint="eastAsia" w:ascii="宋体" w:hAnsi="宋体"/>
                <w:bCs/>
                <w:color w:val="auto"/>
                <w:kern w:val="2"/>
                <w:highlight w:val="none"/>
                <w:lang w:val="en-US" w:eastAsia="zh-CN"/>
              </w:rPr>
              <w:t>①</w:t>
            </w:r>
            <w:r>
              <w:rPr>
                <w:rFonts w:hint="eastAsia" w:ascii="宋体" w:hAnsi="宋体"/>
                <w:bCs/>
                <w:color w:val="auto"/>
                <w:kern w:val="2"/>
                <w:highlight w:val="none"/>
              </w:rPr>
              <w:t>具有建造师资质的，得</w:t>
            </w:r>
            <w:r>
              <w:rPr>
                <w:rFonts w:hint="eastAsia" w:ascii="宋体" w:hAnsi="宋体"/>
                <w:bCs/>
                <w:color w:val="auto"/>
                <w:kern w:val="2"/>
                <w:highlight w:val="none"/>
                <w:lang w:val="en-US" w:eastAsia="zh-CN"/>
              </w:rPr>
              <w:t>2</w:t>
            </w:r>
            <w:r>
              <w:rPr>
                <w:rFonts w:hint="eastAsia" w:ascii="宋体" w:hAnsi="宋体"/>
                <w:bCs/>
                <w:color w:val="auto"/>
                <w:kern w:val="2"/>
                <w:highlight w:val="none"/>
              </w:rPr>
              <w:t>分</w:t>
            </w:r>
            <w:r>
              <w:rPr>
                <w:rFonts w:hint="eastAsia" w:ascii="宋体" w:hAnsi="宋体"/>
                <w:bCs/>
                <w:color w:val="auto"/>
                <w:kern w:val="2"/>
                <w:highlight w:val="none"/>
                <w:lang w:eastAsia="zh-CN"/>
              </w:rPr>
              <w:t>，</w:t>
            </w:r>
            <w:r>
              <w:rPr>
                <w:rFonts w:hint="eastAsia" w:ascii="宋体" w:hAnsi="宋体"/>
                <w:bCs/>
                <w:color w:val="auto"/>
                <w:kern w:val="2"/>
                <w:highlight w:val="none"/>
              </w:rPr>
              <w:t>满分</w:t>
            </w:r>
            <w:r>
              <w:rPr>
                <w:rFonts w:hint="eastAsia" w:ascii="宋体" w:hAnsi="宋体"/>
                <w:bCs/>
                <w:color w:val="auto"/>
                <w:kern w:val="2"/>
                <w:highlight w:val="none"/>
                <w:lang w:val="en-US" w:eastAsia="zh-CN"/>
              </w:rPr>
              <w:t>2</w:t>
            </w:r>
            <w:r>
              <w:rPr>
                <w:rFonts w:hint="eastAsia" w:ascii="宋体" w:hAnsi="宋体"/>
                <w:bCs/>
                <w:color w:val="auto"/>
                <w:kern w:val="2"/>
                <w:highlight w:val="none"/>
              </w:rPr>
              <w:t>分；</w:t>
            </w:r>
            <w:r>
              <w:rPr>
                <w:rFonts w:hint="eastAsia" w:ascii="宋体" w:hAnsi="宋体"/>
                <w:bCs/>
                <w:color w:val="auto"/>
                <w:kern w:val="2"/>
                <w:highlight w:val="none"/>
                <w:lang w:val="en-US" w:eastAsia="zh-CN"/>
              </w:rPr>
              <w:t>②</w:t>
            </w:r>
            <w:r>
              <w:rPr>
                <w:rFonts w:hint="eastAsia" w:ascii="宋体" w:hAnsi="宋体"/>
                <w:bCs/>
                <w:color w:val="auto"/>
                <w:kern w:val="2"/>
                <w:highlight w:val="none"/>
              </w:rPr>
              <w:t>在承接过的1项合同金额不少于10万元的生活给水设备安装项目或1</w:t>
            </w:r>
            <w:r>
              <w:rPr>
                <w:rFonts w:hint="eastAsia" w:ascii="宋体" w:hAnsi="宋体"/>
                <w:bCs/>
                <w:color w:val="auto"/>
                <w:kern w:val="2"/>
                <w:highlight w:val="none"/>
                <w:lang w:val="en-US" w:eastAsia="zh-CN"/>
              </w:rPr>
              <w:t>项</w:t>
            </w:r>
            <w:r>
              <w:rPr>
                <w:rFonts w:hint="eastAsia" w:ascii="宋体" w:hAnsi="宋体"/>
                <w:bCs/>
                <w:color w:val="auto"/>
                <w:kern w:val="2"/>
                <w:highlight w:val="none"/>
              </w:rPr>
              <w:t>轨道交通（车站数量不少于10座或者线路长度不少于12公里）综合机电设备（至少包含给排水专业）维修保养项目中担任项目经理</w:t>
            </w:r>
            <w:r>
              <w:rPr>
                <w:rFonts w:hint="eastAsia" w:ascii="宋体" w:hAnsi="宋体"/>
                <w:bCs/>
                <w:color w:val="auto"/>
                <w:kern w:val="2"/>
                <w:highlight w:val="none"/>
                <w:lang w:val="en-US" w:eastAsia="zh-CN"/>
              </w:rPr>
              <w:t>或技术负责人</w:t>
            </w:r>
            <w:r>
              <w:rPr>
                <w:rFonts w:hint="eastAsia" w:ascii="宋体" w:hAnsi="宋体"/>
                <w:bCs/>
                <w:color w:val="auto"/>
                <w:kern w:val="2"/>
                <w:highlight w:val="none"/>
              </w:rPr>
              <w:t>的，</w:t>
            </w:r>
            <w:r>
              <w:rPr>
                <w:rFonts w:hint="eastAsia" w:ascii="宋体" w:hAnsi="宋体"/>
                <w:bCs/>
                <w:color w:val="auto"/>
                <w:kern w:val="2"/>
                <w:highlight w:val="none"/>
                <w:lang w:eastAsia="zh-CN"/>
              </w:rPr>
              <w:t>每承接过</w:t>
            </w:r>
            <w:r>
              <w:rPr>
                <w:rFonts w:hint="eastAsia" w:ascii="宋体" w:hAnsi="宋体"/>
                <w:bCs/>
                <w:color w:val="auto"/>
                <w:kern w:val="2"/>
                <w:highlight w:val="none"/>
                <w:lang w:val="en-US" w:eastAsia="zh-CN"/>
              </w:rPr>
              <w:t>1项</w:t>
            </w:r>
            <w:r>
              <w:rPr>
                <w:rFonts w:hint="eastAsia" w:ascii="宋体" w:hAnsi="宋体"/>
                <w:bCs/>
                <w:color w:val="auto"/>
                <w:kern w:val="2"/>
                <w:highlight w:val="none"/>
              </w:rPr>
              <w:t>得</w:t>
            </w:r>
            <w:r>
              <w:rPr>
                <w:rFonts w:hint="eastAsia" w:ascii="宋体" w:hAnsi="宋体"/>
                <w:bCs/>
                <w:color w:val="auto"/>
                <w:kern w:val="2"/>
                <w:highlight w:val="none"/>
                <w:lang w:val="en-US" w:eastAsia="zh-CN"/>
              </w:rPr>
              <w:t>6</w:t>
            </w:r>
            <w:r>
              <w:rPr>
                <w:rFonts w:hint="eastAsia" w:ascii="宋体" w:hAnsi="宋体"/>
                <w:bCs/>
                <w:color w:val="auto"/>
                <w:kern w:val="2"/>
                <w:highlight w:val="none"/>
              </w:rPr>
              <w:t>分</w:t>
            </w:r>
            <w:r>
              <w:rPr>
                <w:rFonts w:hint="eastAsia" w:ascii="宋体" w:hAnsi="宋体"/>
                <w:bCs/>
                <w:color w:val="auto"/>
                <w:kern w:val="2"/>
                <w:highlight w:val="none"/>
                <w:lang w:val="en-US" w:eastAsia="zh-CN"/>
              </w:rPr>
              <w:t>，</w:t>
            </w:r>
            <w:r>
              <w:rPr>
                <w:rFonts w:hint="eastAsia" w:ascii="宋体" w:hAnsi="宋体"/>
                <w:bCs/>
                <w:color w:val="auto"/>
                <w:kern w:val="2"/>
                <w:highlight w:val="none"/>
              </w:rPr>
              <w:t>满分</w:t>
            </w:r>
            <w:r>
              <w:rPr>
                <w:rFonts w:hint="eastAsia" w:ascii="宋体" w:hAnsi="宋体"/>
                <w:bCs/>
                <w:color w:val="auto"/>
                <w:kern w:val="2"/>
                <w:highlight w:val="none"/>
                <w:lang w:val="en-US" w:eastAsia="zh-CN"/>
              </w:rPr>
              <w:t>12</w:t>
            </w:r>
            <w:r>
              <w:rPr>
                <w:rFonts w:hint="eastAsia" w:ascii="宋体" w:hAnsi="宋体"/>
                <w:bCs/>
                <w:color w:val="auto"/>
                <w:kern w:val="2"/>
                <w:highlight w:val="none"/>
              </w:rPr>
              <w:t>分；</w:t>
            </w:r>
            <w:r>
              <w:rPr>
                <w:rFonts w:hint="eastAsia" w:ascii="宋体" w:hAnsi="宋体"/>
                <w:bCs/>
                <w:color w:val="auto"/>
                <w:kern w:val="2"/>
                <w:highlight w:val="none"/>
                <w:lang w:val="en-US" w:eastAsia="zh-CN"/>
              </w:rPr>
              <w:t>①+②</w:t>
            </w:r>
            <w:r>
              <w:rPr>
                <w:rFonts w:hint="eastAsia" w:ascii="宋体" w:hAnsi="宋体"/>
                <w:bCs/>
                <w:color w:val="auto"/>
                <w:kern w:val="2"/>
                <w:highlight w:val="none"/>
              </w:rPr>
              <w:t>满分</w:t>
            </w:r>
            <w:r>
              <w:rPr>
                <w:rFonts w:hint="eastAsia" w:ascii="宋体" w:hAnsi="宋体"/>
                <w:bCs/>
                <w:color w:val="auto"/>
                <w:kern w:val="2"/>
                <w:highlight w:val="none"/>
                <w:lang w:val="en-US" w:eastAsia="zh-CN"/>
              </w:rPr>
              <w:t>14</w:t>
            </w:r>
            <w:r>
              <w:rPr>
                <w:rFonts w:hint="eastAsia" w:ascii="宋体" w:hAnsi="宋体"/>
                <w:bCs/>
                <w:color w:val="auto"/>
                <w:kern w:val="2"/>
                <w:highlight w:val="none"/>
              </w:rPr>
              <w:t>分。</w:t>
            </w:r>
          </w:p>
        </w:tc>
        <w:tc>
          <w:tcPr>
            <w:tcW w:w="678" w:type="dxa"/>
            <w:vAlign w:val="center"/>
          </w:tcPr>
          <w:p>
            <w:pPr>
              <w:widowControl w:val="0"/>
              <w:spacing w:before="0" w:after="0" w:afterAutospacing="0" w:line="276" w:lineRule="auto"/>
              <w:ind w:left="0" w:right="0" w:firstLine="0"/>
              <w:jc w:val="center"/>
              <w:rPr>
                <w:rFonts w:ascii="宋体" w:hAnsi="宋体"/>
                <w:b/>
                <w:bCs/>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22" w:type="dxa"/>
            <w:vMerge w:val="restart"/>
            <w:vAlign w:val="center"/>
          </w:tcPr>
          <w:p>
            <w:pPr>
              <w:widowControl w:val="0"/>
              <w:spacing w:before="0" w:after="0" w:afterAutospacing="0" w:line="276" w:lineRule="auto"/>
              <w:ind w:left="0" w:right="0" w:firstLine="0"/>
              <w:jc w:val="center"/>
              <w:rPr>
                <w:rFonts w:hint="eastAsia" w:ascii="宋体" w:hAnsi="宋体" w:eastAsia="宋体"/>
                <w:bCs/>
                <w:kern w:val="2"/>
                <w:highlight w:val="none"/>
                <w:lang w:eastAsia="zh-CN"/>
              </w:rPr>
            </w:pPr>
            <w:r>
              <w:rPr>
                <w:rFonts w:hint="eastAsia" w:ascii="宋体" w:hAnsi="宋体"/>
                <w:bCs/>
                <w:kern w:val="2"/>
                <w:highlight w:val="none"/>
                <w:lang w:val="en-US" w:eastAsia="zh-CN"/>
              </w:rPr>
              <w:t>2</w:t>
            </w:r>
          </w:p>
        </w:tc>
        <w:tc>
          <w:tcPr>
            <w:tcW w:w="1580" w:type="dxa"/>
            <w:gridSpan w:val="2"/>
            <w:vMerge w:val="restart"/>
            <w:vAlign w:val="center"/>
          </w:tcPr>
          <w:p>
            <w:pPr>
              <w:widowControl w:val="0"/>
              <w:spacing w:before="0" w:after="0" w:afterAutospacing="0" w:line="276" w:lineRule="auto"/>
              <w:ind w:left="0" w:right="0" w:firstLine="0"/>
              <w:rPr>
                <w:rFonts w:ascii="宋体" w:hAnsi="宋体"/>
                <w:bCs/>
                <w:color w:val="auto"/>
                <w:kern w:val="2"/>
                <w:highlight w:val="none"/>
              </w:rPr>
            </w:pPr>
            <w:r>
              <w:rPr>
                <w:rFonts w:hint="eastAsia" w:ascii="宋体" w:hAnsi="宋体" w:cs="宋体"/>
                <w:color w:val="auto"/>
                <w:highlight w:val="none"/>
              </w:rPr>
              <w:t>施工进度</w:t>
            </w:r>
            <w:r>
              <w:rPr>
                <w:rFonts w:hint="eastAsia" w:ascii="宋体" w:hAnsi="宋体" w:cs="宋体"/>
                <w:color w:val="auto"/>
                <w:highlight w:val="none"/>
                <w:lang w:eastAsia="zh-CN"/>
              </w:rPr>
              <w:t>、质量</w:t>
            </w:r>
            <w:r>
              <w:rPr>
                <w:rFonts w:hint="eastAsia" w:ascii="宋体" w:hAnsi="宋体" w:cs="宋体"/>
                <w:color w:val="auto"/>
                <w:highlight w:val="none"/>
              </w:rPr>
              <w:t>保证措施（满分</w:t>
            </w:r>
            <w:r>
              <w:rPr>
                <w:rFonts w:hint="eastAsia" w:ascii="宋体" w:hAnsi="宋体" w:cs="宋体"/>
                <w:color w:val="auto"/>
                <w:highlight w:val="none"/>
                <w:lang w:val="en-US" w:eastAsia="zh-CN"/>
              </w:rPr>
              <w:t>25</w:t>
            </w:r>
            <w:r>
              <w:rPr>
                <w:rFonts w:hint="eastAsia" w:ascii="宋体" w:hAnsi="宋体" w:cs="宋体"/>
                <w:color w:val="auto"/>
                <w:highlight w:val="none"/>
              </w:rPr>
              <w:t>分）</w:t>
            </w:r>
          </w:p>
        </w:tc>
        <w:tc>
          <w:tcPr>
            <w:tcW w:w="1250" w:type="dxa"/>
            <w:vAlign w:val="center"/>
          </w:tcPr>
          <w:p>
            <w:pPr>
              <w:snapToGrid w:val="0"/>
              <w:spacing w:line="288" w:lineRule="auto"/>
              <w:jc w:val="center"/>
              <w:rPr>
                <w:rFonts w:hint="default" w:ascii="宋体" w:hAnsi="宋体" w:eastAsia="宋体"/>
                <w:color w:val="auto"/>
                <w:highlight w:val="none"/>
                <w:lang w:val="en-US" w:eastAsia="zh-CN"/>
              </w:rPr>
            </w:pPr>
            <w:r>
              <w:rPr>
                <w:rFonts w:hint="eastAsia" w:ascii="宋体" w:hAnsi="宋体"/>
                <w:color w:val="auto"/>
                <w:highlight w:val="none"/>
                <w:lang w:val="en-US" w:eastAsia="zh-CN"/>
              </w:rPr>
              <w:t>20</w:t>
            </w:r>
            <w:r>
              <w:rPr>
                <w:rFonts w:ascii="宋体" w:hAnsi="宋体"/>
                <w:color w:val="auto"/>
                <w:highlight w:val="none"/>
              </w:rPr>
              <w:t>＜</w:t>
            </w:r>
            <w:r>
              <w:rPr>
                <w:rFonts w:hint="eastAsia" w:ascii="宋体" w:hAnsi="宋体"/>
                <w:color w:val="auto"/>
                <w:highlight w:val="none"/>
              </w:rPr>
              <w:t>m≤</w:t>
            </w:r>
            <w:r>
              <w:rPr>
                <w:rFonts w:hint="eastAsia" w:ascii="宋体" w:hAnsi="宋体"/>
                <w:color w:val="auto"/>
                <w:highlight w:val="none"/>
                <w:lang w:val="en-US" w:eastAsia="zh-CN"/>
              </w:rPr>
              <w:t>25</w:t>
            </w:r>
          </w:p>
        </w:tc>
        <w:tc>
          <w:tcPr>
            <w:tcW w:w="5795" w:type="dxa"/>
            <w:vAlign w:val="center"/>
          </w:tcPr>
          <w:p>
            <w:pPr>
              <w:widowControl w:val="0"/>
              <w:spacing w:before="0" w:after="0" w:afterAutospacing="0" w:line="276" w:lineRule="auto"/>
              <w:ind w:left="0" w:right="0" w:firstLine="0"/>
              <w:rPr>
                <w:rFonts w:ascii="宋体" w:hAnsi="宋体"/>
                <w:bCs/>
                <w:color w:val="auto"/>
                <w:kern w:val="2"/>
                <w:highlight w:val="none"/>
              </w:rPr>
            </w:pPr>
            <w:r>
              <w:rPr>
                <w:rFonts w:hint="eastAsia" w:ascii="宋体" w:hAnsi="宋体"/>
                <w:bCs/>
                <w:color w:val="auto"/>
                <w:kern w:val="2"/>
                <w:highlight w:val="none"/>
              </w:rPr>
              <w:t>公司管理制度完善，针对本项目特点制定现场管理方案有效</w:t>
            </w:r>
            <w:r>
              <w:rPr>
                <w:rFonts w:hint="eastAsia" w:ascii="宋体" w:hAnsi="宋体"/>
                <w:bCs/>
                <w:color w:val="auto"/>
                <w:kern w:val="2"/>
                <w:highlight w:val="none"/>
                <w:lang w:eastAsia="zh-CN"/>
              </w:rPr>
              <w:t>，</w:t>
            </w:r>
            <w:r>
              <w:rPr>
                <w:rFonts w:hint="eastAsia" w:ascii="宋体" w:hAnsi="宋体"/>
                <w:bCs/>
                <w:color w:val="auto"/>
                <w:kern w:val="2"/>
                <w:highlight w:val="none"/>
              </w:rPr>
              <w:t>施工进度分解准确、完整，计划编制合理、可行性强，</w:t>
            </w:r>
            <w:r>
              <w:rPr>
                <w:rFonts w:hint="eastAsia" w:ascii="宋体" w:hAnsi="宋体"/>
                <w:bCs/>
                <w:color w:val="auto"/>
                <w:kern w:val="2"/>
                <w:highlight w:val="none"/>
                <w:lang w:eastAsia="zh-CN"/>
              </w:rPr>
              <w:t>安全生产和文明施工措施完善，</w:t>
            </w:r>
            <w:r>
              <w:rPr>
                <w:rFonts w:hint="eastAsia" w:ascii="宋体" w:hAnsi="宋体"/>
                <w:bCs/>
                <w:color w:val="auto"/>
                <w:kern w:val="2"/>
                <w:highlight w:val="none"/>
              </w:rPr>
              <w:t>管件</w:t>
            </w:r>
            <w:r>
              <w:rPr>
                <w:rFonts w:hint="eastAsia" w:ascii="宋体" w:hAnsi="宋体"/>
                <w:bCs/>
                <w:color w:val="auto"/>
                <w:kern w:val="2"/>
                <w:highlight w:val="none"/>
                <w:lang w:eastAsia="zh-CN"/>
              </w:rPr>
              <w:t>、</w:t>
            </w:r>
            <w:r>
              <w:rPr>
                <w:rFonts w:hint="eastAsia" w:ascii="宋体" w:hAnsi="宋体"/>
                <w:bCs/>
                <w:color w:val="auto"/>
                <w:kern w:val="2"/>
                <w:highlight w:val="none"/>
              </w:rPr>
              <w:t>阀件选材</w:t>
            </w:r>
            <w:r>
              <w:rPr>
                <w:rFonts w:hint="eastAsia" w:ascii="宋体" w:hAnsi="宋体"/>
                <w:bCs/>
                <w:color w:val="auto"/>
                <w:kern w:val="2"/>
                <w:highlight w:val="none"/>
                <w:lang w:eastAsia="zh-CN"/>
              </w:rPr>
              <w:t>优良，施工工艺优良</w:t>
            </w:r>
            <w:r>
              <w:rPr>
                <w:rFonts w:hint="eastAsia" w:ascii="宋体" w:hAnsi="宋体"/>
                <w:bCs/>
                <w:color w:val="auto"/>
                <w:kern w:val="2"/>
                <w:highlight w:val="none"/>
              </w:rPr>
              <w:t>，</w:t>
            </w:r>
            <w:r>
              <w:rPr>
                <w:rFonts w:hint="eastAsia" w:ascii="宋体" w:hAnsi="宋体"/>
                <w:bCs/>
                <w:color w:val="auto"/>
                <w:kern w:val="2"/>
                <w:highlight w:val="none"/>
                <w:lang w:eastAsia="zh-CN"/>
              </w:rPr>
              <w:t>设备维护及</w:t>
            </w:r>
            <w:r>
              <w:rPr>
                <w:rFonts w:hint="eastAsia" w:ascii="宋体" w:hAnsi="宋体"/>
                <w:bCs/>
                <w:color w:val="auto"/>
                <w:kern w:val="2"/>
                <w:highlight w:val="none"/>
              </w:rPr>
              <w:t>故障响应措施</w:t>
            </w:r>
            <w:r>
              <w:rPr>
                <w:rFonts w:hint="eastAsia" w:ascii="宋体" w:hAnsi="宋体"/>
                <w:bCs/>
                <w:color w:val="auto"/>
                <w:kern w:val="2"/>
                <w:highlight w:val="none"/>
                <w:lang w:eastAsia="zh-CN"/>
              </w:rPr>
              <w:t>有</w:t>
            </w:r>
            <w:r>
              <w:rPr>
                <w:rFonts w:hint="eastAsia" w:ascii="宋体" w:hAnsi="宋体"/>
                <w:bCs/>
                <w:color w:val="auto"/>
                <w:kern w:val="2"/>
                <w:highlight w:val="none"/>
              </w:rPr>
              <w:t>力</w:t>
            </w:r>
            <w:r>
              <w:rPr>
                <w:rFonts w:hint="eastAsia" w:ascii="宋体" w:hAnsi="宋体"/>
                <w:bCs/>
                <w:color w:val="auto"/>
                <w:kern w:val="2"/>
                <w:highlight w:val="none"/>
                <w:lang w:eastAsia="zh-CN"/>
              </w:rPr>
              <w:t>，</w:t>
            </w:r>
            <w:r>
              <w:rPr>
                <w:rFonts w:hint="eastAsia" w:ascii="宋体" w:hAnsi="宋体"/>
                <w:bCs/>
                <w:color w:val="auto"/>
                <w:kern w:val="2"/>
                <w:highlight w:val="none"/>
              </w:rPr>
              <w:t>工期少于80天。</w:t>
            </w:r>
          </w:p>
        </w:tc>
        <w:tc>
          <w:tcPr>
            <w:tcW w:w="678" w:type="dxa"/>
            <w:vMerge w:val="restart"/>
            <w:vAlign w:val="center"/>
          </w:tcPr>
          <w:p>
            <w:pPr>
              <w:widowControl w:val="0"/>
              <w:spacing w:before="0" w:after="0" w:afterAutospacing="0" w:line="276" w:lineRule="auto"/>
              <w:ind w:left="0" w:right="0" w:firstLine="0"/>
              <w:jc w:val="center"/>
              <w:rPr>
                <w:rFonts w:ascii="宋体" w:hAnsi="宋体"/>
                <w:kern w:val="2"/>
                <w:highlight w:val="none"/>
              </w:rPr>
            </w:pPr>
          </w:p>
          <w:p>
            <w:pPr>
              <w:widowControl w:val="0"/>
              <w:spacing w:before="0" w:after="0" w:afterAutospacing="0" w:line="276" w:lineRule="auto"/>
              <w:ind w:left="0" w:right="0" w:firstLine="0"/>
              <w:jc w:val="center"/>
              <w:rPr>
                <w:rFonts w:ascii="宋体" w:hAnsi="宋体"/>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522" w:type="dxa"/>
            <w:vMerge w:val="continue"/>
            <w:vAlign w:val="center"/>
          </w:tcPr>
          <w:p>
            <w:pPr>
              <w:widowControl w:val="0"/>
              <w:spacing w:before="0" w:after="0" w:afterAutospacing="0" w:line="276" w:lineRule="auto"/>
              <w:ind w:left="0" w:right="0" w:firstLine="0"/>
              <w:jc w:val="center"/>
              <w:rPr>
                <w:rFonts w:ascii="宋体" w:hAnsi="宋体"/>
                <w:bCs/>
                <w:kern w:val="2"/>
                <w:highlight w:val="none"/>
              </w:rPr>
            </w:pPr>
          </w:p>
        </w:tc>
        <w:tc>
          <w:tcPr>
            <w:tcW w:w="1580" w:type="dxa"/>
            <w:gridSpan w:val="2"/>
            <w:vMerge w:val="continue"/>
            <w:vAlign w:val="center"/>
          </w:tcPr>
          <w:p>
            <w:pPr>
              <w:widowControl w:val="0"/>
              <w:spacing w:before="0" w:after="0" w:afterAutospacing="0" w:line="276" w:lineRule="auto"/>
              <w:ind w:left="0" w:right="0" w:firstLine="0"/>
              <w:jc w:val="center"/>
              <w:rPr>
                <w:rFonts w:ascii="宋体" w:hAnsi="宋体"/>
                <w:bCs/>
                <w:color w:val="auto"/>
                <w:kern w:val="2"/>
                <w:highlight w:val="none"/>
              </w:rPr>
            </w:pPr>
          </w:p>
        </w:tc>
        <w:tc>
          <w:tcPr>
            <w:tcW w:w="1250" w:type="dxa"/>
            <w:vAlign w:val="center"/>
          </w:tcPr>
          <w:p>
            <w:pPr>
              <w:snapToGrid w:val="0"/>
              <w:spacing w:line="288" w:lineRule="auto"/>
              <w:jc w:val="center"/>
              <w:rPr>
                <w:rFonts w:hint="default" w:ascii="宋体" w:hAnsi="宋体" w:eastAsia="宋体"/>
                <w:color w:val="auto"/>
                <w:highlight w:val="none"/>
                <w:lang w:val="en-US" w:eastAsia="zh-CN"/>
              </w:rPr>
            </w:pPr>
            <w:r>
              <w:rPr>
                <w:rFonts w:hint="eastAsia" w:ascii="宋体" w:hAnsi="宋体"/>
                <w:color w:val="auto"/>
                <w:highlight w:val="none"/>
                <w:lang w:val="en-US" w:eastAsia="zh-CN"/>
              </w:rPr>
              <w:t>15</w:t>
            </w:r>
            <w:r>
              <w:rPr>
                <w:rFonts w:ascii="宋体" w:hAnsi="宋体"/>
                <w:color w:val="auto"/>
                <w:highlight w:val="none"/>
              </w:rPr>
              <w:t>＜</w:t>
            </w:r>
            <w:r>
              <w:rPr>
                <w:rFonts w:hint="eastAsia" w:ascii="宋体" w:hAnsi="宋体"/>
                <w:color w:val="auto"/>
                <w:highlight w:val="none"/>
              </w:rPr>
              <w:t>m≤</w:t>
            </w:r>
            <w:r>
              <w:rPr>
                <w:rFonts w:hint="eastAsia" w:ascii="宋体" w:hAnsi="宋体"/>
                <w:color w:val="auto"/>
                <w:highlight w:val="none"/>
                <w:lang w:val="en-US" w:eastAsia="zh-CN"/>
              </w:rPr>
              <w:t>20</w:t>
            </w:r>
          </w:p>
        </w:tc>
        <w:tc>
          <w:tcPr>
            <w:tcW w:w="5795" w:type="dxa"/>
            <w:vAlign w:val="center"/>
          </w:tcPr>
          <w:p>
            <w:pPr>
              <w:widowControl w:val="0"/>
              <w:spacing w:before="0" w:after="0" w:afterAutospacing="0" w:line="276" w:lineRule="auto"/>
              <w:ind w:left="0" w:right="0" w:firstLine="0"/>
              <w:rPr>
                <w:rFonts w:ascii="宋体" w:hAnsi="宋体"/>
                <w:bCs/>
                <w:color w:val="auto"/>
                <w:kern w:val="2"/>
                <w:highlight w:val="none"/>
              </w:rPr>
            </w:pPr>
            <w:r>
              <w:rPr>
                <w:rFonts w:hint="eastAsia" w:ascii="宋体" w:hAnsi="宋体"/>
                <w:bCs/>
                <w:color w:val="auto"/>
                <w:kern w:val="2"/>
                <w:highlight w:val="none"/>
              </w:rPr>
              <w:t>公司管理制度</w:t>
            </w:r>
            <w:r>
              <w:rPr>
                <w:rFonts w:hint="eastAsia" w:ascii="宋体" w:hAnsi="宋体"/>
                <w:bCs/>
                <w:color w:val="auto"/>
                <w:kern w:val="2"/>
                <w:highlight w:val="none"/>
                <w:lang w:eastAsia="zh-CN"/>
              </w:rPr>
              <w:t>一般</w:t>
            </w:r>
            <w:r>
              <w:rPr>
                <w:rFonts w:hint="eastAsia" w:ascii="宋体" w:hAnsi="宋体"/>
                <w:bCs/>
                <w:color w:val="auto"/>
                <w:kern w:val="2"/>
                <w:highlight w:val="none"/>
              </w:rPr>
              <w:t>，针对本项目特点制定的现场管理方案</w:t>
            </w:r>
            <w:r>
              <w:rPr>
                <w:rFonts w:hint="eastAsia" w:ascii="宋体" w:hAnsi="宋体"/>
                <w:bCs/>
                <w:color w:val="auto"/>
                <w:kern w:val="2"/>
                <w:highlight w:val="none"/>
                <w:lang w:eastAsia="zh-CN"/>
              </w:rPr>
              <w:t>一般</w:t>
            </w:r>
            <w:r>
              <w:rPr>
                <w:rFonts w:hint="eastAsia" w:ascii="宋体" w:hAnsi="宋体"/>
                <w:bCs/>
                <w:color w:val="auto"/>
                <w:kern w:val="2"/>
                <w:highlight w:val="none"/>
              </w:rPr>
              <w:t>，施工进度分解较清晰、准确度一般、完整性一般，计划编制合理性一般、可行性一般，安全生产和文明施工措施</w:t>
            </w:r>
            <w:r>
              <w:rPr>
                <w:rFonts w:hint="eastAsia" w:ascii="宋体" w:hAnsi="宋体"/>
                <w:bCs/>
                <w:color w:val="auto"/>
                <w:kern w:val="2"/>
                <w:highlight w:val="none"/>
                <w:lang w:eastAsia="zh-CN"/>
              </w:rPr>
              <w:t>一般</w:t>
            </w:r>
            <w:r>
              <w:rPr>
                <w:rFonts w:hint="eastAsia" w:ascii="宋体" w:hAnsi="宋体"/>
                <w:bCs/>
                <w:color w:val="auto"/>
                <w:kern w:val="2"/>
                <w:highlight w:val="none"/>
              </w:rPr>
              <w:t>，管件、阀件选材一般，施工工艺一般，设备维护及故障响应措施一般，工期少于90天。</w:t>
            </w:r>
          </w:p>
        </w:tc>
        <w:tc>
          <w:tcPr>
            <w:tcW w:w="678" w:type="dxa"/>
            <w:vMerge w:val="continue"/>
            <w:vAlign w:val="center"/>
          </w:tcPr>
          <w:p>
            <w:pPr>
              <w:widowControl w:val="0"/>
              <w:spacing w:before="0" w:after="0" w:afterAutospacing="0" w:line="276" w:lineRule="auto"/>
              <w:ind w:left="0" w:right="0" w:firstLine="0"/>
              <w:jc w:val="center"/>
              <w:rPr>
                <w:rFonts w:ascii="宋体" w:hAnsi="宋体"/>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522" w:type="dxa"/>
            <w:vMerge w:val="continue"/>
            <w:vAlign w:val="center"/>
          </w:tcPr>
          <w:p>
            <w:pPr>
              <w:widowControl w:val="0"/>
              <w:spacing w:before="0" w:after="0" w:afterAutospacing="0" w:line="276" w:lineRule="auto"/>
              <w:ind w:left="0" w:right="0" w:firstLine="0"/>
              <w:jc w:val="center"/>
              <w:rPr>
                <w:rFonts w:ascii="宋体" w:hAnsi="宋体"/>
                <w:bCs/>
                <w:kern w:val="2"/>
                <w:highlight w:val="none"/>
              </w:rPr>
            </w:pPr>
          </w:p>
        </w:tc>
        <w:tc>
          <w:tcPr>
            <w:tcW w:w="1580" w:type="dxa"/>
            <w:gridSpan w:val="2"/>
            <w:vMerge w:val="continue"/>
            <w:vAlign w:val="center"/>
          </w:tcPr>
          <w:p>
            <w:pPr>
              <w:widowControl w:val="0"/>
              <w:spacing w:before="0" w:after="0" w:afterAutospacing="0" w:line="276" w:lineRule="auto"/>
              <w:ind w:left="0" w:right="0" w:firstLine="0"/>
              <w:jc w:val="center"/>
              <w:rPr>
                <w:rFonts w:ascii="宋体" w:hAnsi="宋体"/>
                <w:bCs/>
                <w:color w:val="auto"/>
                <w:kern w:val="2"/>
                <w:highlight w:val="none"/>
              </w:rPr>
            </w:pPr>
          </w:p>
        </w:tc>
        <w:tc>
          <w:tcPr>
            <w:tcW w:w="1250" w:type="dxa"/>
            <w:vAlign w:val="center"/>
          </w:tcPr>
          <w:p>
            <w:pPr>
              <w:snapToGrid w:val="0"/>
              <w:spacing w:line="288" w:lineRule="auto"/>
              <w:jc w:val="center"/>
              <w:rPr>
                <w:rFonts w:hint="default" w:ascii="宋体" w:hAnsi="宋体" w:eastAsia="宋体"/>
                <w:color w:val="auto"/>
                <w:highlight w:val="none"/>
                <w:lang w:val="en-US" w:eastAsia="zh-CN"/>
              </w:rPr>
            </w:pPr>
            <w:r>
              <w:rPr>
                <w:rFonts w:hint="eastAsia" w:ascii="宋体" w:hAnsi="宋体"/>
                <w:color w:val="auto"/>
                <w:highlight w:val="none"/>
              </w:rPr>
              <w:t>0≤m≤</w:t>
            </w:r>
            <w:r>
              <w:rPr>
                <w:rFonts w:hint="eastAsia" w:ascii="宋体" w:hAnsi="宋体"/>
                <w:color w:val="auto"/>
                <w:highlight w:val="none"/>
                <w:lang w:val="en-US" w:eastAsia="zh-CN"/>
              </w:rPr>
              <w:t>15</w:t>
            </w:r>
          </w:p>
        </w:tc>
        <w:tc>
          <w:tcPr>
            <w:tcW w:w="5795" w:type="dxa"/>
            <w:vAlign w:val="center"/>
          </w:tcPr>
          <w:p>
            <w:pPr>
              <w:widowControl w:val="0"/>
              <w:spacing w:before="0" w:after="0" w:afterAutospacing="0" w:line="276" w:lineRule="auto"/>
              <w:ind w:left="0" w:right="0" w:firstLine="0"/>
              <w:rPr>
                <w:rFonts w:ascii="宋体" w:hAnsi="宋体"/>
                <w:bCs/>
                <w:color w:val="auto"/>
                <w:kern w:val="2"/>
                <w:highlight w:val="none"/>
              </w:rPr>
            </w:pPr>
            <w:r>
              <w:rPr>
                <w:rFonts w:hint="eastAsia" w:ascii="宋体" w:hAnsi="宋体"/>
                <w:bCs/>
                <w:color w:val="auto"/>
                <w:kern w:val="2"/>
                <w:highlight w:val="none"/>
              </w:rPr>
              <w:t>公司管理制度</w:t>
            </w:r>
            <w:r>
              <w:rPr>
                <w:rFonts w:hint="eastAsia" w:ascii="宋体" w:hAnsi="宋体"/>
                <w:bCs/>
                <w:color w:val="auto"/>
                <w:kern w:val="2"/>
                <w:highlight w:val="none"/>
                <w:lang w:eastAsia="zh-CN"/>
              </w:rPr>
              <w:t>模糊</w:t>
            </w:r>
            <w:r>
              <w:rPr>
                <w:rFonts w:hint="eastAsia" w:ascii="宋体" w:hAnsi="宋体"/>
                <w:bCs/>
                <w:color w:val="auto"/>
                <w:kern w:val="2"/>
                <w:highlight w:val="none"/>
              </w:rPr>
              <w:t>，</w:t>
            </w:r>
            <w:r>
              <w:rPr>
                <w:rFonts w:hint="eastAsia" w:ascii="宋体" w:hAnsi="宋体"/>
                <w:bCs/>
                <w:color w:val="auto"/>
                <w:kern w:val="2"/>
                <w:highlight w:val="none"/>
                <w:lang w:eastAsia="zh-CN"/>
              </w:rPr>
              <w:t>未</w:t>
            </w:r>
            <w:r>
              <w:rPr>
                <w:rFonts w:hint="eastAsia" w:ascii="宋体" w:hAnsi="宋体"/>
                <w:bCs/>
                <w:color w:val="auto"/>
                <w:kern w:val="2"/>
                <w:highlight w:val="none"/>
              </w:rPr>
              <w:t>制定现场管理方案，施工进度分解较</w:t>
            </w:r>
            <w:r>
              <w:rPr>
                <w:rFonts w:hint="eastAsia" w:ascii="宋体" w:hAnsi="宋体"/>
                <w:bCs/>
                <w:color w:val="auto"/>
                <w:kern w:val="2"/>
                <w:highlight w:val="none"/>
                <w:lang w:eastAsia="zh-CN"/>
              </w:rPr>
              <w:t>不</w:t>
            </w:r>
            <w:r>
              <w:rPr>
                <w:rFonts w:hint="eastAsia" w:ascii="宋体" w:hAnsi="宋体"/>
                <w:bCs/>
                <w:color w:val="auto"/>
                <w:kern w:val="2"/>
                <w:highlight w:val="none"/>
              </w:rPr>
              <w:t>清晰、</w:t>
            </w:r>
            <w:r>
              <w:rPr>
                <w:rFonts w:hint="eastAsia" w:ascii="宋体" w:hAnsi="宋体"/>
                <w:bCs/>
                <w:color w:val="auto"/>
                <w:kern w:val="2"/>
                <w:highlight w:val="none"/>
                <w:lang w:eastAsia="zh-CN"/>
              </w:rPr>
              <w:t>不</w:t>
            </w:r>
            <w:r>
              <w:rPr>
                <w:rFonts w:hint="eastAsia" w:ascii="宋体" w:hAnsi="宋体"/>
                <w:bCs/>
                <w:color w:val="auto"/>
                <w:kern w:val="2"/>
                <w:highlight w:val="none"/>
              </w:rPr>
              <w:t>准确、完整性</w:t>
            </w:r>
            <w:r>
              <w:rPr>
                <w:rFonts w:hint="eastAsia" w:ascii="宋体" w:hAnsi="宋体"/>
                <w:bCs/>
                <w:color w:val="auto"/>
                <w:kern w:val="2"/>
                <w:highlight w:val="none"/>
                <w:lang w:eastAsia="zh-CN"/>
              </w:rPr>
              <w:t>差</w:t>
            </w:r>
            <w:r>
              <w:rPr>
                <w:rFonts w:hint="eastAsia" w:ascii="宋体" w:hAnsi="宋体"/>
                <w:bCs/>
                <w:color w:val="auto"/>
                <w:kern w:val="2"/>
                <w:highlight w:val="none"/>
              </w:rPr>
              <w:t>，计划编制</w:t>
            </w:r>
            <w:r>
              <w:rPr>
                <w:rFonts w:hint="eastAsia" w:ascii="宋体" w:hAnsi="宋体"/>
                <w:bCs/>
                <w:color w:val="auto"/>
                <w:kern w:val="2"/>
                <w:highlight w:val="none"/>
                <w:lang w:eastAsia="zh-CN"/>
              </w:rPr>
              <w:t>不</w:t>
            </w:r>
            <w:r>
              <w:rPr>
                <w:rFonts w:hint="eastAsia" w:ascii="宋体" w:hAnsi="宋体"/>
                <w:bCs/>
                <w:color w:val="auto"/>
                <w:kern w:val="2"/>
                <w:highlight w:val="none"/>
              </w:rPr>
              <w:t>合理、可行性</w:t>
            </w:r>
            <w:r>
              <w:rPr>
                <w:rFonts w:hint="eastAsia" w:ascii="宋体" w:hAnsi="宋体"/>
                <w:bCs/>
                <w:color w:val="auto"/>
                <w:kern w:val="2"/>
                <w:highlight w:val="none"/>
                <w:lang w:eastAsia="zh-CN"/>
              </w:rPr>
              <w:t>差</w:t>
            </w:r>
            <w:r>
              <w:rPr>
                <w:rFonts w:hint="eastAsia" w:ascii="宋体" w:hAnsi="宋体"/>
                <w:bCs/>
                <w:color w:val="auto"/>
                <w:kern w:val="2"/>
                <w:highlight w:val="none"/>
              </w:rPr>
              <w:t>，安全生产和文明施工措施</w:t>
            </w:r>
            <w:r>
              <w:rPr>
                <w:rFonts w:hint="eastAsia" w:ascii="宋体" w:hAnsi="宋体"/>
                <w:bCs/>
                <w:color w:val="auto"/>
                <w:kern w:val="2"/>
                <w:highlight w:val="none"/>
                <w:lang w:eastAsia="zh-CN"/>
              </w:rPr>
              <w:t>差</w:t>
            </w:r>
            <w:r>
              <w:rPr>
                <w:rFonts w:hint="eastAsia" w:ascii="宋体" w:hAnsi="宋体"/>
                <w:bCs/>
                <w:color w:val="auto"/>
                <w:kern w:val="2"/>
                <w:highlight w:val="none"/>
              </w:rPr>
              <w:t>，管件、阀件选材</w:t>
            </w:r>
            <w:r>
              <w:rPr>
                <w:rFonts w:hint="eastAsia" w:ascii="宋体" w:hAnsi="宋体"/>
                <w:bCs/>
                <w:color w:val="auto"/>
                <w:kern w:val="2"/>
                <w:highlight w:val="none"/>
                <w:lang w:eastAsia="zh-CN"/>
              </w:rPr>
              <w:t>较差</w:t>
            </w:r>
            <w:r>
              <w:rPr>
                <w:rFonts w:hint="eastAsia" w:ascii="宋体" w:hAnsi="宋体"/>
                <w:bCs/>
                <w:color w:val="auto"/>
                <w:kern w:val="2"/>
                <w:highlight w:val="none"/>
              </w:rPr>
              <w:t>，施工工艺</w:t>
            </w:r>
            <w:r>
              <w:rPr>
                <w:rFonts w:hint="eastAsia" w:ascii="宋体" w:hAnsi="宋体"/>
                <w:bCs/>
                <w:color w:val="auto"/>
                <w:kern w:val="2"/>
                <w:highlight w:val="none"/>
                <w:lang w:eastAsia="zh-CN"/>
              </w:rPr>
              <w:t>差</w:t>
            </w:r>
            <w:r>
              <w:rPr>
                <w:rFonts w:hint="eastAsia" w:ascii="宋体" w:hAnsi="宋体"/>
                <w:bCs/>
                <w:color w:val="auto"/>
                <w:kern w:val="2"/>
                <w:highlight w:val="none"/>
              </w:rPr>
              <w:t>，设备维护及故障响应措施</w:t>
            </w:r>
            <w:r>
              <w:rPr>
                <w:rFonts w:hint="eastAsia" w:ascii="宋体" w:hAnsi="宋体"/>
                <w:bCs/>
                <w:color w:val="auto"/>
                <w:kern w:val="2"/>
                <w:highlight w:val="none"/>
                <w:lang w:eastAsia="zh-CN"/>
              </w:rPr>
              <w:t>差</w:t>
            </w:r>
            <w:r>
              <w:rPr>
                <w:rFonts w:hint="eastAsia" w:ascii="宋体" w:hAnsi="宋体"/>
                <w:bCs/>
                <w:color w:val="auto"/>
                <w:kern w:val="2"/>
                <w:highlight w:val="none"/>
              </w:rPr>
              <w:t>，对本项目不了解，工期</w:t>
            </w:r>
            <w:r>
              <w:rPr>
                <w:rFonts w:hint="eastAsia" w:ascii="宋体" w:hAnsi="宋体"/>
                <w:bCs/>
                <w:color w:val="auto"/>
                <w:kern w:val="2"/>
                <w:highlight w:val="none"/>
                <w:lang w:eastAsia="zh-CN"/>
              </w:rPr>
              <w:t>为</w:t>
            </w:r>
            <w:r>
              <w:rPr>
                <w:rFonts w:hint="eastAsia" w:ascii="宋体" w:hAnsi="宋体"/>
                <w:bCs/>
                <w:color w:val="auto"/>
                <w:kern w:val="2"/>
                <w:highlight w:val="none"/>
              </w:rPr>
              <w:t>90天。</w:t>
            </w:r>
          </w:p>
        </w:tc>
        <w:tc>
          <w:tcPr>
            <w:tcW w:w="678" w:type="dxa"/>
            <w:vMerge w:val="continue"/>
            <w:vAlign w:val="center"/>
          </w:tcPr>
          <w:p>
            <w:pPr>
              <w:widowControl w:val="0"/>
              <w:spacing w:before="0" w:after="0" w:afterAutospacing="0" w:line="276" w:lineRule="auto"/>
              <w:ind w:left="0" w:right="0" w:firstLine="0"/>
              <w:jc w:val="center"/>
              <w:rPr>
                <w:rFonts w:ascii="宋体" w:hAnsi="宋体"/>
                <w:bCs/>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522" w:type="dxa"/>
            <w:vAlign w:val="center"/>
          </w:tcPr>
          <w:p>
            <w:pPr>
              <w:widowControl w:val="0"/>
              <w:spacing w:before="0" w:after="0" w:afterAutospacing="0" w:line="276" w:lineRule="auto"/>
              <w:ind w:left="0" w:right="0" w:firstLine="0"/>
              <w:jc w:val="center"/>
              <w:rPr>
                <w:rFonts w:ascii="宋体" w:hAnsi="宋体"/>
                <w:bCs/>
                <w:kern w:val="2"/>
                <w:highlight w:val="none"/>
              </w:rPr>
            </w:pPr>
            <w:r>
              <w:rPr>
                <w:rFonts w:hint="eastAsia" w:ascii="宋体" w:hAnsi="宋体"/>
                <w:bCs/>
                <w:kern w:val="2"/>
                <w:highlight w:val="none"/>
                <w:lang w:val="en-US" w:eastAsia="zh-CN"/>
              </w:rPr>
              <w:t>3</w:t>
            </w:r>
          </w:p>
        </w:tc>
        <w:tc>
          <w:tcPr>
            <w:tcW w:w="1580" w:type="dxa"/>
            <w:gridSpan w:val="2"/>
            <w:vAlign w:val="center"/>
          </w:tcPr>
          <w:p>
            <w:pPr>
              <w:widowControl w:val="0"/>
              <w:snapToGrid w:val="0"/>
              <w:spacing w:line="276" w:lineRule="auto"/>
              <w:ind w:left="0" w:firstLine="0"/>
              <w:rPr>
                <w:rFonts w:ascii="宋体" w:hAnsi="宋体"/>
                <w:bCs/>
                <w:color w:val="auto"/>
                <w:kern w:val="2"/>
                <w:highlight w:val="none"/>
              </w:rPr>
            </w:pPr>
            <w:r>
              <w:rPr>
                <w:rFonts w:hint="eastAsia" w:ascii="宋体" w:hAnsi="宋体"/>
                <w:bCs/>
                <w:color w:val="auto"/>
                <w:kern w:val="2"/>
                <w:highlight w:val="none"/>
              </w:rPr>
              <w:t>企业业绩（满分</w:t>
            </w:r>
            <w:r>
              <w:rPr>
                <w:rFonts w:hint="eastAsia" w:ascii="宋体" w:hAnsi="宋体"/>
                <w:bCs/>
                <w:color w:val="auto"/>
                <w:kern w:val="2"/>
                <w:highlight w:val="none"/>
                <w:lang w:val="en-US" w:eastAsia="zh-CN"/>
              </w:rPr>
              <w:t>15</w:t>
            </w:r>
            <w:r>
              <w:rPr>
                <w:rFonts w:hint="eastAsia" w:ascii="宋体" w:hAnsi="宋体"/>
                <w:bCs/>
                <w:color w:val="auto"/>
                <w:kern w:val="2"/>
                <w:highlight w:val="none"/>
              </w:rPr>
              <w:t>分）</w:t>
            </w:r>
          </w:p>
        </w:tc>
        <w:tc>
          <w:tcPr>
            <w:tcW w:w="1250" w:type="dxa"/>
            <w:vAlign w:val="center"/>
          </w:tcPr>
          <w:p>
            <w:pPr>
              <w:widowControl w:val="0"/>
              <w:spacing w:before="0" w:after="0" w:afterAutospacing="0" w:line="276" w:lineRule="auto"/>
              <w:ind w:left="0" w:right="0" w:firstLine="0"/>
              <w:jc w:val="center"/>
              <w:rPr>
                <w:rFonts w:ascii="宋体" w:hAnsi="宋体"/>
                <w:bCs/>
                <w:color w:val="auto"/>
                <w:kern w:val="2"/>
                <w:highlight w:val="none"/>
              </w:rPr>
            </w:pPr>
            <w:r>
              <w:rPr>
                <w:rFonts w:hint="eastAsia" w:ascii="宋体" w:hAnsi="宋体"/>
                <w:color w:val="auto"/>
                <w:highlight w:val="none"/>
              </w:rPr>
              <w:t>0≤m≤</w:t>
            </w:r>
            <w:r>
              <w:rPr>
                <w:rFonts w:hint="eastAsia" w:ascii="宋体" w:hAnsi="宋体"/>
                <w:color w:val="auto"/>
                <w:highlight w:val="none"/>
                <w:lang w:val="en-US" w:eastAsia="zh-CN"/>
              </w:rPr>
              <w:t>1</w:t>
            </w:r>
            <w:r>
              <w:rPr>
                <w:rFonts w:hint="eastAsia" w:ascii="宋体" w:hAnsi="宋体"/>
                <w:color w:val="auto"/>
                <w:highlight w:val="none"/>
              </w:rPr>
              <w:t>5</w:t>
            </w:r>
          </w:p>
        </w:tc>
        <w:tc>
          <w:tcPr>
            <w:tcW w:w="5795" w:type="dxa"/>
          </w:tcPr>
          <w:p>
            <w:pPr>
              <w:widowControl w:val="0"/>
              <w:snapToGrid w:val="0"/>
              <w:spacing w:line="276" w:lineRule="auto"/>
              <w:ind w:left="0" w:firstLine="0"/>
              <w:rPr>
                <w:rFonts w:ascii="宋体" w:hAnsi="宋体"/>
                <w:bCs/>
                <w:color w:val="auto"/>
                <w:kern w:val="2"/>
                <w:highlight w:val="none"/>
              </w:rPr>
            </w:pPr>
            <w:r>
              <w:rPr>
                <w:rFonts w:hint="eastAsia" w:ascii="宋体" w:hAnsi="宋体"/>
                <w:bCs/>
                <w:color w:val="auto"/>
                <w:kern w:val="2"/>
                <w:highlight w:val="none"/>
              </w:rPr>
              <w:t>每提供</w:t>
            </w:r>
            <w:r>
              <w:rPr>
                <w:rFonts w:hint="eastAsia" w:ascii="宋体" w:hAnsi="宋体"/>
                <w:bCs/>
                <w:color w:val="auto"/>
                <w:kern w:val="2"/>
                <w:highlight w:val="none"/>
                <w:lang w:val="en-US" w:eastAsia="zh-CN"/>
              </w:rPr>
              <w:t>1</w:t>
            </w:r>
            <w:r>
              <w:rPr>
                <w:rFonts w:hint="eastAsia" w:ascii="宋体" w:hAnsi="宋体"/>
                <w:bCs/>
                <w:color w:val="auto"/>
                <w:kern w:val="2"/>
                <w:highlight w:val="none"/>
              </w:rPr>
              <w:t>项合同金额不少于10万元</w:t>
            </w:r>
            <w:r>
              <w:rPr>
                <w:rFonts w:hint="eastAsia" w:ascii="宋体" w:hAnsi="宋体"/>
                <w:bCs/>
                <w:color w:val="auto"/>
                <w:kern w:val="2"/>
                <w:highlight w:val="none"/>
                <w:lang w:eastAsia="zh-CN"/>
              </w:rPr>
              <w:t>的</w:t>
            </w:r>
            <w:r>
              <w:rPr>
                <w:rFonts w:hint="eastAsia" w:ascii="宋体" w:hAnsi="宋体"/>
                <w:bCs/>
                <w:color w:val="auto"/>
                <w:kern w:val="2"/>
                <w:highlight w:val="none"/>
              </w:rPr>
              <w:t>生活给水设备安装</w:t>
            </w:r>
            <w:r>
              <w:rPr>
                <w:rFonts w:hint="eastAsia" w:ascii="宋体" w:hAnsi="宋体"/>
                <w:bCs/>
                <w:color w:val="auto"/>
                <w:kern w:val="2"/>
                <w:highlight w:val="none"/>
                <w:lang w:eastAsia="zh-CN"/>
              </w:rPr>
              <w:t>项目</w:t>
            </w:r>
            <w:r>
              <w:rPr>
                <w:rFonts w:hint="eastAsia" w:ascii="宋体" w:hAnsi="宋体"/>
                <w:bCs/>
                <w:color w:val="auto"/>
                <w:kern w:val="2"/>
                <w:highlight w:val="none"/>
              </w:rPr>
              <w:t>的业绩</w:t>
            </w:r>
            <w:r>
              <w:rPr>
                <w:rFonts w:ascii="宋体" w:hAnsi="宋体"/>
                <w:color w:val="auto"/>
                <w:highlight w:val="none"/>
              </w:rPr>
              <w:t>或</w:t>
            </w:r>
            <w:r>
              <w:rPr>
                <w:rFonts w:hint="eastAsia" w:ascii="宋体" w:hAnsi="宋体"/>
                <w:color w:val="auto"/>
                <w:highlight w:val="none"/>
              </w:rPr>
              <w:t>提供</w:t>
            </w:r>
            <w:r>
              <w:rPr>
                <w:rFonts w:hint="eastAsia" w:ascii="宋体" w:hAnsi="宋体"/>
                <w:color w:val="auto"/>
                <w:highlight w:val="none"/>
                <w:lang w:eastAsia="zh-CN"/>
              </w:rPr>
              <w:t>1项轨道交通（车站数量不少于10座或者线路长度不少于12公里）综合机电设备（至少包含给排水专业）维修保养项目业绩</w:t>
            </w:r>
            <w:r>
              <w:rPr>
                <w:rFonts w:hint="eastAsia" w:ascii="宋体" w:hAnsi="宋体"/>
                <w:color w:val="auto"/>
                <w:highlight w:val="none"/>
              </w:rPr>
              <w:t>的</w:t>
            </w:r>
            <w:r>
              <w:rPr>
                <w:rFonts w:hint="eastAsia" w:ascii="宋体" w:hAnsi="宋体"/>
                <w:bCs/>
                <w:color w:val="auto"/>
                <w:kern w:val="2"/>
                <w:highlight w:val="none"/>
              </w:rPr>
              <w:t>得</w:t>
            </w:r>
            <w:r>
              <w:rPr>
                <w:rFonts w:hint="eastAsia" w:ascii="宋体" w:hAnsi="宋体"/>
                <w:bCs/>
                <w:color w:val="auto"/>
                <w:kern w:val="2"/>
                <w:highlight w:val="none"/>
                <w:lang w:val="en-US" w:eastAsia="zh-CN"/>
              </w:rPr>
              <w:t>5</w:t>
            </w:r>
            <w:r>
              <w:rPr>
                <w:rFonts w:hint="eastAsia" w:ascii="宋体" w:hAnsi="宋体"/>
                <w:bCs/>
                <w:color w:val="auto"/>
                <w:kern w:val="2"/>
                <w:highlight w:val="none"/>
              </w:rPr>
              <w:t>分，</w:t>
            </w:r>
            <w:r>
              <w:rPr>
                <w:rFonts w:hint="eastAsia" w:ascii="宋体" w:hAnsi="宋体"/>
                <w:bCs/>
                <w:color w:val="auto"/>
                <w:kern w:val="2"/>
                <w:highlight w:val="none"/>
                <w:lang w:val="en-US" w:eastAsia="zh-CN"/>
              </w:rPr>
              <w:t>本项满分1</w:t>
            </w:r>
            <w:r>
              <w:rPr>
                <w:rFonts w:hint="eastAsia" w:ascii="宋体" w:hAnsi="宋体"/>
                <w:bCs/>
                <w:color w:val="auto"/>
                <w:kern w:val="2"/>
                <w:highlight w:val="none"/>
              </w:rPr>
              <w:t>5分。</w:t>
            </w:r>
          </w:p>
        </w:tc>
        <w:tc>
          <w:tcPr>
            <w:tcW w:w="678" w:type="dxa"/>
            <w:vAlign w:val="center"/>
          </w:tcPr>
          <w:p>
            <w:pPr>
              <w:widowControl w:val="0"/>
              <w:spacing w:before="0" w:after="0" w:afterAutospacing="0" w:line="276" w:lineRule="auto"/>
              <w:ind w:left="0" w:right="0" w:firstLine="0"/>
              <w:jc w:val="center"/>
              <w:rPr>
                <w:rFonts w:ascii="宋体" w:hAnsi="宋体"/>
                <w:bCs/>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522" w:type="dxa"/>
            <w:vAlign w:val="center"/>
          </w:tcPr>
          <w:p>
            <w:pPr>
              <w:widowControl w:val="0"/>
              <w:spacing w:before="0" w:after="0" w:afterAutospacing="0" w:line="276" w:lineRule="auto"/>
              <w:ind w:left="0" w:right="0" w:firstLine="0"/>
              <w:jc w:val="center"/>
              <w:rPr>
                <w:rFonts w:hint="default" w:ascii="宋体" w:hAnsi="宋体"/>
                <w:bCs/>
                <w:kern w:val="2"/>
                <w:highlight w:val="none"/>
                <w:lang w:val="en-US" w:eastAsia="zh-CN"/>
              </w:rPr>
            </w:pPr>
            <w:r>
              <w:rPr>
                <w:rFonts w:hint="eastAsia" w:ascii="宋体" w:hAnsi="宋体"/>
                <w:bCs/>
                <w:kern w:val="2"/>
                <w:highlight w:val="none"/>
                <w:lang w:val="en-US" w:eastAsia="zh-CN"/>
              </w:rPr>
              <w:t>4</w:t>
            </w:r>
          </w:p>
        </w:tc>
        <w:tc>
          <w:tcPr>
            <w:tcW w:w="1580" w:type="dxa"/>
            <w:gridSpan w:val="2"/>
            <w:vAlign w:val="center"/>
          </w:tcPr>
          <w:p>
            <w:pPr>
              <w:widowControl w:val="0"/>
              <w:snapToGrid w:val="0"/>
              <w:spacing w:line="276" w:lineRule="auto"/>
              <w:ind w:left="0" w:firstLine="0"/>
              <w:rPr>
                <w:rFonts w:hint="eastAsia" w:ascii="宋体" w:hAnsi="宋体" w:eastAsia="宋体"/>
                <w:bCs/>
                <w:color w:val="auto"/>
                <w:kern w:val="2"/>
                <w:highlight w:val="none"/>
                <w:lang w:eastAsia="zh-CN"/>
              </w:rPr>
            </w:pPr>
            <w:r>
              <w:rPr>
                <w:rFonts w:hint="eastAsia" w:ascii="宋体" w:hAnsi="宋体"/>
                <w:bCs/>
                <w:color w:val="auto"/>
                <w:kern w:val="2"/>
                <w:highlight w:val="none"/>
                <w:lang w:eastAsia="zh-CN"/>
              </w:rPr>
              <w:t>履约基础能力（满分</w:t>
            </w:r>
            <w:r>
              <w:rPr>
                <w:rFonts w:hint="eastAsia" w:ascii="宋体" w:hAnsi="宋体"/>
                <w:bCs/>
                <w:color w:val="auto"/>
                <w:kern w:val="2"/>
                <w:highlight w:val="none"/>
                <w:lang w:val="en-US" w:eastAsia="zh-CN"/>
              </w:rPr>
              <w:t>4</w:t>
            </w:r>
            <w:r>
              <w:rPr>
                <w:rFonts w:hint="eastAsia" w:ascii="宋体" w:hAnsi="宋体"/>
                <w:bCs/>
                <w:color w:val="auto"/>
                <w:kern w:val="2"/>
                <w:highlight w:val="none"/>
                <w:lang w:eastAsia="zh-CN"/>
              </w:rPr>
              <w:t>分）</w:t>
            </w:r>
          </w:p>
        </w:tc>
        <w:tc>
          <w:tcPr>
            <w:tcW w:w="1250" w:type="dxa"/>
            <w:vAlign w:val="center"/>
          </w:tcPr>
          <w:p>
            <w:pPr>
              <w:widowControl w:val="0"/>
              <w:spacing w:before="0" w:after="0" w:afterAutospacing="0" w:line="276" w:lineRule="auto"/>
              <w:ind w:left="0" w:right="0" w:firstLine="0"/>
              <w:jc w:val="center"/>
              <w:rPr>
                <w:rFonts w:hint="eastAsia" w:ascii="宋体" w:hAnsi="宋体"/>
                <w:color w:val="auto"/>
                <w:highlight w:val="none"/>
              </w:rPr>
            </w:pPr>
            <w:r>
              <w:rPr>
                <w:rFonts w:hint="eastAsia" w:ascii="宋体" w:hAnsi="宋体"/>
                <w:color w:val="auto"/>
                <w:highlight w:val="none"/>
                <w:lang w:val="en-US" w:eastAsia="zh-CN"/>
              </w:rPr>
              <w:t>0</w:t>
            </w:r>
            <w:r>
              <w:rPr>
                <w:rFonts w:hint="eastAsia" w:ascii="宋体" w:hAnsi="宋体"/>
                <w:color w:val="auto"/>
                <w:highlight w:val="none"/>
              </w:rPr>
              <w:t>≤m≤</w:t>
            </w:r>
            <w:r>
              <w:rPr>
                <w:rFonts w:hint="eastAsia" w:ascii="宋体" w:hAnsi="宋体"/>
                <w:color w:val="auto"/>
                <w:highlight w:val="none"/>
                <w:lang w:val="en-US" w:eastAsia="zh-CN"/>
              </w:rPr>
              <w:t>4</w:t>
            </w:r>
          </w:p>
        </w:tc>
        <w:tc>
          <w:tcPr>
            <w:tcW w:w="5795" w:type="dxa"/>
          </w:tcPr>
          <w:p>
            <w:pPr>
              <w:widowControl w:val="0"/>
              <w:snapToGrid w:val="0"/>
              <w:spacing w:line="276" w:lineRule="auto"/>
              <w:ind w:left="0" w:firstLine="0"/>
              <w:rPr>
                <w:rFonts w:hint="eastAsia" w:ascii="宋体" w:hAnsi="宋体"/>
                <w:bCs/>
                <w:color w:val="auto"/>
                <w:kern w:val="2"/>
                <w:highlight w:val="none"/>
              </w:rPr>
            </w:pPr>
            <w:r>
              <w:rPr>
                <w:rFonts w:hint="eastAsia" w:ascii="宋体" w:hAnsi="宋体"/>
                <w:bCs/>
                <w:color w:val="auto"/>
                <w:kern w:val="2"/>
                <w:highlight w:val="none"/>
              </w:rPr>
              <w:t>投标人在项目所在地注册且具备独立法人资格</w:t>
            </w:r>
            <w:r>
              <w:rPr>
                <w:rFonts w:hint="eastAsia" w:ascii="宋体" w:hAnsi="宋体"/>
                <w:bCs/>
                <w:color w:val="auto"/>
                <w:kern w:val="2"/>
                <w:highlight w:val="none"/>
                <w:lang w:eastAsia="zh-CN"/>
              </w:rPr>
              <w:t>，</w:t>
            </w:r>
            <w:r>
              <w:rPr>
                <w:rFonts w:hint="eastAsia" w:ascii="宋体" w:hAnsi="宋体"/>
                <w:bCs/>
                <w:color w:val="auto"/>
                <w:kern w:val="2"/>
                <w:highlight w:val="none"/>
              </w:rPr>
              <w:t>且能提供就近服务的(以企业营业执照为准）</w:t>
            </w:r>
            <w:r>
              <w:rPr>
                <w:rFonts w:hint="eastAsia" w:ascii="宋体" w:hAnsi="宋体"/>
                <w:bCs/>
                <w:color w:val="auto"/>
                <w:kern w:val="2"/>
                <w:highlight w:val="none"/>
                <w:lang w:eastAsia="zh-CN"/>
              </w:rPr>
              <w:t>，</w:t>
            </w:r>
            <w:r>
              <w:rPr>
                <w:rFonts w:hint="eastAsia" w:ascii="宋体" w:hAnsi="宋体"/>
                <w:bCs/>
                <w:color w:val="auto"/>
                <w:kern w:val="2"/>
                <w:highlight w:val="none"/>
              </w:rPr>
              <w:t>得</w:t>
            </w:r>
            <w:r>
              <w:rPr>
                <w:rFonts w:hint="eastAsia" w:ascii="宋体" w:hAnsi="宋体"/>
                <w:bCs/>
                <w:color w:val="auto"/>
                <w:kern w:val="2"/>
                <w:highlight w:val="none"/>
                <w:lang w:val="en-US" w:eastAsia="zh-CN"/>
              </w:rPr>
              <w:t>4</w:t>
            </w:r>
            <w:r>
              <w:rPr>
                <w:rFonts w:hint="eastAsia" w:ascii="宋体" w:hAnsi="宋体"/>
                <w:bCs/>
                <w:color w:val="auto"/>
                <w:kern w:val="2"/>
                <w:highlight w:val="none"/>
              </w:rPr>
              <w:t>分</w:t>
            </w:r>
            <w:r>
              <w:rPr>
                <w:rFonts w:hint="eastAsia" w:ascii="宋体" w:hAnsi="宋体"/>
                <w:bCs/>
                <w:color w:val="auto"/>
                <w:kern w:val="2"/>
                <w:highlight w:val="none"/>
                <w:lang w:eastAsia="zh-CN"/>
              </w:rPr>
              <w:t>，</w:t>
            </w:r>
            <w:r>
              <w:rPr>
                <w:rFonts w:hint="eastAsia" w:ascii="宋体" w:hAnsi="宋体"/>
                <w:bCs/>
                <w:color w:val="auto"/>
                <w:kern w:val="2"/>
                <w:highlight w:val="none"/>
              </w:rPr>
              <w:t>其他情形得1分。</w:t>
            </w:r>
          </w:p>
        </w:tc>
        <w:tc>
          <w:tcPr>
            <w:tcW w:w="678" w:type="dxa"/>
            <w:vAlign w:val="center"/>
          </w:tcPr>
          <w:p>
            <w:pPr>
              <w:widowControl w:val="0"/>
              <w:spacing w:before="0" w:after="0" w:afterAutospacing="0" w:line="276" w:lineRule="auto"/>
              <w:ind w:left="0" w:right="0" w:firstLine="0"/>
              <w:jc w:val="center"/>
              <w:rPr>
                <w:rFonts w:ascii="宋体" w:hAnsi="宋体"/>
                <w:bCs/>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522" w:type="dxa"/>
            <w:vAlign w:val="center"/>
          </w:tcPr>
          <w:p>
            <w:pPr>
              <w:widowControl w:val="0"/>
              <w:spacing w:before="0" w:after="0" w:afterAutospacing="0" w:line="276" w:lineRule="auto"/>
              <w:ind w:left="0" w:right="0" w:firstLine="0"/>
              <w:jc w:val="center"/>
              <w:rPr>
                <w:rFonts w:hint="default" w:ascii="宋体" w:hAnsi="宋体"/>
                <w:bCs/>
                <w:kern w:val="2"/>
                <w:highlight w:val="none"/>
                <w:lang w:val="en-US" w:eastAsia="zh-CN"/>
              </w:rPr>
            </w:pPr>
            <w:r>
              <w:rPr>
                <w:rFonts w:hint="eastAsia" w:ascii="宋体" w:hAnsi="宋体"/>
                <w:bCs/>
                <w:kern w:val="2"/>
                <w:highlight w:val="none"/>
                <w:lang w:val="en-US" w:eastAsia="zh-CN"/>
              </w:rPr>
              <w:t>5</w:t>
            </w:r>
          </w:p>
        </w:tc>
        <w:tc>
          <w:tcPr>
            <w:tcW w:w="1580" w:type="dxa"/>
            <w:gridSpan w:val="2"/>
            <w:vAlign w:val="center"/>
          </w:tcPr>
          <w:p>
            <w:pPr>
              <w:widowControl w:val="0"/>
              <w:snapToGrid w:val="0"/>
              <w:spacing w:beforeLines="0" w:afterLines="0" w:line="276" w:lineRule="auto"/>
              <w:ind w:left="0" w:leftChars="0" w:right="-27" w:rightChars="0" w:firstLine="0" w:firstLineChars="0"/>
              <w:rPr>
                <w:rFonts w:hint="eastAsia" w:ascii="宋体" w:hAnsi="宋体"/>
                <w:bCs/>
                <w:color w:val="auto"/>
                <w:kern w:val="2"/>
                <w:highlight w:val="none"/>
                <w:lang w:eastAsia="zh-CN"/>
              </w:rPr>
            </w:pPr>
            <w:r>
              <w:rPr>
                <w:rFonts w:hint="default" w:ascii="宋体" w:hAnsi="宋体" w:eastAsia="宋体"/>
                <w:color w:val="auto"/>
                <w:kern w:val="2"/>
                <w:sz w:val="21"/>
                <w:szCs w:val="21"/>
                <w:highlight w:val="none"/>
              </w:rPr>
              <w:t>社会经济贡献</w:t>
            </w:r>
          </w:p>
        </w:tc>
        <w:tc>
          <w:tcPr>
            <w:tcW w:w="1250" w:type="dxa"/>
            <w:vAlign w:val="center"/>
          </w:tcPr>
          <w:p>
            <w:pPr>
              <w:widowControl w:val="0"/>
              <w:spacing w:before="0" w:beforeLines="0" w:after="0" w:afterLines="0" w:afterAutospacing="0" w:line="276" w:lineRule="auto"/>
              <w:ind w:left="0" w:leftChars="0" w:right="0" w:rightChars="0" w:firstLine="0" w:firstLineChars="0"/>
              <w:jc w:val="center"/>
              <w:rPr>
                <w:rFonts w:hint="eastAsia" w:ascii="宋体" w:hAnsi="宋体"/>
                <w:color w:val="auto"/>
                <w:highlight w:val="none"/>
                <w:lang w:val="en-US" w:eastAsia="zh-CN"/>
              </w:rPr>
            </w:pPr>
            <w:r>
              <w:rPr>
                <w:rFonts w:hint="default" w:ascii="宋体" w:hAnsi="宋体" w:eastAsia="宋体"/>
                <w:color w:val="auto"/>
                <w:sz w:val="21"/>
                <w:szCs w:val="21"/>
                <w:highlight w:val="none"/>
              </w:rPr>
              <w:t>2</w:t>
            </w:r>
          </w:p>
        </w:tc>
        <w:tc>
          <w:tcPr>
            <w:tcW w:w="5795" w:type="dxa"/>
            <w:vAlign w:val="top"/>
          </w:tcPr>
          <w:p>
            <w:pPr>
              <w:widowControl w:val="0"/>
              <w:snapToGrid w:val="0"/>
              <w:spacing w:beforeLines="0" w:afterLines="0" w:line="276" w:lineRule="auto"/>
              <w:ind w:left="0" w:leftChars="0" w:right="-27" w:rightChars="0" w:firstLine="0" w:firstLineChars="0"/>
              <w:rPr>
                <w:rFonts w:hint="eastAsia" w:ascii="宋体" w:hAnsi="宋体"/>
                <w:bCs/>
                <w:color w:val="auto"/>
                <w:kern w:val="2"/>
                <w:highlight w:val="none"/>
              </w:rPr>
            </w:pPr>
            <w:r>
              <w:rPr>
                <w:rFonts w:hint="default" w:ascii="宋体" w:hAnsi="宋体" w:eastAsia="宋体"/>
                <w:color w:val="auto"/>
                <w:kern w:val="2"/>
                <w:sz w:val="21"/>
                <w:szCs w:val="21"/>
                <w:highlight w:val="none"/>
              </w:rPr>
              <w:t>根据投标人提供的经项目所在地税务局盖章的</w:t>
            </w:r>
            <w:r>
              <w:rPr>
                <w:rFonts w:hint="default" w:ascii="宋体" w:hAnsi="宋体" w:eastAsia="宋体"/>
                <w:color w:val="auto"/>
                <w:kern w:val="2"/>
                <w:sz w:val="21"/>
                <w:szCs w:val="21"/>
                <w:highlight w:val="none"/>
                <w:u w:val="single"/>
              </w:rPr>
              <w:t xml:space="preserve"> </w:t>
            </w:r>
            <w:r>
              <w:rPr>
                <w:rFonts w:hint="eastAsia" w:ascii="宋体" w:hAnsi="宋体"/>
                <w:color w:val="auto"/>
                <w:kern w:val="2"/>
                <w:sz w:val="21"/>
                <w:szCs w:val="21"/>
                <w:highlight w:val="none"/>
                <w:u w:val="single"/>
                <w:lang w:val="en-US" w:eastAsia="zh-CN"/>
              </w:rPr>
              <w:t>2021</w:t>
            </w:r>
            <w:r>
              <w:rPr>
                <w:rFonts w:hint="default" w:ascii="宋体" w:hAnsi="宋体" w:eastAsia="宋体"/>
                <w:color w:val="auto"/>
                <w:kern w:val="2"/>
                <w:sz w:val="21"/>
                <w:szCs w:val="21"/>
                <w:highlight w:val="none"/>
                <w:u w:val="single"/>
              </w:rPr>
              <w:t xml:space="preserve"> </w:t>
            </w:r>
            <w:r>
              <w:rPr>
                <w:rFonts w:hint="default" w:ascii="宋体" w:hAnsi="宋体" w:eastAsia="宋体"/>
                <w:color w:val="auto"/>
                <w:kern w:val="2"/>
                <w:sz w:val="21"/>
                <w:szCs w:val="21"/>
                <w:highlight w:val="none"/>
              </w:rPr>
              <w:t>年度纳税证明材料，其中投标人纳税合计金额在</w:t>
            </w:r>
            <w:r>
              <w:rPr>
                <w:rFonts w:hint="default" w:ascii="宋体" w:hAnsi="宋体" w:eastAsia="宋体"/>
                <w:color w:val="auto"/>
                <w:kern w:val="2"/>
                <w:sz w:val="21"/>
                <w:szCs w:val="21"/>
                <w:highlight w:val="none"/>
                <w:u w:val="single"/>
              </w:rPr>
              <w:t xml:space="preserve">   </w:t>
            </w:r>
            <w:r>
              <w:rPr>
                <w:rFonts w:hint="eastAsia" w:ascii="宋体" w:hAnsi="宋体"/>
                <w:color w:val="auto"/>
                <w:kern w:val="2"/>
                <w:sz w:val="21"/>
                <w:szCs w:val="21"/>
                <w:highlight w:val="none"/>
                <w:u w:val="single"/>
                <w:lang w:val="en-US" w:eastAsia="zh-CN"/>
              </w:rPr>
              <w:t>2</w:t>
            </w:r>
            <w:r>
              <w:rPr>
                <w:rFonts w:hint="default" w:ascii="宋体" w:hAnsi="宋体" w:eastAsia="宋体"/>
                <w:color w:val="auto"/>
                <w:kern w:val="2"/>
                <w:sz w:val="21"/>
                <w:szCs w:val="21"/>
                <w:highlight w:val="none"/>
                <w:u w:val="single"/>
              </w:rPr>
              <w:t xml:space="preserve"> </w:t>
            </w:r>
            <w:r>
              <w:rPr>
                <w:rFonts w:hint="eastAsia" w:ascii="宋体" w:hAnsi="宋体"/>
                <w:color w:val="auto"/>
                <w:kern w:val="2"/>
                <w:sz w:val="21"/>
                <w:szCs w:val="21"/>
                <w:highlight w:val="none"/>
                <w:u w:val="single"/>
                <w:lang w:val="en-US" w:eastAsia="zh-CN"/>
              </w:rPr>
              <w:t xml:space="preserve"> </w:t>
            </w:r>
            <w:r>
              <w:rPr>
                <w:rFonts w:hint="default" w:ascii="宋体" w:hAnsi="宋体" w:eastAsia="宋体"/>
                <w:color w:val="auto"/>
                <w:kern w:val="2"/>
                <w:sz w:val="21"/>
                <w:szCs w:val="21"/>
                <w:highlight w:val="none"/>
                <w:u w:val="single"/>
              </w:rPr>
              <w:t xml:space="preserve"> </w:t>
            </w:r>
            <w:r>
              <w:rPr>
                <w:rFonts w:hint="default" w:ascii="宋体" w:hAnsi="宋体" w:eastAsia="宋体"/>
                <w:color w:val="auto"/>
                <w:kern w:val="2"/>
                <w:sz w:val="21"/>
                <w:szCs w:val="21"/>
                <w:highlight w:val="none"/>
              </w:rPr>
              <w:t>万元以上的得2分；纳税合计金额在</w:t>
            </w:r>
            <w:r>
              <w:rPr>
                <w:rFonts w:hint="default" w:ascii="宋体" w:hAnsi="宋体" w:eastAsia="宋体"/>
                <w:color w:val="auto"/>
                <w:kern w:val="2"/>
                <w:sz w:val="21"/>
                <w:szCs w:val="21"/>
                <w:highlight w:val="none"/>
                <w:u w:val="single"/>
              </w:rPr>
              <w:t xml:space="preserve">  </w:t>
            </w:r>
            <w:r>
              <w:rPr>
                <w:rFonts w:hint="eastAsia" w:ascii="宋体" w:hAnsi="宋体"/>
                <w:color w:val="auto"/>
                <w:kern w:val="2"/>
                <w:sz w:val="21"/>
                <w:szCs w:val="21"/>
                <w:highlight w:val="none"/>
                <w:u w:val="single"/>
                <w:lang w:val="en-US" w:eastAsia="zh-CN"/>
              </w:rPr>
              <w:t xml:space="preserve"> 1-2</w:t>
            </w:r>
            <w:r>
              <w:rPr>
                <w:rFonts w:hint="default" w:ascii="宋体" w:hAnsi="宋体" w:eastAsia="宋体"/>
                <w:color w:val="auto"/>
                <w:kern w:val="2"/>
                <w:sz w:val="21"/>
                <w:szCs w:val="21"/>
                <w:highlight w:val="none"/>
                <w:u w:val="single"/>
              </w:rPr>
              <w:t xml:space="preserve">  </w:t>
            </w:r>
            <w:r>
              <w:rPr>
                <w:rFonts w:hint="default" w:ascii="宋体" w:hAnsi="宋体" w:eastAsia="宋体"/>
                <w:color w:val="auto"/>
                <w:kern w:val="2"/>
                <w:sz w:val="21"/>
                <w:szCs w:val="21"/>
                <w:highlight w:val="none"/>
              </w:rPr>
              <w:t>万元(含)的得1分；其余不得分；</w:t>
            </w:r>
            <w:r>
              <w:rPr>
                <w:rFonts w:hint="eastAsia" w:ascii="宋体" w:hAnsi="宋体"/>
                <w:bCs/>
                <w:color w:val="auto"/>
                <w:kern w:val="2"/>
                <w:highlight w:val="none"/>
                <w:lang w:val="en-US" w:eastAsia="zh-CN"/>
              </w:rPr>
              <w:t>本项</w:t>
            </w:r>
            <w:r>
              <w:rPr>
                <w:rFonts w:hint="default" w:ascii="宋体" w:hAnsi="宋体" w:eastAsia="宋体"/>
                <w:color w:val="auto"/>
                <w:kern w:val="2"/>
                <w:sz w:val="21"/>
                <w:szCs w:val="21"/>
                <w:highlight w:val="none"/>
              </w:rPr>
              <w:t>满分2分。</w:t>
            </w:r>
          </w:p>
        </w:tc>
        <w:tc>
          <w:tcPr>
            <w:tcW w:w="678" w:type="dxa"/>
            <w:vAlign w:val="center"/>
          </w:tcPr>
          <w:p>
            <w:pPr>
              <w:widowControl w:val="0"/>
              <w:spacing w:before="0" w:after="0" w:afterAutospacing="0" w:line="276" w:lineRule="auto"/>
              <w:ind w:left="0" w:right="0" w:firstLine="0"/>
              <w:jc w:val="center"/>
              <w:rPr>
                <w:rFonts w:ascii="宋体" w:hAnsi="宋体"/>
                <w:bCs/>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2102" w:type="dxa"/>
            <w:gridSpan w:val="3"/>
            <w:vAlign w:val="center"/>
          </w:tcPr>
          <w:p>
            <w:pPr>
              <w:widowControl w:val="0"/>
              <w:spacing w:before="0" w:after="0" w:afterAutospacing="0" w:line="276" w:lineRule="auto"/>
              <w:ind w:left="0" w:right="0" w:firstLine="0"/>
              <w:jc w:val="center"/>
              <w:rPr>
                <w:rFonts w:ascii="宋体" w:hAnsi="宋体"/>
                <w:bCs/>
                <w:color w:val="auto"/>
                <w:kern w:val="2"/>
                <w:highlight w:val="none"/>
              </w:rPr>
            </w:pPr>
            <w:r>
              <w:rPr>
                <w:rFonts w:ascii="宋体" w:hAnsi="宋体"/>
                <w:bCs/>
                <w:color w:val="auto"/>
                <w:kern w:val="2"/>
                <w:highlight w:val="none"/>
              </w:rPr>
              <w:t>技术</w:t>
            </w:r>
            <w:r>
              <w:rPr>
                <w:rFonts w:hint="eastAsia" w:ascii="宋体" w:hAnsi="宋体"/>
                <w:bCs/>
                <w:color w:val="auto"/>
                <w:kern w:val="2"/>
                <w:highlight w:val="none"/>
              </w:rPr>
              <w:t>评审总分</w:t>
            </w:r>
          </w:p>
        </w:tc>
        <w:tc>
          <w:tcPr>
            <w:tcW w:w="1250" w:type="dxa"/>
            <w:vAlign w:val="center"/>
          </w:tcPr>
          <w:p>
            <w:pPr>
              <w:widowControl w:val="0"/>
              <w:spacing w:before="0" w:after="0" w:afterAutospacing="0" w:line="276" w:lineRule="auto"/>
              <w:ind w:left="0" w:right="0" w:firstLine="0"/>
              <w:jc w:val="center"/>
              <w:rPr>
                <w:rFonts w:ascii="宋体" w:hAnsi="宋体"/>
                <w:bCs/>
                <w:color w:val="auto"/>
                <w:kern w:val="2"/>
                <w:highlight w:val="none"/>
              </w:rPr>
            </w:pPr>
            <w:r>
              <w:rPr>
                <w:rFonts w:hint="eastAsia" w:ascii="宋体" w:hAnsi="宋体"/>
                <w:bCs/>
                <w:color w:val="auto"/>
                <w:kern w:val="2"/>
                <w:highlight w:val="none"/>
                <w:lang w:val="en-US" w:eastAsia="zh-CN"/>
              </w:rPr>
              <w:t>6</w:t>
            </w:r>
            <w:r>
              <w:rPr>
                <w:rFonts w:hint="eastAsia" w:ascii="宋体" w:hAnsi="宋体"/>
                <w:bCs/>
                <w:color w:val="auto"/>
                <w:kern w:val="2"/>
                <w:highlight w:val="none"/>
              </w:rPr>
              <w:t>0</w:t>
            </w:r>
            <w:r>
              <w:rPr>
                <w:rFonts w:ascii="宋体" w:hAnsi="宋体"/>
                <w:color w:val="auto"/>
                <w:kern w:val="2"/>
                <w:highlight w:val="none"/>
              </w:rPr>
              <w:t>分</w:t>
            </w:r>
          </w:p>
        </w:tc>
        <w:tc>
          <w:tcPr>
            <w:tcW w:w="6473" w:type="dxa"/>
            <w:gridSpan w:val="2"/>
            <w:vAlign w:val="center"/>
          </w:tcPr>
          <w:p>
            <w:pPr>
              <w:widowControl w:val="0"/>
              <w:spacing w:before="0" w:after="0" w:afterAutospacing="0" w:line="276" w:lineRule="auto"/>
              <w:ind w:left="0" w:right="0" w:firstLine="0"/>
              <w:rPr>
                <w:rFonts w:ascii="宋体" w:hAnsi="宋体"/>
                <w:color w:val="auto"/>
                <w:kern w:val="2"/>
                <w:highlight w:val="none"/>
              </w:rPr>
            </w:pPr>
          </w:p>
        </w:tc>
      </w:tr>
    </w:tbl>
    <w:p>
      <w:pPr>
        <w:rPr>
          <w:rFonts w:hint="eastAsia"/>
          <w:sz w:val="21"/>
          <w:szCs w:val="21"/>
          <w:highlight w:val="none"/>
        </w:rPr>
      </w:pPr>
      <w:r>
        <w:rPr>
          <w:rFonts w:hint="eastAsia"/>
          <w:sz w:val="21"/>
          <w:szCs w:val="21"/>
          <w:highlight w:val="none"/>
        </w:rPr>
        <w:br w:type="page"/>
      </w:r>
    </w:p>
    <w:p>
      <w:pPr>
        <w:pStyle w:val="6"/>
        <w:rPr>
          <w:sz w:val="21"/>
          <w:szCs w:val="21"/>
          <w:highlight w:val="none"/>
        </w:rPr>
      </w:pPr>
      <w:r>
        <w:rPr>
          <w:rFonts w:hint="eastAsia"/>
          <w:sz w:val="21"/>
          <w:szCs w:val="21"/>
          <w:highlight w:val="none"/>
        </w:rPr>
        <w:t>附表四 比选报价评分表</w:t>
      </w:r>
    </w:p>
    <w:p>
      <w:pPr>
        <w:widowControl w:val="0"/>
        <w:spacing w:before="0" w:after="0" w:afterAutospacing="0"/>
        <w:ind w:left="0" w:right="0" w:firstLine="0"/>
        <w:jc w:val="center"/>
        <w:rPr>
          <w:rFonts w:ascii="宋体" w:hAnsi="宋体"/>
          <w:kern w:val="2"/>
          <w:highlight w:val="none"/>
        </w:rPr>
      </w:pPr>
      <w:r>
        <w:rPr>
          <w:rFonts w:hint="eastAsia" w:ascii="Calibri" w:hAnsi="宋体"/>
          <w:b/>
          <w:kern w:val="2"/>
          <w:sz w:val="24"/>
          <w:szCs w:val="24"/>
          <w:highlight w:val="none"/>
        </w:rPr>
        <w:t>比选报价评分表</w:t>
      </w:r>
    </w:p>
    <w:p>
      <w:pPr>
        <w:widowControl w:val="0"/>
        <w:spacing w:before="0" w:after="0" w:afterAutospacing="0"/>
        <w:ind w:left="869" w:leftChars="414" w:right="0" w:firstLine="2433" w:firstLineChars="1159"/>
        <w:rPr>
          <w:rFonts w:ascii="宋体" w:hAnsi="宋体"/>
          <w:kern w:val="2"/>
          <w:highlight w:val="none"/>
        </w:rPr>
      </w:pPr>
    </w:p>
    <w:tbl>
      <w:tblPr>
        <w:tblStyle w:val="27"/>
        <w:tblpPr w:leftFromText="180" w:rightFromText="180" w:vertAnchor="page" w:horzAnchor="page" w:tblpX="1541" w:tblpY="3078"/>
        <w:tblW w:w="96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04"/>
        <w:gridCol w:w="3032"/>
        <w:gridCol w:w="2977"/>
        <w:gridCol w:w="1129"/>
        <w:gridCol w:w="7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7" w:hRule="atLeast"/>
          <w:tblHeader/>
          <w:jc w:val="center"/>
        </w:trPr>
        <w:tc>
          <w:tcPr>
            <w:tcW w:w="650" w:type="dxa"/>
            <w:vAlign w:val="center"/>
          </w:tcPr>
          <w:p>
            <w:pPr>
              <w:widowControl w:val="0"/>
              <w:spacing w:before="0" w:after="0" w:afterAutospacing="0" w:line="240" w:lineRule="auto"/>
              <w:ind w:left="0" w:right="0" w:firstLine="0"/>
              <w:jc w:val="center"/>
              <w:rPr>
                <w:rFonts w:ascii="宋体" w:hAnsi="宋体"/>
                <w:b/>
                <w:kern w:val="2"/>
                <w:highlight w:val="none"/>
              </w:rPr>
            </w:pPr>
            <w:r>
              <w:rPr>
                <w:rFonts w:ascii="宋体" w:hAnsi="宋体"/>
                <w:b/>
                <w:kern w:val="2"/>
                <w:highlight w:val="none"/>
              </w:rPr>
              <w:t>序号</w:t>
            </w:r>
          </w:p>
        </w:tc>
        <w:tc>
          <w:tcPr>
            <w:tcW w:w="1104" w:type="dxa"/>
            <w:vAlign w:val="center"/>
          </w:tcPr>
          <w:p>
            <w:pPr>
              <w:widowControl w:val="0"/>
              <w:spacing w:before="0" w:after="0" w:afterAutospacing="0" w:line="240" w:lineRule="auto"/>
              <w:ind w:left="0" w:right="0" w:firstLine="0"/>
              <w:jc w:val="center"/>
              <w:rPr>
                <w:rFonts w:ascii="宋体" w:hAnsi="宋体"/>
                <w:b/>
                <w:kern w:val="2"/>
                <w:highlight w:val="none"/>
              </w:rPr>
            </w:pPr>
            <w:r>
              <w:rPr>
                <w:rFonts w:ascii="宋体" w:hAnsi="宋体"/>
                <w:b/>
                <w:kern w:val="2"/>
                <w:highlight w:val="none"/>
              </w:rPr>
              <w:t>项目</w:t>
            </w:r>
          </w:p>
        </w:tc>
        <w:tc>
          <w:tcPr>
            <w:tcW w:w="3032" w:type="dxa"/>
            <w:vAlign w:val="center"/>
          </w:tcPr>
          <w:p>
            <w:pPr>
              <w:widowControl w:val="0"/>
              <w:spacing w:before="0" w:after="0" w:afterAutospacing="0" w:line="240" w:lineRule="auto"/>
              <w:ind w:left="0" w:right="0" w:firstLine="0"/>
              <w:jc w:val="center"/>
              <w:rPr>
                <w:rFonts w:ascii="宋体" w:hAnsi="宋体"/>
                <w:b/>
                <w:kern w:val="2"/>
                <w:highlight w:val="none"/>
              </w:rPr>
            </w:pPr>
            <w:r>
              <w:rPr>
                <w:rFonts w:hint="eastAsia" w:ascii="宋体" w:hAnsi="宋体"/>
                <w:b/>
                <w:kern w:val="2"/>
                <w:highlight w:val="none"/>
              </w:rPr>
              <w:t>基准价</w:t>
            </w:r>
          </w:p>
        </w:tc>
        <w:tc>
          <w:tcPr>
            <w:tcW w:w="2977" w:type="dxa"/>
            <w:vAlign w:val="center"/>
          </w:tcPr>
          <w:p>
            <w:pPr>
              <w:widowControl w:val="0"/>
              <w:spacing w:before="0" w:after="0" w:afterAutospacing="0" w:line="240" w:lineRule="auto"/>
              <w:ind w:left="0" w:right="0" w:firstLine="0"/>
              <w:jc w:val="center"/>
              <w:rPr>
                <w:rFonts w:ascii="宋体" w:hAnsi="宋体"/>
                <w:b/>
                <w:kern w:val="2"/>
                <w:highlight w:val="none"/>
              </w:rPr>
            </w:pPr>
            <w:r>
              <w:rPr>
                <w:rFonts w:ascii="宋体" w:hAnsi="宋体"/>
                <w:b/>
                <w:kern w:val="2"/>
                <w:highlight w:val="none"/>
              </w:rPr>
              <w:t>评分标准</w:t>
            </w:r>
          </w:p>
        </w:tc>
        <w:tc>
          <w:tcPr>
            <w:tcW w:w="1129" w:type="dxa"/>
            <w:vAlign w:val="center"/>
          </w:tcPr>
          <w:p>
            <w:pPr>
              <w:widowControl w:val="0"/>
              <w:spacing w:before="0" w:after="0" w:afterAutospacing="0" w:line="240" w:lineRule="auto"/>
              <w:ind w:left="0" w:right="0" w:firstLine="0"/>
              <w:jc w:val="center"/>
              <w:rPr>
                <w:rFonts w:ascii="宋体" w:hAnsi="宋体"/>
                <w:b/>
                <w:kern w:val="2"/>
                <w:highlight w:val="none"/>
              </w:rPr>
            </w:pPr>
            <w:r>
              <w:rPr>
                <w:rFonts w:ascii="宋体" w:hAnsi="宋体"/>
                <w:b/>
                <w:kern w:val="2"/>
                <w:highlight w:val="none"/>
              </w:rPr>
              <w:t>分值</w:t>
            </w:r>
          </w:p>
        </w:tc>
        <w:tc>
          <w:tcPr>
            <w:tcW w:w="708" w:type="dxa"/>
            <w:vAlign w:val="center"/>
          </w:tcPr>
          <w:p>
            <w:pPr>
              <w:widowControl w:val="0"/>
              <w:spacing w:before="0" w:after="0" w:afterAutospacing="0" w:line="240" w:lineRule="auto"/>
              <w:ind w:left="0" w:right="0" w:firstLine="0"/>
              <w:jc w:val="center"/>
              <w:rPr>
                <w:rFonts w:ascii="宋体" w:hAnsi="宋体"/>
                <w:b/>
                <w:kern w:val="2"/>
                <w:highlight w:val="none"/>
              </w:rPr>
            </w:pPr>
            <w:r>
              <w:rPr>
                <w:rFonts w:ascii="宋体" w:hAnsi="宋体"/>
                <w:b/>
                <w:kern w:val="2"/>
                <w:highlight w:val="none"/>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12" w:hRule="exact"/>
          <w:jc w:val="center"/>
        </w:trPr>
        <w:tc>
          <w:tcPr>
            <w:tcW w:w="650" w:type="dxa"/>
            <w:vAlign w:val="center"/>
          </w:tcPr>
          <w:p>
            <w:pPr>
              <w:widowControl w:val="0"/>
              <w:spacing w:before="0" w:after="0" w:afterAutospacing="0" w:line="240" w:lineRule="auto"/>
              <w:ind w:left="0" w:right="0" w:firstLine="0"/>
              <w:jc w:val="center"/>
              <w:rPr>
                <w:rFonts w:ascii="宋体" w:hAnsi="宋体"/>
                <w:kern w:val="2"/>
                <w:highlight w:val="none"/>
              </w:rPr>
            </w:pPr>
            <w:r>
              <w:rPr>
                <w:rFonts w:hint="eastAsia" w:ascii="宋体" w:hAnsi="宋体"/>
                <w:kern w:val="2"/>
                <w:highlight w:val="none"/>
              </w:rPr>
              <w:t>1</w:t>
            </w:r>
          </w:p>
        </w:tc>
        <w:tc>
          <w:tcPr>
            <w:tcW w:w="1104" w:type="dxa"/>
            <w:vAlign w:val="center"/>
          </w:tcPr>
          <w:p>
            <w:pPr>
              <w:widowControl w:val="0"/>
              <w:spacing w:before="0" w:after="0" w:afterAutospacing="0"/>
              <w:ind w:left="0" w:right="0" w:firstLine="0"/>
              <w:jc w:val="left"/>
              <w:rPr>
                <w:rFonts w:ascii="宋体" w:hAnsi="宋体"/>
                <w:kern w:val="2"/>
                <w:highlight w:val="none"/>
              </w:rPr>
            </w:pPr>
            <w:r>
              <w:rPr>
                <w:rFonts w:hint="eastAsia" w:ascii="宋体" w:hAnsi="宋体"/>
                <w:kern w:val="2"/>
                <w:highlight w:val="none"/>
              </w:rPr>
              <w:t>比选报价</w:t>
            </w:r>
          </w:p>
        </w:tc>
        <w:tc>
          <w:tcPr>
            <w:tcW w:w="3032" w:type="dxa"/>
            <w:vAlign w:val="center"/>
          </w:tcPr>
          <w:p>
            <w:pPr>
              <w:widowControl w:val="0"/>
              <w:snapToGrid w:val="0"/>
              <w:ind w:left="0" w:firstLine="0"/>
              <w:jc w:val="left"/>
              <w:rPr>
                <w:rFonts w:hint="eastAsia" w:ascii="宋体" w:hAnsi="宋体" w:eastAsia="宋体"/>
                <w:b/>
                <w:kern w:val="2"/>
                <w:highlight w:val="none"/>
                <w:lang w:eastAsia="zh-CN"/>
              </w:rPr>
            </w:pPr>
            <w:r>
              <w:rPr>
                <w:rFonts w:hint="eastAsia" w:ascii="宋体" w:hAnsi="宋体"/>
                <w:b/>
                <w:kern w:val="2"/>
                <w:highlight w:val="none"/>
              </w:rPr>
              <w:t>进入商务文件评审的比选申请</w:t>
            </w:r>
          </w:p>
          <w:p>
            <w:pPr>
              <w:widowControl w:val="0"/>
              <w:snapToGrid w:val="0"/>
              <w:ind w:left="0" w:firstLine="0"/>
              <w:jc w:val="left"/>
              <w:rPr>
                <w:rFonts w:ascii="宋体" w:hAnsi="宋体"/>
                <w:kern w:val="2"/>
                <w:highlight w:val="none"/>
              </w:rPr>
            </w:pPr>
            <w:r>
              <w:rPr>
                <w:rFonts w:hint="eastAsia" w:ascii="宋体" w:hAnsi="宋体"/>
                <w:b/>
                <w:kern w:val="2"/>
                <w:highlight w:val="none"/>
              </w:rPr>
              <w:t>人才能进行价格分评审。</w:t>
            </w:r>
            <w:r>
              <w:rPr>
                <w:rFonts w:hint="eastAsia" w:ascii="宋体" w:hAnsi="宋体" w:cs="宋体"/>
                <w:kern w:val="2"/>
                <w:szCs w:val="24"/>
                <w:highlight w:val="none"/>
              </w:rPr>
              <w:t>（1）有效报价范围：为投标总价低于或等于比选控制价，通过资格评审、符合性评审、技术评审的，经评标委员会审定不存在严重不平衡、不合理、不低于其企业成本的比选申请人的投标总价。（2）在有效报价范围内，满足比选文件要求且投标报价最低的投标报价为评标基准价，基准价报价得分为40分。</w:t>
            </w:r>
          </w:p>
        </w:tc>
        <w:tc>
          <w:tcPr>
            <w:tcW w:w="2977" w:type="dxa"/>
            <w:vAlign w:val="center"/>
          </w:tcPr>
          <w:p>
            <w:pPr>
              <w:widowControl w:val="0"/>
              <w:spacing w:before="0" w:after="0" w:afterAutospacing="0"/>
              <w:ind w:left="0" w:right="0" w:firstLine="420" w:firstLineChars="200"/>
              <w:jc w:val="left"/>
              <w:rPr>
                <w:rFonts w:ascii="宋体" w:hAnsi="宋体"/>
                <w:kern w:val="2"/>
                <w:highlight w:val="none"/>
              </w:rPr>
            </w:pPr>
            <w:r>
              <w:rPr>
                <w:rFonts w:hint="eastAsia" w:ascii="宋体" w:hAnsi="宋体" w:cs="宋体"/>
                <w:kern w:val="2"/>
                <w:szCs w:val="24"/>
                <w:highlight w:val="none"/>
              </w:rPr>
              <w:t>比选申请人有效报价每高于基准价1%，扣2分，计算公式：报价得分=40－（投标人的报价－基准价）/基准价×2×100 ，本项最低分0分。计算结果保留小数点后2位。</w:t>
            </w:r>
          </w:p>
        </w:tc>
        <w:tc>
          <w:tcPr>
            <w:tcW w:w="1129" w:type="dxa"/>
            <w:vAlign w:val="center"/>
          </w:tcPr>
          <w:p>
            <w:pPr>
              <w:widowControl w:val="0"/>
              <w:spacing w:before="0" w:after="0" w:afterAutospacing="0"/>
              <w:ind w:left="0" w:right="0" w:firstLine="0"/>
              <w:rPr>
                <w:rFonts w:ascii="宋体" w:hAnsi="宋体"/>
                <w:kern w:val="2"/>
                <w:highlight w:val="none"/>
              </w:rPr>
            </w:pPr>
            <w:r>
              <w:rPr>
                <w:rFonts w:ascii="宋体" w:hAnsi="宋体"/>
                <w:kern w:val="2"/>
                <w:highlight w:val="none"/>
              </w:rPr>
              <w:t>0</w:t>
            </w:r>
            <w:r>
              <w:rPr>
                <w:rFonts w:hint="eastAsia" w:ascii="宋体" w:hAnsi="宋体"/>
                <w:kern w:val="2"/>
                <w:highlight w:val="none"/>
              </w:rPr>
              <w:t>≤</w:t>
            </w:r>
            <w:r>
              <w:rPr>
                <w:rFonts w:ascii="宋体" w:hAnsi="宋体"/>
                <w:kern w:val="2"/>
                <w:highlight w:val="none"/>
              </w:rPr>
              <w:t>m</w:t>
            </w:r>
            <w:r>
              <w:rPr>
                <w:rFonts w:hint="eastAsia" w:ascii="宋体" w:hAnsi="宋体"/>
                <w:kern w:val="2"/>
                <w:highlight w:val="none"/>
              </w:rPr>
              <w:t>≤</w:t>
            </w:r>
            <w:r>
              <w:rPr>
                <w:rFonts w:hint="eastAsia" w:ascii="宋体" w:hAnsi="宋体"/>
                <w:kern w:val="2"/>
                <w:highlight w:val="none"/>
                <w:lang w:val="en-US" w:eastAsia="zh-CN"/>
              </w:rPr>
              <w:t>4</w:t>
            </w:r>
            <w:r>
              <w:rPr>
                <w:rFonts w:hint="eastAsia" w:ascii="宋体" w:hAnsi="宋体"/>
                <w:kern w:val="2"/>
                <w:highlight w:val="none"/>
              </w:rPr>
              <w:t>0</w:t>
            </w:r>
          </w:p>
        </w:tc>
        <w:tc>
          <w:tcPr>
            <w:tcW w:w="708" w:type="dxa"/>
            <w:vAlign w:val="center"/>
          </w:tcPr>
          <w:p>
            <w:pPr>
              <w:widowControl w:val="0"/>
              <w:spacing w:before="0" w:after="0" w:afterAutospacing="0"/>
              <w:ind w:left="0" w:right="0" w:firstLine="420" w:firstLineChars="200"/>
              <w:rPr>
                <w:rFonts w:ascii="宋体" w:hAnsi="宋体"/>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46" w:hRule="exact"/>
          <w:jc w:val="center"/>
        </w:trPr>
        <w:tc>
          <w:tcPr>
            <w:tcW w:w="1754" w:type="dxa"/>
            <w:gridSpan w:val="2"/>
          </w:tcPr>
          <w:p>
            <w:pPr>
              <w:widowControl w:val="0"/>
              <w:spacing w:before="0" w:after="0" w:afterAutospacing="0"/>
              <w:ind w:left="0" w:right="0" w:firstLine="420" w:firstLineChars="200"/>
              <w:rPr>
                <w:rFonts w:ascii="宋体" w:hAnsi="宋体"/>
                <w:kern w:val="2"/>
                <w:highlight w:val="none"/>
              </w:rPr>
            </w:pPr>
          </w:p>
        </w:tc>
        <w:tc>
          <w:tcPr>
            <w:tcW w:w="3032" w:type="dxa"/>
          </w:tcPr>
          <w:p>
            <w:pPr>
              <w:widowControl w:val="0"/>
              <w:spacing w:before="0" w:after="0" w:afterAutospacing="0"/>
              <w:ind w:left="0" w:right="0" w:firstLine="420" w:firstLineChars="200"/>
              <w:rPr>
                <w:rFonts w:ascii="宋体" w:hAnsi="宋体"/>
                <w:kern w:val="2"/>
                <w:highlight w:val="none"/>
              </w:rPr>
            </w:pPr>
          </w:p>
        </w:tc>
        <w:tc>
          <w:tcPr>
            <w:tcW w:w="2977" w:type="dxa"/>
            <w:vAlign w:val="center"/>
          </w:tcPr>
          <w:p>
            <w:pPr>
              <w:widowControl w:val="0"/>
              <w:spacing w:before="0" w:after="0" w:afterAutospacing="0" w:line="240" w:lineRule="auto"/>
              <w:ind w:left="0" w:right="0" w:firstLine="0"/>
              <w:jc w:val="center"/>
              <w:rPr>
                <w:rFonts w:ascii="宋体" w:hAnsi="宋体"/>
                <w:kern w:val="2"/>
                <w:highlight w:val="none"/>
              </w:rPr>
            </w:pPr>
            <w:r>
              <w:rPr>
                <w:rFonts w:hint="eastAsia" w:ascii="宋体" w:hAnsi="宋体"/>
                <w:kern w:val="2"/>
                <w:highlight w:val="none"/>
                <w:lang w:val="en-US" w:eastAsia="zh-CN"/>
              </w:rPr>
              <w:t>4</w:t>
            </w:r>
            <w:r>
              <w:rPr>
                <w:rFonts w:hint="eastAsia" w:ascii="宋体" w:hAnsi="宋体"/>
                <w:kern w:val="2"/>
                <w:highlight w:val="none"/>
              </w:rPr>
              <w:t>0</w:t>
            </w:r>
          </w:p>
        </w:tc>
        <w:tc>
          <w:tcPr>
            <w:tcW w:w="1129" w:type="dxa"/>
            <w:vAlign w:val="center"/>
          </w:tcPr>
          <w:p>
            <w:pPr>
              <w:widowControl w:val="0"/>
              <w:spacing w:before="0" w:after="0" w:afterAutospacing="0"/>
              <w:ind w:left="0" w:right="0" w:firstLine="420" w:firstLineChars="200"/>
              <w:jc w:val="center"/>
              <w:rPr>
                <w:rFonts w:ascii="宋体" w:hAnsi="宋体"/>
                <w:kern w:val="2"/>
                <w:highlight w:val="none"/>
              </w:rPr>
            </w:pPr>
          </w:p>
        </w:tc>
        <w:tc>
          <w:tcPr>
            <w:tcW w:w="708" w:type="dxa"/>
          </w:tcPr>
          <w:p>
            <w:pPr>
              <w:widowControl w:val="0"/>
              <w:spacing w:before="0" w:after="0" w:afterAutospacing="0"/>
              <w:ind w:left="0" w:right="0" w:firstLine="420" w:firstLineChars="200"/>
              <w:rPr>
                <w:rFonts w:ascii="宋体" w:hAnsi="宋体"/>
                <w:kern w:val="2"/>
                <w:highlight w:val="none"/>
              </w:rPr>
            </w:pPr>
          </w:p>
        </w:tc>
      </w:tr>
    </w:tbl>
    <w:p>
      <w:pPr>
        <w:tabs>
          <w:tab w:val="left" w:pos="1276"/>
        </w:tabs>
        <w:spacing w:before="0" w:after="0"/>
        <w:ind w:left="420" w:right="0" w:firstLine="0"/>
        <w:jc w:val="left"/>
        <w:rPr>
          <w:rFonts w:ascii="宋体" w:hAnsi="宋体"/>
          <w:b/>
          <w:highlight w:val="none"/>
        </w:rPr>
        <w:sectPr>
          <w:pgSz w:w="11905" w:h="16838"/>
          <w:pgMar w:top="1418" w:right="1418" w:bottom="1304" w:left="1418" w:header="454" w:footer="567" w:gutter="0"/>
          <w:cols w:space="720" w:num="1"/>
          <w:docGrid w:linePitch="312" w:charSpace="0"/>
        </w:sectPr>
      </w:pPr>
      <w:r>
        <w:rPr>
          <w:rFonts w:hint="eastAsia" w:ascii="Calibri" w:hAnsi="宋体"/>
          <w:bCs/>
          <w:kern w:val="2"/>
          <w:highlight w:val="none"/>
        </w:rPr>
        <w:t>注：比选报价如有修正，需填写附表《比选报价修正表》并由比选人代表签字确认。</w:t>
      </w:r>
    </w:p>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p>
      <w:pPr>
        <w:widowControl w:val="0"/>
        <w:spacing w:before="0" w:after="0" w:afterAutospacing="0"/>
        <w:ind w:left="0" w:right="0" w:firstLine="0"/>
        <w:rPr>
          <w:rFonts w:ascii="Calibri" w:hAnsi="宋体"/>
          <w:bCs/>
          <w:kern w:val="2"/>
          <w:highlight w:val="none"/>
        </w:rPr>
      </w:pPr>
      <w:bookmarkStart w:id="1654" w:name="_Toc6102"/>
      <w:bookmarkStart w:id="1655" w:name="_Toc492478850"/>
      <w:bookmarkStart w:id="1656" w:name="_Toc31487"/>
      <w:bookmarkStart w:id="1657" w:name="_Toc22635"/>
      <w:bookmarkStart w:id="1658" w:name="_Toc12984826"/>
      <w:bookmarkStart w:id="1659" w:name="_Toc5811"/>
      <w:bookmarkStart w:id="1660" w:name="_Toc5737"/>
      <w:bookmarkStart w:id="1661" w:name="_Toc9343"/>
      <w:bookmarkStart w:id="1662" w:name="_Toc20215"/>
      <w:bookmarkStart w:id="1663" w:name="_Toc1459"/>
      <w:bookmarkStart w:id="1664" w:name="_Toc3409"/>
      <w:bookmarkStart w:id="1665" w:name="_Toc191"/>
      <w:bookmarkStart w:id="1666" w:name="_Toc29670"/>
      <w:bookmarkStart w:id="1667" w:name="_Toc6612"/>
      <w:bookmarkStart w:id="1668" w:name="_Toc7852"/>
      <w:bookmarkStart w:id="1669" w:name="_Toc25123"/>
      <w:bookmarkStart w:id="1670" w:name="_Toc12983557"/>
      <w:bookmarkStart w:id="1671" w:name="_Toc19299"/>
      <w:bookmarkStart w:id="1672" w:name="_Toc15103"/>
      <w:bookmarkStart w:id="1673" w:name="_Toc8945"/>
    </w:p>
    <w:p>
      <w:pPr>
        <w:pStyle w:val="6"/>
        <w:ind w:left="0" w:firstLine="0"/>
        <w:rPr>
          <w:sz w:val="21"/>
          <w:szCs w:val="21"/>
          <w:highlight w:val="none"/>
        </w:rPr>
      </w:pPr>
      <w:bookmarkStart w:id="1674" w:name="_Toc474847277"/>
      <w:bookmarkStart w:id="1675" w:name="_Toc47864327"/>
      <w:r>
        <w:rPr>
          <w:sz w:val="21"/>
          <w:szCs w:val="21"/>
          <w:highlight w:val="none"/>
        </w:rPr>
        <w:t>附表</w:t>
      </w:r>
      <w:r>
        <w:rPr>
          <w:rFonts w:hint="eastAsia"/>
          <w:sz w:val="21"/>
          <w:szCs w:val="21"/>
          <w:highlight w:val="none"/>
        </w:rPr>
        <w:t xml:space="preserve">五 </w:t>
      </w:r>
      <w:r>
        <w:rPr>
          <w:sz w:val="21"/>
          <w:szCs w:val="21"/>
          <w:highlight w:val="none"/>
        </w:rPr>
        <w:t xml:space="preserve"> 综合</w:t>
      </w:r>
      <w:r>
        <w:rPr>
          <w:rFonts w:hint="eastAsia"/>
          <w:sz w:val="21"/>
          <w:szCs w:val="21"/>
          <w:highlight w:val="none"/>
        </w:rPr>
        <w:t>评审</w:t>
      </w:r>
      <w:r>
        <w:rPr>
          <w:sz w:val="21"/>
          <w:szCs w:val="21"/>
          <w:highlight w:val="none"/>
        </w:rPr>
        <w:t>得分表</w:t>
      </w:r>
      <w:bookmarkEnd w:id="1674"/>
      <w:bookmarkEnd w:id="1675"/>
    </w:p>
    <w:p>
      <w:pPr>
        <w:jc w:val="center"/>
        <w:rPr>
          <w:b/>
          <w:bCs/>
          <w:sz w:val="24"/>
          <w:szCs w:val="24"/>
          <w:highlight w:val="none"/>
        </w:rPr>
      </w:pPr>
      <w:r>
        <w:rPr>
          <w:b/>
          <w:bCs/>
          <w:sz w:val="24"/>
          <w:szCs w:val="24"/>
          <w:highlight w:val="none"/>
        </w:rPr>
        <w:t>综合</w:t>
      </w:r>
      <w:r>
        <w:rPr>
          <w:rFonts w:hint="eastAsia"/>
          <w:b/>
          <w:bCs/>
          <w:sz w:val="24"/>
          <w:szCs w:val="24"/>
          <w:highlight w:val="none"/>
        </w:rPr>
        <w:t>评审</w:t>
      </w:r>
      <w:r>
        <w:rPr>
          <w:b/>
          <w:bCs/>
          <w:sz w:val="24"/>
          <w:szCs w:val="24"/>
          <w:highlight w:val="none"/>
        </w:rPr>
        <w:t>得分表</w:t>
      </w:r>
    </w:p>
    <w:tbl>
      <w:tblPr>
        <w:tblStyle w:val="27"/>
        <w:tblW w:w="85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4"/>
        <w:gridCol w:w="2607"/>
        <w:gridCol w:w="2016"/>
        <w:gridCol w:w="29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964" w:type="dxa"/>
            <w:vAlign w:val="center"/>
          </w:tcPr>
          <w:p>
            <w:pPr>
              <w:widowControl w:val="0"/>
              <w:spacing w:before="0" w:after="0" w:afterAutospacing="0" w:line="240" w:lineRule="auto"/>
              <w:ind w:left="0" w:right="0" w:firstLine="0"/>
              <w:jc w:val="center"/>
              <w:rPr>
                <w:rFonts w:ascii="宋体" w:hAnsi="宋体"/>
                <w:kern w:val="2"/>
                <w:highlight w:val="none"/>
              </w:rPr>
            </w:pPr>
            <w:r>
              <w:rPr>
                <w:rFonts w:ascii="宋体" w:hAnsi="宋体"/>
                <w:kern w:val="2"/>
                <w:highlight w:val="none"/>
              </w:rPr>
              <w:t>序号</w:t>
            </w:r>
          </w:p>
        </w:tc>
        <w:tc>
          <w:tcPr>
            <w:tcW w:w="2607" w:type="dxa"/>
            <w:vAlign w:val="center"/>
          </w:tcPr>
          <w:p>
            <w:pPr>
              <w:widowControl w:val="0"/>
              <w:spacing w:before="0" w:after="0" w:afterAutospacing="0" w:line="240" w:lineRule="auto"/>
              <w:ind w:left="0" w:right="0" w:firstLine="0"/>
              <w:jc w:val="center"/>
              <w:rPr>
                <w:rFonts w:ascii="宋体" w:hAnsi="宋体"/>
                <w:kern w:val="2"/>
                <w:highlight w:val="none"/>
              </w:rPr>
            </w:pPr>
            <w:r>
              <w:rPr>
                <w:rFonts w:ascii="宋体" w:hAnsi="宋体"/>
                <w:kern w:val="2"/>
                <w:highlight w:val="none"/>
              </w:rPr>
              <w:t>项　目</w:t>
            </w:r>
          </w:p>
        </w:tc>
        <w:tc>
          <w:tcPr>
            <w:tcW w:w="2016" w:type="dxa"/>
            <w:vAlign w:val="center"/>
          </w:tcPr>
          <w:p>
            <w:pPr>
              <w:widowControl w:val="0"/>
              <w:spacing w:before="0" w:after="0" w:afterAutospacing="0" w:line="240" w:lineRule="auto"/>
              <w:ind w:left="0" w:right="0" w:firstLine="0"/>
              <w:jc w:val="center"/>
              <w:rPr>
                <w:rFonts w:ascii="宋体" w:hAnsi="宋体"/>
                <w:kern w:val="2"/>
                <w:highlight w:val="none"/>
              </w:rPr>
            </w:pPr>
            <w:r>
              <w:rPr>
                <w:rFonts w:hint="eastAsia" w:ascii="宋体" w:hAnsi="宋体"/>
                <w:kern w:val="2"/>
                <w:highlight w:val="none"/>
              </w:rPr>
              <w:t>满分</w:t>
            </w:r>
          </w:p>
        </w:tc>
        <w:tc>
          <w:tcPr>
            <w:tcW w:w="2916" w:type="dxa"/>
            <w:vAlign w:val="center"/>
          </w:tcPr>
          <w:p>
            <w:pPr>
              <w:widowControl w:val="0"/>
              <w:spacing w:before="0" w:after="0" w:afterAutospacing="0" w:line="240" w:lineRule="auto"/>
              <w:ind w:left="0" w:right="0" w:firstLine="0"/>
              <w:jc w:val="center"/>
              <w:rPr>
                <w:rFonts w:ascii="宋体" w:hAnsi="宋体"/>
                <w:kern w:val="2"/>
                <w:highlight w:val="none"/>
              </w:rPr>
            </w:pPr>
            <w:r>
              <w:rPr>
                <w:rFonts w:ascii="宋体" w:hAnsi="宋体"/>
                <w:kern w:val="2"/>
                <w:highlight w:val="none"/>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964" w:type="dxa"/>
            <w:vAlign w:val="center"/>
          </w:tcPr>
          <w:p>
            <w:pPr>
              <w:widowControl w:val="0"/>
              <w:spacing w:before="0" w:after="0" w:afterAutospacing="0" w:line="240" w:lineRule="auto"/>
              <w:ind w:left="0" w:right="0" w:firstLine="0"/>
              <w:jc w:val="center"/>
              <w:rPr>
                <w:rFonts w:ascii="宋体" w:hAnsi="宋体"/>
                <w:kern w:val="2"/>
                <w:highlight w:val="none"/>
              </w:rPr>
            </w:pPr>
            <w:r>
              <w:rPr>
                <w:rFonts w:hint="eastAsia" w:ascii="宋体" w:hAnsi="宋体"/>
                <w:kern w:val="2"/>
                <w:highlight w:val="none"/>
              </w:rPr>
              <w:t>1</w:t>
            </w:r>
          </w:p>
        </w:tc>
        <w:tc>
          <w:tcPr>
            <w:tcW w:w="2607" w:type="dxa"/>
            <w:vAlign w:val="center"/>
          </w:tcPr>
          <w:p>
            <w:pPr>
              <w:widowControl w:val="0"/>
              <w:spacing w:before="0" w:after="0" w:afterAutospacing="0" w:line="240" w:lineRule="auto"/>
              <w:ind w:left="0" w:right="0" w:firstLine="0"/>
              <w:jc w:val="center"/>
              <w:rPr>
                <w:rFonts w:ascii="宋体" w:hAnsi="宋体"/>
                <w:kern w:val="2"/>
                <w:highlight w:val="none"/>
              </w:rPr>
            </w:pPr>
            <w:r>
              <w:rPr>
                <w:rFonts w:ascii="宋体" w:hAnsi="宋体"/>
                <w:kern w:val="2"/>
                <w:highlight w:val="none"/>
              </w:rPr>
              <w:t>技术</w:t>
            </w:r>
            <w:r>
              <w:rPr>
                <w:rFonts w:hint="eastAsia" w:ascii="宋体" w:hAnsi="宋体"/>
                <w:kern w:val="2"/>
                <w:highlight w:val="none"/>
              </w:rPr>
              <w:t>文件</w:t>
            </w:r>
            <w:r>
              <w:rPr>
                <w:rFonts w:ascii="宋体" w:hAnsi="宋体"/>
                <w:kern w:val="2"/>
                <w:highlight w:val="none"/>
              </w:rPr>
              <w:t>得分</w:t>
            </w:r>
          </w:p>
        </w:tc>
        <w:tc>
          <w:tcPr>
            <w:tcW w:w="2016" w:type="dxa"/>
            <w:vAlign w:val="center"/>
          </w:tcPr>
          <w:p>
            <w:pPr>
              <w:widowControl w:val="0"/>
              <w:spacing w:before="0" w:after="0" w:afterAutospacing="0" w:line="240" w:lineRule="auto"/>
              <w:ind w:left="0" w:right="0" w:firstLine="0"/>
              <w:jc w:val="center"/>
              <w:rPr>
                <w:rFonts w:ascii="宋体" w:hAnsi="宋体"/>
                <w:kern w:val="2"/>
                <w:highlight w:val="none"/>
              </w:rPr>
            </w:pPr>
            <w:r>
              <w:rPr>
                <w:rFonts w:hint="eastAsia" w:ascii="宋体" w:hAnsi="宋体"/>
                <w:kern w:val="2"/>
                <w:highlight w:val="none"/>
                <w:lang w:val="en-US" w:eastAsia="zh-CN"/>
              </w:rPr>
              <w:t>6</w:t>
            </w:r>
            <w:r>
              <w:rPr>
                <w:rFonts w:hint="eastAsia" w:ascii="宋体" w:hAnsi="宋体"/>
                <w:kern w:val="2"/>
                <w:highlight w:val="none"/>
              </w:rPr>
              <w:t>0</w:t>
            </w:r>
          </w:p>
        </w:tc>
        <w:tc>
          <w:tcPr>
            <w:tcW w:w="2916" w:type="dxa"/>
            <w:vAlign w:val="center"/>
          </w:tcPr>
          <w:p>
            <w:pPr>
              <w:widowControl w:val="0"/>
              <w:spacing w:before="0" w:after="0" w:afterAutospacing="0" w:line="240" w:lineRule="auto"/>
              <w:ind w:left="0" w:right="0" w:firstLine="420" w:firstLineChars="200"/>
              <w:jc w:val="center"/>
              <w:rPr>
                <w:rFonts w:ascii="宋体" w:hAnsi="宋体"/>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964" w:type="dxa"/>
            <w:vAlign w:val="center"/>
          </w:tcPr>
          <w:p>
            <w:pPr>
              <w:widowControl w:val="0"/>
              <w:spacing w:before="0" w:after="0" w:afterAutospacing="0" w:line="240" w:lineRule="auto"/>
              <w:ind w:left="0" w:right="0" w:firstLine="0"/>
              <w:jc w:val="center"/>
              <w:rPr>
                <w:rFonts w:ascii="宋体" w:hAnsi="宋体"/>
                <w:kern w:val="2"/>
                <w:highlight w:val="none"/>
              </w:rPr>
            </w:pPr>
            <w:r>
              <w:rPr>
                <w:rFonts w:hint="eastAsia" w:ascii="宋体" w:hAnsi="宋体"/>
                <w:kern w:val="2"/>
                <w:highlight w:val="none"/>
              </w:rPr>
              <w:t>2</w:t>
            </w:r>
          </w:p>
        </w:tc>
        <w:tc>
          <w:tcPr>
            <w:tcW w:w="2607" w:type="dxa"/>
            <w:vAlign w:val="center"/>
          </w:tcPr>
          <w:p>
            <w:pPr>
              <w:widowControl w:val="0"/>
              <w:spacing w:before="0" w:after="0" w:afterAutospacing="0" w:line="240" w:lineRule="auto"/>
              <w:ind w:left="0" w:right="0" w:firstLine="0"/>
              <w:jc w:val="center"/>
              <w:rPr>
                <w:rFonts w:ascii="宋体" w:hAnsi="宋体"/>
                <w:kern w:val="2"/>
                <w:highlight w:val="none"/>
              </w:rPr>
            </w:pPr>
            <w:r>
              <w:rPr>
                <w:rFonts w:hint="eastAsia" w:ascii="宋体" w:hAnsi="宋体"/>
                <w:kern w:val="2"/>
                <w:highlight w:val="none"/>
              </w:rPr>
              <w:t>比选报价得分</w:t>
            </w:r>
          </w:p>
        </w:tc>
        <w:tc>
          <w:tcPr>
            <w:tcW w:w="2016" w:type="dxa"/>
            <w:vAlign w:val="center"/>
          </w:tcPr>
          <w:p>
            <w:pPr>
              <w:widowControl w:val="0"/>
              <w:spacing w:before="0" w:after="0" w:afterAutospacing="0" w:line="240" w:lineRule="auto"/>
              <w:ind w:left="0" w:right="0" w:firstLine="0"/>
              <w:jc w:val="center"/>
              <w:rPr>
                <w:rFonts w:ascii="宋体" w:hAnsi="宋体"/>
                <w:kern w:val="2"/>
                <w:highlight w:val="none"/>
              </w:rPr>
            </w:pPr>
            <w:r>
              <w:rPr>
                <w:rFonts w:hint="eastAsia" w:ascii="宋体" w:hAnsi="宋体"/>
                <w:kern w:val="2"/>
                <w:highlight w:val="none"/>
                <w:lang w:val="en-US" w:eastAsia="zh-CN"/>
              </w:rPr>
              <w:t>4</w:t>
            </w:r>
            <w:r>
              <w:rPr>
                <w:rFonts w:hint="eastAsia" w:ascii="宋体" w:hAnsi="宋体"/>
                <w:kern w:val="2"/>
                <w:highlight w:val="none"/>
              </w:rPr>
              <w:t>0</w:t>
            </w:r>
          </w:p>
        </w:tc>
        <w:tc>
          <w:tcPr>
            <w:tcW w:w="2916" w:type="dxa"/>
            <w:vAlign w:val="center"/>
          </w:tcPr>
          <w:p>
            <w:pPr>
              <w:widowControl w:val="0"/>
              <w:spacing w:before="0" w:after="0" w:afterAutospacing="0" w:line="240" w:lineRule="auto"/>
              <w:ind w:left="0" w:right="0" w:firstLine="420" w:firstLineChars="200"/>
              <w:jc w:val="center"/>
              <w:rPr>
                <w:rFonts w:ascii="宋体" w:hAnsi="宋体"/>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5587" w:type="dxa"/>
            <w:gridSpan w:val="3"/>
            <w:vAlign w:val="center"/>
          </w:tcPr>
          <w:p>
            <w:pPr>
              <w:widowControl w:val="0"/>
              <w:spacing w:before="0" w:after="0" w:afterAutospacing="0" w:line="240" w:lineRule="auto"/>
              <w:ind w:left="0" w:right="0" w:firstLine="0"/>
              <w:jc w:val="center"/>
              <w:rPr>
                <w:rFonts w:ascii="宋体" w:hAnsi="宋体"/>
                <w:kern w:val="2"/>
                <w:highlight w:val="none"/>
              </w:rPr>
            </w:pPr>
            <w:r>
              <w:rPr>
                <w:rFonts w:ascii="宋体" w:hAnsi="宋体"/>
                <w:kern w:val="2"/>
                <w:highlight w:val="none"/>
              </w:rPr>
              <w:t>最终得分（合计）</w:t>
            </w:r>
          </w:p>
        </w:tc>
        <w:tc>
          <w:tcPr>
            <w:tcW w:w="2916" w:type="dxa"/>
            <w:vAlign w:val="center"/>
          </w:tcPr>
          <w:p>
            <w:pPr>
              <w:widowControl w:val="0"/>
              <w:spacing w:before="0" w:after="0" w:afterAutospacing="0" w:line="240" w:lineRule="auto"/>
              <w:ind w:left="0" w:right="0" w:firstLine="420" w:firstLineChars="200"/>
              <w:jc w:val="center"/>
              <w:rPr>
                <w:rFonts w:ascii="宋体" w:hAnsi="宋体"/>
                <w:kern w:val="2"/>
                <w:highlight w:val="none"/>
              </w:rPr>
            </w:pPr>
          </w:p>
        </w:tc>
      </w:t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tbl>
    <w:p>
      <w:pPr>
        <w:rPr>
          <w:rFonts w:hint="eastAsia"/>
          <w:sz w:val="21"/>
          <w:szCs w:val="21"/>
          <w:highlight w:val="none"/>
        </w:rPr>
      </w:pPr>
      <w:bookmarkStart w:id="1676" w:name="_Toc9220"/>
      <w:bookmarkStart w:id="1677" w:name="_Toc24793"/>
      <w:bookmarkStart w:id="1678" w:name="_Toc22896"/>
      <w:bookmarkStart w:id="1679" w:name="_Toc32725"/>
      <w:bookmarkStart w:id="1680" w:name="_Toc21541"/>
      <w:bookmarkStart w:id="1681" w:name="_Toc13616"/>
      <w:bookmarkStart w:id="1682" w:name="_Toc12537"/>
      <w:bookmarkStart w:id="1683" w:name="_Toc492478858"/>
      <w:bookmarkStart w:id="1684" w:name="_Toc414290588"/>
      <w:bookmarkStart w:id="1685" w:name="_Toc10654"/>
      <w:bookmarkStart w:id="1686" w:name="_Toc11048"/>
      <w:bookmarkStart w:id="1687" w:name="_Toc22594"/>
      <w:bookmarkStart w:id="1688" w:name="_Toc6932"/>
      <w:bookmarkStart w:id="1689" w:name="_Toc1145"/>
      <w:bookmarkStart w:id="1690" w:name="_Toc1480"/>
      <w:bookmarkStart w:id="1691" w:name="_Toc10414"/>
      <w:bookmarkStart w:id="1692" w:name="_Toc6960"/>
      <w:bookmarkStart w:id="1693" w:name="_Toc4223"/>
      <w:bookmarkStart w:id="1694" w:name="_Toc20211"/>
      <w:bookmarkStart w:id="1695" w:name="_Toc8803"/>
      <w:bookmarkStart w:id="1696" w:name="_Toc27431"/>
      <w:r>
        <w:rPr>
          <w:rFonts w:hint="eastAsia"/>
          <w:sz w:val="21"/>
          <w:szCs w:val="21"/>
          <w:highlight w:val="none"/>
        </w:rPr>
        <w:br w:type="page"/>
      </w:r>
    </w:p>
    <w:p>
      <w:pPr>
        <w:pStyle w:val="6"/>
        <w:spacing w:after="0" w:line="360" w:lineRule="auto"/>
        <w:ind w:right="-57" w:firstLine="0"/>
        <w:rPr>
          <w:sz w:val="21"/>
          <w:szCs w:val="21"/>
          <w:highlight w:val="none"/>
        </w:rPr>
      </w:pPr>
      <w:r>
        <w:rPr>
          <w:rFonts w:hint="eastAsia"/>
          <w:sz w:val="21"/>
          <w:szCs w:val="21"/>
          <w:highlight w:val="none"/>
        </w:rPr>
        <w:t>附表六 比选申请价格评审表</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p>
      <w:pPr>
        <w:spacing w:before="159" w:afterAutospacing="0"/>
        <w:ind w:right="-57" w:firstLine="0"/>
        <w:jc w:val="center"/>
        <w:rPr>
          <w:rFonts w:ascii="宋体" w:hAnsi="宋体" w:cs="宋体"/>
          <w:b/>
          <w:sz w:val="28"/>
          <w:szCs w:val="28"/>
          <w:highlight w:val="none"/>
        </w:rPr>
      </w:pPr>
      <w:r>
        <w:rPr>
          <w:rFonts w:hint="eastAsia" w:ascii="宋体" w:hAnsi="宋体" w:cs="宋体"/>
          <w:b/>
          <w:sz w:val="28"/>
          <w:szCs w:val="28"/>
          <w:highlight w:val="none"/>
        </w:rPr>
        <w:t>比选申请价格评审表</w:t>
      </w:r>
    </w:p>
    <w:tbl>
      <w:tblPr>
        <w:tblStyle w:val="27"/>
        <w:tblW w:w="1411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6"/>
        <w:gridCol w:w="4621"/>
        <w:gridCol w:w="2311"/>
        <w:gridCol w:w="2164"/>
        <w:gridCol w:w="1876"/>
        <w:gridCol w:w="21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trPr>
        <w:tc>
          <w:tcPr>
            <w:tcW w:w="976" w:type="dxa"/>
            <w:tcBorders>
              <w:top w:val="single" w:color="000000" w:sz="4" w:space="0"/>
              <w:left w:val="single" w:color="auto" w:sz="4" w:space="0"/>
              <w:bottom w:val="single" w:color="auto" w:sz="4" w:space="0"/>
              <w:right w:val="single" w:color="auto" w:sz="4" w:space="0"/>
            </w:tcBorders>
            <w:shd w:val="clear" w:color="auto" w:fill="auto"/>
            <w:vAlign w:val="center"/>
          </w:tcPr>
          <w:p>
            <w:pPr>
              <w:spacing w:after="0"/>
              <w:ind w:left="0" w:firstLine="0"/>
              <w:rPr>
                <w:rFonts w:ascii="宋体" w:hAnsi="宋体" w:cs="宋体"/>
                <w:highlight w:val="none"/>
              </w:rPr>
            </w:pPr>
            <w:r>
              <w:rPr>
                <w:rFonts w:hint="eastAsia" w:ascii="宋体" w:hAnsi="宋体" w:cs="宋体"/>
                <w:highlight w:val="none"/>
              </w:rPr>
              <w:t>序号</w:t>
            </w:r>
          </w:p>
        </w:tc>
        <w:tc>
          <w:tcPr>
            <w:tcW w:w="4621" w:type="dxa"/>
            <w:tcBorders>
              <w:top w:val="single" w:color="000000" w:sz="4" w:space="0"/>
              <w:left w:val="single" w:color="auto" w:sz="4" w:space="0"/>
              <w:bottom w:val="single" w:color="auto" w:sz="4" w:space="0"/>
              <w:right w:val="single" w:color="auto" w:sz="4" w:space="0"/>
            </w:tcBorders>
            <w:shd w:val="clear" w:color="auto" w:fill="auto"/>
            <w:vAlign w:val="center"/>
          </w:tcPr>
          <w:p>
            <w:pPr>
              <w:spacing w:after="0"/>
              <w:ind w:left="0" w:firstLine="0"/>
              <w:rPr>
                <w:rFonts w:ascii="宋体" w:hAnsi="宋体" w:cs="宋体"/>
                <w:highlight w:val="none"/>
              </w:rPr>
            </w:pPr>
            <w:r>
              <w:rPr>
                <w:rFonts w:hint="eastAsia" w:ascii="宋体" w:hAnsi="宋体" w:cs="宋体"/>
                <w:highlight w:val="none"/>
              </w:rPr>
              <w:t>比选申请人名称</w:t>
            </w:r>
          </w:p>
        </w:tc>
        <w:tc>
          <w:tcPr>
            <w:tcW w:w="2311" w:type="dxa"/>
            <w:tcBorders>
              <w:top w:val="single" w:color="000000" w:sz="4" w:space="0"/>
              <w:left w:val="single" w:color="auto" w:sz="4" w:space="0"/>
              <w:bottom w:val="single" w:color="auto" w:sz="4" w:space="0"/>
              <w:right w:val="single" w:color="auto" w:sz="4" w:space="0"/>
            </w:tcBorders>
            <w:shd w:val="clear" w:color="auto" w:fill="auto"/>
            <w:vAlign w:val="center"/>
          </w:tcPr>
          <w:p>
            <w:pPr>
              <w:spacing w:after="0"/>
              <w:ind w:left="0" w:firstLine="0"/>
              <w:rPr>
                <w:rFonts w:ascii="宋体" w:hAnsi="宋体" w:cs="宋体"/>
                <w:highlight w:val="none"/>
              </w:rPr>
            </w:pPr>
            <w:r>
              <w:rPr>
                <w:rFonts w:hint="eastAsia" w:ascii="宋体" w:hAnsi="宋体" w:cs="宋体"/>
                <w:highlight w:val="none"/>
              </w:rPr>
              <w:t>修正前比选申请报价</w:t>
            </w:r>
          </w:p>
        </w:tc>
        <w:tc>
          <w:tcPr>
            <w:tcW w:w="216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ind w:left="0" w:firstLine="0"/>
              <w:rPr>
                <w:rFonts w:ascii="宋体" w:hAnsi="宋体" w:cs="宋体"/>
                <w:highlight w:val="none"/>
              </w:rPr>
            </w:pPr>
            <w:r>
              <w:rPr>
                <w:rFonts w:hint="eastAsia" w:ascii="宋体" w:hAnsi="宋体" w:cs="宋体"/>
                <w:highlight w:val="none"/>
              </w:rPr>
              <w:t>是否有修正</w:t>
            </w:r>
          </w:p>
        </w:tc>
        <w:tc>
          <w:tcPr>
            <w:tcW w:w="18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ind w:left="0" w:firstLine="0"/>
              <w:rPr>
                <w:rFonts w:ascii="宋体" w:hAnsi="宋体" w:cs="宋体"/>
                <w:highlight w:val="none"/>
              </w:rPr>
            </w:pPr>
            <w:r>
              <w:rPr>
                <w:rFonts w:hint="eastAsia" w:ascii="宋体" w:hAnsi="宋体" w:cs="宋体"/>
                <w:highlight w:val="none"/>
              </w:rPr>
              <w:t>评审价（元）</w:t>
            </w:r>
          </w:p>
        </w:tc>
        <w:tc>
          <w:tcPr>
            <w:tcW w:w="216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ind w:left="0" w:firstLine="0"/>
              <w:jc w:val="center"/>
              <w:rPr>
                <w:rFonts w:ascii="宋体" w:hAnsi="宋体" w:cs="宋体"/>
                <w:highlight w:val="none"/>
              </w:rPr>
            </w:pPr>
            <w:r>
              <w:rPr>
                <w:rFonts w:hint="eastAsia" w:ascii="宋体" w:hAnsi="宋体" w:cs="宋体"/>
                <w:highlight w:val="none"/>
              </w:rPr>
              <w:t>排名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76"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4621"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2311"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2164" w:type="dxa"/>
            <w:tcBorders>
              <w:top w:val="single" w:color="auto" w:sz="4" w:space="0"/>
              <w:left w:val="single" w:color="auto" w:sz="4" w:space="0"/>
              <w:bottom w:val="single" w:color="auto" w:sz="4" w:space="0"/>
              <w:right w:val="single" w:color="auto" w:sz="4" w:space="0"/>
            </w:tcBorders>
            <w:shd w:val="clear" w:color="auto" w:fill="auto"/>
          </w:tcPr>
          <w:p>
            <w:pPr>
              <w:spacing w:after="0"/>
              <w:ind w:left="0" w:firstLine="0"/>
              <w:rPr>
                <w:rFonts w:ascii="宋体" w:hAnsi="宋体" w:cs="宋体"/>
                <w:highlight w:val="none"/>
              </w:rPr>
            </w:pPr>
          </w:p>
        </w:tc>
        <w:tc>
          <w:tcPr>
            <w:tcW w:w="1876" w:type="dxa"/>
            <w:tcBorders>
              <w:top w:val="single" w:color="auto" w:sz="4" w:space="0"/>
              <w:left w:val="single" w:color="auto" w:sz="4" w:space="0"/>
              <w:bottom w:val="single" w:color="auto" w:sz="4" w:space="0"/>
              <w:right w:val="single" w:color="auto" w:sz="4" w:space="0"/>
            </w:tcBorders>
            <w:shd w:val="clear" w:color="auto" w:fill="auto"/>
          </w:tcPr>
          <w:p>
            <w:pPr>
              <w:spacing w:after="0"/>
              <w:ind w:left="0" w:firstLine="0"/>
              <w:rPr>
                <w:rFonts w:ascii="宋体" w:hAnsi="宋体" w:cs="宋体"/>
                <w:highlight w:val="none"/>
              </w:rPr>
            </w:pPr>
          </w:p>
        </w:tc>
        <w:tc>
          <w:tcPr>
            <w:tcW w:w="2164" w:type="dxa"/>
            <w:tcBorders>
              <w:top w:val="single" w:color="auto" w:sz="4" w:space="0"/>
              <w:left w:val="single" w:color="auto" w:sz="4" w:space="0"/>
              <w:bottom w:val="single" w:color="auto" w:sz="4" w:space="0"/>
              <w:right w:val="single" w:color="auto" w:sz="4" w:space="0"/>
            </w:tcBorders>
            <w:shd w:val="clear" w:color="auto" w:fill="auto"/>
          </w:tcPr>
          <w:p>
            <w:pPr>
              <w:spacing w:after="0"/>
              <w:ind w:left="0" w:firstLine="0"/>
              <w:rPr>
                <w:rFonts w:ascii="宋体" w:hAnsi="宋体" w:cs="宋体"/>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976" w:type="dxa"/>
            <w:tcBorders>
              <w:top w:val="single" w:color="000000" w:sz="4" w:space="0"/>
              <w:left w:val="single" w:color="auto" w:sz="4" w:space="0"/>
              <w:bottom w:val="single" w:color="auto"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4621" w:type="dxa"/>
            <w:tcBorders>
              <w:top w:val="single" w:color="000000" w:sz="4" w:space="0"/>
              <w:left w:val="single" w:color="auto" w:sz="4" w:space="0"/>
              <w:bottom w:val="single" w:color="auto"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2311" w:type="dxa"/>
            <w:tcBorders>
              <w:top w:val="single" w:color="000000" w:sz="4" w:space="0"/>
              <w:left w:val="single" w:color="auto" w:sz="4" w:space="0"/>
              <w:bottom w:val="single" w:color="auto"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216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18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216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ind w:left="0" w:firstLine="0"/>
              <w:rPr>
                <w:rFonts w:ascii="宋体" w:hAnsi="宋体" w:cs="宋体"/>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76"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4621"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2311"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216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18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216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ind w:left="0" w:firstLine="0"/>
              <w:rPr>
                <w:rFonts w:ascii="宋体" w:hAnsi="宋体" w:cs="宋体"/>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76"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4621"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2311"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216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18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216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ind w:left="0" w:firstLine="0"/>
              <w:rPr>
                <w:rFonts w:ascii="宋体" w:hAnsi="宋体" w:cs="宋体"/>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76"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4621"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2311"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216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187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ind w:left="0" w:firstLine="0"/>
              <w:rPr>
                <w:rFonts w:ascii="宋体" w:hAnsi="宋体" w:cs="宋体"/>
                <w:highlight w:val="none"/>
              </w:rPr>
            </w:pPr>
          </w:p>
        </w:tc>
        <w:tc>
          <w:tcPr>
            <w:tcW w:w="216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ind w:left="0" w:firstLine="0"/>
              <w:rPr>
                <w:rFonts w:ascii="宋体" w:hAnsi="宋体" w:cs="宋体"/>
                <w:highlight w:val="none"/>
              </w:rPr>
            </w:pPr>
          </w:p>
        </w:tc>
      </w:tr>
    </w:tbl>
    <w:p>
      <w:pPr>
        <w:spacing w:before="0" w:after="0" w:afterAutospacing="0"/>
        <w:ind w:left="0" w:right="0" w:firstLine="0"/>
        <w:jc w:val="left"/>
        <w:rPr>
          <w:rFonts w:hint="eastAsia" w:ascii="宋体" w:hAnsi="宋体" w:cs="宋体"/>
          <w:highlight w:val="none"/>
        </w:rPr>
      </w:pPr>
    </w:p>
    <w:p>
      <w:pPr>
        <w:spacing w:before="0" w:after="0" w:afterAutospacing="0"/>
        <w:ind w:left="0" w:right="0" w:firstLine="0"/>
        <w:jc w:val="left"/>
        <w:rPr>
          <w:rFonts w:ascii="宋体" w:hAnsi="宋体" w:cs="宋体"/>
          <w:color w:val="auto"/>
          <w:highlight w:val="none"/>
        </w:rPr>
      </w:pPr>
      <w:r>
        <w:rPr>
          <w:rFonts w:hint="eastAsia" w:ascii="宋体" w:hAnsi="宋体" w:cs="宋体"/>
          <w:highlight w:val="none"/>
        </w:rPr>
        <w:t>注：</w:t>
      </w:r>
      <w:r>
        <w:rPr>
          <w:rFonts w:hint="eastAsia" w:ascii="宋体" w:hAnsi="宋体" w:cs="宋体"/>
          <w:color w:val="auto"/>
          <w:highlight w:val="none"/>
        </w:rPr>
        <w:t>1.如有修正，</w:t>
      </w:r>
      <w:r>
        <w:rPr>
          <w:rFonts w:hint="eastAsia" w:hAnsi="宋体" w:cs="宋体"/>
          <w:color w:val="auto"/>
          <w:highlight w:val="none"/>
        </w:rPr>
        <w:t>评审委员会</w:t>
      </w:r>
      <w:r>
        <w:rPr>
          <w:rFonts w:hint="eastAsia" w:ascii="宋体" w:hAnsi="宋体" w:cs="宋体"/>
          <w:color w:val="auto"/>
          <w:highlight w:val="none"/>
        </w:rPr>
        <w:t>需填写附表《比选申请报价修正表》并由比选申请人代表签字确认；如无修正，评审价=比选申请报价。</w:t>
      </w:r>
    </w:p>
    <w:p>
      <w:pPr>
        <w:spacing w:before="0" w:after="0" w:afterAutospacing="0"/>
        <w:ind w:left="0" w:right="0" w:firstLine="420" w:firstLineChars="200"/>
        <w:jc w:val="left"/>
        <w:rPr>
          <w:rFonts w:ascii="宋体" w:hAnsi="宋体" w:cs="宋体"/>
          <w:color w:val="auto"/>
          <w:highlight w:val="none"/>
        </w:rPr>
      </w:pPr>
      <w:r>
        <w:rPr>
          <w:rFonts w:hint="eastAsia" w:ascii="宋体" w:hAnsi="宋体" w:cs="宋体"/>
          <w:color w:val="auto"/>
          <w:highlight w:val="none"/>
        </w:rPr>
        <w:t>2.若修正后的总价与投标报价不相等，则评标总价和中标价均以修正后的总价为准，如投人不接受按以上规则确定的评标总价和中标价，则其投标将被拒绝。</w:t>
      </w:r>
    </w:p>
    <w:p>
      <w:pPr>
        <w:spacing w:before="0" w:after="0" w:afterAutospacing="0"/>
        <w:ind w:left="420" w:right="0" w:firstLine="0"/>
        <w:jc w:val="left"/>
        <w:rPr>
          <w:rFonts w:ascii="宋体" w:hAnsi="宋体" w:cs="宋体"/>
          <w:color w:val="auto"/>
          <w:highlight w:val="none"/>
        </w:rPr>
      </w:pPr>
    </w:p>
    <w:p>
      <w:pPr>
        <w:spacing w:before="0" w:after="0" w:afterAutospacing="0"/>
        <w:ind w:left="420" w:right="0" w:firstLine="0"/>
        <w:jc w:val="left"/>
        <w:rPr>
          <w:rFonts w:ascii="宋体" w:hAnsi="宋体" w:cs="宋体"/>
          <w:color w:val="auto"/>
          <w:highlight w:val="none"/>
        </w:rPr>
      </w:pPr>
    </w:p>
    <w:p>
      <w:pPr>
        <w:spacing w:before="0" w:after="0" w:afterAutospacing="0"/>
        <w:ind w:left="420" w:right="0" w:firstLine="0"/>
        <w:jc w:val="left"/>
        <w:rPr>
          <w:rFonts w:ascii="宋体" w:hAnsi="宋体" w:cs="宋体"/>
          <w:color w:val="auto"/>
          <w:highlight w:val="none"/>
        </w:rPr>
      </w:pPr>
    </w:p>
    <w:p>
      <w:pPr>
        <w:spacing w:before="0" w:after="0" w:afterAutospacing="0"/>
        <w:ind w:left="0" w:right="0" w:firstLine="0"/>
        <w:jc w:val="left"/>
        <w:rPr>
          <w:rFonts w:ascii="宋体" w:hAnsi="宋体" w:cs="宋体"/>
          <w:highlight w:val="none"/>
        </w:rPr>
      </w:pPr>
    </w:p>
    <w:p>
      <w:pPr>
        <w:pStyle w:val="12"/>
        <w:rPr>
          <w:rFonts w:hint="eastAsia" w:eastAsia="宋体"/>
          <w:highlight w:val="none"/>
          <w:lang w:val="en-US" w:eastAsia="zh-CN"/>
        </w:rPr>
      </w:pPr>
    </w:p>
    <w:p>
      <w:pPr>
        <w:spacing w:before="159" w:afterAutospacing="0"/>
        <w:ind w:right="-57" w:firstLine="0"/>
        <w:jc w:val="center"/>
        <w:rPr>
          <w:rFonts w:ascii="宋体" w:hAnsi="宋体" w:cs="宋体"/>
          <w:b/>
          <w:sz w:val="28"/>
          <w:szCs w:val="28"/>
          <w:highlight w:val="none"/>
        </w:rPr>
      </w:pPr>
      <w:r>
        <w:rPr>
          <w:rFonts w:hint="eastAsia" w:ascii="宋体" w:hAnsi="宋体" w:cs="宋体"/>
          <w:b/>
          <w:sz w:val="28"/>
          <w:szCs w:val="28"/>
          <w:highlight w:val="none"/>
        </w:rPr>
        <w:t>附表：比选申请报价修正表</w:t>
      </w:r>
    </w:p>
    <w:tbl>
      <w:tblPr>
        <w:tblStyle w:val="27"/>
        <w:tblW w:w="141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81"/>
        <w:gridCol w:w="3533"/>
        <w:gridCol w:w="3937"/>
        <w:gridCol w:w="44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81" w:type="dxa"/>
            <w:tcBorders>
              <w:top w:val="single" w:color="000000" w:sz="4" w:space="0"/>
              <w:left w:val="single" w:color="auto" w:sz="4" w:space="0"/>
              <w:bottom w:val="single" w:color="auto" w:sz="4" w:space="0"/>
              <w:right w:val="single" w:color="auto" w:sz="4" w:space="0"/>
            </w:tcBorders>
            <w:shd w:val="clear" w:color="auto" w:fill="auto"/>
            <w:vAlign w:val="center"/>
          </w:tcPr>
          <w:p>
            <w:pPr>
              <w:spacing w:before="0" w:afterAutospacing="0" w:line="240" w:lineRule="auto"/>
              <w:ind w:right="0" w:firstLine="0"/>
              <w:jc w:val="center"/>
              <w:rPr>
                <w:rFonts w:ascii="宋体" w:hAnsi="宋体" w:cs="宋体"/>
                <w:b/>
                <w:sz w:val="24"/>
                <w:szCs w:val="24"/>
                <w:highlight w:val="none"/>
              </w:rPr>
            </w:pPr>
            <w:r>
              <w:rPr>
                <w:rFonts w:hint="eastAsia" w:ascii="宋体" w:hAnsi="宋体" w:cs="宋体"/>
                <w:b/>
                <w:sz w:val="24"/>
                <w:szCs w:val="24"/>
                <w:highlight w:val="none"/>
              </w:rPr>
              <w:t>编号</w:t>
            </w:r>
          </w:p>
        </w:tc>
        <w:tc>
          <w:tcPr>
            <w:tcW w:w="3533" w:type="dxa"/>
            <w:tcBorders>
              <w:top w:val="single" w:color="000000" w:sz="4" w:space="0"/>
              <w:left w:val="single" w:color="auto" w:sz="4" w:space="0"/>
              <w:bottom w:val="single" w:color="auto" w:sz="4" w:space="0"/>
              <w:right w:val="single" w:color="auto" w:sz="4" w:space="0"/>
            </w:tcBorders>
            <w:shd w:val="clear" w:color="auto" w:fill="auto"/>
            <w:vAlign w:val="center"/>
          </w:tcPr>
          <w:p>
            <w:pPr>
              <w:spacing w:before="0" w:afterAutospacing="0" w:line="240" w:lineRule="auto"/>
              <w:ind w:right="0" w:firstLine="0"/>
              <w:jc w:val="center"/>
              <w:rPr>
                <w:rFonts w:ascii="宋体" w:hAnsi="宋体" w:cs="宋体"/>
                <w:b/>
                <w:sz w:val="24"/>
                <w:szCs w:val="24"/>
                <w:highlight w:val="none"/>
              </w:rPr>
            </w:pPr>
            <w:r>
              <w:rPr>
                <w:rFonts w:hint="eastAsia" w:ascii="宋体" w:hAnsi="宋体" w:cs="宋体"/>
                <w:b/>
                <w:sz w:val="24"/>
                <w:szCs w:val="24"/>
                <w:highlight w:val="none"/>
              </w:rPr>
              <w:t>修正项目</w:t>
            </w:r>
          </w:p>
        </w:tc>
        <w:tc>
          <w:tcPr>
            <w:tcW w:w="3937" w:type="dxa"/>
            <w:tcBorders>
              <w:top w:val="single" w:color="000000" w:sz="4" w:space="0"/>
              <w:left w:val="single" w:color="auto" w:sz="4" w:space="0"/>
              <w:bottom w:val="single" w:color="auto" w:sz="4" w:space="0"/>
              <w:right w:val="single" w:color="auto" w:sz="4" w:space="0"/>
            </w:tcBorders>
            <w:shd w:val="clear" w:color="auto" w:fill="auto"/>
            <w:vAlign w:val="center"/>
          </w:tcPr>
          <w:p>
            <w:pPr>
              <w:spacing w:before="0" w:afterAutospacing="0" w:line="240" w:lineRule="auto"/>
              <w:ind w:right="0" w:firstLine="0"/>
              <w:jc w:val="center"/>
              <w:rPr>
                <w:rFonts w:ascii="宋体" w:hAnsi="宋体" w:cs="宋体"/>
                <w:b/>
                <w:sz w:val="24"/>
                <w:szCs w:val="24"/>
                <w:highlight w:val="none"/>
              </w:rPr>
            </w:pPr>
            <w:r>
              <w:rPr>
                <w:rFonts w:hint="eastAsia" w:ascii="宋体" w:hAnsi="宋体" w:cs="宋体"/>
                <w:b/>
                <w:sz w:val="24"/>
                <w:szCs w:val="24"/>
                <w:highlight w:val="none"/>
              </w:rPr>
              <w:t>修正前比选申请报价</w:t>
            </w:r>
          </w:p>
        </w:tc>
        <w:tc>
          <w:tcPr>
            <w:tcW w:w="4463"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Autospacing="0" w:line="240" w:lineRule="auto"/>
              <w:ind w:right="0" w:firstLine="0"/>
              <w:jc w:val="center"/>
              <w:rPr>
                <w:rFonts w:ascii="宋体" w:hAnsi="宋体" w:cs="宋体"/>
                <w:b/>
                <w:sz w:val="24"/>
                <w:szCs w:val="24"/>
                <w:highlight w:val="none"/>
              </w:rPr>
            </w:pPr>
            <w:r>
              <w:rPr>
                <w:rFonts w:hint="eastAsia" w:ascii="宋体" w:hAnsi="宋体" w:cs="宋体"/>
                <w:b/>
                <w:sz w:val="24"/>
                <w:szCs w:val="24"/>
                <w:highlight w:val="none"/>
              </w:rPr>
              <w:t>修正后比选申请报价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81"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before="0" w:afterAutospacing="0" w:line="240" w:lineRule="auto"/>
              <w:ind w:right="0" w:firstLine="0"/>
              <w:jc w:val="center"/>
              <w:rPr>
                <w:rFonts w:ascii="宋体" w:hAnsi="宋体" w:cs="宋体"/>
                <w:highlight w:val="none"/>
              </w:rPr>
            </w:pPr>
          </w:p>
        </w:tc>
        <w:tc>
          <w:tcPr>
            <w:tcW w:w="3533"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before="0" w:afterAutospacing="0" w:line="240" w:lineRule="auto"/>
              <w:ind w:right="0" w:firstLine="0"/>
              <w:jc w:val="left"/>
              <w:rPr>
                <w:rFonts w:ascii="宋体" w:hAnsi="宋体" w:cs="宋体"/>
                <w:highlight w:val="none"/>
              </w:rPr>
            </w:pPr>
          </w:p>
        </w:tc>
        <w:tc>
          <w:tcPr>
            <w:tcW w:w="3937"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before="0" w:afterAutospacing="0" w:line="240" w:lineRule="auto"/>
              <w:ind w:right="0" w:firstLine="0"/>
              <w:rPr>
                <w:rFonts w:ascii="宋体" w:hAnsi="宋体" w:cs="宋体"/>
                <w:highlight w:val="none"/>
              </w:rPr>
            </w:pPr>
          </w:p>
        </w:tc>
        <w:tc>
          <w:tcPr>
            <w:tcW w:w="4463" w:type="dxa"/>
            <w:tcBorders>
              <w:top w:val="single" w:color="auto" w:sz="4" w:space="0"/>
              <w:left w:val="single" w:color="auto" w:sz="4" w:space="0"/>
              <w:bottom w:val="single" w:color="auto" w:sz="4" w:space="0"/>
              <w:right w:val="single" w:color="auto" w:sz="4" w:space="0"/>
            </w:tcBorders>
            <w:shd w:val="clear" w:color="auto" w:fill="auto"/>
          </w:tcPr>
          <w:p>
            <w:pPr>
              <w:spacing w:before="0" w:afterAutospacing="0" w:line="240" w:lineRule="auto"/>
              <w:ind w:right="0" w:firstLine="0"/>
              <w:rPr>
                <w:rFonts w:ascii="宋体" w:hAnsi="宋体" w:cs="宋体"/>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81"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before="0" w:afterAutospacing="0" w:line="240" w:lineRule="auto"/>
              <w:ind w:right="0" w:firstLine="0"/>
              <w:jc w:val="center"/>
              <w:rPr>
                <w:rFonts w:ascii="宋体" w:hAnsi="宋体" w:cs="宋体"/>
                <w:highlight w:val="none"/>
              </w:rPr>
            </w:pPr>
          </w:p>
        </w:tc>
        <w:tc>
          <w:tcPr>
            <w:tcW w:w="3533"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before="0" w:afterAutospacing="0" w:line="240" w:lineRule="auto"/>
              <w:ind w:right="0" w:firstLine="0"/>
              <w:jc w:val="left"/>
              <w:rPr>
                <w:rFonts w:ascii="宋体" w:hAnsi="宋体" w:cs="宋体"/>
                <w:highlight w:val="none"/>
              </w:rPr>
            </w:pPr>
          </w:p>
        </w:tc>
        <w:tc>
          <w:tcPr>
            <w:tcW w:w="3937"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before="0" w:afterAutospacing="0" w:line="240" w:lineRule="auto"/>
              <w:ind w:right="0" w:firstLine="0"/>
              <w:jc w:val="center"/>
              <w:rPr>
                <w:rFonts w:ascii="宋体" w:hAnsi="宋体" w:cs="宋体"/>
                <w:highlight w:val="none"/>
              </w:rPr>
            </w:pPr>
          </w:p>
        </w:tc>
        <w:tc>
          <w:tcPr>
            <w:tcW w:w="4463"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Autospacing="0" w:line="240" w:lineRule="auto"/>
              <w:ind w:right="0" w:firstLine="0"/>
              <w:rPr>
                <w:rFonts w:ascii="宋体" w:hAnsi="宋体" w:cs="宋体"/>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81"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before="0" w:afterAutospacing="0" w:line="240" w:lineRule="auto"/>
              <w:ind w:right="0" w:firstLine="0"/>
              <w:jc w:val="center"/>
              <w:rPr>
                <w:rFonts w:ascii="宋体" w:hAnsi="宋体" w:cs="宋体"/>
                <w:highlight w:val="none"/>
              </w:rPr>
            </w:pPr>
          </w:p>
        </w:tc>
        <w:tc>
          <w:tcPr>
            <w:tcW w:w="3533"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before="0" w:afterAutospacing="0" w:line="240" w:lineRule="auto"/>
              <w:ind w:right="0" w:firstLine="0"/>
              <w:jc w:val="left"/>
              <w:rPr>
                <w:rFonts w:ascii="宋体" w:hAnsi="宋体" w:cs="宋体"/>
                <w:highlight w:val="none"/>
              </w:rPr>
            </w:pPr>
          </w:p>
        </w:tc>
        <w:tc>
          <w:tcPr>
            <w:tcW w:w="3937"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before="0" w:afterAutospacing="0" w:line="240" w:lineRule="auto"/>
              <w:ind w:right="0" w:firstLine="0"/>
              <w:jc w:val="center"/>
              <w:rPr>
                <w:rFonts w:ascii="宋体" w:hAnsi="宋体" w:cs="宋体"/>
                <w:highlight w:val="none"/>
              </w:rPr>
            </w:pPr>
          </w:p>
        </w:tc>
        <w:tc>
          <w:tcPr>
            <w:tcW w:w="4463"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Autospacing="0" w:line="240" w:lineRule="auto"/>
              <w:ind w:right="0" w:firstLine="0"/>
              <w:rPr>
                <w:rFonts w:ascii="宋体" w:hAnsi="宋体" w:cs="宋体"/>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81"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before="0" w:afterAutospacing="0" w:line="240" w:lineRule="auto"/>
              <w:ind w:right="0" w:firstLine="0"/>
              <w:jc w:val="center"/>
              <w:rPr>
                <w:rFonts w:ascii="宋体" w:hAnsi="宋体" w:cs="宋体"/>
                <w:highlight w:val="none"/>
              </w:rPr>
            </w:pPr>
          </w:p>
        </w:tc>
        <w:tc>
          <w:tcPr>
            <w:tcW w:w="3533"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before="0" w:afterAutospacing="0" w:line="240" w:lineRule="auto"/>
              <w:ind w:right="0" w:firstLine="0"/>
              <w:jc w:val="left"/>
              <w:rPr>
                <w:rFonts w:ascii="宋体" w:hAnsi="宋体" w:cs="宋体"/>
                <w:highlight w:val="none"/>
              </w:rPr>
            </w:pPr>
          </w:p>
        </w:tc>
        <w:tc>
          <w:tcPr>
            <w:tcW w:w="3937"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before="0" w:afterAutospacing="0" w:line="240" w:lineRule="auto"/>
              <w:ind w:right="0" w:firstLine="0"/>
              <w:jc w:val="center"/>
              <w:rPr>
                <w:rFonts w:ascii="宋体" w:hAnsi="宋体" w:cs="宋体"/>
                <w:highlight w:val="none"/>
              </w:rPr>
            </w:pPr>
          </w:p>
        </w:tc>
        <w:tc>
          <w:tcPr>
            <w:tcW w:w="4463"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Autospacing="0" w:line="240" w:lineRule="auto"/>
              <w:ind w:right="0" w:firstLine="0"/>
              <w:rPr>
                <w:rFonts w:ascii="宋体" w:hAnsi="宋体" w:cs="宋体"/>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81"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before="0" w:afterAutospacing="0" w:line="240" w:lineRule="auto"/>
              <w:ind w:right="0" w:firstLine="0"/>
              <w:jc w:val="center"/>
              <w:rPr>
                <w:rFonts w:ascii="宋体" w:hAnsi="宋体" w:cs="宋体"/>
                <w:highlight w:val="none"/>
              </w:rPr>
            </w:pPr>
          </w:p>
        </w:tc>
        <w:tc>
          <w:tcPr>
            <w:tcW w:w="3533"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before="0" w:afterAutospacing="0" w:line="240" w:lineRule="auto"/>
              <w:ind w:right="0" w:firstLine="0"/>
              <w:jc w:val="center"/>
              <w:rPr>
                <w:rFonts w:ascii="宋体" w:hAnsi="宋体" w:cs="宋体"/>
                <w:highlight w:val="none"/>
              </w:rPr>
            </w:pPr>
          </w:p>
        </w:tc>
        <w:tc>
          <w:tcPr>
            <w:tcW w:w="3937"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before="0" w:afterAutospacing="0" w:line="240" w:lineRule="auto"/>
              <w:ind w:right="0" w:firstLine="0"/>
              <w:jc w:val="left"/>
              <w:rPr>
                <w:rFonts w:ascii="宋体" w:hAnsi="宋体" w:cs="宋体"/>
                <w:b/>
                <w:sz w:val="24"/>
                <w:szCs w:val="24"/>
                <w:highlight w:val="none"/>
              </w:rPr>
            </w:pPr>
          </w:p>
        </w:tc>
        <w:tc>
          <w:tcPr>
            <w:tcW w:w="4463"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Autospacing="0" w:line="240" w:lineRule="auto"/>
              <w:ind w:right="0" w:firstLine="0"/>
              <w:jc w:val="left"/>
              <w:rPr>
                <w:rFonts w:ascii="宋体" w:hAnsi="宋体" w:cs="宋体"/>
                <w:b/>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81"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before="0" w:afterAutospacing="0" w:line="240" w:lineRule="auto"/>
              <w:ind w:right="0" w:firstLine="0"/>
              <w:jc w:val="center"/>
              <w:rPr>
                <w:rFonts w:ascii="宋体" w:hAnsi="宋体" w:cs="宋体"/>
                <w:b/>
                <w:sz w:val="24"/>
                <w:szCs w:val="24"/>
                <w:highlight w:val="none"/>
              </w:rPr>
            </w:pPr>
            <w:r>
              <w:rPr>
                <w:rFonts w:hint="eastAsia" w:ascii="宋体" w:hAnsi="宋体" w:cs="宋体"/>
                <w:b/>
                <w:sz w:val="24"/>
                <w:szCs w:val="24"/>
                <w:highlight w:val="none"/>
              </w:rPr>
              <w:t>比选申请人名称</w:t>
            </w:r>
          </w:p>
        </w:tc>
        <w:tc>
          <w:tcPr>
            <w:tcW w:w="11933" w:type="dxa"/>
            <w:gridSpan w:val="3"/>
            <w:tcBorders>
              <w:top w:val="single" w:color="000000" w:sz="4" w:space="0"/>
              <w:left w:val="single" w:color="auto" w:sz="4" w:space="0"/>
              <w:bottom w:val="single" w:color="000000" w:sz="4" w:space="0"/>
              <w:right w:val="single" w:color="auto" w:sz="4" w:space="0"/>
            </w:tcBorders>
            <w:shd w:val="clear" w:color="auto" w:fill="auto"/>
            <w:vAlign w:val="center"/>
          </w:tcPr>
          <w:p>
            <w:pPr>
              <w:spacing w:before="0" w:afterAutospacing="0" w:line="240" w:lineRule="auto"/>
              <w:ind w:right="0" w:firstLine="0"/>
              <w:rPr>
                <w:rFonts w:ascii="宋体" w:hAnsi="宋体" w:cs="宋体"/>
                <w:b/>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81"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before="0" w:afterAutospacing="0" w:line="240" w:lineRule="auto"/>
              <w:ind w:right="0" w:firstLine="0"/>
              <w:jc w:val="center"/>
              <w:rPr>
                <w:rFonts w:ascii="宋体" w:hAnsi="宋体" w:cs="宋体"/>
                <w:b/>
                <w:sz w:val="24"/>
                <w:szCs w:val="24"/>
                <w:highlight w:val="none"/>
              </w:rPr>
            </w:pPr>
            <w:r>
              <w:rPr>
                <w:rFonts w:hint="eastAsia" w:ascii="宋体" w:hAnsi="宋体" w:cs="宋体"/>
                <w:b/>
                <w:sz w:val="24"/>
                <w:szCs w:val="24"/>
                <w:highlight w:val="none"/>
              </w:rPr>
              <w:t>比选申请人声明</w:t>
            </w:r>
          </w:p>
        </w:tc>
        <w:tc>
          <w:tcPr>
            <w:tcW w:w="11933" w:type="dxa"/>
            <w:gridSpan w:val="3"/>
            <w:tcBorders>
              <w:top w:val="single" w:color="000000" w:sz="4" w:space="0"/>
              <w:left w:val="single" w:color="auto" w:sz="4" w:space="0"/>
              <w:bottom w:val="single" w:color="000000" w:sz="4" w:space="0"/>
              <w:right w:val="single" w:color="auto" w:sz="4" w:space="0"/>
            </w:tcBorders>
            <w:shd w:val="clear" w:color="auto" w:fill="auto"/>
            <w:vAlign w:val="center"/>
          </w:tcPr>
          <w:p>
            <w:pPr>
              <w:spacing w:before="0" w:afterAutospacing="0" w:line="240" w:lineRule="auto"/>
              <w:ind w:right="0" w:firstLine="0"/>
              <w:rPr>
                <w:rFonts w:ascii="宋体" w:hAnsi="宋体" w:cs="宋体"/>
                <w:b/>
                <w:sz w:val="24"/>
                <w:szCs w:val="24"/>
                <w:highlight w:val="none"/>
              </w:rPr>
            </w:pPr>
            <w:r>
              <w:rPr>
                <w:rFonts w:hint="eastAsia" w:ascii="宋体" w:hAnsi="宋体" w:cs="宋体"/>
                <w:b/>
                <w:sz w:val="24"/>
                <w:szCs w:val="24"/>
                <w:highlight w:val="none"/>
              </w:rPr>
              <w:t>我单位（</w:t>
            </w:r>
            <w:r>
              <w:rPr>
                <w:rFonts w:hint="eastAsia" w:ascii="宋体" w:hAnsi="宋体" w:cs="宋体"/>
                <w:b/>
                <w:sz w:val="44"/>
                <w:szCs w:val="44"/>
                <w:highlight w:val="none"/>
              </w:rPr>
              <w:t>□</w:t>
            </w:r>
            <w:r>
              <w:rPr>
                <w:rFonts w:hint="eastAsia" w:ascii="宋体" w:hAnsi="宋体" w:cs="宋体"/>
                <w:b/>
                <w:sz w:val="24"/>
                <w:szCs w:val="24"/>
                <w:highlight w:val="none"/>
              </w:rPr>
              <w:t>接受</w:t>
            </w:r>
            <w:r>
              <w:rPr>
                <w:rFonts w:hint="eastAsia" w:ascii="宋体" w:hAnsi="宋体" w:cs="宋体"/>
                <w:b/>
                <w:sz w:val="44"/>
                <w:szCs w:val="44"/>
                <w:highlight w:val="none"/>
              </w:rPr>
              <w:t>□</w:t>
            </w:r>
            <w:r>
              <w:rPr>
                <w:rFonts w:hint="eastAsia" w:ascii="宋体" w:hAnsi="宋体" w:cs="宋体"/>
                <w:b/>
                <w:sz w:val="24"/>
                <w:szCs w:val="24"/>
                <w:highlight w:val="none"/>
              </w:rPr>
              <w:t>不接受）本评审办法第3.3款价格评审确定的评审总价和中选价。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81" w:type="dxa"/>
            <w:tcBorders>
              <w:top w:val="single" w:color="000000" w:sz="4" w:space="0"/>
              <w:left w:val="single" w:color="auto" w:sz="4" w:space="0"/>
              <w:bottom w:val="single" w:color="000000" w:sz="4" w:space="0"/>
              <w:right w:val="single" w:color="auto" w:sz="4" w:space="0"/>
            </w:tcBorders>
            <w:shd w:val="clear" w:color="auto" w:fill="auto"/>
            <w:vAlign w:val="center"/>
          </w:tcPr>
          <w:p>
            <w:pPr>
              <w:spacing w:before="0" w:afterAutospacing="0" w:line="240" w:lineRule="auto"/>
              <w:ind w:right="0" w:firstLine="0"/>
              <w:jc w:val="center"/>
              <w:rPr>
                <w:rFonts w:ascii="宋体" w:hAnsi="宋体" w:cs="宋体"/>
                <w:b/>
                <w:sz w:val="24"/>
                <w:szCs w:val="24"/>
                <w:highlight w:val="none"/>
              </w:rPr>
            </w:pPr>
            <w:r>
              <w:rPr>
                <w:rFonts w:hint="eastAsia" w:ascii="宋体" w:hAnsi="宋体" w:cs="宋体"/>
                <w:b/>
                <w:sz w:val="24"/>
                <w:szCs w:val="24"/>
                <w:highlight w:val="none"/>
              </w:rPr>
              <w:t>比选申请人代表签字</w:t>
            </w:r>
          </w:p>
        </w:tc>
        <w:tc>
          <w:tcPr>
            <w:tcW w:w="11933" w:type="dxa"/>
            <w:gridSpan w:val="3"/>
            <w:tcBorders>
              <w:top w:val="single" w:color="000000" w:sz="4" w:space="0"/>
              <w:left w:val="single" w:color="auto" w:sz="4" w:space="0"/>
              <w:bottom w:val="single" w:color="000000" w:sz="4" w:space="0"/>
              <w:right w:val="single" w:color="auto" w:sz="4" w:space="0"/>
            </w:tcBorders>
            <w:shd w:val="clear" w:color="auto" w:fill="auto"/>
            <w:vAlign w:val="center"/>
          </w:tcPr>
          <w:p>
            <w:pPr>
              <w:spacing w:before="0" w:afterAutospacing="0" w:line="240" w:lineRule="auto"/>
              <w:ind w:right="0" w:firstLine="0"/>
              <w:rPr>
                <w:rFonts w:ascii="宋体" w:hAnsi="宋体" w:cs="宋体"/>
                <w:b/>
                <w:sz w:val="24"/>
                <w:szCs w:val="24"/>
                <w:highlight w:val="none"/>
              </w:rPr>
            </w:pPr>
          </w:p>
          <w:p>
            <w:pPr>
              <w:spacing w:before="0" w:afterAutospacing="0" w:line="240" w:lineRule="auto"/>
              <w:ind w:right="0" w:firstLine="0"/>
              <w:rPr>
                <w:rFonts w:ascii="宋体" w:hAnsi="宋体" w:cs="宋体"/>
                <w:b/>
                <w:sz w:val="24"/>
                <w:szCs w:val="24"/>
                <w:highlight w:val="none"/>
              </w:rPr>
            </w:pPr>
            <w:r>
              <w:rPr>
                <w:rFonts w:hint="eastAsia" w:ascii="宋体" w:hAnsi="宋体" w:cs="宋体"/>
                <w:b/>
                <w:sz w:val="24"/>
                <w:szCs w:val="24"/>
                <w:highlight w:val="none"/>
              </w:rPr>
              <w:t xml:space="preserve">                                                                     日期：    年  月   日</w:t>
            </w:r>
          </w:p>
        </w:tc>
      </w:tr>
    </w:tbl>
    <w:p>
      <w:pPr>
        <w:spacing w:before="0" w:after="0"/>
        <w:ind w:left="420" w:right="0" w:firstLine="0"/>
        <w:jc w:val="left"/>
        <w:rPr>
          <w:rFonts w:hint="eastAsia" w:ascii="宋体" w:hAnsi="宋体" w:cs="宋体"/>
          <w:color w:val="auto"/>
          <w:highlight w:val="none"/>
        </w:rPr>
      </w:pPr>
    </w:p>
    <w:p>
      <w:pPr>
        <w:spacing w:before="0" w:after="0"/>
        <w:ind w:left="420" w:right="0" w:firstLine="0"/>
        <w:jc w:val="left"/>
        <w:rPr>
          <w:color w:val="auto"/>
          <w:highlight w:val="none"/>
        </w:rPr>
      </w:pPr>
      <w:r>
        <w:rPr>
          <w:rFonts w:hint="eastAsia" w:ascii="宋体" w:hAnsi="宋体" w:cs="宋体"/>
          <w:color w:val="auto"/>
          <w:highlight w:val="none"/>
        </w:rPr>
        <w:t>注：</w:t>
      </w:r>
      <w:r>
        <w:rPr>
          <w:rFonts w:hint="eastAsia"/>
          <w:color w:val="auto"/>
          <w:highlight w:val="none"/>
        </w:rPr>
        <w:t>若修正后的总价与投标报价不相等，则评标总价和中标价均以修正后的总价为准，如投人不接受按以上规则确定的评标总价和中标价，则其投标将被拒绝</w:t>
      </w:r>
      <w:r>
        <w:rPr>
          <w:rFonts w:hint="eastAsia"/>
          <w:color w:val="auto"/>
          <w:highlight w:val="none"/>
          <w:lang w:eastAsia="zh-CN"/>
        </w:rPr>
        <w:t>，修正后投标报价小数位数保留到分</w:t>
      </w:r>
      <w:r>
        <w:rPr>
          <w:rFonts w:hint="eastAsia"/>
          <w:color w:val="auto"/>
          <w:highlight w:val="none"/>
        </w:rPr>
        <w:t>。</w:t>
      </w:r>
    </w:p>
    <w:sectPr>
      <w:headerReference r:id="rId8" w:type="default"/>
      <w:footerReference r:id="rId9" w:type="default"/>
      <w:pgSz w:w="16838" w:h="11905" w:orient="landscape"/>
      <w:pgMar w:top="1418" w:right="1418" w:bottom="1418" w:left="1304" w:header="454" w:footer="56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Wingdings 2">
    <w:panose1 w:val="05020102010507070707"/>
    <w:charset w:val="02"/>
    <w:family w:val="roman"/>
    <w:pitch w:val="default"/>
    <w:sig w:usb0="00000000" w:usb1="00000000" w:usb2="00000000" w:usb3="00000000" w:csb0="80000000" w:csb1="00000000"/>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tabs>
        <w:tab w:val="right" w:pos="8728"/>
        <w:tab w:val="clear" w:pos="4153"/>
        <w:tab w:val="clear" w:pos="8306"/>
      </w:tabs>
      <w:ind w:left="0" w:right="343" w:firstLine="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956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289560" cy="1828800"/>
                      </a:xfrm>
                      <a:prstGeom prst="rect">
                        <a:avLst/>
                      </a:prstGeom>
                      <a:noFill/>
                      <a:ln w="6350">
                        <a:noFill/>
                      </a:ln>
                      <a:effectLst/>
                    </wps:spPr>
                    <wps:txbx>
                      <w:txbxContent>
                        <w:sdt>
                          <w:sdtPr>
                            <w:id w:val="1161433797"/>
                          </w:sdtPr>
                          <w:sdtContent>
                            <w:p>
                              <w:pPr>
                                <w:pStyle w:val="15"/>
                                <w:jc w:val="center"/>
                              </w:pPr>
                              <w:r>
                                <w:fldChar w:fldCharType="begin"/>
                              </w:r>
                              <w:r>
                                <w:instrText xml:space="preserve">PAGE   \* MERGEFORMAT</w:instrText>
                              </w:r>
                              <w:r>
                                <w:fldChar w:fldCharType="separate"/>
                              </w:r>
                              <w:r>
                                <w:rPr>
                                  <w:lang w:val="zh-CN"/>
                                </w:rPr>
                                <w:t>81</w:t>
                              </w:r>
                              <w:r>
                                <w:fldChar w:fldCharType="end"/>
                              </w:r>
                            </w:p>
                          </w:sdtContent>
                        </w:sdt>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22.8pt;mso-position-horizontal:center;mso-position-horizontal-relative:margin;z-index:251660288;mso-width-relative:page;mso-height-relative:page;" filled="f" stroked="f" coordsize="21600,21600" o:gfxdata="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DvDNdQAAAAEAQAADwAAAAAAAAABACAAAAAiAAAAZHJzL2Rvd25yZXYu&#10;eG1sUEsBAhQAFAAAAAgAh07iQK52UH04AgAAZAQAAA4AAAAAAAAAAQAgAAAAIwEAAGRycy9lMm9E&#10;b2MueG1sUEsFBgAAAAAGAAYAWQEAAM0FAAAAAA==&#10;">
              <v:fill on="f" focussize="0,0"/>
              <v:stroke on="f" weight="0.5pt"/>
              <v:imagedata o:title=""/>
              <o:lock v:ext="edit" aspectratio="f"/>
              <v:textbox inset="0mm,0mm,0mm,0mm" style="mso-fit-shape-to-text:t;">
                <w:txbxContent>
                  <w:sdt>
                    <w:sdtPr>
                      <w:id w:val="1161433797"/>
                    </w:sdtPr>
                    <w:sdtContent>
                      <w:p>
                        <w:pPr>
                          <w:pStyle w:val="15"/>
                          <w:jc w:val="center"/>
                        </w:pPr>
                        <w:r>
                          <w:fldChar w:fldCharType="begin"/>
                        </w:r>
                        <w:r>
                          <w:instrText xml:space="preserve">PAGE   \* MERGEFORMAT</w:instrText>
                        </w:r>
                        <w:r>
                          <w:fldChar w:fldCharType="separate"/>
                        </w:r>
                        <w:r>
                          <w:rPr>
                            <w:lang w:val="zh-CN"/>
                          </w:rPr>
                          <w:t>81</w:t>
                        </w:r>
                        <w:r>
                          <w:fldChar w:fldCharType="end"/>
                        </w:r>
                      </w:p>
                    </w:sdtContent>
                  </w:sdt>
                  <w:p/>
                </w:txbxContent>
              </v:textbox>
            </v:shape>
          </w:pict>
        </mc:Fallback>
      </mc:AlternateContent>
    </w:r>
  </w:p>
  <w:p>
    <w:pPr>
      <w:pStyle w:val="16"/>
      <w:pBdr>
        <w:bottom w:val="none" w:color="auto" w:sz="0" w:space="0"/>
      </w:pBdr>
      <w:tabs>
        <w:tab w:val="right" w:pos="8728"/>
        <w:tab w:val="clear" w:pos="4153"/>
        <w:tab w:val="clear" w:pos="8306"/>
      </w:tabs>
      <w:ind w:left="0" w:right="343" w:firstLine="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0"/>
      <w:ind w:right="-57" w:firstLine="0"/>
      <w:jc w:val="cente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6"/>
              <wp:cNvGraphicFramePr/>
              <a:graphic xmlns:a="http://schemas.openxmlformats.org/drawingml/2006/main">
                <a:graphicData uri="http://schemas.microsoft.com/office/word/2010/wordprocessingShape">
                  <wps:wsp>
                    <wps:cNvSpPr txBox="1"/>
                    <wps:spPr>
                      <a:xfrm>
                        <a:off x="0" y="0"/>
                        <a:ext cx="1829435" cy="387350"/>
                      </a:xfrm>
                      <a:prstGeom prst="rect">
                        <a:avLst/>
                      </a:prstGeom>
                      <a:noFill/>
                      <a:ln w="6350" cap="flat">
                        <a:noFill/>
                      </a:ln>
                      <a:effectLst/>
                    </wps:spPr>
                    <wps:txbx>
                      <w:txbxContent>
                        <w:p>
                          <w:r>
                            <w:rPr>
                              <w:rFonts w:hint="eastAsia"/>
                            </w:rPr>
                            <w:fldChar w:fldCharType="begin"/>
                          </w:r>
                          <w:r>
                            <w:rPr>
                              <w:rFonts w:hint="eastAsia"/>
                            </w:rPr>
                            <w:instrText xml:space="preserve">PAGE  \* MERGEFORMAT</w:instrText>
                          </w:r>
                          <w:r>
                            <w:rPr>
                              <w:rFonts w:hint="eastAsia"/>
                            </w:rPr>
                            <w:fldChar w:fldCharType="separate"/>
                          </w:r>
                          <w:r>
                            <w:t>85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NJWO7QAAAABQEAAA8AAAAAAAAAAQAgAAAAIgAAAGRycy9kb3ducmV2&#10;LnhtbFBLAQIUABQAAAAIAIdO4kA/vF3EPQIAAG8EAAAOAAAAAAAAAAEAIAAAAB8BAABkcnMvZTJv&#10;RG9jLnhtbFBLBQYAAAAABgAGAFkBAADOBQAAAAA=&#10;">
              <v:fill on="f" focussize="0,0"/>
              <v:stroke on="f" weight="0.5pt"/>
              <v:imagedata o:title=""/>
              <o:lock v:ext="edit" aspectratio="f"/>
              <v:textbox inset="0mm,0mm,0mm,0mm" style="mso-fit-shape-to-text:t;">
                <w:txbxContent>
                  <w:p>
                    <w:r>
                      <w:rPr>
                        <w:rFonts w:hint="eastAsia"/>
                      </w:rPr>
                      <w:fldChar w:fldCharType="begin"/>
                    </w:r>
                    <w:r>
                      <w:rPr>
                        <w:rFonts w:hint="eastAsia"/>
                      </w:rPr>
                      <w:instrText xml:space="preserve">PAGE  \* MERGEFORMAT</w:instrText>
                    </w:r>
                    <w:r>
                      <w:rPr>
                        <w:rFonts w:hint="eastAsia"/>
                      </w:rPr>
                      <w:fldChar w:fldCharType="separate"/>
                    </w:r>
                    <w:r>
                      <w:t>85</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tabs>
        <w:tab w:val="left" w:pos="2847"/>
        <w:tab w:val="left" w:pos="3510"/>
        <w:tab w:val="left" w:pos="4002"/>
        <w:tab w:val="clear" w:pos="4153"/>
        <w:tab w:val="clear" w:pos="8306"/>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spacing w:before="0"/>
      <w:ind w:right="-57" w:firstLine="0"/>
      <w:jc w:val="both"/>
      <w:rPr>
        <w:rFonts w:ascii="宋体" w:hAnsi="宋体"/>
        <w:color w:val="000000"/>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ind w:right="-57"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00001"/>
    <w:multiLevelType w:val="multilevel"/>
    <w:tmpl w:val="2F000001"/>
    <w:lvl w:ilvl="0" w:tentative="0">
      <w:start w:val="18"/>
      <w:numFmt w:val="decimal"/>
      <w:suff w:val="space"/>
      <w:lvlText w:val="%1."/>
      <w:lvlJc w:val="left"/>
    </w:lvl>
    <w:lvl w:ilvl="1" w:tentative="0">
      <w:start w:val="18"/>
      <w:numFmt w:val="decimal"/>
      <w:suff w:val="space"/>
      <w:lvlText w:val="%1."/>
      <w:lvlJc w:val="left"/>
    </w:lvl>
    <w:lvl w:ilvl="2" w:tentative="0">
      <w:start w:val="18"/>
      <w:numFmt w:val="decimal"/>
      <w:suff w:val="space"/>
      <w:lvlText w:val="%1."/>
      <w:lvlJc w:val="left"/>
    </w:lvl>
    <w:lvl w:ilvl="3" w:tentative="0">
      <w:start w:val="18"/>
      <w:numFmt w:val="decimal"/>
      <w:suff w:val="space"/>
      <w:lvlText w:val="%1."/>
      <w:lvlJc w:val="left"/>
    </w:lvl>
    <w:lvl w:ilvl="4" w:tentative="0">
      <w:start w:val="18"/>
      <w:numFmt w:val="decimal"/>
      <w:suff w:val="space"/>
      <w:lvlText w:val="%1."/>
      <w:lvlJc w:val="left"/>
    </w:lvl>
    <w:lvl w:ilvl="5" w:tentative="0">
      <w:start w:val="18"/>
      <w:numFmt w:val="decimal"/>
      <w:suff w:val="space"/>
      <w:lvlText w:val="%1."/>
      <w:lvlJc w:val="left"/>
    </w:lvl>
    <w:lvl w:ilvl="6" w:tentative="0">
      <w:start w:val="18"/>
      <w:numFmt w:val="decimal"/>
      <w:suff w:val="space"/>
      <w:lvlText w:val="%1."/>
      <w:lvlJc w:val="left"/>
    </w:lvl>
    <w:lvl w:ilvl="7" w:tentative="0">
      <w:start w:val="18"/>
      <w:numFmt w:val="decimal"/>
      <w:suff w:val="space"/>
      <w:lvlText w:val="%1."/>
      <w:lvlJc w:val="left"/>
    </w:lvl>
    <w:lvl w:ilvl="8" w:tentative="0">
      <w:start w:val="18"/>
      <w:numFmt w:val="decimal"/>
      <w:suff w:val="space"/>
      <w:lvlText w:val="%1."/>
      <w:lvlJc w:val="left"/>
    </w:lvl>
  </w:abstractNum>
  <w:abstractNum w:abstractNumId="1">
    <w:nsid w:val="2F000011"/>
    <w:multiLevelType w:val="multilevel"/>
    <w:tmpl w:val="2F000011"/>
    <w:lvl w:ilvl="0" w:tentative="0">
      <w:start w:val="1"/>
      <w:numFmt w:val="chineseCountingThousand"/>
      <w:lvlText w:val="第%1章"/>
      <w:lvlJc w:val="left"/>
      <w:pPr>
        <w:tabs>
          <w:tab w:val="left" w:pos="1134"/>
        </w:tabs>
        <w:ind w:left="1134" w:hanging="1134"/>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2F000016"/>
    <w:multiLevelType w:val="multilevel"/>
    <w:tmpl w:val="2F000016"/>
    <w:lvl w:ilvl="0" w:tentative="0">
      <w:start w:val="8"/>
      <w:numFmt w:val="decimal"/>
      <w:lvlText w:val="%1"/>
      <w:lvlJc w:val="left"/>
      <w:pPr>
        <w:tabs>
          <w:tab w:val="left" w:pos="720"/>
        </w:tabs>
        <w:ind w:left="720" w:hanging="720"/>
      </w:pPr>
      <w:rPr>
        <w:rFonts w:hint="default"/>
      </w:rPr>
    </w:lvl>
    <w:lvl w:ilvl="1" w:tentative="0">
      <w:start w:val="1"/>
      <w:numFmt w:val="decimal"/>
      <w:lvlText w:val="A%2"/>
      <w:lvlJc w:val="left"/>
      <w:pPr>
        <w:tabs>
          <w:tab w:val="left" w:pos="567"/>
        </w:tabs>
        <w:ind w:left="567" w:hanging="567"/>
      </w:pPr>
      <w:rPr>
        <w:rFonts w:hint="eastAsia"/>
        <w:b/>
        <w:i w:val="0"/>
        <w:sz w:val="21"/>
        <w:szCs w:val="21"/>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3">
    <w:nsid w:val="2F000029"/>
    <w:multiLevelType w:val="multilevel"/>
    <w:tmpl w:val="2F000029"/>
    <w:lvl w:ilvl="0" w:tentative="0">
      <w:start w:val="34"/>
      <w:numFmt w:val="decimal"/>
      <w:suff w:val="space"/>
      <w:lvlText w:val="%1."/>
      <w:lvlJc w:val="left"/>
    </w:lvl>
    <w:lvl w:ilvl="1" w:tentative="0">
      <w:start w:val="34"/>
      <w:numFmt w:val="decimal"/>
      <w:suff w:val="space"/>
      <w:lvlText w:val="%1."/>
      <w:lvlJc w:val="left"/>
    </w:lvl>
    <w:lvl w:ilvl="2" w:tentative="0">
      <w:start w:val="34"/>
      <w:numFmt w:val="decimal"/>
      <w:suff w:val="space"/>
      <w:lvlText w:val="%1."/>
      <w:lvlJc w:val="left"/>
    </w:lvl>
    <w:lvl w:ilvl="3" w:tentative="0">
      <w:start w:val="34"/>
      <w:numFmt w:val="decimal"/>
      <w:suff w:val="space"/>
      <w:lvlText w:val="%1."/>
      <w:lvlJc w:val="left"/>
    </w:lvl>
    <w:lvl w:ilvl="4" w:tentative="0">
      <w:start w:val="34"/>
      <w:numFmt w:val="decimal"/>
      <w:suff w:val="space"/>
      <w:lvlText w:val="%1."/>
      <w:lvlJc w:val="left"/>
    </w:lvl>
    <w:lvl w:ilvl="5" w:tentative="0">
      <w:start w:val="34"/>
      <w:numFmt w:val="decimal"/>
      <w:suff w:val="space"/>
      <w:lvlText w:val="%1."/>
      <w:lvlJc w:val="left"/>
    </w:lvl>
    <w:lvl w:ilvl="6" w:tentative="0">
      <w:start w:val="34"/>
      <w:numFmt w:val="decimal"/>
      <w:suff w:val="space"/>
      <w:lvlText w:val="%1."/>
      <w:lvlJc w:val="left"/>
    </w:lvl>
    <w:lvl w:ilvl="7" w:tentative="0">
      <w:start w:val="34"/>
      <w:numFmt w:val="decimal"/>
      <w:suff w:val="space"/>
      <w:lvlText w:val="%1."/>
      <w:lvlJc w:val="left"/>
    </w:lvl>
    <w:lvl w:ilvl="8" w:tentative="0">
      <w:start w:val="34"/>
      <w:numFmt w:val="decimal"/>
      <w:suff w:val="space"/>
      <w:lvlText w:val="%1."/>
      <w:lvlJc w:val="left"/>
    </w:lvl>
  </w:abstractNum>
  <w:abstractNum w:abstractNumId="4">
    <w:nsid w:val="2F00003B"/>
    <w:multiLevelType w:val="multilevel"/>
    <w:tmpl w:val="2F00003B"/>
    <w:lvl w:ilvl="0" w:tentative="0">
      <w:start w:val="23"/>
      <w:numFmt w:val="decimal"/>
      <w:suff w:val="space"/>
      <w:lvlText w:val="%1."/>
      <w:lvlJc w:val="left"/>
    </w:lvl>
    <w:lvl w:ilvl="1" w:tentative="0">
      <w:start w:val="23"/>
      <w:numFmt w:val="decimal"/>
      <w:suff w:val="space"/>
      <w:lvlText w:val="%1."/>
      <w:lvlJc w:val="left"/>
    </w:lvl>
    <w:lvl w:ilvl="2" w:tentative="0">
      <w:start w:val="23"/>
      <w:numFmt w:val="decimal"/>
      <w:suff w:val="space"/>
      <w:lvlText w:val="%1."/>
      <w:lvlJc w:val="left"/>
    </w:lvl>
    <w:lvl w:ilvl="3" w:tentative="0">
      <w:start w:val="23"/>
      <w:numFmt w:val="decimal"/>
      <w:suff w:val="space"/>
      <w:lvlText w:val="%1."/>
      <w:lvlJc w:val="left"/>
    </w:lvl>
    <w:lvl w:ilvl="4" w:tentative="0">
      <w:start w:val="23"/>
      <w:numFmt w:val="decimal"/>
      <w:suff w:val="space"/>
      <w:lvlText w:val="%1."/>
      <w:lvlJc w:val="left"/>
    </w:lvl>
    <w:lvl w:ilvl="5" w:tentative="0">
      <w:start w:val="23"/>
      <w:numFmt w:val="decimal"/>
      <w:suff w:val="space"/>
      <w:lvlText w:val="%1."/>
      <w:lvlJc w:val="left"/>
    </w:lvl>
    <w:lvl w:ilvl="6" w:tentative="0">
      <w:start w:val="23"/>
      <w:numFmt w:val="decimal"/>
      <w:suff w:val="space"/>
      <w:lvlText w:val="%1."/>
      <w:lvlJc w:val="left"/>
    </w:lvl>
    <w:lvl w:ilvl="7" w:tentative="0">
      <w:start w:val="23"/>
      <w:numFmt w:val="decimal"/>
      <w:suff w:val="space"/>
      <w:lvlText w:val="%1."/>
      <w:lvlJc w:val="left"/>
    </w:lvl>
    <w:lvl w:ilvl="8" w:tentative="0">
      <w:start w:val="23"/>
      <w:numFmt w:val="decimal"/>
      <w:suff w:val="space"/>
      <w:lvlText w:val="%1."/>
      <w:lvlJc w:val="left"/>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dit="trackedChanges" w:enforcement="0"/>
  <w:defaultTabStop w:val="420"/>
  <w:displayHorizontalDrawingGridEvery w:val="1"/>
  <w:displayVerticalDrawingGridEvery w:val="1"/>
  <w:noPunctuationKerning w:val="1"/>
  <w:characterSpacingControl w:val="compressPunctuation"/>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4ZmM5N2E4YjJjMWEzMGJkYzJlZWNkYjg3NzM2YmEifQ=="/>
  </w:docVars>
  <w:rsids>
    <w:rsidRoot w:val="00172A27"/>
    <w:rsid w:val="00000139"/>
    <w:rsid w:val="000045EA"/>
    <w:rsid w:val="000143B4"/>
    <w:rsid w:val="00020035"/>
    <w:rsid w:val="00022F88"/>
    <w:rsid w:val="00033903"/>
    <w:rsid w:val="000437E6"/>
    <w:rsid w:val="00043E88"/>
    <w:rsid w:val="00056696"/>
    <w:rsid w:val="00065DA8"/>
    <w:rsid w:val="00070470"/>
    <w:rsid w:val="00072E66"/>
    <w:rsid w:val="00074337"/>
    <w:rsid w:val="0008222E"/>
    <w:rsid w:val="0009005C"/>
    <w:rsid w:val="00092270"/>
    <w:rsid w:val="0009493E"/>
    <w:rsid w:val="000A1767"/>
    <w:rsid w:val="000A68DB"/>
    <w:rsid w:val="000B34C7"/>
    <w:rsid w:val="000C1668"/>
    <w:rsid w:val="000C20C1"/>
    <w:rsid w:val="000C53FF"/>
    <w:rsid w:val="000C56A1"/>
    <w:rsid w:val="000C68D6"/>
    <w:rsid w:val="000D2B9F"/>
    <w:rsid w:val="000D3045"/>
    <w:rsid w:val="000E072A"/>
    <w:rsid w:val="000E2CD2"/>
    <w:rsid w:val="000E3DDE"/>
    <w:rsid w:val="000E7DA5"/>
    <w:rsid w:val="000F6EB3"/>
    <w:rsid w:val="0011106B"/>
    <w:rsid w:val="0011285E"/>
    <w:rsid w:val="0011296C"/>
    <w:rsid w:val="001207B4"/>
    <w:rsid w:val="001315CE"/>
    <w:rsid w:val="00135B62"/>
    <w:rsid w:val="001367A8"/>
    <w:rsid w:val="00136FF6"/>
    <w:rsid w:val="001520D4"/>
    <w:rsid w:val="001528F9"/>
    <w:rsid w:val="00155FD4"/>
    <w:rsid w:val="0017175E"/>
    <w:rsid w:val="00171C5C"/>
    <w:rsid w:val="00171F3D"/>
    <w:rsid w:val="00172A27"/>
    <w:rsid w:val="0018286A"/>
    <w:rsid w:val="00186A28"/>
    <w:rsid w:val="001A37D3"/>
    <w:rsid w:val="001A3FCA"/>
    <w:rsid w:val="001B0893"/>
    <w:rsid w:val="001C0C50"/>
    <w:rsid w:val="001E0D82"/>
    <w:rsid w:val="001E5985"/>
    <w:rsid w:val="001E5F09"/>
    <w:rsid w:val="001E5F4A"/>
    <w:rsid w:val="001E7288"/>
    <w:rsid w:val="002041A6"/>
    <w:rsid w:val="00206D2E"/>
    <w:rsid w:val="002215B5"/>
    <w:rsid w:val="00226768"/>
    <w:rsid w:val="00226771"/>
    <w:rsid w:val="00226B2E"/>
    <w:rsid w:val="00226D0E"/>
    <w:rsid w:val="00234C0B"/>
    <w:rsid w:val="00237A98"/>
    <w:rsid w:val="0024287B"/>
    <w:rsid w:val="0024741B"/>
    <w:rsid w:val="00250117"/>
    <w:rsid w:val="00261C93"/>
    <w:rsid w:val="00267A67"/>
    <w:rsid w:val="00272F80"/>
    <w:rsid w:val="0027764C"/>
    <w:rsid w:val="002A3639"/>
    <w:rsid w:val="002A3BC6"/>
    <w:rsid w:val="002C556E"/>
    <w:rsid w:val="002C5B0F"/>
    <w:rsid w:val="002D23D9"/>
    <w:rsid w:val="002D2931"/>
    <w:rsid w:val="002D6D0E"/>
    <w:rsid w:val="002E190D"/>
    <w:rsid w:val="002E7417"/>
    <w:rsid w:val="003207F4"/>
    <w:rsid w:val="00330C55"/>
    <w:rsid w:val="00330D78"/>
    <w:rsid w:val="003354EE"/>
    <w:rsid w:val="00337C6A"/>
    <w:rsid w:val="003464E7"/>
    <w:rsid w:val="00347499"/>
    <w:rsid w:val="00354E36"/>
    <w:rsid w:val="003568E4"/>
    <w:rsid w:val="003706A5"/>
    <w:rsid w:val="003712A4"/>
    <w:rsid w:val="00395A23"/>
    <w:rsid w:val="003A0C71"/>
    <w:rsid w:val="003A170B"/>
    <w:rsid w:val="003A6B40"/>
    <w:rsid w:val="003A7F1A"/>
    <w:rsid w:val="003B097F"/>
    <w:rsid w:val="003B2656"/>
    <w:rsid w:val="003B43D3"/>
    <w:rsid w:val="003B6BE9"/>
    <w:rsid w:val="003B753C"/>
    <w:rsid w:val="003C312A"/>
    <w:rsid w:val="003C4653"/>
    <w:rsid w:val="003D0506"/>
    <w:rsid w:val="003D3A75"/>
    <w:rsid w:val="003D6118"/>
    <w:rsid w:val="003F2270"/>
    <w:rsid w:val="004043A2"/>
    <w:rsid w:val="0040609D"/>
    <w:rsid w:val="00412014"/>
    <w:rsid w:val="00412A48"/>
    <w:rsid w:val="00414B71"/>
    <w:rsid w:val="00417574"/>
    <w:rsid w:val="004215F1"/>
    <w:rsid w:val="0042215D"/>
    <w:rsid w:val="0043285C"/>
    <w:rsid w:val="00440F9A"/>
    <w:rsid w:val="00443ADE"/>
    <w:rsid w:val="00450007"/>
    <w:rsid w:val="00460FCA"/>
    <w:rsid w:val="00476FBE"/>
    <w:rsid w:val="00483264"/>
    <w:rsid w:val="004A0D30"/>
    <w:rsid w:val="004B1E96"/>
    <w:rsid w:val="004B508D"/>
    <w:rsid w:val="004B62C0"/>
    <w:rsid w:val="004C7017"/>
    <w:rsid w:val="004D1018"/>
    <w:rsid w:val="004D449E"/>
    <w:rsid w:val="004D6C38"/>
    <w:rsid w:val="004E12DE"/>
    <w:rsid w:val="004E556B"/>
    <w:rsid w:val="004F6E95"/>
    <w:rsid w:val="00505261"/>
    <w:rsid w:val="00510E4D"/>
    <w:rsid w:val="00512A45"/>
    <w:rsid w:val="0052634A"/>
    <w:rsid w:val="00534F4F"/>
    <w:rsid w:val="00541401"/>
    <w:rsid w:val="0054269C"/>
    <w:rsid w:val="00545844"/>
    <w:rsid w:val="00564C20"/>
    <w:rsid w:val="005746F2"/>
    <w:rsid w:val="00574C3B"/>
    <w:rsid w:val="0057690D"/>
    <w:rsid w:val="00596877"/>
    <w:rsid w:val="005A2E67"/>
    <w:rsid w:val="005B01F5"/>
    <w:rsid w:val="005C5B0E"/>
    <w:rsid w:val="005E26D6"/>
    <w:rsid w:val="005E5912"/>
    <w:rsid w:val="005F2C46"/>
    <w:rsid w:val="005F5158"/>
    <w:rsid w:val="005F5B89"/>
    <w:rsid w:val="00622520"/>
    <w:rsid w:val="006279E7"/>
    <w:rsid w:val="00634596"/>
    <w:rsid w:val="006402D2"/>
    <w:rsid w:val="00642B95"/>
    <w:rsid w:val="00650EA9"/>
    <w:rsid w:val="0065460D"/>
    <w:rsid w:val="0066001D"/>
    <w:rsid w:val="006679DC"/>
    <w:rsid w:val="00670400"/>
    <w:rsid w:val="006724B7"/>
    <w:rsid w:val="00677349"/>
    <w:rsid w:val="00677925"/>
    <w:rsid w:val="00677A8A"/>
    <w:rsid w:val="006922EC"/>
    <w:rsid w:val="00693CC5"/>
    <w:rsid w:val="006A2F07"/>
    <w:rsid w:val="006A543A"/>
    <w:rsid w:val="006B4A23"/>
    <w:rsid w:val="006B6F3C"/>
    <w:rsid w:val="006C1838"/>
    <w:rsid w:val="006F48AD"/>
    <w:rsid w:val="006F629E"/>
    <w:rsid w:val="00701B5D"/>
    <w:rsid w:val="00703F0B"/>
    <w:rsid w:val="007076B1"/>
    <w:rsid w:val="007109D1"/>
    <w:rsid w:val="00711C7C"/>
    <w:rsid w:val="0071330B"/>
    <w:rsid w:val="00722FCE"/>
    <w:rsid w:val="007258A2"/>
    <w:rsid w:val="00732B4D"/>
    <w:rsid w:val="007345D7"/>
    <w:rsid w:val="00735BD4"/>
    <w:rsid w:val="00737A61"/>
    <w:rsid w:val="00746901"/>
    <w:rsid w:val="00774E91"/>
    <w:rsid w:val="00785E9C"/>
    <w:rsid w:val="00785F88"/>
    <w:rsid w:val="00792362"/>
    <w:rsid w:val="007A023A"/>
    <w:rsid w:val="007A04DC"/>
    <w:rsid w:val="007A2EB0"/>
    <w:rsid w:val="007A529B"/>
    <w:rsid w:val="007B797A"/>
    <w:rsid w:val="007C15ED"/>
    <w:rsid w:val="007C2CCC"/>
    <w:rsid w:val="007C7115"/>
    <w:rsid w:val="007D2FAE"/>
    <w:rsid w:val="007D399D"/>
    <w:rsid w:val="007D59AF"/>
    <w:rsid w:val="00803C1E"/>
    <w:rsid w:val="00810B98"/>
    <w:rsid w:val="00810E6A"/>
    <w:rsid w:val="0081156F"/>
    <w:rsid w:val="0081164E"/>
    <w:rsid w:val="00816129"/>
    <w:rsid w:val="008177BD"/>
    <w:rsid w:val="0083668C"/>
    <w:rsid w:val="008376B8"/>
    <w:rsid w:val="00840E0D"/>
    <w:rsid w:val="0086730C"/>
    <w:rsid w:val="0088026D"/>
    <w:rsid w:val="00881EB7"/>
    <w:rsid w:val="0088570D"/>
    <w:rsid w:val="00891420"/>
    <w:rsid w:val="008961B8"/>
    <w:rsid w:val="008A0C18"/>
    <w:rsid w:val="008B0302"/>
    <w:rsid w:val="008B224C"/>
    <w:rsid w:val="008C63B5"/>
    <w:rsid w:val="008D0A55"/>
    <w:rsid w:val="008D0E21"/>
    <w:rsid w:val="008D2976"/>
    <w:rsid w:val="008E500C"/>
    <w:rsid w:val="008F2CD1"/>
    <w:rsid w:val="008F720F"/>
    <w:rsid w:val="00902783"/>
    <w:rsid w:val="00904592"/>
    <w:rsid w:val="00906D34"/>
    <w:rsid w:val="009120C7"/>
    <w:rsid w:val="00916179"/>
    <w:rsid w:val="00925337"/>
    <w:rsid w:val="00931174"/>
    <w:rsid w:val="0094110B"/>
    <w:rsid w:val="00944B82"/>
    <w:rsid w:val="00956B31"/>
    <w:rsid w:val="00957AA0"/>
    <w:rsid w:val="009604CB"/>
    <w:rsid w:val="00973D89"/>
    <w:rsid w:val="0097464F"/>
    <w:rsid w:val="009A7B76"/>
    <w:rsid w:val="009B0988"/>
    <w:rsid w:val="009B388E"/>
    <w:rsid w:val="009C307D"/>
    <w:rsid w:val="009C5CE8"/>
    <w:rsid w:val="009D3453"/>
    <w:rsid w:val="009D6F3B"/>
    <w:rsid w:val="009E1329"/>
    <w:rsid w:val="009E28E5"/>
    <w:rsid w:val="009F214A"/>
    <w:rsid w:val="009F374F"/>
    <w:rsid w:val="009F588C"/>
    <w:rsid w:val="00A02C14"/>
    <w:rsid w:val="00A11C51"/>
    <w:rsid w:val="00A1337E"/>
    <w:rsid w:val="00A54F86"/>
    <w:rsid w:val="00A722C5"/>
    <w:rsid w:val="00A859DC"/>
    <w:rsid w:val="00A91F36"/>
    <w:rsid w:val="00A93A7F"/>
    <w:rsid w:val="00AB6B27"/>
    <w:rsid w:val="00AE2C17"/>
    <w:rsid w:val="00AE5333"/>
    <w:rsid w:val="00AE60A5"/>
    <w:rsid w:val="00AF196A"/>
    <w:rsid w:val="00AF54E1"/>
    <w:rsid w:val="00AF6996"/>
    <w:rsid w:val="00B04E81"/>
    <w:rsid w:val="00B14E6B"/>
    <w:rsid w:val="00B3702B"/>
    <w:rsid w:val="00B457D5"/>
    <w:rsid w:val="00B47764"/>
    <w:rsid w:val="00B4784E"/>
    <w:rsid w:val="00B52D63"/>
    <w:rsid w:val="00B539FE"/>
    <w:rsid w:val="00B74FC5"/>
    <w:rsid w:val="00B80D2F"/>
    <w:rsid w:val="00B90D8A"/>
    <w:rsid w:val="00B90EB4"/>
    <w:rsid w:val="00B910A3"/>
    <w:rsid w:val="00B95CAE"/>
    <w:rsid w:val="00B97802"/>
    <w:rsid w:val="00BA3124"/>
    <w:rsid w:val="00BA37AA"/>
    <w:rsid w:val="00BB2B84"/>
    <w:rsid w:val="00BB3622"/>
    <w:rsid w:val="00BC1FDB"/>
    <w:rsid w:val="00BD389A"/>
    <w:rsid w:val="00BE2F9C"/>
    <w:rsid w:val="00BE36C7"/>
    <w:rsid w:val="00BE3C13"/>
    <w:rsid w:val="00BF3812"/>
    <w:rsid w:val="00BF4099"/>
    <w:rsid w:val="00BF7E8A"/>
    <w:rsid w:val="00C07A4F"/>
    <w:rsid w:val="00C244BA"/>
    <w:rsid w:val="00C254EC"/>
    <w:rsid w:val="00C25AD7"/>
    <w:rsid w:val="00C30364"/>
    <w:rsid w:val="00C31620"/>
    <w:rsid w:val="00C3605A"/>
    <w:rsid w:val="00C4070E"/>
    <w:rsid w:val="00C45D77"/>
    <w:rsid w:val="00C46568"/>
    <w:rsid w:val="00C524FA"/>
    <w:rsid w:val="00C557E5"/>
    <w:rsid w:val="00C636A8"/>
    <w:rsid w:val="00C64C38"/>
    <w:rsid w:val="00C651B3"/>
    <w:rsid w:val="00C7432E"/>
    <w:rsid w:val="00C76FE6"/>
    <w:rsid w:val="00C8124B"/>
    <w:rsid w:val="00C83408"/>
    <w:rsid w:val="00C91765"/>
    <w:rsid w:val="00CA3F44"/>
    <w:rsid w:val="00CA4DB7"/>
    <w:rsid w:val="00CA6CAC"/>
    <w:rsid w:val="00CA708C"/>
    <w:rsid w:val="00CB3033"/>
    <w:rsid w:val="00CB3C9F"/>
    <w:rsid w:val="00CB5F47"/>
    <w:rsid w:val="00CC18DB"/>
    <w:rsid w:val="00CC46A2"/>
    <w:rsid w:val="00CC6D92"/>
    <w:rsid w:val="00CE01EF"/>
    <w:rsid w:val="00CF001A"/>
    <w:rsid w:val="00CF355D"/>
    <w:rsid w:val="00CF3DD6"/>
    <w:rsid w:val="00D0202D"/>
    <w:rsid w:val="00D05988"/>
    <w:rsid w:val="00D1571D"/>
    <w:rsid w:val="00D21E36"/>
    <w:rsid w:val="00D2321E"/>
    <w:rsid w:val="00D23492"/>
    <w:rsid w:val="00D26520"/>
    <w:rsid w:val="00D277F8"/>
    <w:rsid w:val="00D300DD"/>
    <w:rsid w:val="00D479CD"/>
    <w:rsid w:val="00D51120"/>
    <w:rsid w:val="00D829D0"/>
    <w:rsid w:val="00D841A1"/>
    <w:rsid w:val="00D86276"/>
    <w:rsid w:val="00D92C17"/>
    <w:rsid w:val="00D930BB"/>
    <w:rsid w:val="00D93779"/>
    <w:rsid w:val="00D95A4C"/>
    <w:rsid w:val="00D95DD8"/>
    <w:rsid w:val="00DB181C"/>
    <w:rsid w:val="00DD4A24"/>
    <w:rsid w:val="00DE249D"/>
    <w:rsid w:val="00E255AC"/>
    <w:rsid w:val="00E26053"/>
    <w:rsid w:val="00E312D2"/>
    <w:rsid w:val="00E3257A"/>
    <w:rsid w:val="00E33009"/>
    <w:rsid w:val="00E400B5"/>
    <w:rsid w:val="00E449D8"/>
    <w:rsid w:val="00E44D52"/>
    <w:rsid w:val="00E45D74"/>
    <w:rsid w:val="00E51F99"/>
    <w:rsid w:val="00E52414"/>
    <w:rsid w:val="00E55177"/>
    <w:rsid w:val="00E57591"/>
    <w:rsid w:val="00E646D4"/>
    <w:rsid w:val="00E653F5"/>
    <w:rsid w:val="00E72F1F"/>
    <w:rsid w:val="00E763ED"/>
    <w:rsid w:val="00E77EA7"/>
    <w:rsid w:val="00E8709E"/>
    <w:rsid w:val="00E91197"/>
    <w:rsid w:val="00E93BCC"/>
    <w:rsid w:val="00E96E54"/>
    <w:rsid w:val="00EA4CBD"/>
    <w:rsid w:val="00EC2D7B"/>
    <w:rsid w:val="00EC7B61"/>
    <w:rsid w:val="00ED5241"/>
    <w:rsid w:val="00ED7DBB"/>
    <w:rsid w:val="00EF20F4"/>
    <w:rsid w:val="00EF5BD9"/>
    <w:rsid w:val="00EF6456"/>
    <w:rsid w:val="00F115E5"/>
    <w:rsid w:val="00F1492D"/>
    <w:rsid w:val="00F2140E"/>
    <w:rsid w:val="00F275D0"/>
    <w:rsid w:val="00F278C2"/>
    <w:rsid w:val="00F331FE"/>
    <w:rsid w:val="00F344D6"/>
    <w:rsid w:val="00F37250"/>
    <w:rsid w:val="00F3752A"/>
    <w:rsid w:val="00F40FBF"/>
    <w:rsid w:val="00F41ABA"/>
    <w:rsid w:val="00F43D41"/>
    <w:rsid w:val="00F52A40"/>
    <w:rsid w:val="00F603CC"/>
    <w:rsid w:val="00F74EBD"/>
    <w:rsid w:val="00F831B3"/>
    <w:rsid w:val="00F8733F"/>
    <w:rsid w:val="00F94057"/>
    <w:rsid w:val="00FA6233"/>
    <w:rsid w:val="00FB3AAB"/>
    <w:rsid w:val="00FB4898"/>
    <w:rsid w:val="00FC02B4"/>
    <w:rsid w:val="00FD1370"/>
    <w:rsid w:val="00FD5F55"/>
    <w:rsid w:val="00FD6B81"/>
    <w:rsid w:val="00FE3364"/>
    <w:rsid w:val="00FE6711"/>
    <w:rsid w:val="00FE7403"/>
    <w:rsid w:val="00FF2D5E"/>
    <w:rsid w:val="00FF3FB5"/>
    <w:rsid w:val="01C87A7D"/>
    <w:rsid w:val="02A65BF8"/>
    <w:rsid w:val="03146FB2"/>
    <w:rsid w:val="033C69E5"/>
    <w:rsid w:val="03EA33AA"/>
    <w:rsid w:val="04020870"/>
    <w:rsid w:val="04C3074B"/>
    <w:rsid w:val="04E66667"/>
    <w:rsid w:val="04ED50CF"/>
    <w:rsid w:val="050172D2"/>
    <w:rsid w:val="05074C2F"/>
    <w:rsid w:val="052E18FC"/>
    <w:rsid w:val="05D616D9"/>
    <w:rsid w:val="05EA06E6"/>
    <w:rsid w:val="05F94348"/>
    <w:rsid w:val="063127B9"/>
    <w:rsid w:val="0658663F"/>
    <w:rsid w:val="065A0778"/>
    <w:rsid w:val="06C22048"/>
    <w:rsid w:val="06D2522F"/>
    <w:rsid w:val="06FA151B"/>
    <w:rsid w:val="07EC339C"/>
    <w:rsid w:val="07F81459"/>
    <w:rsid w:val="088D2F89"/>
    <w:rsid w:val="08C86A9E"/>
    <w:rsid w:val="08D537DF"/>
    <w:rsid w:val="08E23C76"/>
    <w:rsid w:val="08F30759"/>
    <w:rsid w:val="092B3343"/>
    <w:rsid w:val="094E71DE"/>
    <w:rsid w:val="096C486D"/>
    <w:rsid w:val="09D10B55"/>
    <w:rsid w:val="0A3702D0"/>
    <w:rsid w:val="0A570CA9"/>
    <w:rsid w:val="0A8E1526"/>
    <w:rsid w:val="0B163C99"/>
    <w:rsid w:val="0C500936"/>
    <w:rsid w:val="0CA0595E"/>
    <w:rsid w:val="0CB62379"/>
    <w:rsid w:val="0CBE139E"/>
    <w:rsid w:val="0CE85320"/>
    <w:rsid w:val="0D186BF4"/>
    <w:rsid w:val="0D460BF6"/>
    <w:rsid w:val="0D974876"/>
    <w:rsid w:val="0D9C4896"/>
    <w:rsid w:val="0DA4199A"/>
    <w:rsid w:val="0DD70309"/>
    <w:rsid w:val="0DE13648"/>
    <w:rsid w:val="0DE5590D"/>
    <w:rsid w:val="0DFB6C9C"/>
    <w:rsid w:val="0E194D6D"/>
    <w:rsid w:val="0E25522B"/>
    <w:rsid w:val="0E814E12"/>
    <w:rsid w:val="0ED17E3C"/>
    <w:rsid w:val="0EFA01B2"/>
    <w:rsid w:val="0EFF24AB"/>
    <w:rsid w:val="0F2561C1"/>
    <w:rsid w:val="0F6A3F58"/>
    <w:rsid w:val="0F8F6B79"/>
    <w:rsid w:val="0FB17310"/>
    <w:rsid w:val="0FCB4351"/>
    <w:rsid w:val="100971F7"/>
    <w:rsid w:val="10142049"/>
    <w:rsid w:val="1047391B"/>
    <w:rsid w:val="10643E90"/>
    <w:rsid w:val="10940AC7"/>
    <w:rsid w:val="10C24EFC"/>
    <w:rsid w:val="10C35663"/>
    <w:rsid w:val="10CE206A"/>
    <w:rsid w:val="11366B25"/>
    <w:rsid w:val="12887A8C"/>
    <w:rsid w:val="12F1106A"/>
    <w:rsid w:val="13B855F8"/>
    <w:rsid w:val="13FD1BFC"/>
    <w:rsid w:val="142F43C4"/>
    <w:rsid w:val="143234EA"/>
    <w:rsid w:val="14625B39"/>
    <w:rsid w:val="14752A06"/>
    <w:rsid w:val="14A821F3"/>
    <w:rsid w:val="14B46A8F"/>
    <w:rsid w:val="14C44FC2"/>
    <w:rsid w:val="14F65A73"/>
    <w:rsid w:val="156843B5"/>
    <w:rsid w:val="157A317B"/>
    <w:rsid w:val="15AD0DD9"/>
    <w:rsid w:val="15EC1277"/>
    <w:rsid w:val="15FF722E"/>
    <w:rsid w:val="16041E5B"/>
    <w:rsid w:val="164A1210"/>
    <w:rsid w:val="16560CFA"/>
    <w:rsid w:val="1727428A"/>
    <w:rsid w:val="174E39DA"/>
    <w:rsid w:val="17510FC4"/>
    <w:rsid w:val="1799154D"/>
    <w:rsid w:val="17CE1B01"/>
    <w:rsid w:val="17F16571"/>
    <w:rsid w:val="18471F11"/>
    <w:rsid w:val="1897390A"/>
    <w:rsid w:val="18C352FB"/>
    <w:rsid w:val="191E2058"/>
    <w:rsid w:val="19BC79F8"/>
    <w:rsid w:val="19BD0D6A"/>
    <w:rsid w:val="1A3D12D7"/>
    <w:rsid w:val="1A674968"/>
    <w:rsid w:val="1AA9696A"/>
    <w:rsid w:val="1AF75F2E"/>
    <w:rsid w:val="1B3E058C"/>
    <w:rsid w:val="1BEB0238"/>
    <w:rsid w:val="1BF76ABF"/>
    <w:rsid w:val="1C974FC5"/>
    <w:rsid w:val="1D0056EE"/>
    <w:rsid w:val="1D037C7D"/>
    <w:rsid w:val="1D1A231B"/>
    <w:rsid w:val="1D221BD7"/>
    <w:rsid w:val="1D4554EB"/>
    <w:rsid w:val="1D4A48D3"/>
    <w:rsid w:val="1D5F4E3B"/>
    <w:rsid w:val="1D822088"/>
    <w:rsid w:val="1DB517CB"/>
    <w:rsid w:val="1E1C11FB"/>
    <w:rsid w:val="1F23170B"/>
    <w:rsid w:val="1F347A2E"/>
    <w:rsid w:val="1FC67060"/>
    <w:rsid w:val="202F162C"/>
    <w:rsid w:val="20560211"/>
    <w:rsid w:val="20CE0352"/>
    <w:rsid w:val="20E9630C"/>
    <w:rsid w:val="211A3FC0"/>
    <w:rsid w:val="212773F1"/>
    <w:rsid w:val="21453189"/>
    <w:rsid w:val="21593715"/>
    <w:rsid w:val="21662088"/>
    <w:rsid w:val="221A3FF8"/>
    <w:rsid w:val="22B167AF"/>
    <w:rsid w:val="22D927FB"/>
    <w:rsid w:val="23206E5B"/>
    <w:rsid w:val="232D0F63"/>
    <w:rsid w:val="2351475D"/>
    <w:rsid w:val="23776CB6"/>
    <w:rsid w:val="23DE0F50"/>
    <w:rsid w:val="23E95861"/>
    <w:rsid w:val="24547A2D"/>
    <w:rsid w:val="245C0FB6"/>
    <w:rsid w:val="250E6FB8"/>
    <w:rsid w:val="25462EB1"/>
    <w:rsid w:val="255837E7"/>
    <w:rsid w:val="256F79E4"/>
    <w:rsid w:val="25880C25"/>
    <w:rsid w:val="25E91374"/>
    <w:rsid w:val="26E96CFC"/>
    <w:rsid w:val="26F9170F"/>
    <w:rsid w:val="270F75F3"/>
    <w:rsid w:val="27122D19"/>
    <w:rsid w:val="28255E07"/>
    <w:rsid w:val="289409B1"/>
    <w:rsid w:val="28C15F2B"/>
    <w:rsid w:val="28E567BC"/>
    <w:rsid w:val="28F11545"/>
    <w:rsid w:val="28F72999"/>
    <w:rsid w:val="298E2B9B"/>
    <w:rsid w:val="2996177C"/>
    <w:rsid w:val="29B50A2E"/>
    <w:rsid w:val="29BB00FF"/>
    <w:rsid w:val="29C01436"/>
    <w:rsid w:val="2A4E47AE"/>
    <w:rsid w:val="2AC26FD7"/>
    <w:rsid w:val="2B3A1938"/>
    <w:rsid w:val="2B3E22AA"/>
    <w:rsid w:val="2B4A356B"/>
    <w:rsid w:val="2BDF2E2D"/>
    <w:rsid w:val="2BE80C6C"/>
    <w:rsid w:val="2BF408C8"/>
    <w:rsid w:val="2C030FC7"/>
    <w:rsid w:val="2C3952F1"/>
    <w:rsid w:val="2C566D97"/>
    <w:rsid w:val="2C642925"/>
    <w:rsid w:val="2C904F8C"/>
    <w:rsid w:val="2C936BB2"/>
    <w:rsid w:val="2CE81615"/>
    <w:rsid w:val="2D154B75"/>
    <w:rsid w:val="2D4D7650"/>
    <w:rsid w:val="2D5D1164"/>
    <w:rsid w:val="2D63276F"/>
    <w:rsid w:val="2D763A24"/>
    <w:rsid w:val="2E1830EB"/>
    <w:rsid w:val="2E1E6FD3"/>
    <w:rsid w:val="2EDD2069"/>
    <w:rsid w:val="2F9848AA"/>
    <w:rsid w:val="3152027C"/>
    <w:rsid w:val="31C62D89"/>
    <w:rsid w:val="326219C0"/>
    <w:rsid w:val="330C08D9"/>
    <w:rsid w:val="34442078"/>
    <w:rsid w:val="345B7A9F"/>
    <w:rsid w:val="34C038F5"/>
    <w:rsid w:val="34C53661"/>
    <w:rsid w:val="34FB1625"/>
    <w:rsid w:val="3545588B"/>
    <w:rsid w:val="35D75E45"/>
    <w:rsid w:val="35D81F05"/>
    <w:rsid w:val="360D4313"/>
    <w:rsid w:val="36502CC4"/>
    <w:rsid w:val="36E150DC"/>
    <w:rsid w:val="37DA445E"/>
    <w:rsid w:val="3811412B"/>
    <w:rsid w:val="38263322"/>
    <w:rsid w:val="38421B19"/>
    <w:rsid w:val="388F1E95"/>
    <w:rsid w:val="38A77BCE"/>
    <w:rsid w:val="38B75F5E"/>
    <w:rsid w:val="38C64A69"/>
    <w:rsid w:val="39A87B60"/>
    <w:rsid w:val="39B054BE"/>
    <w:rsid w:val="39D76D2F"/>
    <w:rsid w:val="39E758CF"/>
    <w:rsid w:val="3AA538E0"/>
    <w:rsid w:val="3AEC4DDA"/>
    <w:rsid w:val="3AEC50AC"/>
    <w:rsid w:val="3B4621CF"/>
    <w:rsid w:val="3BAA1763"/>
    <w:rsid w:val="3BB309F7"/>
    <w:rsid w:val="3C0768BA"/>
    <w:rsid w:val="3C1B4EB9"/>
    <w:rsid w:val="3C9B0EA4"/>
    <w:rsid w:val="3CC57EC2"/>
    <w:rsid w:val="3D645AA3"/>
    <w:rsid w:val="3DB71947"/>
    <w:rsid w:val="3E0A1429"/>
    <w:rsid w:val="3E1C66D3"/>
    <w:rsid w:val="3E7214AD"/>
    <w:rsid w:val="3EB24EC3"/>
    <w:rsid w:val="3ED66F1D"/>
    <w:rsid w:val="3F2B0694"/>
    <w:rsid w:val="3F7F10B4"/>
    <w:rsid w:val="403D78B1"/>
    <w:rsid w:val="40D57DED"/>
    <w:rsid w:val="40DB2142"/>
    <w:rsid w:val="41047364"/>
    <w:rsid w:val="41381F0D"/>
    <w:rsid w:val="41440C19"/>
    <w:rsid w:val="418D56C7"/>
    <w:rsid w:val="4227324E"/>
    <w:rsid w:val="42410ADF"/>
    <w:rsid w:val="42627431"/>
    <w:rsid w:val="42D7216B"/>
    <w:rsid w:val="42F713BD"/>
    <w:rsid w:val="434F7BB1"/>
    <w:rsid w:val="43535585"/>
    <w:rsid w:val="43F81C55"/>
    <w:rsid w:val="441143C8"/>
    <w:rsid w:val="44422C96"/>
    <w:rsid w:val="44894457"/>
    <w:rsid w:val="449A054C"/>
    <w:rsid w:val="44E24ACB"/>
    <w:rsid w:val="45542125"/>
    <w:rsid w:val="455664FC"/>
    <w:rsid w:val="464E34E7"/>
    <w:rsid w:val="467A0EF2"/>
    <w:rsid w:val="46E7240A"/>
    <w:rsid w:val="46E947B5"/>
    <w:rsid w:val="479E0F2A"/>
    <w:rsid w:val="487F1C19"/>
    <w:rsid w:val="488C1B7A"/>
    <w:rsid w:val="48D12863"/>
    <w:rsid w:val="491966F6"/>
    <w:rsid w:val="49347239"/>
    <w:rsid w:val="4945774E"/>
    <w:rsid w:val="49605330"/>
    <w:rsid w:val="49734AD0"/>
    <w:rsid w:val="49BF4FB3"/>
    <w:rsid w:val="49C053B1"/>
    <w:rsid w:val="4A2C39B3"/>
    <w:rsid w:val="4A2D04C7"/>
    <w:rsid w:val="4ACA17C8"/>
    <w:rsid w:val="4ACD4877"/>
    <w:rsid w:val="4B2D23C9"/>
    <w:rsid w:val="4B5D2176"/>
    <w:rsid w:val="4C106B88"/>
    <w:rsid w:val="4C1B79E0"/>
    <w:rsid w:val="4C515E98"/>
    <w:rsid w:val="4C612D7C"/>
    <w:rsid w:val="4C654538"/>
    <w:rsid w:val="4CB8140E"/>
    <w:rsid w:val="4CCE5654"/>
    <w:rsid w:val="4CD91D2B"/>
    <w:rsid w:val="4E10201F"/>
    <w:rsid w:val="4E141D94"/>
    <w:rsid w:val="4E24018B"/>
    <w:rsid w:val="4E3311E3"/>
    <w:rsid w:val="4E410152"/>
    <w:rsid w:val="4E8D1BB0"/>
    <w:rsid w:val="4F227482"/>
    <w:rsid w:val="4F6A776F"/>
    <w:rsid w:val="4F7300DF"/>
    <w:rsid w:val="4F8B6CCD"/>
    <w:rsid w:val="4F941D50"/>
    <w:rsid w:val="4FED59C2"/>
    <w:rsid w:val="50145307"/>
    <w:rsid w:val="50267E1B"/>
    <w:rsid w:val="50542617"/>
    <w:rsid w:val="50656016"/>
    <w:rsid w:val="5090030C"/>
    <w:rsid w:val="511C2B4D"/>
    <w:rsid w:val="5120073C"/>
    <w:rsid w:val="512A04D6"/>
    <w:rsid w:val="513C75A3"/>
    <w:rsid w:val="51437614"/>
    <w:rsid w:val="51C73BA5"/>
    <w:rsid w:val="51E5228A"/>
    <w:rsid w:val="52550A36"/>
    <w:rsid w:val="526531BD"/>
    <w:rsid w:val="527155A6"/>
    <w:rsid w:val="52794A1A"/>
    <w:rsid w:val="52835B77"/>
    <w:rsid w:val="538F7D7A"/>
    <w:rsid w:val="539C087D"/>
    <w:rsid w:val="53D7CFDD"/>
    <w:rsid w:val="53E176FD"/>
    <w:rsid w:val="543741C4"/>
    <w:rsid w:val="54477B3E"/>
    <w:rsid w:val="544A048D"/>
    <w:rsid w:val="545F06E2"/>
    <w:rsid w:val="546B75FF"/>
    <w:rsid w:val="55235605"/>
    <w:rsid w:val="552E5637"/>
    <w:rsid w:val="555907EC"/>
    <w:rsid w:val="558836BB"/>
    <w:rsid w:val="55BA1431"/>
    <w:rsid w:val="561077D0"/>
    <w:rsid w:val="57460690"/>
    <w:rsid w:val="5756181E"/>
    <w:rsid w:val="57FD1A7B"/>
    <w:rsid w:val="58070251"/>
    <w:rsid w:val="58FC75B5"/>
    <w:rsid w:val="594E495B"/>
    <w:rsid w:val="59745DBA"/>
    <w:rsid w:val="5976461B"/>
    <w:rsid w:val="597C1C42"/>
    <w:rsid w:val="59C55E10"/>
    <w:rsid w:val="59FD52AD"/>
    <w:rsid w:val="5A202097"/>
    <w:rsid w:val="5AB37688"/>
    <w:rsid w:val="5AC54FD9"/>
    <w:rsid w:val="5ACB4FD9"/>
    <w:rsid w:val="5AE43781"/>
    <w:rsid w:val="5B096777"/>
    <w:rsid w:val="5B9725C5"/>
    <w:rsid w:val="5B9914F6"/>
    <w:rsid w:val="5BC5606F"/>
    <w:rsid w:val="5C1F5280"/>
    <w:rsid w:val="5C49312D"/>
    <w:rsid w:val="5CCC50F7"/>
    <w:rsid w:val="5CD4639C"/>
    <w:rsid w:val="5D1D6B34"/>
    <w:rsid w:val="5D476AB7"/>
    <w:rsid w:val="5DAC115C"/>
    <w:rsid w:val="5DC81905"/>
    <w:rsid w:val="5DCE20DC"/>
    <w:rsid w:val="5E1452E5"/>
    <w:rsid w:val="5E3153F3"/>
    <w:rsid w:val="603178B5"/>
    <w:rsid w:val="608804D3"/>
    <w:rsid w:val="61126F33"/>
    <w:rsid w:val="612B6587"/>
    <w:rsid w:val="61537CA3"/>
    <w:rsid w:val="61771CA4"/>
    <w:rsid w:val="6290326D"/>
    <w:rsid w:val="629A31FA"/>
    <w:rsid w:val="62A5027E"/>
    <w:rsid w:val="636B7F27"/>
    <w:rsid w:val="63BC1797"/>
    <w:rsid w:val="642B10F6"/>
    <w:rsid w:val="64877FBF"/>
    <w:rsid w:val="65003833"/>
    <w:rsid w:val="65112C81"/>
    <w:rsid w:val="65236E04"/>
    <w:rsid w:val="653518B0"/>
    <w:rsid w:val="653D4810"/>
    <w:rsid w:val="6550236A"/>
    <w:rsid w:val="65707E62"/>
    <w:rsid w:val="6576024B"/>
    <w:rsid w:val="657F43F5"/>
    <w:rsid w:val="65D11318"/>
    <w:rsid w:val="66156FC7"/>
    <w:rsid w:val="66497FCC"/>
    <w:rsid w:val="66B97EC3"/>
    <w:rsid w:val="67207022"/>
    <w:rsid w:val="67E10EBF"/>
    <w:rsid w:val="68145474"/>
    <w:rsid w:val="68256D2A"/>
    <w:rsid w:val="683A1FEB"/>
    <w:rsid w:val="684A37FB"/>
    <w:rsid w:val="689234F6"/>
    <w:rsid w:val="68C305BF"/>
    <w:rsid w:val="68D0643D"/>
    <w:rsid w:val="68F07664"/>
    <w:rsid w:val="69156FAD"/>
    <w:rsid w:val="691B0435"/>
    <w:rsid w:val="692E20A0"/>
    <w:rsid w:val="69D609CB"/>
    <w:rsid w:val="6A941C46"/>
    <w:rsid w:val="6A9844C1"/>
    <w:rsid w:val="6B0E296B"/>
    <w:rsid w:val="6C343D13"/>
    <w:rsid w:val="6C7E2BB3"/>
    <w:rsid w:val="6C8E35F5"/>
    <w:rsid w:val="6CF40510"/>
    <w:rsid w:val="6D344C33"/>
    <w:rsid w:val="6D614805"/>
    <w:rsid w:val="6D765DDF"/>
    <w:rsid w:val="6DA33389"/>
    <w:rsid w:val="6DB33779"/>
    <w:rsid w:val="6DCB02E9"/>
    <w:rsid w:val="6EA6764F"/>
    <w:rsid w:val="6F180FFA"/>
    <w:rsid w:val="6F986726"/>
    <w:rsid w:val="70026DAD"/>
    <w:rsid w:val="704D519B"/>
    <w:rsid w:val="704E4344"/>
    <w:rsid w:val="70592688"/>
    <w:rsid w:val="70AB56EB"/>
    <w:rsid w:val="70CC194B"/>
    <w:rsid w:val="70DB25F9"/>
    <w:rsid w:val="70F263FD"/>
    <w:rsid w:val="710E0579"/>
    <w:rsid w:val="71147611"/>
    <w:rsid w:val="716273E8"/>
    <w:rsid w:val="72803D17"/>
    <w:rsid w:val="72FD6724"/>
    <w:rsid w:val="736F4218"/>
    <w:rsid w:val="73C37AD0"/>
    <w:rsid w:val="73FB5762"/>
    <w:rsid w:val="745D2EBC"/>
    <w:rsid w:val="747F443E"/>
    <w:rsid w:val="74A56C3E"/>
    <w:rsid w:val="74CB5108"/>
    <w:rsid w:val="74EB3053"/>
    <w:rsid w:val="74F47B07"/>
    <w:rsid w:val="74F61C8A"/>
    <w:rsid w:val="75F410EC"/>
    <w:rsid w:val="764957AC"/>
    <w:rsid w:val="76694CA9"/>
    <w:rsid w:val="76A81685"/>
    <w:rsid w:val="775E64F6"/>
    <w:rsid w:val="77840836"/>
    <w:rsid w:val="785C781B"/>
    <w:rsid w:val="78B500A5"/>
    <w:rsid w:val="78D70769"/>
    <w:rsid w:val="79425123"/>
    <w:rsid w:val="79504EE1"/>
    <w:rsid w:val="79D378A8"/>
    <w:rsid w:val="7A211BA3"/>
    <w:rsid w:val="7A267F03"/>
    <w:rsid w:val="7A2B3784"/>
    <w:rsid w:val="7A33202D"/>
    <w:rsid w:val="7AAB54FC"/>
    <w:rsid w:val="7AB74341"/>
    <w:rsid w:val="7AE24C58"/>
    <w:rsid w:val="7AF578B4"/>
    <w:rsid w:val="7B017280"/>
    <w:rsid w:val="7B3B2CE1"/>
    <w:rsid w:val="7B51638F"/>
    <w:rsid w:val="7BDA0C03"/>
    <w:rsid w:val="7BF134D8"/>
    <w:rsid w:val="7C516CDF"/>
    <w:rsid w:val="7C8D0094"/>
    <w:rsid w:val="7D112E91"/>
    <w:rsid w:val="7D4B4286"/>
    <w:rsid w:val="7D694F40"/>
    <w:rsid w:val="7D8F3A57"/>
    <w:rsid w:val="7DBB5521"/>
    <w:rsid w:val="7E2D1CE5"/>
    <w:rsid w:val="7E8B7C96"/>
    <w:rsid w:val="7EC371FB"/>
    <w:rsid w:val="7EE61BC6"/>
    <w:rsid w:val="7F44062C"/>
    <w:rsid w:val="7F4705C7"/>
    <w:rsid w:val="7F86498E"/>
    <w:rsid w:val="7FA2305D"/>
  </w:rsids>
  <m:mathPr>
    <m:mathFont m:val="Cambria Math"/>
    <m:brkBin m:val="before"/>
    <m:brkBinSub m:val="--"/>
    <m:smallFrac m:val="1"/>
    <m:dispDef/>
    <m:lMargin m:val="1440"/>
    <m:rMargin m:val="1440"/>
    <m:defJc m:val="centerGroup"/>
    <m:wrapIndent m:val="1440"/>
    <m:intLim m:val="subSup"/>
    <m:naryLim m:val="undOvr"/>
  </m:mathPr>
  <w:doNotAutoCompressPictures/>
  <w:themeFontLang w:val="en-US" w:eastAsia="ko-KR"/>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0" w:name="footnote text"/>
    <w:lsdException w:qFormat="1" w:uiPriority="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0"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0" w:semiHidden="0" w:name="Strong"/>
    <w:lsdException w:qFormat="1" w:unhideWhenUsed="0" w:uiPriority="20" w:semiHidden="0" w:name="Emphasis"/>
    <w:lsdException w:qFormat="1" w:uiPriority="0"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spacing w:before="120" w:after="100" w:afterAutospacing="1" w:line="360" w:lineRule="auto"/>
      <w:ind w:left="709" w:right="-27" w:hanging="709"/>
      <w:jc w:val="both"/>
    </w:pPr>
    <w:rPr>
      <w:rFonts w:ascii="Times New Roman" w:hAnsi="Times New Roman" w:eastAsia="宋体" w:cs="Times New Roman"/>
      <w:sz w:val="21"/>
      <w:szCs w:val="21"/>
      <w:lang w:val="en-US" w:eastAsia="zh-CN" w:bidi="ar-SA"/>
    </w:rPr>
  </w:style>
  <w:style w:type="paragraph" w:styleId="4">
    <w:name w:val="heading 1"/>
    <w:basedOn w:val="1"/>
    <w:next w:val="1"/>
    <w:link w:val="53"/>
    <w:qFormat/>
    <w:uiPriority w:val="99"/>
    <w:pPr>
      <w:spacing w:before="0" w:after="330" w:line="576" w:lineRule="auto"/>
      <w:outlineLvl w:val="0"/>
    </w:pPr>
    <w:rPr>
      <w:b/>
      <w:sz w:val="44"/>
      <w:szCs w:val="44"/>
    </w:rPr>
  </w:style>
  <w:style w:type="paragraph" w:styleId="5">
    <w:name w:val="heading 2"/>
    <w:basedOn w:val="1"/>
    <w:next w:val="1"/>
    <w:link w:val="54"/>
    <w:qFormat/>
    <w:uiPriority w:val="99"/>
    <w:pPr>
      <w:spacing w:before="0" w:after="260" w:line="415" w:lineRule="auto"/>
      <w:outlineLvl w:val="1"/>
    </w:pPr>
    <w:rPr>
      <w:rFonts w:ascii="Arial" w:hAnsi="Arial" w:eastAsia="黑体"/>
      <w:b/>
      <w:sz w:val="32"/>
      <w:szCs w:val="32"/>
    </w:rPr>
  </w:style>
  <w:style w:type="paragraph" w:styleId="6">
    <w:name w:val="heading 3"/>
    <w:basedOn w:val="1"/>
    <w:next w:val="1"/>
    <w:link w:val="55"/>
    <w:qFormat/>
    <w:uiPriority w:val="99"/>
    <w:pPr>
      <w:outlineLvl w:val="2"/>
    </w:pPr>
    <w:rPr>
      <w:b/>
      <w:sz w:val="24"/>
      <w:szCs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autoSpaceDE w:val="0"/>
      <w:autoSpaceDN w:val="0"/>
      <w:spacing w:before="100" w:beforeAutospacing="1" w:after="100" w:line="240" w:lineRule="auto"/>
      <w:ind w:left="200"/>
    </w:pPr>
  </w:style>
  <w:style w:type="paragraph" w:styleId="3">
    <w:name w:val="Body Text Indent"/>
    <w:basedOn w:val="1"/>
    <w:qFormat/>
    <w:uiPriority w:val="0"/>
    <w:pPr>
      <w:spacing w:after="120"/>
      <w:ind w:left="420" w:leftChars="200"/>
    </w:pPr>
  </w:style>
  <w:style w:type="paragraph" w:styleId="7">
    <w:name w:val="toc 7"/>
    <w:basedOn w:val="1"/>
    <w:next w:val="1"/>
    <w:unhideWhenUsed/>
    <w:qFormat/>
    <w:uiPriority w:val="39"/>
    <w:pPr>
      <w:widowControl w:val="0"/>
      <w:spacing w:before="0" w:after="0" w:afterAutospacing="0" w:line="240" w:lineRule="auto"/>
      <w:ind w:left="2520" w:leftChars="1200" w:right="0" w:firstLine="0"/>
    </w:pPr>
    <w:rPr>
      <w:rFonts w:asciiTheme="minorHAnsi" w:hAnsiTheme="minorHAnsi" w:eastAsiaTheme="minorEastAsia" w:cstheme="minorBidi"/>
      <w:kern w:val="2"/>
      <w:szCs w:val="22"/>
    </w:rPr>
  </w:style>
  <w:style w:type="paragraph" w:styleId="8">
    <w:name w:val="Document Map"/>
    <w:basedOn w:val="1"/>
    <w:semiHidden/>
    <w:unhideWhenUsed/>
    <w:qFormat/>
    <w:uiPriority w:val="0"/>
    <w:rPr>
      <w:rFonts w:ascii="宋体"/>
      <w:sz w:val="18"/>
      <w:szCs w:val="18"/>
    </w:rPr>
  </w:style>
  <w:style w:type="paragraph" w:styleId="9">
    <w:name w:val="annotation text"/>
    <w:basedOn w:val="1"/>
    <w:link w:val="58"/>
    <w:semiHidden/>
    <w:unhideWhenUsed/>
    <w:qFormat/>
    <w:uiPriority w:val="0"/>
    <w:pPr>
      <w:spacing w:after="0"/>
      <w:jc w:val="left"/>
    </w:pPr>
  </w:style>
  <w:style w:type="paragraph" w:styleId="10">
    <w:name w:val="toc 5"/>
    <w:basedOn w:val="1"/>
    <w:next w:val="1"/>
    <w:unhideWhenUsed/>
    <w:qFormat/>
    <w:uiPriority w:val="39"/>
    <w:pPr>
      <w:widowControl w:val="0"/>
      <w:spacing w:before="0" w:after="0" w:afterAutospacing="0" w:line="240" w:lineRule="auto"/>
      <w:ind w:left="1680" w:leftChars="800" w:right="0" w:firstLine="0"/>
    </w:pPr>
    <w:rPr>
      <w:rFonts w:asciiTheme="minorHAnsi" w:hAnsiTheme="minorHAnsi" w:eastAsiaTheme="minorEastAsia" w:cstheme="minorBidi"/>
      <w:kern w:val="2"/>
      <w:szCs w:val="22"/>
    </w:rPr>
  </w:style>
  <w:style w:type="paragraph" w:styleId="11">
    <w:name w:val="toc 3"/>
    <w:basedOn w:val="1"/>
    <w:next w:val="1"/>
    <w:unhideWhenUsed/>
    <w:qFormat/>
    <w:uiPriority w:val="39"/>
    <w:pPr>
      <w:ind w:left="840" w:firstLine="0"/>
    </w:pPr>
  </w:style>
  <w:style w:type="paragraph" w:styleId="12">
    <w:name w:val="Plain Text"/>
    <w:basedOn w:val="1"/>
    <w:link w:val="49"/>
    <w:unhideWhenUsed/>
    <w:qFormat/>
    <w:uiPriority w:val="99"/>
    <w:rPr>
      <w:rFonts w:ascii="宋体" w:hAnsi="Courier New" w:cs="宋体"/>
      <w:sz w:val="20"/>
      <w:szCs w:val="20"/>
    </w:rPr>
  </w:style>
  <w:style w:type="paragraph" w:styleId="13">
    <w:name w:val="toc 8"/>
    <w:basedOn w:val="1"/>
    <w:next w:val="1"/>
    <w:unhideWhenUsed/>
    <w:qFormat/>
    <w:uiPriority w:val="39"/>
    <w:pPr>
      <w:widowControl w:val="0"/>
      <w:spacing w:before="0" w:after="0" w:afterAutospacing="0" w:line="240" w:lineRule="auto"/>
      <w:ind w:left="2940" w:leftChars="1400" w:right="0" w:firstLine="0"/>
    </w:pPr>
    <w:rPr>
      <w:rFonts w:asciiTheme="minorHAnsi" w:hAnsiTheme="minorHAnsi" w:eastAsiaTheme="minorEastAsia" w:cstheme="minorBidi"/>
      <w:kern w:val="2"/>
      <w:szCs w:val="22"/>
    </w:rPr>
  </w:style>
  <w:style w:type="paragraph" w:styleId="14">
    <w:name w:val="Balloon Text"/>
    <w:basedOn w:val="1"/>
    <w:semiHidden/>
    <w:unhideWhenUsed/>
    <w:qFormat/>
    <w:uiPriority w:val="0"/>
    <w:pPr>
      <w:spacing w:after="0" w:line="240" w:lineRule="auto"/>
    </w:pPr>
    <w:rPr>
      <w:sz w:val="18"/>
      <w:szCs w:val="18"/>
    </w:rPr>
  </w:style>
  <w:style w:type="paragraph" w:styleId="15">
    <w:name w:val="footer"/>
    <w:basedOn w:val="1"/>
    <w:link w:val="57"/>
    <w:qFormat/>
    <w:uiPriority w:val="99"/>
    <w:pPr>
      <w:tabs>
        <w:tab w:val="center" w:pos="4153"/>
        <w:tab w:val="right" w:pos="8306"/>
      </w:tabs>
      <w:snapToGrid w:val="0"/>
      <w:jc w:val="left"/>
    </w:pPr>
    <w:rPr>
      <w:sz w:val="18"/>
      <w:szCs w:val="18"/>
    </w:rPr>
  </w:style>
  <w:style w:type="paragraph" w:styleId="16">
    <w:name w:val="header"/>
    <w:basedOn w:val="1"/>
    <w:link w:val="59"/>
    <w:qFormat/>
    <w:uiPriority w:val="0"/>
    <w:pPr>
      <w:pBdr>
        <w:bottom w:val="single" w:color="000000"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4"/>
    <w:basedOn w:val="1"/>
    <w:next w:val="1"/>
    <w:unhideWhenUsed/>
    <w:qFormat/>
    <w:uiPriority w:val="39"/>
    <w:pPr>
      <w:widowControl w:val="0"/>
      <w:spacing w:before="0" w:after="0" w:afterAutospacing="0" w:line="240" w:lineRule="auto"/>
      <w:ind w:left="1260" w:leftChars="600" w:right="0" w:firstLine="0"/>
    </w:pPr>
    <w:rPr>
      <w:rFonts w:asciiTheme="minorHAnsi" w:hAnsiTheme="minorHAnsi" w:eastAsiaTheme="minorEastAsia" w:cstheme="minorBidi"/>
      <w:kern w:val="2"/>
      <w:szCs w:val="22"/>
    </w:rPr>
  </w:style>
  <w:style w:type="paragraph" w:styleId="19">
    <w:name w:val="footnote text"/>
    <w:basedOn w:val="1"/>
    <w:semiHidden/>
    <w:unhideWhenUsed/>
    <w:qFormat/>
    <w:uiPriority w:val="0"/>
    <w:pPr>
      <w:snapToGrid w:val="0"/>
      <w:jc w:val="left"/>
    </w:pPr>
    <w:rPr>
      <w:sz w:val="18"/>
      <w:szCs w:val="18"/>
    </w:rPr>
  </w:style>
  <w:style w:type="paragraph" w:styleId="20">
    <w:name w:val="toc 6"/>
    <w:basedOn w:val="1"/>
    <w:next w:val="1"/>
    <w:unhideWhenUsed/>
    <w:qFormat/>
    <w:uiPriority w:val="39"/>
    <w:pPr>
      <w:widowControl w:val="0"/>
      <w:spacing w:before="0" w:after="0" w:afterAutospacing="0" w:line="240" w:lineRule="auto"/>
      <w:ind w:left="2100" w:leftChars="1000" w:right="0" w:firstLine="0"/>
    </w:pPr>
    <w:rPr>
      <w:rFonts w:asciiTheme="minorHAnsi" w:hAnsiTheme="minorHAnsi" w:eastAsiaTheme="minorEastAsia" w:cstheme="minorBidi"/>
      <w:kern w:val="2"/>
      <w:szCs w:val="22"/>
    </w:rPr>
  </w:style>
  <w:style w:type="paragraph" w:styleId="21">
    <w:name w:val="Body Text Indent 3"/>
    <w:basedOn w:val="1"/>
    <w:qFormat/>
    <w:uiPriority w:val="0"/>
    <w:pPr>
      <w:spacing w:after="120"/>
      <w:ind w:left="420" w:firstLine="0"/>
    </w:pPr>
    <w:rPr>
      <w:sz w:val="16"/>
      <w:szCs w:val="16"/>
    </w:rPr>
  </w:style>
  <w:style w:type="paragraph" w:styleId="22">
    <w:name w:val="toc 2"/>
    <w:basedOn w:val="1"/>
    <w:next w:val="1"/>
    <w:unhideWhenUsed/>
    <w:qFormat/>
    <w:uiPriority w:val="39"/>
    <w:pPr>
      <w:ind w:left="420" w:firstLine="0"/>
    </w:pPr>
  </w:style>
  <w:style w:type="paragraph" w:styleId="23">
    <w:name w:val="toc 9"/>
    <w:basedOn w:val="1"/>
    <w:next w:val="1"/>
    <w:unhideWhenUsed/>
    <w:qFormat/>
    <w:uiPriority w:val="39"/>
    <w:pPr>
      <w:widowControl w:val="0"/>
      <w:spacing w:before="0" w:after="0" w:afterAutospacing="0" w:line="240" w:lineRule="auto"/>
      <w:ind w:left="3360" w:leftChars="1600" w:right="0" w:firstLine="0"/>
    </w:pPr>
    <w:rPr>
      <w:rFonts w:asciiTheme="minorHAnsi" w:hAnsiTheme="minorHAnsi" w:eastAsiaTheme="minorEastAsia" w:cstheme="minorBidi"/>
      <w:kern w:val="2"/>
      <w:szCs w:val="22"/>
    </w:rPr>
  </w:style>
  <w:style w:type="paragraph" w:styleId="24">
    <w:name w:val="Body Text 2"/>
    <w:basedOn w:val="1"/>
    <w:unhideWhenUsed/>
    <w:qFormat/>
    <w:uiPriority w:val="0"/>
    <w:pPr>
      <w:spacing w:after="120" w:line="480" w:lineRule="auto"/>
    </w:pPr>
  </w:style>
  <w:style w:type="paragraph" w:styleId="25">
    <w:name w:val="Normal (Web)"/>
    <w:basedOn w:val="1"/>
    <w:qFormat/>
    <w:uiPriority w:val="99"/>
    <w:pPr>
      <w:spacing w:before="100" w:beforeAutospacing="1"/>
      <w:jc w:val="left"/>
    </w:pPr>
    <w:rPr>
      <w:rFonts w:ascii="宋体" w:hAnsi="宋体"/>
      <w:sz w:val="24"/>
    </w:rPr>
  </w:style>
  <w:style w:type="paragraph" w:styleId="26">
    <w:name w:val="annotation subject"/>
    <w:basedOn w:val="9"/>
    <w:next w:val="9"/>
    <w:semiHidden/>
    <w:unhideWhenUsed/>
    <w:qFormat/>
    <w:uiPriority w:val="0"/>
    <w:rPr>
      <w:b/>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20"/>
    <w:rPr>
      <w:rFonts w:cs="Times New Roman"/>
      <w:b/>
    </w:rPr>
  </w:style>
  <w:style w:type="character" w:styleId="31">
    <w:name w:val="page number"/>
    <w:basedOn w:val="29"/>
    <w:qFormat/>
    <w:uiPriority w:val="0"/>
  </w:style>
  <w:style w:type="character" w:styleId="32">
    <w:name w:val="FollowedHyperlink"/>
    <w:basedOn w:val="29"/>
    <w:semiHidden/>
    <w:unhideWhenUsed/>
    <w:qFormat/>
    <w:uiPriority w:val="99"/>
    <w:rPr>
      <w:color w:val="800080"/>
      <w:u w:val="single"/>
    </w:rPr>
  </w:style>
  <w:style w:type="character" w:styleId="33">
    <w:name w:val="Hyperlink"/>
    <w:basedOn w:val="29"/>
    <w:unhideWhenUsed/>
    <w:qFormat/>
    <w:uiPriority w:val="99"/>
    <w:rPr>
      <w:color w:val="0000FF"/>
      <w:u w:val="single"/>
    </w:rPr>
  </w:style>
  <w:style w:type="character" w:styleId="34">
    <w:name w:val="annotation reference"/>
    <w:basedOn w:val="29"/>
    <w:semiHidden/>
    <w:unhideWhenUsed/>
    <w:qFormat/>
    <w:uiPriority w:val="0"/>
    <w:rPr>
      <w:sz w:val="21"/>
      <w:szCs w:val="21"/>
    </w:rPr>
  </w:style>
  <w:style w:type="character" w:styleId="35">
    <w:name w:val="footnote reference"/>
    <w:basedOn w:val="29"/>
    <w:semiHidden/>
    <w:unhideWhenUsed/>
    <w:qFormat/>
    <w:uiPriority w:val="0"/>
    <w:rPr>
      <w:vertAlign w:val="superscript"/>
    </w:rPr>
  </w:style>
  <w:style w:type="paragraph" w:styleId="36">
    <w:name w:val="List Paragraph"/>
    <w:basedOn w:val="1"/>
    <w:qFormat/>
    <w:uiPriority w:val="34"/>
    <w:pPr>
      <w:ind w:firstLine="200"/>
    </w:pPr>
    <w:rPr>
      <w:rFonts w:ascii="Calibri" w:hAnsi="Calibri"/>
    </w:rPr>
  </w:style>
  <w:style w:type="character" w:customStyle="1" w:styleId="37">
    <w:name w:val="正文文本 2 Char"/>
    <w:basedOn w:val="29"/>
    <w:qFormat/>
    <w:uiPriority w:val="0"/>
    <w:rPr>
      <w:rFonts w:ascii="Times New Roman" w:hAnsi="Times New Roman" w:eastAsia="宋体" w:cs="Times New Roman"/>
    </w:rPr>
  </w:style>
  <w:style w:type="character" w:customStyle="1" w:styleId="38">
    <w:name w:val="16"/>
    <w:basedOn w:val="29"/>
    <w:qFormat/>
    <w:uiPriority w:val="0"/>
    <w:rPr>
      <w:rFonts w:hint="default" w:ascii="Times New Roman" w:hAnsi="Times New Roman" w:cs="Times New Roman"/>
      <w:color w:val="0000FF"/>
      <w:u w:val="single"/>
    </w:rPr>
  </w:style>
  <w:style w:type="character" w:customStyle="1" w:styleId="39">
    <w:name w:val="15"/>
    <w:basedOn w:val="29"/>
    <w:qFormat/>
    <w:uiPriority w:val="0"/>
    <w:rPr>
      <w:rFonts w:hint="default" w:ascii="Times New Roman" w:hAnsi="Times New Roman" w:cs="Times New Roman"/>
      <w:color w:val="0000FF"/>
      <w:u w:val="single"/>
    </w:rPr>
  </w:style>
  <w:style w:type="character" w:customStyle="1" w:styleId="40">
    <w:name w:val="标题 3 Char"/>
    <w:qFormat/>
    <w:uiPriority w:val="0"/>
    <w:rPr>
      <w:b/>
      <w:sz w:val="24"/>
      <w:szCs w:val="24"/>
    </w:rPr>
  </w:style>
  <w:style w:type="character" w:customStyle="1" w:styleId="41">
    <w:name w:val="标题 2 Char"/>
    <w:qFormat/>
    <w:uiPriority w:val="0"/>
    <w:rPr>
      <w:rFonts w:ascii="Arial" w:hAnsi="Arial" w:eastAsia="黑体"/>
      <w:b/>
      <w:sz w:val="32"/>
      <w:szCs w:val="32"/>
    </w:rPr>
  </w:style>
  <w:style w:type="character" w:customStyle="1" w:styleId="42">
    <w:name w:val="批注框文本 Char"/>
    <w:basedOn w:val="29"/>
    <w:semiHidden/>
    <w:qFormat/>
    <w:uiPriority w:val="0"/>
    <w:rPr>
      <w:sz w:val="18"/>
      <w:szCs w:val="18"/>
    </w:rPr>
  </w:style>
  <w:style w:type="character" w:customStyle="1" w:styleId="43">
    <w:name w:val="批注文字 Char"/>
    <w:basedOn w:val="29"/>
    <w:semiHidden/>
    <w:qFormat/>
    <w:uiPriority w:val="0"/>
    <w:rPr>
      <w:sz w:val="21"/>
      <w:szCs w:val="21"/>
    </w:rPr>
  </w:style>
  <w:style w:type="character" w:customStyle="1" w:styleId="44">
    <w:name w:val="批注主题 Char"/>
    <w:basedOn w:val="43"/>
    <w:semiHidden/>
    <w:qFormat/>
    <w:uiPriority w:val="0"/>
    <w:rPr>
      <w:b/>
      <w:sz w:val="21"/>
      <w:szCs w:val="21"/>
    </w:rPr>
  </w:style>
  <w:style w:type="character" w:customStyle="1" w:styleId="45">
    <w:name w:val="文档结构图 Char"/>
    <w:basedOn w:val="29"/>
    <w:semiHidden/>
    <w:qFormat/>
    <w:uiPriority w:val="0"/>
    <w:rPr>
      <w:rFonts w:ascii="宋体"/>
      <w:sz w:val="18"/>
      <w:szCs w:val="18"/>
    </w:rPr>
  </w:style>
  <w:style w:type="character" w:customStyle="1" w:styleId="46">
    <w:name w:val="页脚 Char"/>
    <w:qFormat/>
    <w:uiPriority w:val="99"/>
    <w:rPr>
      <w:sz w:val="18"/>
      <w:szCs w:val="18"/>
    </w:rPr>
  </w:style>
  <w:style w:type="character" w:customStyle="1" w:styleId="47">
    <w:name w:val="脚注文本 Char"/>
    <w:basedOn w:val="29"/>
    <w:semiHidden/>
    <w:qFormat/>
    <w:uiPriority w:val="0"/>
    <w:rPr>
      <w:sz w:val="18"/>
      <w:szCs w:val="18"/>
    </w:rPr>
  </w:style>
  <w:style w:type="paragraph" w:customStyle="1" w:styleId="48">
    <w:name w:val="TOC 标题1"/>
    <w:basedOn w:val="4"/>
    <w:next w:val="1"/>
    <w:semiHidden/>
    <w:unhideWhenUsed/>
    <w:qFormat/>
    <w:uiPriority w:val="39"/>
    <w:pPr>
      <w:keepNext/>
      <w:keepLines/>
      <w:spacing w:before="480" w:after="0" w:afterAutospacing="0" w:line="276" w:lineRule="auto"/>
      <w:ind w:left="0" w:right="0" w:firstLine="0"/>
      <w:jc w:val="left"/>
      <w:outlineLvl w:val="9"/>
    </w:pPr>
    <w:rPr>
      <w:rFonts w:asciiTheme="majorHAnsi" w:hAnsiTheme="majorHAnsi" w:eastAsiaTheme="majorEastAsia" w:cstheme="majorBidi"/>
      <w:bCs/>
      <w:color w:val="376092" w:themeColor="accent1" w:themeShade="BF"/>
      <w:sz w:val="28"/>
      <w:szCs w:val="28"/>
    </w:rPr>
  </w:style>
  <w:style w:type="character" w:customStyle="1" w:styleId="49">
    <w:name w:val="纯文本 Char"/>
    <w:link w:val="12"/>
    <w:qFormat/>
    <w:locked/>
    <w:uiPriority w:val="99"/>
    <w:rPr>
      <w:rFonts w:ascii="宋体" w:hAnsi="Courier New" w:cs="宋体"/>
    </w:rPr>
  </w:style>
  <w:style w:type="paragraph" w:customStyle="1" w:styleId="50">
    <w:name w:val="修订1"/>
    <w:hidden/>
    <w:semiHidden/>
    <w:qFormat/>
    <w:uiPriority w:val="99"/>
    <w:rPr>
      <w:rFonts w:ascii="Times New Roman" w:hAnsi="Times New Roman" w:eastAsia="宋体" w:cs="Times New Roman"/>
      <w:sz w:val="21"/>
      <w:szCs w:val="21"/>
      <w:lang w:val="en-US" w:eastAsia="zh-CN" w:bidi="ar-SA"/>
    </w:rPr>
  </w:style>
  <w:style w:type="paragraph" w:customStyle="1" w:styleId="51">
    <w:name w:val="修订2"/>
    <w:hidden/>
    <w:unhideWhenUsed/>
    <w:qFormat/>
    <w:uiPriority w:val="99"/>
    <w:rPr>
      <w:rFonts w:ascii="Times New Roman" w:hAnsi="Times New Roman" w:eastAsia="宋体" w:cs="Times New Roman"/>
      <w:sz w:val="21"/>
      <w:szCs w:val="21"/>
      <w:lang w:val="en-US" w:eastAsia="zh-CN" w:bidi="ar-SA"/>
    </w:rPr>
  </w:style>
  <w:style w:type="paragraph" w:customStyle="1" w:styleId="52">
    <w:name w:val="列出段落1"/>
    <w:basedOn w:val="1"/>
    <w:qFormat/>
    <w:uiPriority w:val="0"/>
    <w:pPr>
      <w:ind w:firstLine="420" w:firstLineChars="200"/>
    </w:pPr>
  </w:style>
  <w:style w:type="character" w:customStyle="1" w:styleId="53">
    <w:name w:val="标题 1 Char"/>
    <w:basedOn w:val="29"/>
    <w:link w:val="4"/>
    <w:qFormat/>
    <w:uiPriority w:val="99"/>
    <w:rPr>
      <w:b/>
      <w:sz w:val="44"/>
      <w:szCs w:val="44"/>
    </w:rPr>
  </w:style>
  <w:style w:type="character" w:customStyle="1" w:styleId="54">
    <w:name w:val="标题 2 Char1"/>
    <w:basedOn w:val="29"/>
    <w:link w:val="5"/>
    <w:qFormat/>
    <w:uiPriority w:val="99"/>
    <w:rPr>
      <w:rFonts w:ascii="Arial" w:hAnsi="Arial" w:eastAsia="黑体"/>
      <w:b/>
      <w:sz w:val="32"/>
      <w:szCs w:val="32"/>
    </w:rPr>
  </w:style>
  <w:style w:type="character" w:customStyle="1" w:styleId="55">
    <w:name w:val="标题 3 Char1"/>
    <w:basedOn w:val="29"/>
    <w:link w:val="6"/>
    <w:qFormat/>
    <w:uiPriority w:val="99"/>
    <w:rPr>
      <w:b/>
      <w:sz w:val="24"/>
      <w:szCs w:val="24"/>
    </w:rPr>
  </w:style>
  <w:style w:type="paragraph" w:customStyle="1" w:styleId="56">
    <w:name w:val="msonormal"/>
    <w:basedOn w:val="1"/>
    <w:qFormat/>
    <w:uiPriority w:val="0"/>
    <w:pPr>
      <w:spacing w:before="100" w:beforeAutospacing="1" w:line="240" w:lineRule="auto"/>
      <w:ind w:left="0" w:right="0" w:firstLine="0"/>
      <w:jc w:val="left"/>
    </w:pPr>
    <w:rPr>
      <w:rFonts w:ascii="宋体" w:hAnsi="宋体" w:cs="宋体"/>
      <w:sz w:val="24"/>
      <w:szCs w:val="24"/>
    </w:rPr>
  </w:style>
  <w:style w:type="character" w:customStyle="1" w:styleId="57">
    <w:name w:val="页脚 Char1"/>
    <w:basedOn w:val="29"/>
    <w:link w:val="15"/>
    <w:qFormat/>
    <w:uiPriority w:val="99"/>
    <w:rPr>
      <w:sz w:val="18"/>
      <w:szCs w:val="18"/>
    </w:rPr>
  </w:style>
  <w:style w:type="character" w:customStyle="1" w:styleId="58">
    <w:name w:val="批注文字 Char1"/>
    <w:basedOn w:val="29"/>
    <w:link w:val="9"/>
    <w:qFormat/>
    <w:uiPriority w:val="0"/>
    <w:rPr>
      <w:rFonts w:hint="default" w:ascii="Times New Roman" w:hAnsi="Times New Roman" w:cs="Times New Roman"/>
      <w:sz w:val="21"/>
      <w:szCs w:val="21"/>
    </w:rPr>
  </w:style>
  <w:style w:type="character" w:customStyle="1" w:styleId="59">
    <w:name w:val="页眉 Char"/>
    <w:basedOn w:val="29"/>
    <w:link w:val="16"/>
    <w:qFormat/>
    <w:uiPriority w:val="0"/>
    <w:rPr>
      <w:rFonts w:hint="default" w:ascii="Times New Roman" w:hAnsi="Times New Roman" w:cs="Times New Roman"/>
      <w:sz w:val="18"/>
      <w:szCs w:val="18"/>
    </w:rPr>
  </w:style>
  <w:style w:type="character" w:customStyle="1" w:styleId="60">
    <w:name w:val="正文文本 (3) + 间距 0 pt"/>
    <w:basedOn w:val="61"/>
    <w:qFormat/>
    <w:uiPriority w:val="0"/>
    <w:rPr>
      <w:rFonts w:ascii="MingLiU" w:hAnsi="MingLiU" w:eastAsia="MingLiU" w:cs="MingLiU"/>
      <w:color w:val="000000"/>
      <w:spacing w:val="10"/>
      <w:w w:val="100"/>
      <w:position w:val="0"/>
      <w:sz w:val="26"/>
      <w:szCs w:val="26"/>
      <w:u w:val="none"/>
      <w:lang w:val="zh-CN" w:eastAsia="zh-CN" w:bidi="zh-CN"/>
    </w:rPr>
  </w:style>
  <w:style w:type="character" w:customStyle="1" w:styleId="61">
    <w:name w:val="正文文本 (3)_"/>
    <w:basedOn w:val="29"/>
    <w:link w:val="62"/>
    <w:qFormat/>
    <w:uiPriority w:val="0"/>
    <w:rPr>
      <w:rFonts w:ascii="MingLiU" w:hAnsi="MingLiU" w:eastAsia="MingLiU" w:cs="MingLiU"/>
      <w:sz w:val="26"/>
      <w:szCs w:val="26"/>
      <w:lang w:eastAsia="en-US" w:bidi="en-US"/>
    </w:rPr>
  </w:style>
  <w:style w:type="paragraph" w:customStyle="1" w:styleId="62">
    <w:name w:val="正文文本 (3)"/>
    <w:basedOn w:val="1"/>
    <w:link w:val="61"/>
    <w:qFormat/>
    <w:uiPriority w:val="0"/>
    <w:pPr>
      <w:shd w:val="clear" w:color="auto" w:fill="FFFFFF"/>
      <w:spacing w:line="623" w:lineRule="exact"/>
      <w:jc w:val="distribute"/>
    </w:pPr>
    <w:rPr>
      <w:rFonts w:ascii="MingLiU" w:hAnsi="MingLiU" w:eastAsia="MingLiU" w:cs="MingLiU"/>
      <w:sz w:val="26"/>
      <w:szCs w:val="26"/>
      <w:lang w:eastAsia="en-US" w:bidi="en-US"/>
    </w:rPr>
  </w:style>
  <w:style w:type="paragraph" w:customStyle="1" w:styleId="63">
    <w:name w:val="WPSOffice手动目录 1"/>
    <w:qFormat/>
    <w:uiPriority w:val="0"/>
    <w:rPr>
      <w:rFonts w:ascii="Times New Roman" w:hAnsi="Times New Roman" w:eastAsia="宋体" w:cs="Times New Roman"/>
      <w:lang w:val="en-US" w:eastAsia="zh-CN" w:bidi="ar-SA"/>
    </w:rPr>
  </w:style>
  <w:style w:type="paragraph" w:customStyle="1" w:styleId="64">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65">
    <w:name w:val="font21"/>
    <w:basedOn w:val="29"/>
    <w:qFormat/>
    <w:uiPriority w:val="0"/>
    <w:rPr>
      <w:rFonts w:hint="eastAsia" w:ascii="宋体" w:hAnsi="宋体" w:eastAsia="宋体" w:cs="宋体"/>
      <w:color w:val="000000"/>
      <w:sz w:val="21"/>
      <w:szCs w:val="21"/>
      <w:u w:val="none"/>
    </w:rPr>
  </w:style>
  <w:style w:type="character" w:customStyle="1" w:styleId="66">
    <w:name w:val="font11"/>
    <w:basedOn w:val="29"/>
    <w:qFormat/>
    <w:uiPriority w:val="0"/>
    <w:rPr>
      <w:rFonts w:ascii="Malgun Gothic" w:hAnsi="Malgun Gothic" w:eastAsia="Malgun Gothic" w:cs="Malgun Gothic"/>
      <w:color w:val="000000"/>
      <w:sz w:val="21"/>
      <w:szCs w:val="21"/>
      <w:u w:val="none"/>
    </w:rPr>
  </w:style>
  <w:style w:type="character" w:customStyle="1" w:styleId="67">
    <w:name w:val="first-child"/>
    <w:basedOn w:val="29"/>
    <w:qFormat/>
    <w:uiPriority w:val="0"/>
  </w:style>
  <w:style w:type="character" w:customStyle="1" w:styleId="68">
    <w:name w:val="layui-this"/>
    <w:basedOn w:val="29"/>
    <w:qFormat/>
    <w:uiPriority w:val="0"/>
    <w:rPr>
      <w:bdr w:val="single" w:color="EEEEEE" w:sz="6" w:space="0"/>
      <w:shd w:val="clear" w:color="auto" w:fill="FFFFFF"/>
    </w:rPr>
  </w:style>
  <w:style w:type="character" w:customStyle="1" w:styleId="69">
    <w:name w:val="font41"/>
    <w:basedOn w:val="29"/>
    <w:unhideWhenUsed/>
    <w:qFormat/>
    <w:uiPriority w:val="0"/>
    <w:rPr>
      <w:rFonts w:hint="default" w:ascii="Wingdings 2" w:hAnsi="Wingdings 2" w:eastAsia="Wingdings 2" w:cs="Wingdings 2"/>
      <w:color w:val="000000"/>
      <w:sz w:val="22"/>
      <w:szCs w:val="22"/>
    </w:rPr>
  </w:style>
  <w:style w:type="character" w:customStyle="1" w:styleId="70">
    <w:name w:val="font01"/>
    <w:basedOn w:val="29"/>
    <w:unhideWhenUsed/>
    <w:qFormat/>
    <w:uiPriority w:val="0"/>
    <w:rPr>
      <w:rFonts w:hint="default" w:ascii="宋体" w:hAnsi="宋体" w:eastAsia="宋体" w:cs="宋体"/>
      <w:color w:val="000000"/>
      <w:sz w:val="22"/>
      <w:szCs w:val="22"/>
    </w:rPr>
  </w:style>
  <w:style w:type="character" w:customStyle="1" w:styleId="71">
    <w:name w:val="font31"/>
    <w:basedOn w:val="29"/>
    <w:unhideWhenUsed/>
    <w:qFormat/>
    <w:uiPriority w:val="0"/>
    <w:rPr>
      <w:rFonts w:hint="default" w:ascii="Wingdings 2" w:hAnsi="Wingdings 2" w:eastAsia="Wingdings 2" w:cs="Wingdings 2"/>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首页"/>
    </customSectPr>
    <customSectPr>
      <sectNamePr val="目录"/>
    </customSectPr>
    <customSectPr>
      <sectNamePr val="第一章比选公告"/>
    </customSectPr>
    <customSectPr>
      <sectNamePr val="第二章比选申请须知"/>
    </customSectPr>
    <customSectPr>
      <sectNamePr val="第三章合同条款及格式"/>
    </customSectPr>
    <customSectPr>
      <sectNamePr val="第四章比选申请文件格式"/>
    </customSectPr>
    <customSectPr>
      <sectNamePr val="第四章比选申请文件格式"/>
    </customSectPr>
    <customSectPr>
      <sectNamePr val="第五章用户需求书"/>
    </customSectPr>
    <customSectPr>
      <sectNamePr val="第六章评分办法"/>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88</Pages>
  <Words>49080</Words>
  <Characters>52495</Characters>
  <Lines>1907</Lines>
  <Paragraphs>2759</Paragraphs>
  <TotalTime>40</TotalTime>
  <ScaleCrop>false</ScaleCrop>
  <LinksUpToDate>false</LinksUpToDate>
  <CharactersWithSpaces>53869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2019-12-17T01:50:00Z</dcterms:created>
  <dc:creator>NTKO</dc:creator>
  <cp:lastModifiedBy>黎梅芬</cp:lastModifiedBy>
  <cp:lastPrinted>2022-11-22T01:49:00Z</cp:lastPrinted>
  <dcterms:modified xsi:type="dcterms:W3CDTF">2022-11-22T09:51:42Z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10436392CFE844619229898CF639CD23</vt:lpwstr>
  </property>
  <property fmtid="{D5CDD505-2E9C-101B-9397-08002B2CF9AE}" pid="4" name="commondata">
    <vt:lpwstr>eyJoZGlkIjoiMjU4YWNkNThjODI0Mjk5MTYxMWVlNmRkNTAxMWYwOTcifQ==</vt:lpwstr>
  </property>
</Properties>
</file>