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ind w:right="0" w:firstLine="0"/>
        <w:jc w:val="center"/>
        <w:rPr>
          <w:rFonts w:ascii="黑体" w:eastAsia="黑体"/>
          <w:color w:val="000000" w:themeColor="text1"/>
          <w:sz w:val="36"/>
          <w:szCs w:val="40"/>
          <w:highlight w:val="none"/>
          <w14:textFill>
            <w14:solidFill>
              <w14:schemeClr w14:val="tx1"/>
            </w14:solidFill>
          </w14:textFill>
        </w:rPr>
      </w:pPr>
      <w:r>
        <w:rPr>
          <w:rFonts w:hint="eastAsia" w:ascii="黑体" w:eastAsia="黑体"/>
          <w:color w:val="000000" w:themeColor="text1"/>
          <w:sz w:val="36"/>
          <w:szCs w:val="40"/>
          <w:highlight w:val="none"/>
          <w14:textFill>
            <w14:solidFill>
              <w14:schemeClr w14:val="tx1"/>
            </w14:solidFill>
          </w14:textFill>
        </w:rPr>
        <w:t>南宁轨道交通运营</w:t>
      </w:r>
      <w:r>
        <w:rPr>
          <w:rFonts w:hint="eastAsia" w:ascii="黑体" w:eastAsia="黑体"/>
          <w:color w:val="000000" w:themeColor="text1"/>
          <w:sz w:val="36"/>
          <w:szCs w:val="40"/>
          <w:highlight w:val="none"/>
          <w:lang w:val="en-US" w:eastAsia="zh-CN"/>
          <w14:textFill>
            <w14:solidFill>
              <w14:schemeClr w14:val="tx1"/>
            </w14:solidFill>
          </w14:textFill>
        </w:rPr>
        <w:t>有限</w:t>
      </w:r>
      <w:r>
        <w:rPr>
          <w:rFonts w:hint="eastAsia" w:ascii="黑体" w:eastAsia="黑体"/>
          <w:color w:val="000000" w:themeColor="text1"/>
          <w:sz w:val="36"/>
          <w:szCs w:val="40"/>
          <w:highlight w:val="none"/>
          <w14:textFill>
            <w14:solidFill>
              <w14:schemeClr w14:val="tx1"/>
            </w14:solidFill>
          </w14:textFill>
        </w:rPr>
        <w:t>公司</w:t>
      </w:r>
    </w:p>
    <w:p>
      <w:pPr>
        <w:pStyle w:val="25"/>
        <w:spacing w:before="0"/>
        <w:ind w:right="0" w:firstLine="0"/>
        <w:jc w:val="center"/>
        <w:rPr>
          <w:rFonts w:hint="eastAsia" w:ascii="黑体" w:eastAsia="黑体"/>
          <w:sz w:val="36"/>
          <w:szCs w:val="40"/>
          <w:highlight w:val="none"/>
          <w:lang w:val="en-US" w:eastAsia="zh-CN"/>
        </w:rPr>
      </w:pPr>
      <w:r>
        <w:rPr>
          <w:rFonts w:hint="eastAsia" w:ascii="黑体" w:eastAsia="黑体"/>
          <w:sz w:val="36"/>
          <w:szCs w:val="40"/>
          <w:highlight w:val="none"/>
          <w:lang w:val="en-US" w:eastAsia="zh-CN"/>
        </w:rPr>
        <w:t>线上培训课程与培训管理信息技术服务项目</w:t>
      </w:r>
      <w:r>
        <w:rPr>
          <w:rFonts w:hint="eastAsia" w:ascii="黑体" w:eastAsia="黑体"/>
          <w:b w:val="0"/>
          <w:bCs w:val="0"/>
          <w:sz w:val="36"/>
          <w:szCs w:val="40"/>
          <w:highlight w:val="none"/>
          <w:lang w:val="en-US" w:eastAsia="zh-CN"/>
        </w:rPr>
        <w:t>（</w:t>
      </w:r>
      <w:r>
        <w:rPr>
          <w:rFonts w:hint="eastAsia" w:ascii="黑体" w:eastAsia="黑体"/>
          <w:b w:val="0"/>
          <w:bCs w:val="0"/>
          <w:sz w:val="36"/>
          <w:szCs w:val="40"/>
          <w:highlight w:val="none"/>
        </w:rPr>
        <w:t>202</w:t>
      </w:r>
      <w:r>
        <w:rPr>
          <w:rFonts w:hint="eastAsia" w:ascii="黑体" w:eastAsia="黑体"/>
          <w:b w:val="0"/>
          <w:bCs w:val="0"/>
          <w:sz w:val="36"/>
          <w:szCs w:val="40"/>
          <w:highlight w:val="none"/>
          <w:lang w:val="en-US" w:eastAsia="zh-CN"/>
        </w:rPr>
        <w:t>2-2023年）</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比</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选</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文</w:t>
      </w:r>
    </w:p>
    <w:p>
      <w:pPr>
        <w:spacing w:before="0"/>
        <w:ind w:right="-57" w:firstLine="0"/>
        <w:jc w:val="center"/>
        <w:rPr>
          <w:rFonts w:ascii="宋体" w:hAnsi="宋体"/>
          <w:color w:val="000000" w:themeColor="text1"/>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件</w:t>
      </w:r>
    </w:p>
    <w:p>
      <w:pPr>
        <w:spacing w:before="0"/>
        <w:ind w:left="1801" w:right="-57" w:hanging="180"/>
        <w:rPr>
          <w:rFonts w:ascii="宋体" w:hAnsi="宋体"/>
          <w:b/>
          <w:color w:val="000000" w:themeColor="text1"/>
          <w:sz w:val="32"/>
          <w:szCs w:val="32"/>
          <w:highlight w:val="none"/>
          <w:u w:val="singl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项目编号：</w:t>
      </w:r>
      <w:r>
        <w:rPr>
          <w:rFonts w:hint="eastAsia" w:ascii="宋体" w:hAnsi="宋体"/>
          <w:b/>
          <w:color w:val="000000" w:themeColor="text1"/>
          <w:sz w:val="32"/>
          <w:szCs w:val="32"/>
          <w:highlight w:val="none"/>
          <w:u w:val="single"/>
          <w14:textFill>
            <w14:solidFill>
              <w14:schemeClr w14:val="tx1"/>
            </w14:solidFill>
          </w14:textFill>
        </w:rPr>
        <w:t xml:space="preserve">  202208090001</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u w:val="single"/>
          <w:lang w:val="en-US" w:eastAsia="zh-CN"/>
        </w:rPr>
        <w:t xml:space="preserve">        </w:t>
      </w:r>
    </w:p>
    <w:p>
      <w:pPr>
        <w:spacing w:before="0"/>
        <w:ind w:left="1801" w:right="-57" w:hanging="180"/>
        <w:rPr>
          <w:rFonts w:ascii="宋体" w:hAnsi="宋体"/>
          <w:color w:val="000000" w:themeColor="text1"/>
          <w:sz w:val="30"/>
          <w:szCs w:val="30"/>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比选人：</w:t>
      </w:r>
      <w:r>
        <w:rPr>
          <w:rFonts w:ascii="宋体" w:hAnsi="宋体"/>
          <w:b/>
          <w:color w:val="000000" w:themeColor="text1"/>
          <w:sz w:val="32"/>
          <w:szCs w:val="32"/>
          <w:highlight w:val="none"/>
          <w:u w:val="single"/>
          <w14:textFill>
            <w14:solidFill>
              <w14:schemeClr w14:val="tx1"/>
            </w14:solidFill>
          </w14:textFill>
        </w:rPr>
        <w:t>南宁轨道交通</w:t>
      </w:r>
      <w:r>
        <w:rPr>
          <w:rFonts w:hint="eastAsia" w:ascii="宋体" w:hAnsi="宋体"/>
          <w:b/>
          <w:color w:val="000000" w:themeColor="text1"/>
          <w:sz w:val="32"/>
          <w:szCs w:val="32"/>
          <w:highlight w:val="none"/>
          <w:u w:val="single"/>
          <w:lang w:val="en-US" w:eastAsia="zh-CN"/>
          <w14:textFill>
            <w14:solidFill>
              <w14:schemeClr w14:val="tx1"/>
            </w14:solidFill>
          </w14:textFill>
        </w:rPr>
        <w:t>运营</w:t>
      </w:r>
      <w:r>
        <w:rPr>
          <w:rFonts w:ascii="宋体" w:hAnsi="宋体"/>
          <w:b/>
          <w:color w:val="000000" w:themeColor="text1"/>
          <w:sz w:val="32"/>
          <w:szCs w:val="32"/>
          <w:highlight w:val="none"/>
          <w:u w:val="single"/>
          <w14:textFill>
            <w14:solidFill>
              <w14:schemeClr w14:val="tx1"/>
            </w14:solidFill>
          </w14:textFill>
        </w:rPr>
        <w:t>有限公司</w:t>
      </w:r>
    </w:p>
    <w:p>
      <w:pPr>
        <w:spacing w:before="0"/>
        <w:ind w:left="1140" w:leftChars="543" w:right="-57" w:firstLine="2743" w:firstLineChars="759"/>
        <w:rPr>
          <w:rFonts w:ascii="宋体" w:hAnsi="宋体" w:cs="宋体"/>
          <w:b/>
          <w:color w:val="000000" w:themeColor="text1"/>
          <w:sz w:val="36"/>
          <w:szCs w:val="36"/>
          <w:highlight w:val="none"/>
          <w14:textFill>
            <w14:solidFill>
              <w14:schemeClr w14:val="tx1"/>
            </w14:solidFill>
          </w14:textFill>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000000" w:themeColor="text1"/>
          <w:sz w:val="36"/>
          <w:szCs w:val="36"/>
          <w:highlight w:val="none"/>
          <w:u w:val="single"/>
          <w14:textFill>
            <w14:solidFill>
              <w14:schemeClr w14:val="tx1"/>
            </w14:solidFill>
          </w14:textFill>
        </w:rPr>
        <w:t>202</w:t>
      </w:r>
      <w:r>
        <w:rPr>
          <w:rFonts w:hint="eastAsia" w:ascii="宋体" w:hAnsi="宋体"/>
          <w:b/>
          <w:color w:val="000000" w:themeColor="text1"/>
          <w:sz w:val="36"/>
          <w:szCs w:val="36"/>
          <w:highlight w:val="none"/>
          <w:u w:val="single"/>
          <w:lang w:val="en-US" w:eastAsia="zh-CN"/>
          <w14:textFill>
            <w14:solidFill>
              <w14:schemeClr w14:val="tx1"/>
            </w14:solidFill>
          </w14:textFill>
        </w:rPr>
        <w:t>2</w:t>
      </w:r>
      <w:r>
        <w:rPr>
          <w:rFonts w:ascii="宋体" w:hAnsi="宋体"/>
          <w:b/>
          <w:color w:val="000000" w:themeColor="text1"/>
          <w:sz w:val="36"/>
          <w:szCs w:val="36"/>
          <w:highlight w:val="none"/>
          <w14:textFill>
            <w14:solidFill>
              <w14:schemeClr w14:val="tx1"/>
            </w14:solidFill>
          </w14:textFill>
        </w:rPr>
        <w:t>年</w:t>
      </w:r>
      <w:r>
        <w:rPr>
          <w:rFonts w:hint="eastAsia" w:ascii="宋体" w:hAnsi="宋体"/>
          <w:b/>
          <w:color w:val="000000" w:themeColor="text1"/>
          <w:sz w:val="36"/>
          <w:szCs w:val="36"/>
          <w:highlight w:val="none"/>
          <w:u w:val="single"/>
          <w:lang w:val="en-US" w:eastAsia="zh-CN"/>
          <w14:textFill>
            <w14:solidFill>
              <w14:schemeClr w14:val="tx1"/>
            </w14:solidFill>
          </w14:textFill>
        </w:rPr>
        <w:t>11</w:t>
      </w:r>
      <w:r>
        <w:rPr>
          <w:rFonts w:ascii="宋体" w:hAnsi="宋体"/>
          <w:b/>
          <w:color w:val="000000" w:themeColor="text1"/>
          <w:sz w:val="36"/>
          <w:szCs w:val="36"/>
          <w:highlight w:val="none"/>
          <w14:textFill>
            <w14:solidFill>
              <w14:schemeClr w14:val="tx1"/>
            </w14:solidFill>
          </w14:textFill>
        </w:rPr>
        <w:t>月</w:t>
      </w:r>
    </w:p>
    <w:sdt>
      <w:sdt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id w:val="1129744671"/>
        <w:docPartObj>
          <w:docPartGallery w:val="Table of Contents"/>
          <w:docPartUnique/>
        </w:docPartObj>
      </w:sdtPr>
      <w:sdtEnd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sdtEndPr>
      <w:sdtContent>
        <w:p>
          <w:pPr>
            <w:pStyle w:val="53"/>
            <w:jc w:val="center"/>
            <w:rPr>
              <w:color w:val="000000" w:themeColor="text1"/>
              <w:highlight w:val="none"/>
              <w14:textFill>
                <w14:solidFill>
                  <w14:schemeClr w14:val="tx1"/>
                </w14:solidFill>
              </w14:textFill>
            </w:rPr>
          </w:pPr>
          <w:bookmarkStart w:id="0" w:name="_Toc492478714"/>
          <w:bookmarkStart w:id="1" w:name="_Toc26620"/>
          <w:bookmarkStart w:id="2" w:name="_Toc3658"/>
          <w:bookmarkStart w:id="3" w:name="_Toc26939"/>
          <w:bookmarkStart w:id="4" w:name="_Toc3400"/>
          <w:bookmarkStart w:id="5" w:name="_Toc17906"/>
          <w:bookmarkStart w:id="6" w:name="_Toc481"/>
          <w:bookmarkStart w:id="7" w:name="_Toc14762"/>
          <w:bookmarkStart w:id="8" w:name="_Toc1227"/>
          <w:bookmarkStart w:id="9" w:name="_Toc1363"/>
          <w:bookmarkStart w:id="10" w:name="_Toc30647"/>
          <w:bookmarkStart w:id="11" w:name="_Toc26192"/>
          <w:bookmarkStart w:id="12" w:name="_Toc15211"/>
          <w:bookmarkStart w:id="13" w:name="_Toc5910"/>
          <w:bookmarkStart w:id="14" w:name="_Toc375039061"/>
          <w:bookmarkStart w:id="15" w:name="_Toc237"/>
          <w:bookmarkStart w:id="16" w:name="_Toc23367"/>
          <w:bookmarkStart w:id="17" w:name="_Toc25355"/>
          <w:bookmarkStart w:id="18" w:name="_Toc23476"/>
          <w:r>
            <w:rPr>
              <w:color w:val="000000" w:themeColor="text1"/>
              <w:highlight w:val="none"/>
              <w:lang w:val="zh-CN"/>
              <w14:textFill>
                <w14:solidFill>
                  <w14:schemeClr w14:val="tx1"/>
                </w14:solidFill>
              </w14:textFill>
            </w:rPr>
            <w:t>目录</w:t>
          </w:r>
        </w:p>
        <w:p>
          <w:pPr>
            <w:pStyle w:val="18"/>
            <w:tabs>
              <w:tab w:val="right" w:leader="dot" w:pos="9071"/>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"1-2"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_Toc21273 </w:instrText>
          </w:r>
          <w:r>
            <w:rPr>
              <w:highlight w:val="none"/>
            </w:rPr>
            <w:fldChar w:fldCharType="separate"/>
          </w:r>
          <w:r>
            <w:rPr>
              <w:rFonts w:hint="eastAsia" w:ascii="宋体" w:hAnsi="宋体" w:eastAsia="宋体"/>
              <w:highlight w:val="none"/>
            </w:rPr>
            <w:t>第一章比选公告</w:t>
          </w:r>
          <w:r>
            <w:tab/>
          </w:r>
          <w:r>
            <w:fldChar w:fldCharType="begin"/>
          </w:r>
          <w:r>
            <w:instrText xml:space="preserve"> PAGEREF _Toc21273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_Toc13642 </w:instrText>
          </w:r>
          <w:r>
            <w:rPr>
              <w:highlight w:val="none"/>
            </w:rPr>
            <w:fldChar w:fldCharType="separate"/>
          </w:r>
          <w:r>
            <w:rPr>
              <w:rFonts w:hint="eastAsia" w:ascii="宋体" w:hAnsi="宋体"/>
              <w:highlight w:val="none"/>
            </w:rPr>
            <w:t>1.比选条件</w:t>
          </w:r>
          <w:r>
            <w:tab/>
          </w:r>
          <w:r>
            <w:fldChar w:fldCharType="begin"/>
          </w:r>
          <w:r>
            <w:instrText xml:space="preserve"> PAGEREF _Toc13642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_Toc6503 </w:instrText>
          </w:r>
          <w:r>
            <w:rPr>
              <w:highlight w:val="none"/>
            </w:rPr>
            <w:fldChar w:fldCharType="separate"/>
          </w:r>
          <w:r>
            <w:rPr>
              <w:rFonts w:hint="eastAsia" w:ascii="宋体" w:hAnsi="宋体"/>
              <w:highlight w:val="none"/>
            </w:rPr>
            <w:t>2.项目概况与比选范围</w:t>
          </w:r>
          <w:r>
            <w:tab/>
          </w:r>
          <w:r>
            <w:fldChar w:fldCharType="begin"/>
          </w:r>
          <w:r>
            <w:instrText xml:space="preserve"> PAGEREF _Toc6503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_Toc7986 </w:instrText>
          </w:r>
          <w:r>
            <w:rPr>
              <w:highlight w:val="none"/>
            </w:rPr>
            <w:fldChar w:fldCharType="separate"/>
          </w:r>
          <w:r>
            <w:rPr>
              <w:rFonts w:hint="eastAsia" w:ascii="宋体" w:hAnsi="宋体"/>
              <w:highlight w:val="none"/>
            </w:rPr>
            <w:t>3.比选申请人资格要求</w:t>
          </w:r>
          <w:r>
            <w:tab/>
          </w:r>
          <w:r>
            <w:fldChar w:fldCharType="begin"/>
          </w:r>
          <w:r>
            <w:instrText xml:space="preserve"> PAGEREF _Toc7986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_Toc16599 </w:instrText>
          </w:r>
          <w:r>
            <w:rPr>
              <w:highlight w:val="none"/>
            </w:rPr>
            <w:fldChar w:fldCharType="separate"/>
          </w:r>
          <w:r>
            <w:rPr>
              <w:rFonts w:hint="eastAsia" w:ascii="宋体" w:hAnsi="宋体"/>
              <w:highlight w:val="none"/>
            </w:rPr>
            <w:t>4.资格审查方式</w:t>
          </w:r>
          <w:r>
            <w:tab/>
          </w:r>
          <w:r>
            <w:fldChar w:fldCharType="begin"/>
          </w:r>
          <w:r>
            <w:instrText xml:space="preserve"> PAGEREF _Toc16599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_Toc9865 </w:instrText>
          </w:r>
          <w:r>
            <w:rPr>
              <w:highlight w:val="none"/>
            </w:rPr>
            <w:fldChar w:fldCharType="separate"/>
          </w:r>
          <w:r>
            <w:rPr>
              <w:rFonts w:hint="eastAsia" w:ascii="宋体" w:hAnsi="宋体"/>
              <w:highlight w:val="none"/>
            </w:rPr>
            <w:t>5.比选文件的获取</w:t>
          </w:r>
          <w:r>
            <w:tab/>
          </w:r>
          <w:r>
            <w:fldChar w:fldCharType="begin"/>
          </w:r>
          <w:r>
            <w:instrText xml:space="preserve"> PAGEREF _Toc9865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_Toc10882 </w:instrText>
          </w:r>
          <w:r>
            <w:rPr>
              <w:highlight w:val="none"/>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_Toc10882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_Toc156 </w:instrText>
          </w:r>
          <w:r>
            <w:rPr>
              <w:highlight w:val="none"/>
            </w:rPr>
            <w:fldChar w:fldCharType="separate"/>
          </w:r>
          <w:r>
            <w:rPr>
              <w:rFonts w:hint="eastAsia" w:ascii="宋体" w:hAnsi="宋体"/>
              <w:highlight w:val="none"/>
            </w:rPr>
            <w:t>7.发布公告的媒介</w:t>
          </w:r>
          <w:r>
            <w:tab/>
          </w:r>
          <w:r>
            <w:fldChar w:fldCharType="begin"/>
          </w:r>
          <w:r>
            <w:instrText xml:space="preserve"> PAGEREF _Toc156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_Toc5296 </w:instrText>
          </w:r>
          <w:r>
            <w:rPr>
              <w:highlight w:val="none"/>
            </w:rPr>
            <w:fldChar w:fldCharType="separate"/>
          </w:r>
          <w:r>
            <w:rPr>
              <w:rFonts w:hint="eastAsia" w:ascii="宋体" w:hAnsi="宋体"/>
              <w:highlight w:val="none"/>
            </w:rPr>
            <w:t>8.联系方式</w:t>
          </w:r>
          <w:r>
            <w:tab/>
          </w:r>
          <w:r>
            <w:fldChar w:fldCharType="begin"/>
          </w:r>
          <w:r>
            <w:instrText xml:space="preserve"> PAGEREF _Toc5296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_Toc8189 </w:instrText>
          </w:r>
          <w:r>
            <w:rPr>
              <w:highlight w:val="none"/>
            </w:rPr>
            <w:fldChar w:fldCharType="separate"/>
          </w:r>
          <w:r>
            <w:rPr>
              <w:rFonts w:hint="eastAsia" w:ascii="宋体" w:hAnsi="宋体" w:eastAsia="宋体"/>
              <w:highlight w:val="none"/>
            </w:rPr>
            <w:t>第二章比选申请须知</w:t>
          </w:r>
          <w:r>
            <w:tab/>
          </w:r>
          <w:r>
            <w:fldChar w:fldCharType="begin"/>
          </w:r>
          <w:r>
            <w:instrText xml:space="preserve"> PAGEREF _Toc8189 \h </w:instrText>
          </w:r>
          <w:r>
            <w:fldChar w:fldCharType="separate"/>
          </w:r>
          <w:r>
            <w:t>9</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_Toc18288 </w:instrText>
          </w:r>
          <w:r>
            <w:rPr>
              <w:highlight w:val="none"/>
            </w:rPr>
            <w:fldChar w:fldCharType="separate"/>
          </w:r>
          <w:r>
            <w:rPr>
              <w:rFonts w:hint="eastAsia" w:hAnsi="宋体"/>
              <w:szCs w:val="30"/>
              <w:highlight w:val="none"/>
            </w:rPr>
            <w:t>比选申请须知前附表</w:t>
          </w:r>
          <w:r>
            <w:tab/>
          </w:r>
          <w:r>
            <w:fldChar w:fldCharType="begin"/>
          </w:r>
          <w:r>
            <w:instrText xml:space="preserve"> PAGEREF _Toc18288 \h </w:instrText>
          </w:r>
          <w:r>
            <w:fldChar w:fldCharType="separate"/>
          </w:r>
          <w:r>
            <w:t>9</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_Toc21816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_Toc21816 \h </w:instrText>
          </w:r>
          <w:r>
            <w:fldChar w:fldCharType="separate"/>
          </w:r>
          <w:r>
            <w:t>12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_Toc16108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_Toc16108 \h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_Toc10841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_Toc10841 \h </w:instrText>
          </w:r>
          <w:r>
            <w:fldChar w:fldCharType="separate"/>
          </w:r>
          <w:r>
            <w:t>14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_Toc2404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_Toc2404 \h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_Toc30590 </w:instrText>
          </w:r>
          <w:r>
            <w:rPr>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_Toc30590 \h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_Toc32241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_Toc32241 \h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_Toc24834 </w:instrText>
          </w:r>
          <w:r>
            <w:rPr>
              <w:highlight w:val="none"/>
            </w:rPr>
            <w:fldChar w:fldCharType="separate"/>
          </w:r>
          <w:r>
            <w:rPr>
              <w:rFonts w:hint="eastAsia" w:ascii="宋体" w:hAnsi="宋体" w:eastAsia="宋体"/>
              <w:highlight w:val="none"/>
            </w:rPr>
            <w:t>第三章合同条款及格式</w:t>
          </w:r>
          <w:r>
            <w:tab/>
          </w:r>
          <w:r>
            <w:fldChar w:fldCharType="begin"/>
          </w:r>
          <w:r>
            <w:instrText xml:space="preserve"> PAGEREF _Toc24834 \h </w:instrText>
          </w:r>
          <w:r>
            <w:fldChar w:fldCharType="separate"/>
          </w:r>
          <w:r>
            <w:t>22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_Toc23173 </w:instrText>
          </w:r>
          <w:r>
            <w:rPr>
              <w:highlight w:val="none"/>
            </w:rPr>
            <w:fldChar w:fldCharType="separate"/>
          </w:r>
          <w:r>
            <w:rPr>
              <w:rFonts w:hint="eastAsia" w:ascii="宋体" w:hAnsi="宋体"/>
              <w:szCs w:val="24"/>
              <w:highlight w:val="none"/>
            </w:rPr>
            <w:t>一、合同协议书</w:t>
          </w:r>
          <w:r>
            <w:tab/>
          </w:r>
          <w:r>
            <w:fldChar w:fldCharType="begin"/>
          </w:r>
          <w:r>
            <w:instrText xml:space="preserve"> PAGEREF _Toc23173 \h </w:instrText>
          </w:r>
          <w:r>
            <w:fldChar w:fldCharType="separate"/>
          </w:r>
          <w:r>
            <w:t>22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_Toc13321 </w:instrText>
          </w:r>
          <w:r>
            <w:rPr>
              <w:highlight w:val="none"/>
            </w:rPr>
            <w:fldChar w:fldCharType="separate"/>
          </w:r>
          <w:r>
            <w:rPr>
              <w:rFonts w:hint="eastAsia" w:ascii="宋体" w:hAnsi="宋体"/>
              <w:szCs w:val="24"/>
              <w:highlight w:val="none"/>
            </w:rPr>
            <w:t>二、合同条款</w:t>
          </w:r>
          <w:r>
            <w:tab/>
          </w:r>
          <w:r>
            <w:fldChar w:fldCharType="begin"/>
          </w:r>
          <w:r>
            <w:instrText xml:space="preserve"> PAGEREF _Toc13321 \h </w:instrText>
          </w:r>
          <w:r>
            <w:fldChar w:fldCharType="separate"/>
          </w:r>
          <w:r>
            <w:t>24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_Toc2754 </w:instrText>
          </w:r>
          <w:r>
            <w:rPr>
              <w:highlight w:val="none"/>
            </w:rPr>
            <w:fldChar w:fldCharType="separate"/>
          </w:r>
          <w:r>
            <w:rPr>
              <w:rFonts w:hint="eastAsia" w:ascii="宋体" w:hAnsi="宋体"/>
              <w:highlight w:val="none"/>
            </w:rPr>
            <w:t>1.定义及解释</w:t>
          </w:r>
          <w:r>
            <w:tab/>
          </w:r>
          <w:r>
            <w:fldChar w:fldCharType="begin"/>
          </w:r>
          <w:r>
            <w:instrText xml:space="preserve"> PAGEREF _Toc2754 \h </w:instrText>
          </w:r>
          <w:r>
            <w:fldChar w:fldCharType="separate"/>
          </w:r>
          <w:r>
            <w:t>24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_Toc31867 </w:instrText>
          </w:r>
          <w:r>
            <w:rPr>
              <w:highlight w:val="none"/>
            </w:rPr>
            <w:fldChar w:fldCharType="separate"/>
          </w:r>
          <w:r>
            <w:rPr>
              <w:rFonts w:hint="eastAsia" w:ascii="宋体" w:hAnsi="宋体"/>
              <w:highlight w:val="none"/>
            </w:rPr>
            <w:t>2.适用性</w:t>
          </w:r>
          <w:r>
            <w:tab/>
          </w:r>
          <w:r>
            <w:fldChar w:fldCharType="begin"/>
          </w:r>
          <w:r>
            <w:instrText xml:space="preserve"> PAGEREF _Toc31867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_Toc18342 </w:instrText>
          </w:r>
          <w:r>
            <w:rPr>
              <w:highlight w:val="none"/>
            </w:rPr>
            <w:fldChar w:fldCharType="separate"/>
          </w:r>
          <w:r>
            <w:rPr>
              <w:rFonts w:hint="eastAsia" w:ascii="宋体" w:hAnsi="宋体"/>
              <w:highlight w:val="none"/>
            </w:rPr>
            <w:t>3.来源地</w:t>
          </w:r>
          <w:r>
            <w:tab/>
          </w:r>
          <w:r>
            <w:fldChar w:fldCharType="begin"/>
          </w:r>
          <w:r>
            <w:instrText xml:space="preserve"> PAGEREF _Toc18342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_Toc28358 </w:instrText>
          </w:r>
          <w:r>
            <w:rPr>
              <w:highlight w:val="none"/>
            </w:rPr>
            <w:fldChar w:fldCharType="separate"/>
          </w:r>
          <w:r>
            <w:rPr>
              <w:rFonts w:hint="eastAsia" w:ascii="宋体" w:hAnsi="宋体"/>
              <w:highlight w:val="none"/>
            </w:rPr>
            <w:t>4.标准</w:t>
          </w:r>
          <w:r>
            <w:tab/>
          </w:r>
          <w:r>
            <w:fldChar w:fldCharType="begin"/>
          </w:r>
          <w:r>
            <w:instrText xml:space="preserve"> PAGEREF _Toc28358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_Toc24864 </w:instrText>
          </w:r>
          <w:r>
            <w:rPr>
              <w:highlight w:val="none"/>
            </w:rPr>
            <w:fldChar w:fldCharType="separate"/>
          </w:r>
          <w:r>
            <w:rPr>
              <w:rFonts w:hint="default" w:ascii="宋体" w:hAnsi="宋体"/>
              <w:highlight w:val="none"/>
              <w:lang w:val="en-US"/>
            </w:rPr>
            <w:t>5</w:t>
          </w:r>
          <w:r>
            <w:rPr>
              <w:rFonts w:hint="eastAsia" w:ascii="宋体" w:hAnsi="宋体"/>
              <w:highlight w:val="none"/>
            </w:rPr>
            <w:t>.合同文件、资料及使用</w:t>
          </w:r>
          <w:r>
            <w:tab/>
          </w:r>
          <w:r>
            <w:fldChar w:fldCharType="begin"/>
          </w:r>
          <w:r>
            <w:instrText xml:space="preserve"> PAGEREF _Toc24864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_Toc32465 </w:instrText>
          </w:r>
          <w:r>
            <w:rPr>
              <w:highlight w:val="none"/>
            </w:rPr>
            <w:fldChar w:fldCharType="separate"/>
          </w:r>
          <w:r>
            <w:rPr>
              <w:rFonts w:hint="eastAsia" w:ascii="宋体" w:hAnsi="宋体"/>
              <w:highlight w:val="none"/>
            </w:rPr>
            <w:t>6.知识产权</w:t>
          </w:r>
          <w:r>
            <w:tab/>
          </w:r>
          <w:r>
            <w:fldChar w:fldCharType="begin"/>
          </w:r>
          <w:r>
            <w:instrText xml:space="preserve"> PAGEREF _Toc32465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_Toc939 </w:instrText>
          </w:r>
          <w:r>
            <w:rPr>
              <w:highlight w:val="none"/>
            </w:rPr>
            <w:fldChar w:fldCharType="separate"/>
          </w:r>
          <w:r>
            <w:rPr>
              <w:rFonts w:hint="eastAsia" w:ascii="宋体" w:hAnsi="宋体"/>
              <w:highlight w:val="none"/>
            </w:rPr>
            <w:t>7.履约担保</w:t>
          </w:r>
          <w:r>
            <w:tab/>
          </w:r>
          <w:r>
            <w:fldChar w:fldCharType="begin"/>
          </w:r>
          <w:r>
            <w:instrText xml:space="preserve"> PAGEREF _Toc939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_Toc26315 </w:instrText>
          </w:r>
          <w:r>
            <w:rPr>
              <w:highlight w:val="none"/>
            </w:rPr>
            <w:fldChar w:fldCharType="separate"/>
          </w:r>
          <w:r>
            <w:rPr>
              <w:rFonts w:hint="eastAsia" w:ascii="宋体" w:hAnsi="宋体"/>
              <w:highlight w:val="none"/>
            </w:rPr>
            <w:t>8.检验</w:t>
          </w:r>
          <w:r>
            <w:tab/>
          </w:r>
          <w:r>
            <w:fldChar w:fldCharType="begin"/>
          </w:r>
          <w:r>
            <w:instrText xml:space="preserve"> PAGEREF _Toc26315 \h </w:instrText>
          </w:r>
          <w:r>
            <w:fldChar w:fldCharType="separate"/>
          </w:r>
          <w:r>
            <w:t>27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_Toc1560 </w:instrText>
          </w:r>
          <w:r>
            <w:rPr>
              <w:highlight w:val="none"/>
            </w:rPr>
            <w:fldChar w:fldCharType="separate"/>
          </w:r>
          <w:r>
            <w:rPr>
              <w:rFonts w:hint="eastAsia" w:ascii="宋体" w:hAnsi="宋体"/>
              <w:highlight w:val="none"/>
              <w:lang w:eastAsia="zh-CN"/>
            </w:rPr>
            <w:t>9</w:t>
          </w:r>
          <w:r>
            <w:rPr>
              <w:rFonts w:hint="eastAsia" w:ascii="宋体" w:hAnsi="宋体"/>
              <w:highlight w:val="none"/>
            </w:rPr>
            <w:t>交货和单据</w:t>
          </w:r>
          <w:r>
            <w:tab/>
          </w:r>
          <w:r>
            <w:fldChar w:fldCharType="begin"/>
          </w:r>
          <w:r>
            <w:instrText xml:space="preserve"> PAGEREF _Toc1560 \h </w:instrText>
          </w:r>
          <w:r>
            <w:fldChar w:fldCharType="separate"/>
          </w:r>
          <w:r>
            <w:t>27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_Toc13593 </w:instrText>
          </w:r>
          <w:r>
            <w:rPr>
              <w:highlight w:val="none"/>
            </w:rPr>
            <w:fldChar w:fldCharType="separate"/>
          </w:r>
          <w:r>
            <w:rPr>
              <w:rFonts w:hint="eastAsia" w:ascii="宋体" w:hAnsi="宋体"/>
              <w:highlight w:val="none"/>
            </w:rPr>
            <w:t>1</w:t>
          </w:r>
          <w:r>
            <w:rPr>
              <w:rFonts w:hint="eastAsia" w:ascii="宋体" w:hAnsi="宋体"/>
              <w:highlight w:val="none"/>
              <w:lang w:eastAsia="zh-CN"/>
            </w:rPr>
            <w:t>0</w:t>
          </w:r>
          <w:r>
            <w:rPr>
              <w:rFonts w:hint="eastAsia" w:ascii="宋体" w:hAnsi="宋体"/>
              <w:highlight w:val="none"/>
            </w:rPr>
            <w:t>.所有权与风险转移</w:t>
          </w:r>
          <w:r>
            <w:tab/>
          </w:r>
          <w:r>
            <w:fldChar w:fldCharType="begin"/>
          </w:r>
          <w:r>
            <w:instrText xml:space="preserve"> PAGEREF _Toc13593 \h </w:instrText>
          </w:r>
          <w:r>
            <w:fldChar w:fldCharType="separate"/>
          </w:r>
          <w:r>
            <w:t>27</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_Toc3210 </w:instrText>
          </w:r>
          <w:r>
            <w:rPr>
              <w:highlight w:val="none"/>
            </w:rPr>
            <w:fldChar w:fldCharType="separate"/>
          </w:r>
          <w:r>
            <w:rPr>
              <w:rFonts w:hint="eastAsia" w:ascii="宋体" w:hAnsi="宋体"/>
              <w:highlight w:val="none"/>
            </w:rPr>
            <w:t>1</w:t>
          </w:r>
          <w:r>
            <w:rPr>
              <w:rFonts w:hint="eastAsia" w:ascii="宋体" w:hAnsi="宋体"/>
              <w:highlight w:val="none"/>
              <w:lang w:val="en-US" w:eastAsia="zh-CN"/>
            </w:rPr>
            <w:t>1</w:t>
          </w:r>
          <w:r>
            <w:rPr>
              <w:rFonts w:hint="eastAsia" w:ascii="宋体" w:hAnsi="宋体"/>
              <w:highlight w:val="none"/>
            </w:rPr>
            <w:t>服务</w:t>
          </w:r>
          <w:r>
            <w:tab/>
          </w:r>
          <w:r>
            <w:fldChar w:fldCharType="begin"/>
          </w:r>
          <w:r>
            <w:instrText xml:space="preserve"> PAGEREF _Toc3210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_Toc30538 </w:instrText>
          </w:r>
          <w:r>
            <w:rPr>
              <w:highlight w:val="none"/>
            </w:rPr>
            <w:fldChar w:fldCharType="separate"/>
          </w:r>
          <w:r>
            <w:rPr>
              <w:rFonts w:hint="eastAsia" w:ascii="宋体" w:hAnsi="宋体"/>
              <w:highlight w:val="none"/>
              <w:lang w:eastAsia="zh-CN"/>
            </w:rPr>
            <w:t>12</w:t>
          </w:r>
          <w:r>
            <w:rPr>
              <w:rFonts w:hint="eastAsia" w:ascii="宋体" w:hAnsi="宋体"/>
              <w:highlight w:val="none"/>
            </w:rPr>
            <w:t>.付款</w:t>
          </w:r>
          <w:r>
            <w:tab/>
          </w:r>
          <w:r>
            <w:fldChar w:fldCharType="begin"/>
          </w:r>
          <w:r>
            <w:instrText xml:space="preserve"> PAGEREF _Toc30538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_Toc18565 </w:instrText>
          </w:r>
          <w:r>
            <w:rPr>
              <w:highlight w:val="none"/>
            </w:rPr>
            <w:fldChar w:fldCharType="separate"/>
          </w:r>
          <w:r>
            <w:rPr>
              <w:rFonts w:hint="eastAsia" w:ascii="宋体" w:hAnsi="宋体"/>
              <w:highlight w:val="none"/>
              <w:lang w:eastAsia="zh-CN"/>
            </w:rPr>
            <w:t>13</w:t>
          </w:r>
          <w:r>
            <w:rPr>
              <w:rFonts w:hint="eastAsia" w:ascii="宋体" w:hAnsi="宋体"/>
              <w:highlight w:val="none"/>
            </w:rPr>
            <w:t>.价格</w:t>
          </w:r>
          <w:r>
            <w:tab/>
          </w:r>
          <w:r>
            <w:fldChar w:fldCharType="begin"/>
          </w:r>
          <w:r>
            <w:instrText xml:space="preserve"> PAGEREF _Toc18565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_Toc12881 </w:instrText>
          </w:r>
          <w:r>
            <w:rPr>
              <w:highlight w:val="none"/>
            </w:rPr>
            <w:fldChar w:fldCharType="separate"/>
          </w:r>
          <w:r>
            <w:rPr>
              <w:rFonts w:hint="eastAsia" w:ascii="宋体" w:hAnsi="宋体"/>
              <w:highlight w:val="none"/>
            </w:rPr>
            <w:t>1</w:t>
          </w:r>
          <w:r>
            <w:rPr>
              <w:rFonts w:hint="eastAsia" w:ascii="宋体" w:hAnsi="宋体"/>
              <w:highlight w:val="none"/>
              <w:lang w:val="en-US" w:eastAsia="zh-CN"/>
            </w:rPr>
            <w:t>4</w:t>
          </w:r>
          <w:r>
            <w:rPr>
              <w:rFonts w:hint="eastAsia" w:ascii="宋体" w:hAnsi="宋体"/>
              <w:highlight w:val="none"/>
            </w:rPr>
            <w:t>.合同变更与修改</w:t>
          </w:r>
          <w:r>
            <w:tab/>
          </w:r>
          <w:r>
            <w:fldChar w:fldCharType="begin"/>
          </w:r>
          <w:r>
            <w:instrText xml:space="preserve"> PAGEREF _Toc12881 \h </w:instrText>
          </w:r>
          <w:r>
            <w:fldChar w:fldCharType="separate"/>
          </w:r>
          <w:r>
            <w:t>29</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_Toc26277 </w:instrText>
          </w:r>
          <w:r>
            <w:rPr>
              <w:highlight w:val="none"/>
            </w:rPr>
            <w:fldChar w:fldCharType="separate"/>
          </w:r>
          <w:r>
            <w:rPr>
              <w:rFonts w:hint="eastAsia" w:ascii="宋体" w:hAnsi="宋体"/>
              <w:highlight w:val="none"/>
            </w:rPr>
            <w:t>1</w:t>
          </w:r>
          <w:r>
            <w:rPr>
              <w:rFonts w:hint="eastAsia" w:ascii="宋体" w:hAnsi="宋体"/>
              <w:highlight w:val="none"/>
              <w:lang w:val="en-US" w:eastAsia="zh-CN"/>
            </w:rPr>
            <w:t>6</w:t>
          </w:r>
          <w:r>
            <w:rPr>
              <w:rFonts w:hint="eastAsia" w:ascii="宋体" w:hAnsi="宋体"/>
              <w:highlight w:val="none"/>
            </w:rPr>
            <w:t>.不可抗力</w:t>
          </w:r>
          <w:r>
            <w:tab/>
          </w:r>
          <w:r>
            <w:fldChar w:fldCharType="begin"/>
          </w:r>
          <w:r>
            <w:instrText xml:space="preserve"> PAGEREF _Toc26277 \h </w:instrText>
          </w:r>
          <w:r>
            <w:fldChar w:fldCharType="separate"/>
          </w:r>
          <w:r>
            <w:t>29</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_Toc32509 </w:instrText>
          </w:r>
          <w:r>
            <w:rPr>
              <w:highlight w:val="none"/>
            </w:rPr>
            <w:fldChar w:fldCharType="separate"/>
          </w:r>
          <w:r>
            <w:rPr>
              <w:rFonts w:hint="eastAsia" w:ascii="宋体" w:hAnsi="宋体"/>
              <w:highlight w:val="none"/>
              <w:lang w:eastAsia="zh-CN"/>
            </w:rPr>
            <w:t>17</w:t>
          </w:r>
          <w:r>
            <w:rPr>
              <w:rFonts w:hint="eastAsia" w:ascii="宋体" w:hAnsi="宋体"/>
              <w:highlight w:val="none"/>
            </w:rPr>
            <w:t>.损失补偿</w:t>
          </w:r>
          <w:r>
            <w:tab/>
          </w:r>
          <w:r>
            <w:fldChar w:fldCharType="begin"/>
          </w:r>
          <w:r>
            <w:instrText xml:space="preserve"> PAGEREF _Toc32509 \h </w:instrText>
          </w:r>
          <w:r>
            <w:fldChar w:fldCharType="separate"/>
          </w:r>
          <w:r>
            <w:t>29</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_Toc3079 </w:instrText>
          </w:r>
          <w:r>
            <w:rPr>
              <w:highlight w:val="none"/>
            </w:rPr>
            <w:fldChar w:fldCharType="separate"/>
          </w:r>
          <w:r>
            <w:rPr>
              <w:rFonts w:hint="eastAsia" w:ascii="宋体" w:hAnsi="宋体"/>
              <w:highlight w:val="none"/>
              <w:lang w:val="en-US" w:eastAsia="zh-CN"/>
            </w:rPr>
            <w:t>18</w:t>
          </w:r>
          <w:r>
            <w:rPr>
              <w:rFonts w:ascii="宋体" w:hAnsi="宋体"/>
              <w:highlight w:val="none"/>
            </w:rPr>
            <w:t>.</w:t>
          </w:r>
          <w:r>
            <w:rPr>
              <w:rFonts w:hint="eastAsia" w:ascii="宋体" w:hAnsi="宋体"/>
              <w:highlight w:val="none"/>
            </w:rPr>
            <w:t>拖期终止</w:t>
          </w:r>
          <w:r>
            <w:tab/>
          </w:r>
          <w:r>
            <w:fldChar w:fldCharType="begin"/>
          </w:r>
          <w:r>
            <w:instrText xml:space="preserve"> PAGEREF _Toc3079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_Toc17764 </w:instrText>
          </w:r>
          <w:r>
            <w:rPr>
              <w:highlight w:val="none"/>
            </w:rPr>
            <w:fldChar w:fldCharType="separate"/>
          </w:r>
          <w:r>
            <w:rPr>
              <w:rFonts w:hint="eastAsia" w:ascii="宋体" w:hAnsi="宋体"/>
              <w:highlight w:val="none"/>
              <w:lang w:val="en-US" w:eastAsia="zh-CN"/>
            </w:rPr>
            <w:t>19</w:t>
          </w:r>
          <w:r>
            <w:rPr>
              <w:rFonts w:hint="eastAsia" w:ascii="宋体" w:hAnsi="宋体"/>
              <w:highlight w:val="none"/>
            </w:rPr>
            <w:t>.破产终止</w:t>
          </w:r>
          <w:r>
            <w:tab/>
          </w:r>
          <w:r>
            <w:fldChar w:fldCharType="begin"/>
          </w:r>
          <w:r>
            <w:instrText xml:space="preserve"> PAGEREF _Toc17764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_Toc3150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.方便终止</w:t>
          </w:r>
          <w:r>
            <w:tab/>
          </w:r>
          <w:r>
            <w:fldChar w:fldCharType="begin"/>
          </w:r>
          <w:r>
            <w:instrText xml:space="preserve"> PAGEREF _Toc3150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_Toc24894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1</w:t>
          </w:r>
          <w:r>
            <w:rPr>
              <w:rFonts w:hint="eastAsia" w:ascii="宋体" w:hAnsi="宋体"/>
              <w:highlight w:val="none"/>
            </w:rPr>
            <w:t>.争端的解决</w:t>
          </w:r>
          <w:r>
            <w:tab/>
          </w:r>
          <w:r>
            <w:fldChar w:fldCharType="begin"/>
          </w:r>
          <w:r>
            <w:instrText xml:space="preserve"> PAGEREF _Toc24894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_Toc7510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2</w:t>
          </w:r>
          <w:r>
            <w:rPr>
              <w:rFonts w:hint="eastAsia" w:ascii="宋体" w:hAnsi="宋体"/>
              <w:highlight w:val="none"/>
            </w:rPr>
            <w:t>.语言</w:t>
          </w:r>
          <w:r>
            <w:tab/>
          </w:r>
          <w:r>
            <w:fldChar w:fldCharType="begin"/>
          </w:r>
          <w:r>
            <w:instrText xml:space="preserve"> PAGEREF _Toc7510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_Toc20613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3</w:t>
          </w:r>
          <w:r>
            <w:rPr>
              <w:rFonts w:hint="eastAsia" w:ascii="宋体" w:hAnsi="宋体"/>
              <w:highlight w:val="none"/>
            </w:rPr>
            <w:t>.适用法律</w:t>
          </w:r>
          <w:r>
            <w:tab/>
          </w:r>
          <w:r>
            <w:fldChar w:fldCharType="begin"/>
          </w:r>
          <w:r>
            <w:instrText xml:space="preserve"> PAGEREF _Toc20613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_Toc30721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4</w:t>
          </w:r>
          <w:r>
            <w:rPr>
              <w:rFonts w:hint="eastAsia" w:ascii="宋体" w:hAnsi="宋体"/>
              <w:highlight w:val="none"/>
            </w:rPr>
            <w:t>.通知</w:t>
          </w:r>
          <w:r>
            <w:tab/>
          </w:r>
          <w:r>
            <w:fldChar w:fldCharType="begin"/>
          </w:r>
          <w:r>
            <w:instrText xml:space="preserve"> PAGEREF _Toc30721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_Toc6173 </w:instrText>
          </w:r>
          <w:r>
            <w:rPr>
              <w:highlight w:val="none"/>
            </w:rPr>
            <w:fldChar w:fldCharType="separate"/>
          </w:r>
          <w:r>
            <w:rPr>
              <w:rFonts w:hint="eastAsia" w:ascii="宋体" w:hAnsi="宋体"/>
              <w:highlight w:val="none"/>
            </w:rPr>
            <w:t>2</w:t>
          </w:r>
          <w:r>
            <w:rPr>
              <w:rFonts w:hint="eastAsia" w:ascii="宋体" w:hAnsi="宋体"/>
              <w:highlight w:val="none"/>
              <w:lang w:val="en-US" w:eastAsia="zh-CN"/>
            </w:rPr>
            <w:t>5</w:t>
          </w:r>
          <w:r>
            <w:rPr>
              <w:rFonts w:hint="eastAsia" w:ascii="宋体" w:hAnsi="宋体"/>
              <w:highlight w:val="none"/>
            </w:rPr>
            <w:t>.税费</w:t>
          </w:r>
          <w:r>
            <w:tab/>
          </w:r>
          <w:r>
            <w:fldChar w:fldCharType="begin"/>
          </w:r>
          <w:r>
            <w:instrText xml:space="preserve"> PAGEREF _Toc6173 \h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_Toc9994 </w:instrText>
          </w:r>
          <w:r>
            <w:rPr>
              <w:highlight w:val="none"/>
            </w:rPr>
            <w:fldChar w:fldCharType="separate"/>
          </w:r>
          <w:r>
            <w:rPr>
              <w:rFonts w:hint="eastAsia" w:ascii="宋体" w:hAnsi="宋体"/>
              <w:highlight w:val="none"/>
              <w:lang w:val="en-US" w:eastAsia="zh-CN"/>
            </w:rPr>
            <w:t>26</w:t>
          </w:r>
          <w:r>
            <w:rPr>
              <w:rFonts w:hint="eastAsia" w:ascii="宋体" w:hAnsi="宋体"/>
              <w:highlight w:val="none"/>
            </w:rPr>
            <w:t>.合同标的</w:t>
          </w:r>
          <w:r>
            <w:tab/>
          </w:r>
          <w:r>
            <w:fldChar w:fldCharType="begin"/>
          </w:r>
          <w:r>
            <w:instrText xml:space="preserve"> PAGEREF _Toc9994 \h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_Toc21428 </w:instrText>
          </w:r>
          <w:r>
            <w:rPr>
              <w:highlight w:val="none"/>
            </w:rPr>
            <w:fldChar w:fldCharType="separate"/>
          </w:r>
          <w:r>
            <w:rPr>
              <w:rFonts w:hint="eastAsia" w:ascii="宋体" w:hAnsi="宋体"/>
              <w:highlight w:val="none"/>
              <w:lang w:val="en-US" w:eastAsia="zh-CN"/>
            </w:rPr>
            <w:t>27</w:t>
          </w:r>
          <w:r>
            <w:rPr>
              <w:rFonts w:ascii="宋体" w:hAnsi="宋体"/>
              <w:highlight w:val="none"/>
            </w:rPr>
            <w:t>.</w:t>
          </w:r>
          <w:r>
            <w:rPr>
              <w:rFonts w:hint="eastAsia" w:ascii="宋体" w:hAnsi="宋体"/>
              <w:highlight w:val="none"/>
            </w:rPr>
            <w:t>索赔与赔偿</w:t>
          </w:r>
          <w:r>
            <w:tab/>
          </w:r>
          <w:r>
            <w:fldChar w:fldCharType="begin"/>
          </w:r>
          <w:r>
            <w:instrText xml:space="preserve"> PAGEREF _Toc21428 \h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_Toc3030 </w:instrText>
          </w:r>
          <w:r>
            <w:rPr>
              <w:highlight w:val="none"/>
            </w:rPr>
            <w:fldChar w:fldCharType="separate"/>
          </w:r>
          <w:r>
            <w:rPr>
              <w:rFonts w:hint="eastAsia" w:ascii="宋体" w:hAnsi="宋体"/>
              <w:highlight w:val="none"/>
              <w:lang w:val="en-US" w:eastAsia="zh-CN"/>
            </w:rPr>
            <w:t>28</w:t>
          </w:r>
          <w:r>
            <w:rPr>
              <w:rFonts w:hint="eastAsia" w:ascii="宋体" w:hAnsi="宋体"/>
              <w:highlight w:val="none"/>
            </w:rPr>
            <w:t>.合同终止与暂停</w:t>
          </w:r>
          <w:r>
            <w:tab/>
          </w:r>
          <w:r>
            <w:fldChar w:fldCharType="begin"/>
          </w:r>
          <w:r>
            <w:instrText xml:space="preserve"> PAGEREF _Toc3030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_Toc2496 </w:instrText>
          </w:r>
          <w:r>
            <w:rPr>
              <w:highlight w:val="none"/>
            </w:rPr>
            <w:fldChar w:fldCharType="separate"/>
          </w:r>
          <w:r>
            <w:rPr>
              <w:rFonts w:hint="eastAsia" w:ascii="宋体" w:hAnsi="宋体"/>
              <w:highlight w:val="none"/>
              <w:lang w:val="en-US" w:eastAsia="zh-CN"/>
            </w:rPr>
            <w:t>29</w:t>
          </w:r>
          <w:r>
            <w:rPr>
              <w:rFonts w:hint="eastAsia" w:ascii="宋体" w:hAnsi="宋体"/>
              <w:highlight w:val="none"/>
            </w:rPr>
            <w:t>.验收</w:t>
          </w:r>
          <w:r>
            <w:tab/>
          </w:r>
          <w:r>
            <w:fldChar w:fldCharType="begin"/>
          </w:r>
          <w:r>
            <w:instrText xml:space="preserve"> PAGEREF _Toc2496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_Toc15108 </w:instrText>
          </w:r>
          <w:r>
            <w:rPr>
              <w:highlight w:val="none"/>
            </w:rPr>
            <w:fldChar w:fldCharType="separate"/>
          </w:r>
          <w:r>
            <w:rPr>
              <w:rFonts w:hint="eastAsia" w:ascii="宋体" w:hAnsi="宋体"/>
              <w:highlight w:val="none"/>
              <w:lang w:val="en-US" w:eastAsia="zh-CN"/>
            </w:rPr>
            <w:t>30.</w:t>
          </w:r>
          <w:r>
            <w:rPr>
              <w:rFonts w:hint="eastAsia" w:ascii="宋体" w:hAnsi="宋体"/>
              <w:highlight w:val="none"/>
            </w:rPr>
            <w:t>时间保证</w:t>
          </w:r>
          <w:r>
            <w:tab/>
          </w:r>
          <w:r>
            <w:fldChar w:fldCharType="begin"/>
          </w:r>
          <w:r>
            <w:instrText xml:space="preserve"> PAGEREF _Toc15108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_Toc3164 </w:instrText>
          </w:r>
          <w:r>
            <w:rPr>
              <w:highlight w:val="none"/>
            </w:rPr>
            <w:fldChar w:fldCharType="separate"/>
          </w:r>
          <w:r>
            <w:rPr>
              <w:rFonts w:hint="eastAsia" w:ascii="宋体" w:hAnsi="宋体"/>
              <w:highlight w:val="none"/>
            </w:rPr>
            <w:t>3</w:t>
          </w:r>
          <w:r>
            <w:rPr>
              <w:rFonts w:hint="eastAsia" w:ascii="宋体" w:hAnsi="宋体"/>
              <w:highlight w:val="none"/>
              <w:lang w:val="en-US" w:eastAsia="zh-CN"/>
            </w:rPr>
            <w:t>1</w:t>
          </w:r>
          <w:r>
            <w:rPr>
              <w:rFonts w:hint="eastAsia" w:ascii="宋体" w:hAnsi="宋体"/>
              <w:highlight w:val="none"/>
            </w:rPr>
            <w:t>.其他</w:t>
          </w:r>
          <w:r>
            <w:tab/>
          </w:r>
          <w:r>
            <w:fldChar w:fldCharType="begin"/>
          </w:r>
          <w:r>
            <w:instrText xml:space="preserve"> PAGEREF _Toc3164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_Toc13837 </w:instrText>
          </w:r>
          <w:r>
            <w:rPr>
              <w:highlight w:val="none"/>
            </w:rPr>
            <w:fldChar w:fldCharType="separate"/>
          </w:r>
          <w:r>
            <w:rPr>
              <w:rFonts w:hint="eastAsia" w:ascii="宋体" w:hAnsi="宋体"/>
              <w:highlight w:val="none"/>
            </w:rPr>
            <w:t>3</w:t>
          </w:r>
          <w:r>
            <w:rPr>
              <w:rFonts w:hint="eastAsia" w:ascii="宋体" w:hAnsi="宋体"/>
              <w:highlight w:val="none"/>
              <w:lang w:val="en-US" w:eastAsia="zh-CN"/>
            </w:rPr>
            <w:t>2</w:t>
          </w:r>
          <w:r>
            <w:rPr>
              <w:rFonts w:hint="eastAsia" w:ascii="宋体" w:hAnsi="宋体"/>
              <w:highlight w:val="none"/>
            </w:rPr>
            <w:t>.合同生效和签约地</w:t>
          </w:r>
          <w:r>
            <w:tab/>
          </w:r>
          <w:r>
            <w:fldChar w:fldCharType="begin"/>
          </w:r>
          <w:r>
            <w:instrText xml:space="preserve"> PAGEREF _Toc13837 \h </w:instrText>
          </w:r>
          <w:r>
            <w:fldChar w:fldCharType="separate"/>
          </w:r>
          <w:r>
            <w:t>34</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_Toc30433 </w:instrText>
          </w:r>
          <w:r>
            <w:rPr>
              <w:highlight w:val="none"/>
            </w:rPr>
            <w:fldChar w:fldCharType="separate"/>
          </w:r>
          <w:r>
            <w:rPr>
              <w:rFonts w:hint="eastAsia" w:ascii="宋体" w:hAnsi="宋体" w:eastAsia="宋体"/>
              <w:highlight w:val="none"/>
            </w:rPr>
            <w:t>第四章比选申请文件格式</w:t>
          </w:r>
          <w:r>
            <w:tab/>
          </w:r>
          <w:r>
            <w:fldChar w:fldCharType="begin"/>
          </w:r>
          <w:r>
            <w:instrText xml:space="preserve"> PAGEREF _Toc30433 \h </w:instrText>
          </w:r>
          <w:r>
            <w:fldChar w:fldCharType="separate"/>
          </w:r>
          <w:r>
            <w:t>35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_Toc2492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_Toc2492 \h </w:instrText>
          </w:r>
          <w:r>
            <w:fldChar w:fldCharType="separate"/>
          </w:r>
          <w:r>
            <w:t>35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_Toc4505 </w:instrText>
          </w:r>
          <w:r>
            <w:rPr>
              <w:highlight w:val="none"/>
            </w:rPr>
            <w:fldChar w:fldCharType="separate"/>
          </w:r>
          <w:r>
            <w:rPr>
              <w:rFonts w:hint="eastAsia" w:ascii="华文中宋" w:eastAsia="华文中宋"/>
              <w:szCs w:val="48"/>
              <w:highlight w:val="none"/>
            </w:rPr>
            <w:t>资格审查文件</w:t>
          </w:r>
          <w:r>
            <w:tab/>
          </w:r>
          <w:r>
            <w:fldChar w:fldCharType="begin"/>
          </w:r>
          <w:r>
            <w:instrText xml:space="preserve"> PAGEREF _Toc4505 \h </w:instrText>
          </w:r>
          <w:r>
            <w:fldChar w:fldCharType="separate"/>
          </w:r>
          <w:r>
            <w:t>35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_Toc14178 </w:instrText>
          </w:r>
          <w:r>
            <w:rPr>
              <w:highlight w:val="none"/>
            </w:rPr>
            <w:fldChar w:fldCharType="separate"/>
          </w:r>
          <w:r>
            <w:rPr>
              <w:szCs w:val="24"/>
              <w:highlight w:val="none"/>
            </w:rPr>
            <w:t>A  资格审查</w:t>
          </w:r>
          <w:r>
            <w:rPr>
              <w:rFonts w:hint="eastAsia"/>
              <w:szCs w:val="24"/>
              <w:highlight w:val="none"/>
            </w:rPr>
            <w:t>文件</w:t>
          </w:r>
          <w:r>
            <w:tab/>
          </w:r>
          <w:r>
            <w:fldChar w:fldCharType="begin"/>
          </w:r>
          <w:r>
            <w:instrText xml:space="preserve"> PAGEREF _Toc14178 \h </w:instrText>
          </w:r>
          <w:r>
            <w:fldChar w:fldCharType="separate"/>
          </w:r>
          <w:r>
            <w:t>36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_Toc20950 </w:instrText>
          </w:r>
          <w:r>
            <w:rPr>
              <w:highlight w:val="none"/>
            </w:rPr>
            <w:fldChar w:fldCharType="separate"/>
          </w:r>
          <w:r>
            <w:rPr>
              <w:rFonts w:ascii="宋体" w:hAnsi="宋体"/>
              <w:szCs w:val="24"/>
              <w:highlight w:val="none"/>
            </w:rPr>
            <w:t xml:space="preserve">B </w:t>
          </w:r>
          <w:r>
            <w:rPr>
              <w:rFonts w:hint="eastAsia" w:ascii="宋体" w:hAnsi="宋体"/>
              <w:szCs w:val="24"/>
              <w:highlight w:val="none"/>
            </w:rPr>
            <w:t>价格文件</w:t>
          </w:r>
          <w:r>
            <w:tab/>
          </w:r>
          <w:r>
            <w:fldChar w:fldCharType="begin"/>
          </w:r>
          <w:r>
            <w:instrText xml:space="preserve"> PAGEREF _Toc20950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_Toc21309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_Toc21309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_Toc16434 </w:instrText>
          </w:r>
          <w:r>
            <w:rPr>
              <w:highlight w:val="none"/>
            </w:rPr>
            <w:fldChar w:fldCharType="separate"/>
          </w:r>
          <w:r>
            <w:rPr>
              <w:rFonts w:hint="eastAsia" w:ascii="宋体" w:hAnsi="宋体"/>
              <w:szCs w:val="48"/>
              <w:highlight w:val="none"/>
            </w:rPr>
            <w:t>价格文件</w:t>
          </w:r>
          <w:r>
            <w:tab/>
          </w:r>
          <w:r>
            <w:fldChar w:fldCharType="begin"/>
          </w:r>
          <w:r>
            <w:instrText xml:space="preserve"> PAGEREF _Toc16434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_Toc15239 </w:instrText>
          </w:r>
          <w:r>
            <w:rPr>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tab/>
          </w:r>
          <w:r>
            <w:fldChar w:fldCharType="begin"/>
          </w:r>
          <w:r>
            <w:instrText xml:space="preserve"> PAGEREF _Toc15239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_Toc478 </w:instrText>
          </w:r>
          <w:r>
            <w:rPr>
              <w:highlight w:val="none"/>
            </w:rPr>
            <w:fldChar w:fldCharType="separate"/>
          </w:r>
          <w:r>
            <w:rPr>
              <w:rFonts w:hint="eastAsia" w:ascii="华文中宋" w:eastAsia="华文中宋"/>
              <w:szCs w:val="48"/>
              <w:highlight w:val="none"/>
            </w:rPr>
            <w:t>项目比选申请文件</w:t>
          </w:r>
          <w:r>
            <w:tab/>
          </w:r>
          <w:r>
            <w:fldChar w:fldCharType="begin"/>
          </w:r>
          <w:r>
            <w:instrText xml:space="preserve"> PAGEREF _Toc478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_Toc18691 </w:instrText>
          </w:r>
          <w:r>
            <w:rPr>
              <w:highlight w:val="none"/>
            </w:rPr>
            <w:fldChar w:fldCharType="separate"/>
          </w:r>
          <w:r>
            <w:rPr>
              <w:rFonts w:hint="eastAsia" w:ascii="华文中宋" w:eastAsia="华文中宋"/>
              <w:szCs w:val="48"/>
              <w:highlight w:val="none"/>
            </w:rPr>
            <w:t>技术文件</w:t>
          </w:r>
          <w:r>
            <w:tab/>
          </w:r>
          <w:r>
            <w:fldChar w:fldCharType="begin"/>
          </w:r>
          <w:r>
            <w:instrText xml:space="preserve"> PAGEREF _Toc18691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_Toc7045 </w:instrText>
          </w:r>
          <w:r>
            <w:rPr>
              <w:highlight w:val="none"/>
            </w:rPr>
            <w:fldChar w:fldCharType="separate"/>
          </w:r>
          <w:r>
            <w:rPr>
              <w:rFonts w:hint="eastAsia" w:ascii="宋体" w:hAnsi="宋体" w:eastAsia="宋体"/>
              <w:highlight w:val="none"/>
            </w:rPr>
            <w:t>第五章技术需求及数量表</w:t>
          </w:r>
          <w:r>
            <w:tab/>
          </w:r>
          <w:r>
            <w:fldChar w:fldCharType="begin"/>
          </w:r>
          <w:r>
            <w:instrText xml:space="preserve"> PAGEREF _Toc7045 \h </w:instrText>
          </w:r>
          <w:r>
            <w:fldChar w:fldCharType="separate"/>
          </w:r>
          <w:r>
            <w:t>53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_Toc2273 </w:instrText>
          </w:r>
          <w:r>
            <w:rPr>
              <w:highlight w:val="none"/>
            </w:rPr>
            <w:fldChar w:fldCharType="separate"/>
          </w:r>
          <w:r>
            <w:rPr>
              <w:rFonts w:hint="eastAsia" w:ascii="宋体" w:hAnsi="宋体"/>
              <w:kern w:val="58"/>
            </w:rPr>
            <w:t xml:space="preserve">一、 </w:t>
          </w:r>
          <w:r>
            <w:rPr>
              <w:rFonts w:hint="eastAsia" w:ascii="宋体" w:hAnsi="宋体"/>
              <w:kern w:val="58"/>
              <w:highlight w:val="none"/>
            </w:rPr>
            <w:t>技术需求及数量表</w:t>
          </w:r>
          <w:r>
            <w:tab/>
          </w:r>
          <w:r>
            <w:fldChar w:fldCharType="begin"/>
          </w:r>
          <w:r>
            <w:instrText xml:space="preserve"> PAGEREF _Toc2273 \h </w:instrText>
          </w:r>
          <w:r>
            <w:fldChar w:fldCharType="separate"/>
          </w:r>
          <w:r>
            <w:t>53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_Toc15384 </w:instrText>
          </w:r>
          <w:r>
            <w:rPr>
              <w:highlight w:val="none"/>
            </w:rPr>
            <w:fldChar w:fldCharType="separate"/>
          </w:r>
          <w:r>
            <w:rPr>
              <w:rFonts w:hint="eastAsia" w:ascii="宋体" w:hAnsi="宋体"/>
              <w:kern w:val="58"/>
              <w:highlight w:val="none"/>
            </w:rPr>
            <w:t>三、其他要求</w:t>
          </w:r>
          <w:r>
            <w:tab/>
          </w:r>
          <w:r>
            <w:fldChar w:fldCharType="begin"/>
          </w:r>
          <w:r>
            <w:instrText xml:space="preserve"> PAGEREF _Toc15384 \h </w:instrText>
          </w:r>
          <w:r>
            <w:fldChar w:fldCharType="separate"/>
          </w:r>
          <w:r>
            <w:t>53</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_Toc29378 </w:instrText>
          </w:r>
          <w:r>
            <w:rPr>
              <w:highlight w:val="none"/>
            </w:rPr>
            <w:fldChar w:fldCharType="separate"/>
          </w:r>
          <w:r>
            <w:rPr>
              <w:rFonts w:hint="eastAsia" w:ascii="宋体" w:hAnsi="宋体" w:eastAsia="宋体"/>
              <w:highlight w:val="none"/>
            </w:rPr>
            <w:t>第六章</w:t>
          </w:r>
          <w:r>
            <w:rPr>
              <w:rFonts w:hint="eastAsia" w:hAnsi="宋体"/>
              <w:highlight w:val="none"/>
              <w:lang w:val="en-US" w:eastAsia="zh-CN"/>
            </w:rPr>
            <w:t>评审</w:t>
          </w:r>
          <w:r>
            <w:rPr>
              <w:rFonts w:hint="eastAsia" w:ascii="宋体" w:hAnsi="宋体" w:eastAsia="宋体"/>
              <w:highlight w:val="none"/>
            </w:rPr>
            <w:t>办法</w:t>
          </w:r>
          <w:r>
            <w:tab/>
          </w:r>
          <w:r>
            <w:fldChar w:fldCharType="begin"/>
          </w:r>
          <w:r>
            <w:instrText xml:space="preserve"> PAGEREF _Toc29378 \h </w:instrText>
          </w:r>
          <w:r>
            <w:fldChar w:fldCharType="separate"/>
          </w:r>
          <w:r>
            <w:t>58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_Toc22341 </w:instrText>
          </w:r>
          <w:r>
            <w:rPr>
              <w:highlight w:val="none"/>
            </w:rPr>
            <w:fldChar w:fldCharType="separate"/>
          </w:r>
          <w:r>
            <w:rPr>
              <w:rFonts w:hint="eastAsia" w:ascii="宋体" w:hAnsi="宋体" w:cs="Arial"/>
              <w:bCs/>
              <w:szCs w:val="28"/>
              <w:highlight w:val="none"/>
            </w:rPr>
            <w:t>一、评审原则</w:t>
          </w:r>
          <w:r>
            <w:tab/>
          </w:r>
          <w:r>
            <w:fldChar w:fldCharType="begin"/>
          </w:r>
          <w:r>
            <w:instrText xml:space="preserve"> PAGEREF _Toc22341 \h </w:instrText>
          </w:r>
          <w:r>
            <w:fldChar w:fldCharType="separate"/>
          </w:r>
          <w:r>
            <w:t>58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_Toc25576 </w:instrText>
          </w:r>
          <w:r>
            <w:rPr>
              <w:highlight w:val="none"/>
            </w:rPr>
            <w:fldChar w:fldCharType="separate"/>
          </w:r>
          <w:r>
            <w:rPr>
              <w:rFonts w:hint="eastAsia" w:ascii="宋体" w:hAnsi="宋体" w:cs="Arial"/>
              <w:bCs/>
              <w:szCs w:val="28"/>
              <w:highlight w:val="none"/>
            </w:rPr>
            <w:t>二、评定方法</w:t>
          </w:r>
          <w:r>
            <w:tab/>
          </w:r>
          <w:r>
            <w:fldChar w:fldCharType="begin"/>
          </w:r>
          <w:r>
            <w:instrText xml:space="preserve"> PAGEREF _Toc25576 \h </w:instrText>
          </w:r>
          <w:r>
            <w:fldChar w:fldCharType="separate"/>
          </w:r>
          <w:r>
            <w:t>58</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_Toc21610 </w:instrText>
          </w:r>
          <w:r>
            <w:rPr>
              <w:highlight w:val="none"/>
            </w:rPr>
            <w:fldChar w:fldCharType="separate"/>
          </w:r>
          <w:r>
            <w:rPr>
              <w:rFonts w:hint="eastAsia"/>
              <w:szCs w:val="21"/>
              <w:highlight w:val="none"/>
            </w:rPr>
            <w:t>附表一：资格审查表</w:t>
          </w:r>
          <w:r>
            <w:tab/>
          </w:r>
          <w:r>
            <w:fldChar w:fldCharType="begin"/>
          </w:r>
          <w:r>
            <w:instrText xml:space="preserve"> PAGEREF _Toc21610 \h </w:instrText>
          </w:r>
          <w:r>
            <w:fldChar w:fldCharType="separate"/>
          </w:r>
          <w:r>
            <w:t>61</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_Toc12499 </w:instrText>
          </w:r>
          <w:r>
            <w:rPr>
              <w:highlight w:val="none"/>
            </w:rPr>
            <w:fldChar w:fldCharType="separate"/>
          </w:r>
          <w:r>
            <w:rPr>
              <w:rFonts w:hint="eastAsia"/>
              <w:szCs w:val="21"/>
              <w:highlight w:val="none"/>
            </w:rPr>
            <w:t>附表二：符合性评审表</w:t>
          </w:r>
          <w:r>
            <w:tab/>
          </w:r>
          <w:r>
            <w:fldChar w:fldCharType="begin"/>
          </w:r>
          <w:r>
            <w:instrText xml:space="preserve"> PAGEREF _Toc12499 \h </w:instrText>
          </w:r>
          <w:r>
            <w:fldChar w:fldCharType="separate"/>
          </w:r>
          <w:r>
            <w:t>62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_Toc32313 </w:instrText>
          </w:r>
          <w:r>
            <w:rPr>
              <w:highlight w:val="none"/>
            </w:rPr>
            <w:fldChar w:fldCharType="separate"/>
          </w:r>
          <w:r>
            <w:rPr>
              <w:rFonts w:hint="eastAsia"/>
              <w:szCs w:val="21"/>
              <w:highlight w:val="none"/>
            </w:rPr>
            <w:t>附表五 比选申请价格评审表</w:t>
          </w:r>
          <w:r>
            <w:tab/>
          </w:r>
          <w:r>
            <w:fldChar w:fldCharType="begin"/>
          </w:r>
          <w:r>
            <w:instrText xml:space="preserve"> PAGEREF _Toc32313 \h </w:instrText>
          </w:r>
          <w:r>
            <w:fldChar w:fldCharType="separate"/>
          </w:r>
          <w:r>
            <w:t>66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_Toc26843 </w:instrText>
          </w:r>
          <w:r>
            <w:rPr>
              <w:highlight w:val="none"/>
            </w:rPr>
            <w:fldChar w:fldCharType="separate"/>
          </w:r>
          <w:r>
            <w:rPr>
              <w:rFonts w:hint="eastAsia"/>
              <w:szCs w:val="21"/>
            </w:rPr>
            <w:t>附表</w:t>
          </w:r>
          <w:r>
            <w:rPr>
              <w:rFonts w:hint="eastAsia"/>
              <w:szCs w:val="21"/>
              <w:lang w:eastAsia="zh-CN"/>
            </w:rPr>
            <w:t>六</w:t>
          </w:r>
          <w:r>
            <w:rPr>
              <w:rFonts w:hint="eastAsia"/>
              <w:szCs w:val="21"/>
            </w:rPr>
            <w:t xml:space="preserve"> 比选申请报价修正表</w:t>
          </w:r>
          <w:r>
            <w:tab/>
          </w:r>
          <w:r>
            <w:fldChar w:fldCharType="begin"/>
          </w:r>
          <w:r>
            <w:instrText xml:space="preserve"> PAGEREF _Toc26843 \h </w:instrText>
          </w:r>
          <w:r>
            <w:fldChar w:fldCharType="separate"/>
          </w:r>
          <w:r>
            <w:t>67</w:t>
          </w:r>
          <w:r>
            <w:fldChar w:fldCharType="end"/>
          </w:r>
          <w:r>
            <w:rPr>
              <w:color w:val="000000" w:themeColor="text1"/>
              <w:highlight w:val="none"/>
              <w14:textFill>
                <w14:solidFill>
                  <w14:schemeClr w14:val="tx1"/>
                </w14:solidFill>
              </w14:textFill>
            </w:rPr>
            <w:fldChar w:fldCharType="end"/>
          </w:r>
        </w:p>
        <w:p>
          <w:pPr>
            <w:pStyle w:val="18"/>
            <w:tabs>
              <w:tab w:val="right" w:leader="dot" w:pos="9061"/>
            </w:tabs>
            <w:ind w:left="0" w:leftChars="0" w:firstLine="0" w:firstLineChars="0"/>
            <w:jc w:val="both"/>
            <w:rPr>
              <w:highlight w:val="none"/>
            </w:rPr>
          </w:pPr>
          <w:r>
            <w:rPr>
              <w:color w:val="000000" w:themeColor="text1"/>
              <w:highlight w:val="none"/>
              <w14:textFill>
                <w14:solidFill>
                  <w14:schemeClr w14:val="tx1"/>
                </w14:solidFill>
              </w14:textFill>
            </w:rPr>
            <w:fldChar w:fldCharType="end"/>
          </w:r>
        </w:p>
      </w:sdtContent>
    </w:sdt>
    <w:p>
      <w:pPr>
        <w:pStyle w:val="13"/>
        <w:pageBreakBefore/>
        <w:ind w:right="-57" w:firstLine="0"/>
        <w:jc w:val="center"/>
        <w:outlineLvl w:val="0"/>
        <w:rPr>
          <w:rStyle w:val="40"/>
          <w:rFonts w:hint="eastAsia" w:ascii="宋体" w:hAnsi="宋体" w:eastAsia="宋体"/>
          <w:color w:val="000000" w:themeColor="text1"/>
          <w:highlight w:val="none"/>
          <w14:textFill>
            <w14:solidFill>
              <w14:schemeClr w14:val="tx1"/>
            </w14:solidFill>
          </w14:textFill>
        </w:rPr>
      </w:pPr>
      <w:bookmarkStart w:id="19" w:name="_Toc21273"/>
      <w:bookmarkStart w:id="20" w:name="_Toc22979"/>
      <w:bookmarkStart w:id="21" w:name="_Toc29956"/>
      <w:bookmarkStart w:id="22" w:name="_Toc2542"/>
      <w:bookmarkStart w:id="23" w:name="_Toc5808"/>
      <w:bookmarkStart w:id="24" w:name="_Toc6184"/>
      <w:bookmarkStart w:id="25" w:name="_Toc27076"/>
      <w:bookmarkStart w:id="26" w:name="_Toc30355"/>
      <w:bookmarkStart w:id="27" w:name="_Toc20627"/>
      <w:bookmarkStart w:id="28" w:name="_Toc18537"/>
      <w:bookmarkStart w:id="29" w:name="_Toc23992"/>
      <w:r>
        <w:rPr>
          <w:rStyle w:val="40"/>
          <w:rFonts w:hint="eastAsia" w:ascii="宋体" w:hAnsi="宋体" w:eastAsia="宋体"/>
          <w:color w:val="000000" w:themeColor="text1"/>
          <w:highlight w:val="none"/>
          <w14:textFill>
            <w14:solidFill>
              <w14:schemeClr w14:val="tx1"/>
            </w14:solidFill>
          </w14:textFill>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25"/>
        <w:spacing w:before="0"/>
        <w:ind w:right="0" w:firstLine="0"/>
        <w:jc w:val="center"/>
        <w:rPr>
          <w:rFonts w:hint="eastAsia" w:ascii="宋体" w:hAnsi="宋体"/>
          <w:b/>
          <w:bCs w:val="0"/>
          <w:color w:val="000000" w:themeColor="text1"/>
          <w:sz w:val="28"/>
          <w:szCs w:val="28"/>
          <w:highlight w:val="none"/>
          <w:lang w:val="en-US" w:eastAsia="zh-CN"/>
          <w14:textFill>
            <w14:solidFill>
              <w14:schemeClr w14:val="tx1"/>
            </w14:solidFill>
          </w14:textFill>
        </w:rPr>
      </w:pPr>
      <w:r>
        <w:rPr>
          <w:rFonts w:hint="eastAsia" w:ascii="宋体" w:hAnsi="宋体"/>
          <w:b/>
          <w:bCs w:val="0"/>
          <w:color w:val="000000" w:themeColor="text1"/>
          <w:sz w:val="28"/>
          <w:szCs w:val="28"/>
          <w:highlight w:val="none"/>
          <w:lang w:val="en-US" w:eastAsia="zh-CN"/>
          <w14:textFill>
            <w14:solidFill>
              <w14:schemeClr w14:val="tx1"/>
            </w14:solidFill>
          </w14:textFill>
        </w:rPr>
        <w:t>南宁轨道交通运营有限公司线上培训课程与培训管理信息技术服务</w:t>
      </w:r>
    </w:p>
    <w:p>
      <w:pPr>
        <w:pStyle w:val="25"/>
        <w:spacing w:before="0"/>
        <w:ind w:right="0" w:firstLine="0"/>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bCs w:val="0"/>
          <w:color w:val="000000" w:themeColor="text1"/>
          <w:sz w:val="28"/>
          <w:szCs w:val="28"/>
          <w:highlight w:val="none"/>
          <w:lang w:val="en-US" w:eastAsia="zh-CN"/>
          <w14:textFill>
            <w14:solidFill>
              <w14:schemeClr w14:val="tx1"/>
            </w14:solidFill>
          </w14:textFill>
        </w:rPr>
        <w:t>项目（2022年-2023年）</w:t>
      </w:r>
      <w:r>
        <w:rPr>
          <w:rFonts w:hint="eastAsia" w:ascii="宋体" w:hAnsi="宋体"/>
          <w:b/>
          <w:color w:val="000000" w:themeColor="text1"/>
          <w:sz w:val="28"/>
          <w:szCs w:val="28"/>
          <w:highlight w:val="none"/>
          <w14:textFill>
            <w14:solidFill>
              <w14:schemeClr w14:val="tx1"/>
            </w14:solidFill>
          </w14:textFill>
        </w:rPr>
        <w:t>比选公告</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30" w:name="OLE_LINK4"/>
      <w:bookmarkEnd w:id="30"/>
      <w:bookmarkStart w:id="31" w:name="_Toc11508"/>
      <w:bookmarkStart w:id="32" w:name="_Toc30306"/>
      <w:bookmarkStart w:id="33" w:name="_Toc27426"/>
      <w:bookmarkStart w:id="34" w:name="_Toc15303"/>
      <w:bookmarkStart w:id="35" w:name="_Toc9795"/>
      <w:bookmarkStart w:id="36" w:name="_Toc2964"/>
      <w:bookmarkStart w:id="37" w:name="_Toc13642"/>
      <w:bookmarkStart w:id="38" w:name="_Toc15338"/>
      <w:bookmarkStart w:id="39" w:name="_Toc15889"/>
      <w:bookmarkStart w:id="40" w:name="_Toc4882"/>
      <w:bookmarkStart w:id="41" w:name="_Toc22562"/>
      <w:r>
        <w:rPr>
          <w:rFonts w:hint="eastAsia" w:ascii="宋体" w:hAnsi="宋体"/>
          <w:b/>
          <w:color w:val="000000" w:themeColor="text1"/>
          <w:highlight w:val="none"/>
          <w14:textFill>
            <w14:solidFill>
              <w14:schemeClr w14:val="tx1"/>
            </w14:solidFill>
          </w14:textFill>
        </w:rPr>
        <w:t>1.比选条件</w:t>
      </w:r>
      <w:bookmarkEnd w:id="31"/>
      <w:bookmarkEnd w:id="32"/>
      <w:bookmarkEnd w:id="33"/>
      <w:bookmarkEnd w:id="34"/>
      <w:bookmarkEnd w:id="35"/>
      <w:bookmarkEnd w:id="36"/>
      <w:bookmarkEnd w:id="37"/>
      <w:bookmarkEnd w:id="38"/>
      <w:bookmarkEnd w:id="39"/>
      <w:bookmarkEnd w:id="40"/>
      <w:bookmarkEnd w:id="41"/>
    </w:p>
    <w:p>
      <w:pPr>
        <w:spacing w:before="0" w:after="0" w:afterAutospacing="0" w:line="480" w:lineRule="auto"/>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single"/>
          <w:lang w:val="en-US" w:eastAsia="zh-CN"/>
        </w:rPr>
        <w:t>运营有限公司线上培训课程与培训管理信息技术服务项目（2022年-2023年）</w:t>
      </w:r>
      <w:r>
        <w:rPr>
          <w:rFonts w:hint="eastAsia" w:ascii="宋体" w:hAnsi="宋体" w:cs="宋体"/>
          <w:color w:val="auto"/>
          <w:szCs w:val="24"/>
          <w:highlight w:val="none"/>
        </w:rPr>
        <w:t>比选</w:t>
      </w:r>
      <w:r>
        <w:rPr>
          <w:rFonts w:hint="eastAsia" w:ascii="宋体" w:hAnsi="宋体"/>
          <w:color w:val="auto"/>
          <w:highlight w:val="none"/>
        </w:rPr>
        <w:t>人为</w:t>
      </w:r>
      <w:r>
        <w:rPr>
          <w:rFonts w:ascii="宋体" w:hAnsi="宋体"/>
          <w:color w:val="auto"/>
          <w:highlight w:val="none"/>
          <w:u w:val="single"/>
        </w:rPr>
        <w:t>南宁轨道交通</w:t>
      </w:r>
      <w:r>
        <w:rPr>
          <w:rFonts w:hint="eastAsia" w:ascii="宋体" w:hAnsi="宋体"/>
          <w:color w:val="auto"/>
          <w:highlight w:val="none"/>
          <w:u w:val="single"/>
          <w:lang w:val="en-US" w:eastAsia="zh-CN"/>
        </w:rPr>
        <w:t>运营</w:t>
      </w:r>
      <w:r>
        <w:rPr>
          <w:rFonts w:ascii="宋体" w:hAnsi="宋体"/>
          <w:color w:val="auto"/>
          <w:highlight w:val="none"/>
          <w:u w:val="single"/>
        </w:rPr>
        <w:t>有限公司</w:t>
      </w:r>
      <w:r>
        <w:rPr>
          <w:rFonts w:hint="eastAsia" w:ascii="宋体" w:hAnsi="宋体"/>
          <w:color w:val="auto"/>
          <w:highlight w:val="none"/>
        </w:rPr>
        <w:t>，比选项目资金来源为</w:t>
      </w:r>
      <w:r>
        <w:rPr>
          <w:rFonts w:hint="eastAsia" w:ascii="宋体" w:hAnsi="宋体"/>
          <w:color w:val="auto"/>
          <w:highlight w:val="none"/>
          <w:u w:val="single"/>
        </w:rPr>
        <w:t>企业自有资金</w:t>
      </w:r>
      <w:r>
        <w:rPr>
          <w:rFonts w:hint="eastAsia" w:ascii="宋体" w:hAnsi="宋体"/>
          <w:color w:val="auto"/>
          <w:highlight w:val="none"/>
        </w:rPr>
        <w:t>。</w:t>
      </w:r>
    </w:p>
    <w:p>
      <w:pPr>
        <w:spacing w:before="0" w:after="0" w:afterAutospacing="0" w:line="480" w:lineRule="auto"/>
        <w:ind w:left="0" w:right="0" w:firstLine="422" w:firstLineChars="200"/>
        <w:outlineLvl w:val="1"/>
        <w:rPr>
          <w:rFonts w:ascii="宋体" w:hAnsi="宋体"/>
          <w:b/>
          <w:color w:val="auto"/>
          <w:highlight w:val="none"/>
        </w:rPr>
      </w:pPr>
      <w:bookmarkStart w:id="42" w:name="_Toc6675"/>
      <w:bookmarkStart w:id="43" w:name="_Toc15141"/>
      <w:bookmarkStart w:id="44" w:name="_Toc17214"/>
      <w:bookmarkStart w:id="45" w:name="_Toc26039"/>
      <w:bookmarkStart w:id="46" w:name="_Toc22030"/>
      <w:bookmarkStart w:id="47" w:name="_Toc9633"/>
      <w:bookmarkStart w:id="48" w:name="_Toc27988"/>
      <w:bookmarkStart w:id="49" w:name="_Toc11372"/>
      <w:bookmarkStart w:id="50" w:name="_Toc23611"/>
      <w:bookmarkStart w:id="51" w:name="_Toc6503"/>
      <w:bookmarkStart w:id="52" w:name="_Toc4042"/>
      <w:r>
        <w:rPr>
          <w:rFonts w:hint="eastAsia" w:ascii="宋体" w:hAnsi="宋体"/>
          <w:b/>
          <w:color w:val="auto"/>
          <w:highlight w:val="none"/>
        </w:rPr>
        <w:t>2.项目概况与比选范围</w:t>
      </w:r>
      <w:bookmarkEnd w:id="42"/>
      <w:bookmarkEnd w:id="43"/>
      <w:bookmarkEnd w:id="44"/>
      <w:bookmarkEnd w:id="45"/>
      <w:bookmarkEnd w:id="46"/>
      <w:bookmarkEnd w:id="47"/>
      <w:bookmarkEnd w:id="48"/>
      <w:bookmarkEnd w:id="49"/>
      <w:bookmarkEnd w:id="50"/>
      <w:bookmarkEnd w:id="51"/>
      <w:bookmarkEnd w:id="52"/>
    </w:p>
    <w:p>
      <w:pPr>
        <w:spacing w:before="0" w:after="0" w:afterAutospacing="0" w:line="480" w:lineRule="auto"/>
        <w:ind w:left="0" w:right="0" w:firstLine="420" w:firstLineChars="200"/>
        <w:rPr>
          <w:rFonts w:hint="eastAsia" w:ascii="宋体" w:hAnsi="宋体"/>
          <w:color w:val="auto"/>
          <w:highlight w:val="none"/>
        </w:rPr>
      </w:pPr>
      <w:r>
        <w:rPr>
          <w:rFonts w:hint="eastAsia" w:ascii="宋体" w:hAnsi="宋体"/>
          <w:color w:val="auto"/>
          <w:highlight w:val="none"/>
        </w:rPr>
        <w:t>项目编号：</w:t>
      </w:r>
      <w:r>
        <w:rPr>
          <w:rFonts w:hint="default" w:ascii="宋体" w:hAnsi="宋体"/>
          <w:color w:val="auto"/>
          <w:highlight w:val="none"/>
          <w:lang w:val="en-US"/>
        </w:rPr>
        <w:t>202208090001</w:t>
      </w:r>
    </w:p>
    <w:p>
      <w:pPr>
        <w:spacing w:before="0" w:after="0" w:afterAutospacing="0" w:line="480" w:lineRule="auto"/>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single"/>
          <w:lang w:val="en-US" w:eastAsia="zh-CN"/>
        </w:rPr>
        <w:t>运营有限公司线上培训课程与培训管理信息技术服务项目（2022年-2023年）</w:t>
      </w:r>
      <w:r>
        <w:rPr>
          <w:rFonts w:hint="eastAsia" w:ascii="宋体" w:hAnsi="宋体"/>
          <w:color w:val="auto"/>
          <w:highlight w:val="none"/>
          <w:u w:val="single"/>
        </w:rPr>
        <w:t>。</w:t>
      </w:r>
    </w:p>
    <w:p>
      <w:pPr>
        <w:spacing w:before="0" w:after="0" w:afterAutospacing="0" w:line="480" w:lineRule="auto"/>
        <w:ind w:left="0" w:right="0" w:firstLine="420" w:firstLineChars="20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项目地点：</w:t>
      </w:r>
      <w:r>
        <w:rPr>
          <w:rFonts w:hint="eastAsia" w:asciiTheme="minorEastAsia" w:hAnsiTheme="minorEastAsia" w:eastAsiaTheme="minorEastAsia" w:cstheme="minorEastAsia"/>
          <w:color w:val="auto"/>
          <w:kern w:val="2"/>
          <w:highlight w:val="none"/>
          <w:lang w:val="en-US" w:eastAsia="zh-CN"/>
        </w:rPr>
        <w:t>南宁市青秀区云景路83号屯里车辆段</w:t>
      </w:r>
      <w:r>
        <w:rPr>
          <w:rFonts w:hint="eastAsia" w:asciiTheme="minorEastAsia" w:hAnsiTheme="minorEastAsia" w:eastAsiaTheme="minorEastAsia" w:cstheme="minorEastAsia"/>
          <w:color w:val="auto"/>
          <w:kern w:val="2"/>
          <w:highlight w:val="none"/>
          <w:lang w:eastAsia="zh-CN"/>
        </w:rPr>
        <w:t>。</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上限控制价：本项目</w:t>
      </w:r>
      <w:r>
        <w:rPr>
          <w:rFonts w:hint="eastAsia" w:asciiTheme="minorEastAsia" w:hAnsiTheme="minorEastAsia" w:eastAsiaTheme="minorEastAsia" w:cstheme="minorEastAsia"/>
          <w:color w:val="auto"/>
          <w:highlight w:val="none"/>
          <w:lang w:val="en-US" w:eastAsia="zh-CN"/>
        </w:rPr>
        <w:t>不</w:t>
      </w:r>
      <w:r>
        <w:rPr>
          <w:rFonts w:hint="eastAsia" w:asciiTheme="minorEastAsia" w:hAnsiTheme="minorEastAsia" w:eastAsiaTheme="minorEastAsia" w:cstheme="minorEastAsia"/>
          <w:color w:val="auto"/>
          <w:highlight w:val="none"/>
        </w:rPr>
        <w:t>含税上限控制价为</w:t>
      </w:r>
      <w:r>
        <w:rPr>
          <w:rFonts w:hint="eastAsia" w:asciiTheme="minorEastAsia" w:hAnsiTheme="minorEastAsia" w:eastAsiaTheme="minorEastAsia" w:cstheme="minorEastAsia"/>
          <w:color w:val="auto"/>
          <w:highlight w:val="none"/>
          <w:u w:val="single"/>
          <w:lang w:val="en-US" w:eastAsia="zh-CN"/>
        </w:rPr>
        <w:t xml:space="preserve">714000 </w:t>
      </w:r>
      <w:r>
        <w:rPr>
          <w:rFonts w:hint="eastAsia" w:asciiTheme="minorEastAsia" w:hAnsiTheme="minorEastAsia" w:eastAsiaTheme="minorEastAsia" w:cstheme="minorEastAsia"/>
          <w:color w:val="auto"/>
          <w:highlight w:val="none"/>
        </w:rPr>
        <w:t>元。</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服务期：</w:t>
      </w:r>
      <w:bookmarkStart w:id="53" w:name="OLE_LINK2"/>
      <w:bookmarkStart w:id="54" w:name="OLE_LINK1"/>
      <w:r>
        <w:rPr>
          <w:rFonts w:hint="eastAsia" w:asciiTheme="minorEastAsia" w:hAnsiTheme="minorEastAsia" w:eastAsiaTheme="minorEastAsia" w:cstheme="minorEastAsia"/>
          <w:color w:val="auto"/>
          <w:highlight w:val="none"/>
          <w:lang w:val="en-US" w:eastAsia="zh-CN"/>
        </w:rPr>
        <w:t>24</w:t>
      </w:r>
      <w:r>
        <w:rPr>
          <w:rFonts w:hint="eastAsia" w:asciiTheme="minorEastAsia" w:hAnsiTheme="minorEastAsia" w:eastAsiaTheme="minorEastAsia" w:cstheme="minorEastAsia"/>
          <w:color w:val="auto"/>
          <w:highlight w:val="none"/>
        </w:rPr>
        <w:t>个月。</w:t>
      </w:r>
    </w:p>
    <w:bookmarkEnd w:id="53"/>
    <w:bookmarkEnd w:id="54"/>
    <w:p>
      <w:pPr>
        <w:spacing w:before="0" w:after="0" w:afterAutospacing="0" w:line="480" w:lineRule="auto"/>
        <w:ind w:left="0" w:right="0" w:firstLine="420" w:firstLineChars="200"/>
        <w:rPr>
          <w:rFonts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highlight w:val="none"/>
        </w:rPr>
        <w:t>质保期：</w:t>
      </w:r>
      <w:r>
        <w:rPr>
          <w:rFonts w:hint="eastAsia" w:asciiTheme="minorEastAsia" w:hAnsiTheme="minorEastAsia" w:eastAsiaTheme="minorEastAsia" w:cstheme="minorEastAsia"/>
          <w:color w:val="auto"/>
          <w:highlight w:val="none"/>
          <w:lang w:val="en-US" w:eastAsia="zh-CN"/>
        </w:rPr>
        <w:t>无</w:t>
      </w:r>
      <w:r>
        <w:rPr>
          <w:rFonts w:hint="eastAsia" w:asciiTheme="minorEastAsia" w:hAnsiTheme="minorEastAsia" w:eastAsiaTheme="minorEastAsia" w:cstheme="minorEastAsia"/>
          <w:color w:val="auto"/>
          <w:kern w:val="2"/>
          <w:highlight w:val="none"/>
        </w:rPr>
        <w:t>。</w:t>
      </w:r>
    </w:p>
    <w:p>
      <w:pPr>
        <w:spacing w:before="0" w:after="0" w:afterAutospacing="0" w:line="480" w:lineRule="auto"/>
        <w:ind w:left="0" w:right="0" w:firstLine="420" w:firstLineChars="200"/>
        <w:rPr>
          <w:rFonts w:ascii="宋体" w:hAnsi="宋体" w:cs="宋体"/>
          <w:color w:val="auto"/>
          <w:szCs w:val="24"/>
          <w:highlight w:val="none"/>
        </w:rPr>
      </w:pPr>
      <w:r>
        <w:rPr>
          <w:rFonts w:hint="eastAsia" w:asciiTheme="minorEastAsia" w:hAnsiTheme="minorEastAsia" w:eastAsiaTheme="minorEastAsia" w:cstheme="minorEastAsia"/>
          <w:color w:val="auto"/>
          <w:highlight w:val="none"/>
        </w:rPr>
        <w:t>比选范围：</w:t>
      </w:r>
      <w:r>
        <w:rPr>
          <w:rFonts w:hint="eastAsia" w:asciiTheme="minorEastAsia" w:hAnsiTheme="minorEastAsia" w:eastAsiaTheme="minorEastAsia" w:cstheme="minorEastAsia"/>
          <w:color w:val="auto"/>
          <w:highlight w:val="none"/>
          <w:lang w:val="en-US" w:eastAsia="zh-CN"/>
        </w:rPr>
        <w:t>线上培训课程和基于钉钉的培训学习平台的采购，具体详见技术需求及数量表</w:t>
      </w:r>
      <w:r>
        <w:rPr>
          <w:rFonts w:hint="eastAsia" w:ascii="宋体" w:hAnsi="宋体"/>
          <w:color w:val="auto"/>
          <w:highlight w:val="none"/>
          <w:u w:val="none"/>
        </w:rPr>
        <w:t>。</w:t>
      </w:r>
    </w:p>
    <w:p>
      <w:pPr>
        <w:spacing w:before="0" w:after="0" w:afterAutospacing="0" w:line="480" w:lineRule="auto"/>
        <w:ind w:left="0" w:right="0" w:firstLine="422" w:firstLineChars="200"/>
        <w:outlineLvl w:val="1"/>
        <w:rPr>
          <w:rFonts w:ascii="宋体" w:hAnsi="宋体"/>
          <w:color w:val="auto"/>
          <w:highlight w:val="none"/>
        </w:rPr>
      </w:pPr>
      <w:bookmarkStart w:id="55" w:name="_Toc5549"/>
      <w:bookmarkStart w:id="56" w:name="_Toc2050"/>
      <w:bookmarkStart w:id="57" w:name="_Toc21224"/>
      <w:bookmarkStart w:id="58" w:name="_Toc356"/>
      <w:bookmarkStart w:id="59" w:name="_Toc16913"/>
      <w:bookmarkStart w:id="60" w:name="_Toc7986"/>
      <w:bookmarkStart w:id="61" w:name="_Toc26894"/>
      <w:bookmarkStart w:id="62" w:name="_Toc31202"/>
      <w:bookmarkStart w:id="63" w:name="_Toc26398"/>
      <w:bookmarkStart w:id="64" w:name="_Toc13569"/>
      <w:bookmarkStart w:id="65" w:name="_Toc11991"/>
      <w:r>
        <w:rPr>
          <w:rFonts w:hint="eastAsia" w:ascii="宋体" w:hAnsi="宋体"/>
          <w:b/>
          <w:color w:val="auto"/>
          <w:highlight w:val="none"/>
        </w:rPr>
        <w:t>3.比选申请人资格要求</w:t>
      </w:r>
      <w:bookmarkEnd w:id="55"/>
      <w:bookmarkEnd w:id="56"/>
      <w:bookmarkEnd w:id="57"/>
      <w:bookmarkEnd w:id="58"/>
      <w:bookmarkEnd w:id="59"/>
      <w:bookmarkEnd w:id="60"/>
      <w:bookmarkEnd w:id="61"/>
      <w:bookmarkEnd w:id="62"/>
      <w:bookmarkEnd w:id="63"/>
      <w:bookmarkEnd w:id="64"/>
      <w:bookmarkEnd w:id="65"/>
    </w:p>
    <w:p>
      <w:pPr>
        <w:spacing w:before="0" w:after="0" w:afterAutospacing="0" w:line="480" w:lineRule="auto"/>
        <w:ind w:left="0" w:right="0" w:firstLine="420" w:firstLineChars="200"/>
        <w:rPr>
          <w:rFonts w:hint="eastAsia" w:ascii="宋体" w:hAnsi="宋体" w:cs="宋体"/>
          <w:szCs w:val="24"/>
          <w:highlight w:val="none"/>
        </w:rPr>
      </w:pPr>
      <w:r>
        <w:rPr>
          <w:rFonts w:hint="eastAsia" w:ascii="宋体" w:hAnsi="宋体"/>
          <w:color w:val="auto"/>
          <w:highlight w:val="none"/>
        </w:rPr>
        <w:t>3.1</w:t>
      </w:r>
      <w:r>
        <w:rPr>
          <w:rFonts w:hint="eastAsia" w:ascii="宋体" w:hAnsi="宋体"/>
          <w:highlight w:val="none"/>
        </w:rPr>
        <w:t>比选申请人</w:t>
      </w:r>
      <w:r>
        <w:rPr>
          <w:szCs w:val="21"/>
          <w:highlight w:val="none"/>
        </w:rPr>
        <w:t>为中华人民共和国境内依法设立的法人或其他组织</w:t>
      </w:r>
      <w:r>
        <w:rPr>
          <w:rFonts w:hint="eastAsia" w:ascii="宋体" w:hAnsi="宋体"/>
          <w:highlight w:val="none"/>
        </w:rPr>
        <w:t>；（若以分公司名义参与比选申请，必须出具总公司授权参与的证明）</w:t>
      </w:r>
      <w:r>
        <w:rPr>
          <w:rFonts w:hint="eastAsia" w:ascii="宋体" w:hAnsi="宋体" w:cs="宋体"/>
          <w:szCs w:val="24"/>
          <w:highlight w:val="none"/>
        </w:rPr>
        <w:t>。</w:t>
      </w:r>
    </w:p>
    <w:p>
      <w:pPr>
        <w:spacing w:before="0" w:after="0" w:afterAutospacing="0" w:line="480" w:lineRule="auto"/>
        <w:ind w:left="0" w:right="0" w:firstLine="420" w:firstLineChars="200"/>
        <w:rPr>
          <w:rFonts w:hint="default" w:eastAsia="宋体"/>
          <w:lang w:val="en-US" w:eastAsia="zh-CN"/>
        </w:rPr>
      </w:pPr>
      <w:r>
        <w:rPr>
          <w:rFonts w:hint="eastAsia" w:ascii="宋体" w:hAnsi="宋体" w:cs="宋体"/>
          <w:szCs w:val="24"/>
          <w:highlight w:val="none"/>
          <w:lang w:val="en-US" w:eastAsia="zh-CN"/>
        </w:rPr>
        <w:t xml:space="preserve">3.2 </w:t>
      </w:r>
      <w:r>
        <w:rPr>
          <w:rFonts w:hint="eastAsia" w:ascii="宋体" w:hAnsi="宋体" w:cs="宋体"/>
          <w:color w:val="auto"/>
          <w:szCs w:val="24"/>
          <w:highlight w:val="none"/>
          <w:lang w:val="en-US" w:eastAsia="zh-CN"/>
        </w:rPr>
        <w:t>业务范围：包括以下内容之一：</w:t>
      </w:r>
      <w:r>
        <w:rPr>
          <w:rFonts w:hint="eastAsia" w:ascii="宋体" w:hAnsi="宋体"/>
          <w:color w:val="auto"/>
          <w:highlight w:val="none"/>
          <w:lang w:eastAsia="zh-CN"/>
        </w:rPr>
        <w:t>计算机领域的技术开发、技术转让、技术咨询和技术服务</w:t>
      </w:r>
      <w:r>
        <w:rPr>
          <w:rFonts w:hint="eastAsia" w:ascii="宋体" w:hAnsi="宋体"/>
          <w:color w:val="auto"/>
          <w:highlight w:val="none"/>
          <w:lang w:val="en-US" w:eastAsia="zh-CN"/>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3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highlight w:val="none"/>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本项目不接受联合体比选申请。</w:t>
      </w:r>
    </w:p>
    <w:p>
      <w:pPr>
        <w:spacing w:before="0" w:after="0" w:afterAutospacing="0" w:line="480" w:lineRule="auto"/>
        <w:ind w:left="707" w:leftChars="200" w:right="0" w:hanging="287" w:hangingChars="136"/>
        <w:outlineLvl w:val="1"/>
        <w:rPr>
          <w:rFonts w:ascii="宋体" w:hAnsi="宋体"/>
          <w:b/>
          <w:color w:val="000000" w:themeColor="text1"/>
          <w:highlight w:val="none"/>
          <w14:textFill>
            <w14:solidFill>
              <w14:schemeClr w14:val="tx1"/>
            </w14:solidFill>
          </w14:textFill>
        </w:rPr>
      </w:pPr>
      <w:bookmarkStart w:id="66" w:name="_Toc13861"/>
      <w:bookmarkStart w:id="67" w:name="_Toc31178"/>
      <w:bookmarkStart w:id="68" w:name="_Toc25486"/>
      <w:bookmarkStart w:id="69" w:name="_Toc25386"/>
      <w:bookmarkStart w:id="70" w:name="_Toc3578"/>
      <w:bookmarkStart w:id="71" w:name="_Toc8530"/>
      <w:bookmarkStart w:id="72" w:name="_Toc16599"/>
      <w:bookmarkStart w:id="73" w:name="_Toc24187"/>
      <w:bookmarkStart w:id="74" w:name="_Toc10765"/>
      <w:bookmarkStart w:id="75" w:name="_Toc21221"/>
      <w:bookmarkStart w:id="76" w:name="_Toc15248"/>
      <w:r>
        <w:rPr>
          <w:rFonts w:hint="eastAsia" w:ascii="宋体" w:hAnsi="宋体"/>
          <w:b/>
          <w:color w:val="000000" w:themeColor="text1"/>
          <w:highlight w:val="none"/>
          <w14:textFill>
            <w14:solidFill>
              <w14:schemeClr w14:val="tx1"/>
            </w14:solidFill>
          </w14:textFill>
        </w:rPr>
        <w:t>4.资格审查方式</w:t>
      </w:r>
      <w:bookmarkEnd w:id="66"/>
      <w:bookmarkEnd w:id="67"/>
      <w:bookmarkEnd w:id="68"/>
      <w:bookmarkEnd w:id="69"/>
      <w:bookmarkEnd w:id="70"/>
      <w:bookmarkEnd w:id="71"/>
      <w:bookmarkEnd w:id="72"/>
      <w:bookmarkEnd w:id="73"/>
      <w:bookmarkEnd w:id="74"/>
      <w:bookmarkEnd w:id="75"/>
      <w:bookmarkEnd w:id="76"/>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本项目对比选申请人的资格审查采用资格后审方式，只有资格审查合格的比选申请人才有可能被授予合同。</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77" w:name="_Toc4497"/>
      <w:bookmarkStart w:id="78" w:name="_Toc9591"/>
      <w:bookmarkStart w:id="79" w:name="_Toc9865"/>
      <w:bookmarkStart w:id="80" w:name="_Toc29484"/>
      <w:bookmarkStart w:id="81" w:name="_Toc14139"/>
      <w:bookmarkStart w:id="82" w:name="_Toc24075"/>
      <w:bookmarkStart w:id="83" w:name="_Toc14869"/>
      <w:bookmarkStart w:id="84" w:name="_Toc3962"/>
      <w:bookmarkStart w:id="85" w:name="_Toc20786"/>
      <w:bookmarkStart w:id="86" w:name="_Toc9777"/>
      <w:bookmarkStart w:id="87" w:name="_Toc2939"/>
      <w:r>
        <w:rPr>
          <w:rFonts w:hint="eastAsia" w:ascii="宋体" w:hAnsi="宋体"/>
          <w:b/>
          <w:color w:val="000000" w:themeColor="text1"/>
          <w:highlight w:val="none"/>
          <w14:textFill>
            <w14:solidFill>
              <w14:schemeClr w14:val="tx1"/>
            </w14:solidFill>
          </w14:textFill>
        </w:rPr>
        <w:t>5.比选文件的获取</w:t>
      </w:r>
      <w:bookmarkEnd w:id="77"/>
      <w:bookmarkEnd w:id="78"/>
      <w:bookmarkEnd w:id="79"/>
      <w:bookmarkEnd w:id="80"/>
      <w:bookmarkEnd w:id="81"/>
      <w:bookmarkEnd w:id="82"/>
      <w:bookmarkEnd w:id="83"/>
      <w:bookmarkEnd w:id="84"/>
      <w:bookmarkEnd w:id="85"/>
      <w:bookmarkEnd w:id="86"/>
      <w:bookmarkEnd w:id="87"/>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5.1比选文件获取：</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本项目不发放纸质文件，请各比选申请人自行网上下载。下载网址：南宁轨道交通集团有限责任公司官网(http://www.nngdjt.com)、中国e车网(http://www.ecrrc.com)。</w:t>
      </w:r>
    </w:p>
    <w:p>
      <w:pPr>
        <w:spacing w:before="0" w:after="0" w:afterAutospacing="0" w:line="48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88" w:name="_Toc20985"/>
      <w:bookmarkStart w:id="89" w:name="_Toc29936"/>
      <w:bookmarkStart w:id="90" w:name="_Toc27626"/>
      <w:bookmarkStart w:id="91" w:name="_Toc29527"/>
      <w:bookmarkStart w:id="92" w:name="_Toc20677"/>
      <w:bookmarkStart w:id="93" w:name="_Toc10882"/>
      <w:bookmarkStart w:id="94" w:name="_Toc22307"/>
      <w:bookmarkStart w:id="95" w:name="_Toc11436"/>
      <w:bookmarkStart w:id="96" w:name="_Toc28256"/>
      <w:bookmarkStart w:id="97" w:name="_Toc9503"/>
      <w:bookmarkStart w:id="98" w:name="_Toc4253"/>
      <w:r>
        <w:rPr>
          <w:rFonts w:hint="eastAsia" w:ascii="宋体" w:hAnsi="宋体"/>
          <w:b/>
          <w:color w:val="000000" w:themeColor="text1"/>
          <w:highlight w:val="none"/>
          <w14:textFill>
            <w14:solidFill>
              <w14:schemeClr w14:val="tx1"/>
            </w14:solidFill>
          </w14:textFill>
        </w:rPr>
        <w:t>6.</w:t>
      </w:r>
      <w:r>
        <w:rPr>
          <w:rFonts w:ascii="宋体" w:hAnsi="宋体"/>
          <w:b/>
          <w:color w:val="000000" w:themeColor="text1"/>
          <w:highlight w:val="none"/>
          <w14:textFill>
            <w14:solidFill>
              <w14:schemeClr w14:val="tx1"/>
            </w14:solidFill>
          </w14:textFill>
        </w:rPr>
        <w:t>比选申请截止时间</w:t>
      </w:r>
      <w:r>
        <w:rPr>
          <w:rFonts w:hint="eastAsia" w:ascii="宋体" w:hAnsi="宋体"/>
          <w:b/>
          <w:color w:val="000000" w:themeColor="text1"/>
          <w:highlight w:val="none"/>
          <w14:textFill>
            <w14:solidFill>
              <w14:schemeClr w14:val="tx1"/>
            </w14:solidFill>
          </w14:textFill>
        </w:rPr>
        <w:t>和</w:t>
      </w:r>
      <w:r>
        <w:rPr>
          <w:rFonts w:ascii="宋体" w:hAnsi="宋体"/>
          <w:b/>
          <w:color w:val="000000" w:themeColor="text1"/>
          <w:highlight w:val="none"/>
          <w14:textFill>
            <w14:solidFill>
              <w14:schemeClr w14:val="tx1"/>
            </w14:solidFill>
          </w14:textFill>
        </w:rPr>
        <w:t>地点</w:t>
      </w:r>
      <w:bookmarkEnd w:id="88"/>
      <w:bookmarkEnd w:id="89"/>
      <w:bookmarkEnd w:id="90"/>
      <w:bookmarkEnd w:id="91"/>
      <w:bookmarkEnd w:id="92"/>
      <w:bookmarkEnd w:id="93"/>
      <w:bookmarkEnd w:id="94"/>
      <w:bookmarkEnd w:id="95"/>
      <w:bookmarkEnd w:id="96"/>
      <w:bookmarkEnd w:id="97"/>
      <w:bookmarkEnd w:id="98"/>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6.1比选申请文件须密封后于</w:t>
      </w:r>
      <w:r>
        <w:rPr>
          <w:rFonts w:ascii="宋体" w:hAnsi="宋体"/>
          <w:color w:val="000000" w:themeColor="text1"/>
          <w:highlight w:val="none"/>
          <w:u w:val="single"/>
          <w14:textFill>
            <w14:solidFill>
              <w14:schemeClr w14:val="tx1"/>
            </w14:solidFill>
          </w14:textFill>
        </w:rPr>
        <w:t>202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12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14</w:t>
      </w:r>
      <w:r>
        <w:rPr>
          <w:rFonts w:hint="eastAsia" w:ascii="宋体" w:hAnsi="宋体"/>
          <w:color w:val="auto"/>
          <w:highlight w:val="none"/>
          <w:u w:val="single"/>
        </w:rPr>
        <w:t xml:space="preserve"> </w:t>
      </w:r>
      <w:r>
        <w:rPr>
          <w:rFonts w:hint="eastAsia" w:ascii="宋体" w:hAnsi="宋体"/>
          <w:color w:val="000000" w:themeColor="text1"/>
          <w:highlight w:val="none"/>
          <w14:textFill>
            <w14:solidFill>
              <w14:schemeClr w14:val="tx1"/>
            </w14:solidFill>
          </w14:textFill>
        </w:rPr>
        <w:t>日08</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30</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9</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00（北京时间）递交，递交地点在广西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屯里车辆段综合楼</w:t>
      </w:r>
      <w:r>
        <w:rPr>
          <w:rFonts w:hint="eastAsia" w:ascii="宋体" w:hAnsi="宋体" w:eastAsia="宋体" w:cs="Times New Roman"/>
          <w:color w:val="000000"/>
          <w:kern w:val="0"/>
          <w:szCs w:val="21"/>
          <w:highlight w:val="none"/>
          <w:u w:val="single"/>
        </w:rPr>
        <w:t xml:space="preserve"> </w:t>
      </w:r>
      <w:r>
        <w:rPr>
          <w:rFonts w:hint="eastAsia" w:ascii="宋体" w:hAnsi="宋体" w:cs="Times New Roman"/>
          <w:color w:val="000000"/>
          <w:kern w:val="0"/>
          <w:szCs w:val="21"/>
          <w:highlight w:val="none"/>
          <w:u w:val="single"/>
          <w:lang w:val="en-US" w:eastAsia="zh-CN"/>
        </w:rPr>
        <w:t xml:space="preserve"> 202 </w:t>
      </w:r>
      <w:r>
        <w:rPr>
          <w:rFonts w:hint="eastAsia" w:ascii="宋体" w:hAnsi="宋体" w:eastAsia="宋体" w:cs="Times New Roman"/>
          <w:color w:val="000000"/>
          <w:kern w:val="0"/>
          <w:szCs w:val="21"/>
          <w:highlight w:val="none"/>
          <w:u w:val="single"/>
        </w:rPr>
        <w:t xml:space="preserve"> 室</w:t>
      </w:r>
      <w:r>
        <w:rPr>
          <w:rFonts w:hint="eastAsia" w:ascii="宋体" w:hAnsi="宋体" w:eastAsia="宋体" w:cs="Times New Roman"/>
          <w:color w:val="000000"/>
          <w:kern w:val="0"/>
          <w:szCs w:val="21"/>
          <w:highlight w:val="none"/>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6.2逾期送达的或者未送达指定地点</w:t>
      </w:r>
      <w:r>
        <w:rPr>
          <w:rFonts w:hint="eastAsia" w:ascii="宋体" w:hAnsi="宋体"/>
          <w:color w:val="000000" w:themeColor="text1"/>
          <w:highlight w:val="none"/>
          <w14:textFill>
            <w14:solidFill>
              <w14:schemeClr w14:val="tx1"/>
            </w14:solidFill>
          </w14:textFill>
        </w:rPr>
        <w:t>或者</w:t>
      </w:r>
      <w:r>
        <w:rPr>
          <w:rFonts w:ascii="宋体" w:hAnsi="宋体"/>
          <w:color w:val="000000" w:themeColor="text1"/>
          <w:highlight w:val="none"/>
          <w14:textFill>
            <w14:solidFill>
              <w14:schemeClr w14:val="tx1"/>
            </w14:solidFill>
          </w14:textFill>
        </w:rPr>
        <w:t>未按</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文件要求密封的</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文件将被拒绝</w:t>
      </w:r>
      <w:r>
        <w:rPr>
          <w:rFonts w:hint="eastAsia" w:ascii="宋体" w:hAnsi="宋体"/>
          <w:color w:val="000000" w:themeColor="text1"/>
          <w:highlight w:val="none"/>
          <w14:textFill>
            <w14:solidFill>
              <w14:schemeClr w14:val="tx1"/>
            </w14:solidFill>
          </w14:textFill>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6.3请比选申请人法定代表人或其授权代表携法人委托书原件准时参加。</w:t>
      </w:r>
      <w:r>
        <w:rPr>
          <w:rFonts w:ascii="宋体" w:hAnsi="宋体"/>
          <w:color w:val="000000" w:themeColor="text1"/>
          <w:highlight w:val="none"/>
          <w14:textFill>
            <w14:solidFill>
              <w14:schemeClr w14:val="tx1"/>
            </w14:solidFill>
          </w14:textFill>
        </w:rPr>
        <w:t>比选申请文件必须由</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法定代表人或其授权代表递交，否则比选人不予受理。</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99" w:name="_Toc1223"/>
      <w:bookmarkStart w:id="100" w:name="_Toc21052"/>
      <w:bookmarkStart w:id="101" w:name="_Toc32678"/>
      <w:bookmarkStart w:id="102" w:name="_Toc25568"/>
      <w:bookmarkStart w:id="103" w:name="_Toc4464"/>
      <w:bookmarkStart w:id="104" w:name="_Toc12103"/>
      <w:bookmarkStart w:id="105" w:name="_Toc10349"/>
      <w:bookmarkStart w:id="106" w:name="_Toc16203"/>
      <w:bookmarkStart w:id="107" w:name="_Toc16005"/>
      <w:bookmarkStart w:id="108" w:name="_Toc156"/>
      <w:bookmarkStart w:id="109" w:name="_Toc18405"/>
      <w:r>
        <w:rPr>
          <w:rFonts w:hint="eastAsia" w:ascii="宋体" w:hAnsi="宋体"/>
          <w:b/>
          <w:color w:val="000000" w:themeColor="text1"/>
          <w:highlight w:val="none"/>
          <w14:textFill>
            <w14:solidFill>
              <w14:schemeClr w14:val="tx1"/>
            </w14:solidFill>
          </w14:textFill>
        </w:rPr>
        <w:t>7.发布公告的媒介</w:t>
      </w:r>
      <w:bookmarkEnd w:id="99"/>
      <w:bookmarkEnd w:id="100"/>
      <w:bookmarkEnd w:id="101"/>
      <w:bookmarkEnd w:id="102"/>
      <w:bookmarkEnd w:id="103"/>
      <w:bookmarkEnd w:id="104"/>
      <w:bookmarkEnd w:id="105"/>
      <w:bookmarkEnd w:id="106"/>
      <w:bookmarkEnd w:id="107"/>
      <w:bookmarkEnd w:id="108"/>
      <w:bookmarkEnd w:id="109"/>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本次比选公告同时在南宁轨道交通集团有限责任公司官网(http://www.nngdjt.com)、中国e车网(http://www.ecrrc.com)发布。</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110" w:name="_Toc5296"/>
      <w:bookmarkStart w:id="111" w:name="_Toc24549"/>
      <w:bookmarkStart w:id="112" w:name="_Toc3676"/>
      <w:bookmarkStart w:id="113" w:name="_Toc25785"/>
      <w:bookmarkStart w:id="114" w:name="_Toc30827"/>
      <w:bookmarkStart w:id="115" w:name="_Toc24316"/>
      <w:bookmarkStart w:id="116" w:name="_Toc16453"/>
      <w:bookmarkStart w:id="117" w:name="_Toc3648"/>
      <w:bookmarkStart w:id="118" w:name="_Toc242"/>
      <w:bookmarkStart w:id="119" w:name="_Toc26798"/>
      <w:bookmarkStart w:id="120" w:name="_Toc28234"/>
      <w:r>
        <w:rPr>
          <w:rFonts w:hint="eastAsia" w:ascii="宋体" w:hAnsi="宋体"/>
          <w:b/>
          <w:color w:val="000000" w:themeColor="text1"/>
          <w:highlight w:val="none"/>
          <w14:textFill>
            <w14:solidFill>
              <w14:schemeClr w14:val="tx1"/>
            </w14:solidFill>
          </w14:textFill>
        </w:rPr>
        <w:t>8.联系方式</w:t>
      </w:r>
      <w:bookmarkEnd w:id="110"/>
      <w:bookmarkEnd w:id="111"/>
      <w:bookmarkEnd w:id="112"/>
      <w:bookmarkEnd w:id="113"/>
      <w:bookmarkEnd w:id="114"/>
      <w:bookmarkEnd w:id="115"/>
      <w:bookmarkEnd w:id="116"/>
      <w:bookmarkEnd w:id="117"/>
      <w:bookmarkEnd w:id="118"/>
      <w:bookmarkEnd w:id="119"/>
      <w:bookmarkEnd w:id="120"/>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 选 人：南宁轨道交通</w:t>
      </w:r>
      <w:r>
        <w:rPr>
          <w:rFonts w:hint="eastAsia" w:ascii="宋体" w:hAnsi="宋体"/>
          <w:color w:val="000000" w:themeColor="text1"/>
          <w:highlight w:val="none"/>
          <w:lang w:val="en-US" w:eastAsia="zh-CN"/>
          <w14:textFill>
            <w14:solidFill>
              <w14:schemeClr w14:val="tx1"/>
            </w14:solidFill>
          </w14:textFill>
        </w:rPr>
        <w:t>运营</w:t>
      </w:r>
      <w:r>
        <w:rPr>
          <w:rFonts w:hint="eastAsia" w:ascii="宋体" w:hAnsi="宋体"/>
          <w:color w:val="000000" w:themeColor="text1"/>
          <w:highlight w:val="none"/>
          <w14:textFill>
            <w14:solidFill>
              <w14:schemeClr w14:val="tx1"/>
            </w14:solidFill>
          </w14:textFill>
        </w:rPr>
        <w:t xml:space="preserve">有限公司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 xml:space="preserve">号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邮    编：530022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人：</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蓝</w:t>
      </w:r>
      <w:r>
        <w:rPr>
          <w:rFonts w:hint="eastAsia" w:ascii="宋体" w:hAnsi="宋体"/>
          <w:color w:val="auto"/>
          <w:highlight w:val="none"/>
          <w:u w:val="single"/>
        </w:rPr>
        <w:t xml:space="preserve">工 </w:t>
      </w:r>
      <w:r>
        <w:rPr>
          <w:rFonts w:hint="eastAsia" w:ascii="宋体" w:hAnsi="宋体"/>
          <w:color w:val="auto"/>
          <w:highlight w:val="none"/>
          <w:u w:val="single"/>
          <w:lang w:val="en-US" w:eastAsia="zh-CN"/>
        </w:rPr>
        <w:t>李</w:t>
      </w:r>
      <w:r>
        <w:rPr>
          <w:rFonts w:hint="eastAsia" w:ascii="宋体" w:hAnsi="宋体"/>
          <w:color w:val="auto"/>
          <w:highlight w:val="none"/>
          <w:u w:val="single"/>
        </w:rPr>
        <w:t xml:space="preserve">工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0771-2778</w:t>
      </w:r>
      <w:r>
        <w:rPr>
          <w:rFonts w:hint="eastAsia" w:ascii="宋体" w:hAnsi="宋体"/>
          <w:color w:val="000000" w:themeColor="text1"/>
          <w:highlight w:val="none"/>
          <w:u w:val="single"/>
          <w:lang w:val="en-US" w:eastAsia="zh-CN"/>
          <w14:textFill>
            <w14:solidFill>
              <w14:schemeClr w14:val="tx1"/>
            </w14:solidFill>
          </w14:textFill>
        </w:rPr>
        <w:t>116</w:t>
      </w:r>
      <w:r>
        <w:rPr>
          <w:rFonts w:hint="eastAsia" w:ascii="宋体" w:hAnsi="宋体"/>
          <w:color w:val="000000" w:themeColor="text1"/>
          <w:highlight w:val="none"/>
          <w:u w:val="single"/>
          <w14:textFill>
            <w14:solidFill>
              <w14:schemeClr w14:val="tx1"/>
            </w14:solidFill>
          </w14:textFill>
        </w:rPr>
        <w:t xml:space="preserve"> 0771-2778</w:t>
      </w:r>
      <w:r>
        <w:rPr>
          <w:rFonts w:hint="eastAsia" w:ascii="宋体" w:hAnsi="宋体"/>
          <w:color w:val="000000" w:themeColor="text1"/>
          <w:highlight w:val="none"/>
          <w:u w:val="single"/>
          <w:lang w:val="en-US" w:eastAsia="zh-CN"/>
          <w14:textFill>
            <w14:solidFill>
              <w14:schemeClr w14:val="tx1"/>
            </w14:solidFill>
          </w14:textFill>
        </w:rPr>
        <w:t>978</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电子邮件</w:t>
      </w:r>
      <w:r>
        <w:rPr>
          <w:rFonts w:hint="eastAsia" w:ascii="宋体" w:hAnsi="宋体"/>
          <w:color w:val="auto"/>
          <w:highlight w:val="none"/>
        </w:rPr>
        <w:t>：</w:t>
      </w:r>
      <w:r>
        <w:rPr>
          <w:color w:val="auto"/>
          <w:highlight w:val="none"/>
        </w:rPr>
        <w:fldChar w:fldCharType="begin"/>
      </w:r>
      <w:r>
        <w:rPr>
          <w:color w:val="auto"/>
          <w:highlight w:val="none"/>
        </w:rPr>
        <w:instrText xml:space="preserve"> HYPERLINK "mailto:1139702019@qq.com" </w:instrText>
      </w:r>
      <w:r>
        <w:rPr>
          <w:color w:val="auto"/>
          <w:highlight w:val="none"/>
        </w:rPr>
        <w:fldChar w:fldCharType="separate"/>
      </w:r>
      <w:r>
        <w:rPr>
          <w:rStyle w:val="32"/>
          <w:rFonts w:hint="eastAsia" w:ascii="宋体" w:hAnsi="宋体"/>
          <w:color w:val="auto"/>
          <w:highlight w:val="none"/>
          <w:lang w:val="en-US" w:eastAsia="zh-CN"/>
        </w:rPr>
        <w:t>664696274</w:t>
      </w:r>
      <w:r>
        <w:rPr>
          <w:rStyle w:val="32"/>
          <w:rFonts w:hint="eastAsia" w:ascii="宋体" w:hAnsi="宋体"/>
          <w:color w:val="auto"/>
          <w:highlight w:val="none"/>
        </w:rPr>
        <w:t>@qq.com</w:t>
      </w:r>
      <w:r>
        <w:rPr>
          <w:rStyle w:val="32"/>
          <w:rFonts w:hint="eastAsia" w:ascii="宋体" w:hAnsi="宋体"/>
          <w:color w:val="auto"/>
          <w:highlight w:val="none"/>
        </w:rPr>
        <w:fldChar w:fldCharType="end"/>
      </w:r>
      <w:r>
        <w:rPr>
          <w:rFonts w:hint="eastAsia" w:ascii="宋体" w:hAnsi="宋体"/>
          <w:color w:val="auto"/>
          <w:highlight w:val="none"/>
          <w:u w:val="single"/>
        </w:rPr>
        <w:t xml:space="preserve">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default" w:ascii="宋体" w:hAnsi="宋体" w:eastAsia="宋体"/>
          <w:color w:val="000000" w:themeColor="text1"/>
          <w:highlight w:val="none"/>
          <w:u w:val="single"/>
          <w:lang w:val="en-US" w:eastAsia="zh-CN"/>
          <w14:textFill>
            <w14:solidFill>
              <w14:schemeClr w14:val="tx1"/>
            </w14:solidFill>
          </w14:textFill>
        </w:rPr>
      </w:pPr>
      <w:r>
        <w:rPr>
          <w:rFonts w:hint="eastAsia" w:ascii="宋体" w:hAnsi="宋体"/>
          <w:color w:val="000000" w:themeColor="text1"/>
          <w:highlight w:val="none"/>
          <w:u w:val="single"/>
          <w:lang w:val="en-US" w:eastAsia="zh-CN"/>
          <w14:textFill>
            <w14:solidFill>
              <w14:schemeClr w14:val="tx1"/>
            </w14:solidFill>
          </w14:textFill>
        </w:rPr>
        <w:t>纪检监察室（举报电话）：0771-2778084</w:t>
      </w:r>
    </w:p>
    <w:p>
      <w:pPr>
        <w:spacing w:before="0" w:after="120" w:line="432" w:lineRule="auto"/>
        <w:ind w:left="431" w:right="-57" w:firstLine="198"/>
        <w:rPr>
          <w:rFonts w:ascii="宋体" w:hAnsi="宋体"/>
          <w:color w:val="000000" w:themeColor="text1"/>
          <w:highlight w:val="none"/>
          <w14:textFill>
            <w14:solidFill>
              <w14:schemeClr w14:val="tx1"/>
            </w14:solidFill>
          </w14:textFill>
        </w:rPr>
      </w:pPr>
    </w:p>
    <w:p>
      <w:pPr>
        <w:spacing w:before="0" w:after="120" w:line="380" w:lineRule="exact"/>
        <w:ind w:left="430" w:right="-57" w:firstLine="200"/>
        <w:rPr>
          <w:rFonts w:ascii="宋体" w:hAnsi="宋体"/>
          <w:color w:val="000000" w:themeColor="text1"/>
          <w:highlight w:val="none"/>
          <w14:textFill>
            <w14:solidFill>
              <w14:schemeClr w14:val="tx1"/>
            </w14:solidFill>
          </w14:textFill>
        </w:rPr>
      </w:pP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21" w:name="_Toc322528192"/>
      <w:bookmarkEnd w:id="121"/>
      <w:bookmarkStart w:id="122" w:name="_Toc512357502"/>
      <w:bookmarkStart w:id="123" w:name="_Toc22273"/>
      <w:bookmarkStart w:id="124" w:name="_Toc20201"/>
      <w:bookmarkStart w:id="125" w:name="_Toc22739"/>
      <w:bookmarkStart w:id="126" w:name="_Toc18033"/>
      <w:bookmarkStart w:id="127" w:name="_Toc29836"/>
      <w:bookmarkStart w:id="128" w:name="_Toc17240"/>
      <w:bookmarkStart w:id="129" w:name="_Toc15306"/>
      <w:bookmarkStart w:id="130" w:name="_Toc12635"/>
      <w:bookmarkStart w:id="131" w:name="_Toc15976"/>
      <w:bookmarkStart w:id="132" w:name="_Toc24390"/>
      <w:bookmarkStart w:id="133" w:name="_Toc21830"/>
      <w:bookmarkStart w:id="134" w:name="_Toc30883"/>
      <w:bookmarkStart w:id="135" w:name="_Toc11108"/>
      <w:bookmarkStart w:id="136" w:name="_Toc7289"/>
      <w:bookmarkStart w:id="137" w:name="_Toc3495"/>
      <w:bookmarkStart w:id="138" w:name="_Toc17865"/>
      <w:bookmarkStart w:id="139" w:name="_Toc24972"/>
      <w:bookmarkStart w:id="140" w:name="_Toc1230"/>
      <w:bookmarkStart w:id="141" w:name="_Toc18454"/>
      <w:bookmarkStart w:id="142" w:name="_Toc30950"/>
      <w:bookmarkStart w:id="143" w:name="_Toc30725"/>
      <w:bookmarkStart w:id="144" w:name="_Toc17735"/>
      <w:bookmarkStart w:id="145" w:name="_Toc17594"/>
      <w:bookmarkStart w:id="146" w:name="_Toc8189"/>
      <w:bookmarkStart w:id="147" w:name="_Toc20913"/>
      <w:bookmarkStart w:id="148" w:name="_Toc13280"/>
      <w:bookmarkStart w:id="149" w:name="_Toc4600"/>
      <w:bookmarkStart w:id="150" w:name="_Toc18915"/>
      <w:r>
        <w:rPr>
          <w:rStyle w:val="40"/>
          <w:rFonts w:hint="eastAsia" w:ascii="宋体" w:hAnsi="宋体" w:eastAsia="宋体"/>
          <w:color w:val="000000" w:themeColor="text1"/>
          <w:highlight w:val="none"/>
          <w14:textFill>
            <w14:solidFill>
              <w14:schemeClr w14:val="tx1"/>
            </w14:solidFill>
          </w14:textFill>
        </w:rPr>
        <w:t>第二章</w:t>
      </w:r>
      <w:bookmarkEnd w:id="122"/>
      <w:r>
        <w:rPr>
          <w:rStyle w:val="40"/>
          <w:rFonts w:hint="eastAsia" w:ascii="宋体" w:hAnsi="宋体" w:eastAsia="宋体"/>
          <w:color w:val="000000" w:themeColor="text1"/>
          <w:highlight w:val="none"/>
          <w14:textFill>
            <w14:solidFill>
              <w14:schemeClr w14:val="tx1"/>
            </w14:solidFill>
          </w14:textFill>
        </w:rPr>
        <w:t>比选申请须知</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13"/>
        <w:spacing w:before="0" w:after="0"/>
        <w:ind w:right="0" w:firstLine="0"/>
        <w:jc w:val="center"/>
        <w:outlineLvl w:val="1"/>
        <w:rPr>
          <w:rFonts w:hAnsi="宋体"/>
          <w:b/>
          <w:color w:val="000000" w:themeColor="text1"/>
          <w:sz w:val="30"/>
          <w:szCs w:val="30"/>
          <w:highlight w:val="none"/>
          <w14:textFill>
            <w14:solidFill>
              <w14:schemeClr w14:val="tx1"/>
            </w14:solidFill>
          </w14:textFill>
        </w:rPr>
      </w:pPr>
      <w:bookmarkStart w:id="151" w:name="_Toc6272"/>
      <w:bookmarkStart w:id="152" w:name="_Toc30925"/>
      <w:bookmarkStart w:id="153" w:name="_Toc30733"/>
      <w:bookmarkStart w:id="154" w:name="_Toc21201"/>
      <w:bookmarkStart w:id="155" w:name="_Toc18288"/>
      <w:bookmarkStart w:id="156" w:name="_Toc7553"/>
      <w:bookmarkStart w:id="157" w:name="_Toc29040"/>
      <w:bookmarkStart w:id="158" w:name="_Toc24821"/>
      <w:bookmarkStart w:id="159" w:name="_Toc17119"/>
      <w:bookmarkStart w:id="160" w:name="_Toc31999"/>
      <w:bookmarkStart w:id="161" w:name="_Toc29847"/>
      <w:r>
        <w:rPr>
          <w:rFonts w:hint="eastAsia" w:hAnsi="宋体"/>
          <w:b/>
          <w:color w:val="000000" w:themeColor="text1"/>
          <w:sz w:val="30"/>
          <w:szCs w:val="30"/>
          <w:highlight w:val="none"/>
          <w14:textFill>
            <w14:solidFill>
              <w14:schemeClr w14:val="tx1"/>
            </w14:solidFill>
          </w14:textFill>
        </w:rPr>
        <w:t>比选申请须知前附表</w:t>
      </w:r>
      <w:bookmarkEnd w:id="151"/>
      <w:bookmarkEnd w:id="152"/>
      <w:bookmarkEnd w:id="153"/>
      <w:bookmarkEnd w:id="154"/>
      <w:bookmarkEnd w:id="155"/>
      <w:bookmarkEnd w:id="156"/>
      <w:bookmarkEnd w:id="157"/>
      <w:bookmarkEnd w:id="158"/>
      <w:bookmarkEnd w:id="159"/>
      <w:bookmarkEnd w:id="160"/>
      <w:bookmarkEnd w:id="161"/>
    </w:p>
    <w:tbl>
      <w:tblPr>
        <w:tblStyle w:val="27"/>
        <w:tblW w:w="9117" w:type="dxa"/>
        <w:tblInd w:w="112" w:type="dxa"/>
        <w:tblLayout w:type="fixed"/>
        <w:tblCellMar>
          <w:top w:w="0" w:type="dxa"/>
          <w:left w:w="108" w:type="dxa"/>
          <w:bottom w:w="0" w:type="dxa"/>
          <w:right w:w="108" w:type="dxa"/>
        </w:tblCellMar>
      </w:tblPr>
      <w:tblGrid>
        <w:gridCol w:w="847"/>
        <w:gridCol w:w="1559"/>
        <w:gridCol w:w="6711"/>
      </w:tblGrid>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名称：南宁轨道</w:t>
            </w:r>
            <w:r>
              <w:rPr>
                <w:rFonts w:hint="eastAsia" w:ascii="宋体" w:hAnsi="宋体"/>
                <w:color w:val="000000" w:themeColor="text1"/>
                <w:highlight w:val="none"/>
                <w:lang w:val="en-US" w:eastAsia="zh-CN"/>
                <w14:textFill>
                  <w14:solidFill>
                    <w14:schemeClr w14:val="tx1"/>
                  </w14:solidFill>
                </w14:textFill>
              </w:rPr>
              <w:t>交通运营</w:t>
            </w:r>
            <w:r>
              <w:rPr>
                <w:rFonts w:hint="eastAsia" w:ascii="宋体" w:hAnsi="宋体"/>
                <w:color w:val="000000" w:themeColor="text1"/>
                <w:highlight w:val="none"/>
                <w14:textFill>
                  <w14:solidFill>
                    <w14:schemeClr w14:val="tx1"/>
                  </w14:solidFill>
                </w14:textFill>
              </w:rPr>
              <w:t>有限公司</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号</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联系人：</w:t>
            </w:r>
            <w:r>
              <w:rPr>
                <w:rFonts w:hint="eastAsia" w:ascii="宋体" w:hAnsi="宋体"/>
                <w:color w:val="000000" w:themeColor="text1"/>
                <w:highlight w:val="none"/>
                <w:lang w:val="en-US" w:eastAsia="zh-CN"/>
                <w14:textFill>
                  <w14:solidFill>
                    <w14:schemeClr w14:val="tx1"/>
                  </w14:solidFill>
                </w14:textFill>
              </w:rPr>
              <w:t>蓝</w:t>
            </w:r>
            <w:r>
              <w:rPr>
                <w:rFonts w:hint="eastAsia" w:ascii="宋体" w:hAnsi="宋体"/>
                <w:color w:val="000000" w:themeColor="text1"/>
                <w:highlight w:val="none"/>
                <w:u w:val="single"/>
                <w14:textFill>
                  <w14:solidFill>
                    <w14:schemeClr w14:val="tx1"/>
                  </w14:solidFill>
                </w14:textFill>
              </w:rPr>
              <w:t xml:space="preserve">工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w:t>
            </w:r>
          </w:p>
          <w:p>
            <w:pPr>
              <w:spacing w:before="0" w:after="0" w:afterAutospacing="0" w:line="360" w:lineRule="exact"/>
              <w:ind w:left="0" w:right="0" w:firstLine="0"/>
              <w:jc w:val="left"/>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宋体" w:hAnsi="宋体"/>
                <w:color w:val="000000" w:themeColor="text1"/>
                <w:highlight w:val="none"/>
                <w:lang w:val="en-US" w:eastAsia="zh-CN"/>
                <w14:textFill>
                  <w14:solidFill>
                    <w14:schemeClr w14:val="tx1"/>
                  </w14:solidFill>
                </w14:textFill>
              </w:rPr>
              <w:t>蓝</w:t>
            </w:r>
            <w:r>
              <w:rPr>
                <w:rFonts w:hint="eastAsia" w:ascii="宋体" w:hAnsi="宋体"/>
                <w:color w:val="000000" w:themeColor="text1"/>
                <w:highlight w:val="none"/>
                <w:u w:val="single"/>
                <w14:textFill>
                  <w14:solidFill>
                    <w14:schemeClr w14:val="tx1"/>
                  </w14:solidFill>
                </w14:textFill>
              </w:rPr>
              <w:t>工0771-2778</w:t>
            </w:r>
            <w:r>
              <w:rPr>
                <w:rFonts w:hint="eastAsia" w:ascii="宋体" w:hAnsi="宋体"/>
                <w:color w:val="000000" w:themeColor="text1"/>
                <w:highlight w:val="none"/>
                <w:u w:val="single"/>
                <w:lang w:val="en-US" w:eastAsia="zh-CN"/>
                <w14:textFill>
                  <w14:solidFill>
                    <w14:schemeClr w14:val="tx1"/>
                  </w14:solidFill>
                </w14:textFill>
              </w:rPr>
              <w:t>116</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工0771-2778</w:t>
            </w:r>
            <w:r>
              <w:rPr>
                <w:rFonts w:hint="eastAsia" w:ascii="宋体" w:hAnsi="宋体"/>
                <w:color w:val="000000" w:themeColor="text1"/>
                <w:highlight w:val="none"/>
                <w:u w:val="single"/>
                <w:lang w:val="en-US" w:eastAsia="zh-CN"/>
                <w14:textFill>
                  <w14:solidFill>
                    <w14:schemeClr w14:val="tx1"/>
                  </w14:solidFill>
                </w14:textFill>
              </w:rPr>
              <w:t>978</w:t>
            </w:r>
          </w:p>
        </w:tc>
      </w:tr>
      <w:tr>
        <w:tblPrEx>
          <w:tblCellMar>
            <w:top w:w="0" w:type="dxa"/>
            <w:left w:w="108" w:type="dxa"/>
            <w:bottom w:w="0" w:type="dxa"/>
            <w:right w:w="108" w:type="dxa"/>
          </w:tblCellMar>
        </w:tblPrEx>
        <w:trPr>
          <w:trHeight w:val="7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single"/>
                <w:lang w:val="en-US" w:eastAsia="zh-CN"/>
              </w:rPr>
              <w:t>运营有限公司线上培训课程与培训管理信息技术服务项目（2022年-2023年）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default" w:ascii="宋体" w:hAnsi="宋体"/>
                <w:color w:val="auto"/>
                <w:highlight w:val="none"/>
                <w:lang w:val="en-US"/>
              </w:rPr>
              <w:t>202208090001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范围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s="宋体"/>
                <w:color w:val="000000" w:themeColor="text1"/>
                <w:szCs w:val="24"/>
                <w:highlight w:val="yellow"/>
                <w14:textFill>
                  <w14:solidFill>
                    <w14:schemeClr w14:val="tx1"/>
                  </w14:solidFill>
                </w14:textFill>
              </w:rPr>
            </w:pPr>
            <w:r>
              <w:rPr>
                <w:rFonts w:hint="eastAsia" w:ascii="宋体" w:hAnsi="宋体"/>
                <w:color w:val="auto"/>
                <w:highlight w:val="none"/>
                <w:lang w:val="en-US" w:eastAsia="zh-CN"/>
              </w:rPr>
              <w:t>线上培训课程和基于钉钉的培训学习平台的采购，具体详见技术需求及数量表。</w:t>
            </w:r>
          </w:p>
        </w:tc>
      </w:tr>
      <w:tr>
        <w:tblPrEx>
          <w:tblCellMar>
            <w:top w:w="0" w:type="dxa"/>
            <w:left w:w="108" w:type="dxa"/>
            <w:bottom w:w="0" w:type="dxa"/>
            <w:right w:w="108" w:type="dxa"/>
          </w:tblCellMar>
        </w:tblPrEx>
        <w:trPr>
          <w:trHeight w:val="8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auto"/>
                <w:highlight w:val="none"/>
                <w:lang w:val="en-US" w:eastAsia="zh-CN"/>
              </w:rPr>
              <w:t>24</w:t>
            </w:r>
            <w:r>
              <w:rPr>
                <w:rFonts w:hint="eastAsia" w:asciiTheme="minorEastAsia" w:hAnsiTheme="minorEastAsia" w:eastAsiaTheme="minorEastAsia" w:cstheme="minorEastAsia"/>
                <w:color w:val="auto"/>
                <w:highlight w:val="none"/>
              </w:rPr>
              <w:t>个月</w:t>
            </w:r>
            <w:r>
              <w:rPr>
                <w:rFonts w:hint="eastAsia" w:ascii="宋体" w:hAnsi="宋体" w:eastAsia="宋体" w:cs="Times New Roman"/>
                <w:color w:val="auto"/>
                <w:highlight w:val="none"/>
                <w:u w:val="none"/>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资金来源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企业自有资金</w:t>
            </w:r>
          </w:p>
        </w:tc>
      </w:tr>
      <w:tr>
        <w:tblPrEx>
          <w:tblCellMar>
            <w:top w:w="0" w:type="dxa"/>
            <w:left w:w="108" w:type="dxa"/>
            <w:bottom w:w="0" w:type="dxa"/>
            <w:right w:w="108" w:type="dxa"/>
          </w:tblCellMar>
        </w:tblPrEx>
        <w:trPr>
          <w:trHeight w:val="1546"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r>
              <w:rPr>
                <w:rFonts w:hint="eastAsia" w:asciiTheme="minorEastAsia" w:hAnsiTheme="minorEastAsia" w:eastAsiaTheme="minorEastAsia" w:cstheme="minorEastAsia"/>
                <w:color w:val="000000" w:themeColor="text1"/>
                <w:highlight w:val="none"/>
                <w14:textFill>
                  <w14:solidFill>
                    <w14:schemeClr w14:val="tx1"/>
                  </w14:solidFill>
                </w14:textFill>
              </w:rPr>
              <w:t>本项目不含税上限控制价为</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auto"/>
                <w:highlight w:val="none"/>
                <w:u w:val="single"/>
                <w:lang w:val="en-US" w:eastAsia="zh-CN"/>
              </w:rPr>
              <w:t xml:space="preserve">714000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元。</w:t>
            </w:r>
            <w:r>
              <w:rPr>
                <w:rFonts w:hint="eastAsia" w:ascii="宋体" w:hAnsi="宋体"/>
                <w:color w:val="000000" w:themeColor="text1"/>
                <w:highlight w:val="none"/>
                <w14:textFill>
                  <w14:solidFill>
                    <w14:schemeClr w14:val="tx1"/>
                  </w14:solidFill>
                </w14:textFill>
              </w:rPr>
              <w:t>比选申请报价高于上限控制价的比选申请文件将按否决比选申请处理。</w:t>
            </w:r>
          </w:p>
        </w:tc>
      </w:tr>
      <w:tr>
        <w:tblPrEx>
          <w:tblCellMar>
            <w:top w:w="0" w:type="dxa"/>
            <w:left w:w="108" w:type="dxa"/>
            <w:bottom w:w="0" w:type="dxa"/>
            <w:right w:w="108" w:type="dxa"/>
          </w:tblCellMar>
        </w:tblPrEx>
        <w:trPr>
          <w:trHeight w:val="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比选申请人应具备的资格条件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480" w:lineRule="auto"/>
              <w:ind w:left="0" w:right="0" w:firstLine="420" w:firstLineChars="20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3.1比选申请人</w:t>
            </w:r>
            <w:r>
              <w:rPr>
                <w:rFonts w:ascii="宋体" w:hAnsi="宋体"/>
                <w:color w:val="000000" w:themeColor="text1"/>
                <w:highlight w:val="none"/>
                <w14:textFill>
                  <w14:solidFill>
                    <w14:schemeClr w14:val="tx1"/>
                  </w14:solidFill>
                </w14:textFill>
              </w:rPr>
              <w:t>为中华人民共和国境内依法设立的法人或其他组织</w:t>
            </w:r>
            <w:r>
              <w:rPr>
                <w:rFonts w:hint="eastAsia" w:ascii="宋体" w:hAnsi="宋体"/>
                <w:color w:val="000000" w:themeColor="text1"/>
                <w:highlight w:val="none"/>
                <w14:textFill>
                  <w14:solidFill>
                    <w14:schemeClr w14:val="tx1"/>
                  </w14:solidFill>
                </w14:textFill>
              </w:rPr>
              <w:t>；（若以分公司名义参与比选申请，必须出具总公司授权参与的证明）。</w:t>
            </w:r>
          </w:p>
          <w:p>
            <w:pPr>
              <w:spacing w:before="0" w:after="0" w:afterAutospacing="0" w:line="480" w:lineRule="auto"/>
              <w:ind w:left="0" w:right="0" w:firstLine="420" w:firstLineChars="200"/>
              <w:jc w:val="left"/>
              <w:rPr>
                <w:rFonts w:hint="default"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3.2 业务范围：包括以下内容之一：</w:t>
            </w:r>
            <w:r>
              <w:rPr>
                <w:rFonts w:hint="eastAsia" w:ascii="宋体" w:hAnsi="宋体"/>
                <w:color w:val="000000" w:themeColor="text1"/>
                <w:highlight w:val="none"/>
                <w:lang w:eastAsia="zh-CN"/>
                <w14:textFill>
                  <w14:solidFill>
                    <w14:schemeClr w14:val="tx1"/>
                  </w14:solidFill>
                </w14:textFill>
              </w:rPr>
              <w:t>计算机领域的技术开发、技术转让、技术咨询和技术服务</w:t>
            </w:r>
            <w:r>
              <w:rPr>
                <w:rFonts w:hint="eastAsia" w:ascii="宋体" w:hAnsi="宋体"/>
                <w:color w:val="000000" w:themeColor="text1"/>
                <w:highlight w:val="none"/>
                <w:lang w:val="en-US" w:eastAsia="zh-CN"/>
                <w14:textFill>
                  <w14:solidFill>
                    <w14:schemeClr w14:val="tx1"/>
                  </w14:solidFill>
                </w14:textFill>
              </w:rPr>
              <w:t>。</w:t>
            </w:r>
          </w:p>
          <w:p>
            <w:pPr>
              <w:spacing w:before="0" w:after="0" w:afterAutospacing="0" w:line="48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3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color w:val="000000" w:themeColor="text1"/>
                <w:highlight w:val="none"/>
                <w14:textFill>
                  <w14:solidFill>
                    <w14:schemeClr w14:val="tx1"/>
                  </w14:solidFill>
                </w14:textFill>
              </w:rPr>
              <w:t>。</w:t>
            </w:r>
          </w:p>
          <w:p>
            <w:pPr>
              <w:spacing w:before="0" w:after="0" w:afterAutospacing="0" w:line="48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48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比选申请人要求澄清比选文件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对比选文件提出疑问的截止时间：</w:t>
            </w:r>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 xml:space="preserve">2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12</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7 </w:t>
            </w:r>
            <w:r>
              <w:rPr>
                <w:rFonts w:hint="eastAsia" w:ascii="宋体" w:hAnsi="宋体"/>
                <w:color w:val="000000" w:themeColor="text1"/>
                <w:highlight w:val="none"/>
                <w14:textFill>
                  <w14:solidFill>
                    <w14:schemeClr w14:val="tx1"/>
                  </w14:solidFill>
                </w14:textFill>
              </w:rPr>
              <w:t>日上午12:00前（北京时间）。比选申请人不在规定期限内提出，比选人有权不予答复，或答复后比选申请截止时间由比选人确定是否顺延。</w:t>
            </w:r>
          </w:p>
          <w:p>
            <w:pPr>
              <w:spacing w:before="0" w:after="0" w:afterAutospacing="0" w:line="360" w:lineRule="exact"/>
              <w:ind w:left="0" w:right="0"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比选文件澄清发布方式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南宁轨道交通集团有限责任公司官网发布(http://www.nngdjt.com)；</w:t>
            </w:r>
            <w:r>
              <w:rPr>
                <w:rFonts w:hint="eastAsia" w:ascii="宋体" w:hAnsi="宋体"/>
                <w:color w:val="000000" w:themeColor="text1"/>
                <w:highlight w:val="none"/>
                <w14:textFill>
                  <w14:solidFill>
                    <w14:schemeClr w14:val="tx1"/>
                  </w14:solidFill>
                </w14:textFill>
              </w:rPr>
              <w:t xml:space="preserve"> 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比选申请人确认收到澄清的方式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9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构成比选申请文件的组成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比选申请文件组成部分：</w:t>
            </w:r>
            <w:r>
              <w:rPr>
                <w:rFonts w:hint="eastAsia"/>
                <w:color w:val="000000" w:themeColor="text1"/>
                <w:highlight w:val="none"/>
                <w14:textFill>
                  <w14:solidFill>
                    <w14:schemeClr w14:val="tx1"/>
                  </w14:solidFill>
                </w14:textFill>
              </w:rPr>
              <w:t>资格审查文件、价格文件、技术文件</w:t>
            </w:r>
          </w:p>
          <w:p>
            <w:pPr>
              <w:spacing w:before="0" w:after="0" w:afterAutospacing="0" w:line="360" w:lineRule="exact"/>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资格审查文件</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）法定代表人授权书（格式见A1）及法定代表人资格证明书（如无授权时，只需提供法定代表人资格证明书，格式见A2），法定代表人及被授权人身份证复印件；</w:t>
            </w:r>
          </w:p>
          <w:p>
            <w:pPr>
              <w:spacing w:before="0" w:after="0" w:afterAutospacing="0" w:line="360" w:lineRule="exact"/>
              <w:ind w:left="0" w:right="0" w:firstLine="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）比选申请人有效的营业执照副本或事业单位法人证书等证明文件复印件；</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）承诺书（格式见A</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）比选申请人认为应提交的其他比选申请资料（如有）。</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p>
          <w:p>
            <w:pPr>
              <w:spacing w:before="0" w:after="0" w:afterAutospacing="0" w:line="360" w:lineRule="exact"/>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价格文件</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）比选申请报价一览表（格式见B1）；</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）比选申请函（格式见B2）；</w:t>
            </w:r>
          </w:p>
          <w:p>
            <w:pPr>
              <w:spacing w:before="0" w:after="0" w:afterAutospacing="0" w:line="360" w:lineRule="exact"/>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）比选申请报价表（格式见B3）；</w:t>
            </w:r>
          </w:p>
          <w:p>
            <w:pPr>
              <w:spacing w:before="0" w:after="0" w:afterAutospacing="0" w:line="360" w:lineRule="exact"/>
              <w:ind w:left="0" w:right="0" w:firstLine="0"/>
              <w:jc w:val="left"/>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spacing w:before="0" w:after="0" w:afterAutospacing="0" w:line="360" w:lineRule="exact"/>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技术文件</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技术响应表（格式见C1）</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课程资源清单表及其他要求（格式见C2）</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b w:val="0"/>
                <w:bCs w:val="0"/>
                <w:snapToGrid w:val="0"/>
                <w:highlight w:val="none"/>
                <w:lang w:val="en-US" w:eastAsia="zh-CN"/>
              </w:rPr>
              <w:t>功能需求适配情况表（格式见C3）</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商务响应表（格式见C</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p>
          <w:p>
            <w:pPr>
              <w:numPr>
                <w:ilvl w:val="0"/>
                <w:numId w:val="1"/>
              </w:numPr>
              <w:spacing w:before="0" w:after="0" w:afterAutospacing="0"/>
              <w:ind w:left="315" w:right="0" w:firstLine="315" w:firstLineChars="0"/>
              <w:rPr>
                <w:rFonts w:hint="default"/>
                <w:lang w:val="en-US"/>
              </w:rPr>
            </w:pPr>
            <w:r>
              <w:rPr>
                <w:rFonts w:hint="eastAsia"/>
                <w:color w:val="000000" w:themeColor="text1"/>
                <w:highlight w:val="none"/>
                <w:lang w:val="en-US" w:eastAsia="zh-CN"/>
                <w14:textFill>
                  <w14:solidFill>
                    <w14:schemeClr w14:val="tx1"/>
                  </w14:solidFill>
                </w14:textFill>
              </w:rPr>
              <w:t>服务方案（格式自拟）</w:t>
            </w:r>
          </w:p>
          <w:p>
            <w:pPr>
              <w:numPr>
                <w:ilvl w:val="0"/>
                <w:numId w:val="1"/>
              </w:numPr>
              <w:spacing w:before="0" w:after="0" w:afterAutospacing="0"/>
              <w:ind w:left="315" w:right="0" w:firstLine="315" w:firstLineChars="0"/>
              <w:rPr>
                <w:rFonts w:hint="eastAsia" w:ascii="宋体" w:hAnsi="宋体"/>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比选申请报价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本项目采用</w:t>
            </w:r>
            <w:r>
              <w:rPr>
                <w:rFonts w:hint="eastAsia" w:ascii="宋体" w:hAnsi="宋体"/>
                <w:b/>
                <w:color w:val="000000" w:themeColor="text1"/>
                <w:highlight w:val="none"/>
                <w14:textFill>
                  <w14:solidFill>
                    <w14:schemeClr w14:val="tx1"/>
                  </w14:solidFill>
                </w14:textFill>
              </w:rPr>
              <w:t>不</w:t>
            </w:r>
            <w:r>
              <w:rPr>
                <w:rFonts w:ascii="宋体" w:hAnsi="宋体"/>
                <w:b/>
                <w:color w:val="000000" w:themeColor="text1"/>
                <w:highlight w:val="none"/>
                <w14:textFill>
                  <w14:solidFill>
                    <w14:schemeClr w14:val="tx1"/>
                  </w14:solidFill>
                </w14:textFill>
              </w:rPr>
              <w:t>含税报价，</w:t>
            </w:r>
            <w:r>
              <w:rPr>
                <w:rFonts w:hint="eastAsia" w:ascii="宋体" w:hAnsi="宋体"/>
                <w:b/>
                <w:color w:val="000000" w:themeColor="text1"/>
                <w:highlight w:val="none"/>
                <w14:textFill>
                  <w14:solidFill>
                    <w14:schemeClr w14:val="tx1"/>
                  </w14:solidFill>
                </w14:textFill>
              </w:rPr>
              <w:t>最终税金在结算阶段，按实际产生的税金进行核算，但合同不含税价格不因国家税率调整而调整。</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）比选申请人须按第五章《技术需求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表》中的技术需求及数量表的顺序填报比选申请报价表，不允许打乱顺序。</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14.1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比选申请保证金</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15.1</w:t>
            </w:r>
          </w:p>
        </w:tc>
        <w:tc>
          <w:tcPr>
            <w:tcW w:w="1559" w:type="dxa"/>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比选申请有效期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自比选申请截止时间起90日历天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比选申请文件副本份数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比选申请截止时间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bookmarkStart w:id="162" w:name="CgwjmbEntity：KBSJ3_0"/>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bookmarkEnd w:id="162"/>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12</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14 </w:t>
            </w:r>
            <w:r>
              <w:rPr>
                <w:rFonts w:hint="eastAsia" w:ascii="宋体" w:hAnsi="宋体"/>
                <w:color w:val="000000" w:themeColor="text1"/>
                <w:highlight w:val="none"/>
                <w14:textFill>
                  <w14:solidFill>
                    <w14:schemeClr w14:val="tx1"/>
                  </w14:solidFill>
                </w14:textFill>
              </w:rPr>
              <w:t xml:space="preserve">日 </w:t>
            </w:r>
            <w:r>
              <w:rPr>
                <w:rFonts w:hint="eastAsia" w:ascii="宋体" w:hAnsi="宋体"/>
                <w:color w:val="000000" w:themeColor="text1"/>
                <w:highlight w:val="none"/>
                <w:u w:val="single"/>
                <w14:textFill>
                  <w14:solidFill>
                    <w14:schemeClr w14:val="tx1"/>
                  </w14:solidFill>
                </w14:textFill>
              </w:rPr>
              <w:t>09</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14:textFill>
                  <w14:solidFill>
                    <w14:schemeClr w14:val="tx1"/>
                  </w14:solidFill>
                </w14:textFill>
              </w:rPr>
              <w:t>00</w:t>
            </w:r>
            <w:r>
              <w:rPr>
                <w:rFonts w:hint="eastAsia" w:ascii="宋体" w:hAnsi="宋体"/>
                <w:color w:val="000000" w:themeColor="text1"/>
                <w:highlight w:val="none"/>
                <w14:textFill>
                  <w14:solidFill>
                    <w14:schemeClr w14:val="tx1"/>
                  </w14:solidFill>
                </w14:textFill>
              </w:rPr>
              <w:t>分（北京时间）</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递交比选申请文件地点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pPr>
            <w:r>
              <w:rPr>
                <w:rFonts w:hint="eastAsia"/>
              </w:rPr>
              <w:t>单位：</w:t>
            </w:r>
            <w:r>
              <w:t>南宁轨道交通</w:t>
            </w:r>
            <w:r>
              <w:rPr>
                <w:rFonts w:hint="eastAsia"/>
                <w:lang w:val="en-US" w:eastAsia="zh-CN"/>
              </w:rPr>
              <w:t>运营</w:t>
            </w:r>
            <w:r>
              <w:t>有限公司</w:t>
            </w:r>
          </w:p>
          <w:p>
            <w:pPr>
              <w:spacing w:before="0" w:after="0" w:afterAutospacing="0" w:line="360" w:lineRule="exact"/>
              <w:ind w:left="0" w:right="0" w:firstLine="0"/>
              <w:jc w:val="left"/>
              <w:rPr>
                <w:rFonts w:hint="eastAsia"/>
              </w:rPr>
            </w:pPr>
            <w:r>
              <w:rPr>
                <w:rFonts w:hint="eastAsia"/>
              </w:rPr>
              <w:t>地址：</w:t>
            </w:r>
            <w:r>
              <w:rPr>
                <w:rFonts w:hint="eastAsia" w:ascii="宋体" w:hAnsi="宋体"/>
                <w:color w:val="000000" w:themeColor="text1"/>
                <w:highlight w:val="none"/>
                <w14:textFill>
                  <w14:solidFill>
                    <w14:schemeClr w14:val="tx1"/>
                  </w14:solidFill>
                </w14:textFill>
              </w:rPr>
              <w:t>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w:t>
            </w:r>
            <w:r>
              <w:rPr>
                <w:rFonts w:hint="eastAsia"/>
                <w:lang w:val="en-US" w:eastAsia="zh-CN"/>
              </w:rPr>
              <w:t>楼</w:t>
            </w:r>
            <w:r>
              <w:rPr>
                <w:rFonts w:hint="eastAsia"/>
              </w:rPr>
              <w:t xml:space="preserve"> </w:t>
            </w:r>
            <w:r>
              <w:rPr>
                <w:rFonts w:hint="eastAsia"/>
                <w:lang w:val="en-US" w:eastAsia="zh-CN"/>
              </w:rPr>
              <w:t xml:space="preserve">202 </w:t>
            </w:r>
            <w:r>
              <w:rPr>
                <w:rFonts w:hint="eastAsia"/>
              </w:rPr>
              <w:t>室</w:t>
            </w:r>
          </w:p>
          <w:p>
            <w:pPr>
              <w:pStyle w:val="2"/>
              <w:rPr>
                <w:rFonts w:hint="default" w:eastAsia="宋体"/>
                <w:lang w:val="en-US" w:eastAsia="zh-CN"/>
              </w:rPr>
            </w:pPr>
            <w:r>
              <w:rPr>
                <w:rFonts w:hint="eastAsia" w:ascii="宋体" w:hAnsi="宋体" w:cs="Times New Roman"/>
                <w:color w:val="000000"/>
                <w:kern w:val="0"/>
                <w:szCs w:val="21"/>
                <w:highlight w:val="none"/>
                <w:u w:val="single"/>
                <w:lang w:val="en-US" w:eastAsia="zh-CN"/>
              </w:rPr>
              <w:t>递交现场联系人：蓝工，电话：</w:t>
            </w:r>
            <w:r>
              <w:rPr>
                <w:rFonts w:hint="eastAsia" w:ascii="宋体" w:hAnsi="宋体"/>
                <w:color w:val="000000" w:themeColor="text1"/>
                <w:highlight w:val="none"/>
                <w:u w:val="single"/>
                <w14:textFill>
                  <w14:solidFill>
                    <w14:schemeClr w14:val="tx1"/>
                  </w14:solidFill>
                </w14:textFill>
              </w:rPr>
              <w:t>0771-277</w:t>
            </w:r>
            <w:r>
              <w:rPr>
                <w:rFonts w:hint="eastAsia" w:ascii="宋体" w:hAnsi="宋体"/>
                <w:color w:val="000000" w:themeColor="text1"/>
                <w:highlight w:val="none"/>
                <w:u w:val="single"/>
                <w:lang w:val="en-US" w:eastAsia="zh-CN"/>
                <w14:textFill>
                  <w14:solidFill>
                    <w14:schemeClr w14:val="tx1"/>
                  </w14:solidFill>
                </w14:textFill>
              </w:rPr>
              <w:t>8116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w:t>
            </w:r>
            <w:r>
              <w:rPr>
                <w:rFonts w:hint="eastAsia" w:ascii="宋体" w:hAnsi="宋体"/>
                <w:color w:val="000000" w:themeColor="text1"/>
                <w:highlight w:val="none"/>
                <w:lang w:val="en-US" w:eastAsia="zh-CN"/>
                <w14:textFill>
                  <w14:solidFill>
                    <w14:schemeClr w14:val="tx1"/>
                  </w14:solidFill>
                </w14:textFill>
              </w:rPr>
              <w:t>办</w:t>
            </w:r>
            <w:r>
              <w:rPr>
                <w:rFonts w:hint="eastAsia" w:ascii="宋体" w:hAnsi="宋体"/>
                <w:color w:val="000000" w:themeColor="text1"/>
                <w:highlight w:val="none"/>
                <w14:textFill>
                  <w14:solidFill>
                    <w14:schemeClr w14:val="tx1"/>
                  </w14:solidFill>
                </w14:textFill>
              </w:rPr>
              <w:t>法</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综合评分法</w:t>
            </w:r>
            <w:r>
              <w:rPr>
                <w:rFonts w:hint="eastAsia" w:ascii="宋体" w:hAnsi="宋体"/>
                <w:color w:val="000000" w:themeColor="text1"/>
                <w:highlight w:val="none"/>
                <w14:textFill>
                  <w14:solidFill>
                    <w14:schemeClr w14:val="tx1"/>
                  </w14:solidFill>
                </w14:textFill>
              </w:rPr>
              <w:t>（评审价以不含税总报价为基准）</w:t>
            </w:r>
          </w:p>
        </w:tc>
      </w:tr>
      <w:tr>
        <w:tblPrEx>
          <w:tblCellMar>
            <w:top w:w="0" w:type="dxa"/>
            <w:left w:w="108" w:type="dxa"/>
            <w:bottom w:w="0" w:type="dxa"/>
            <w:right w:w="108" w:type="dxa"/>
          </w:tblCellMar>
        </w:tblPrEx>
        <w:trPr>
          <w:trHeight w:val="68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放弃中选人资格</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w:t>
            </w:r>
          </w:p>
        </w:tc>
        <w:tc>
          <w:tcPr>
            <w:tcW w:w="1559" w:type="dxa"/>
            <w:vMerge w:val="restart"/>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需要补充的其他内容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1.比选申请人在递交比选申请文件时，同时递交比选申请文件电子版。</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2.比选申请文件电子版内容：</w:t>
            </w:r>
            <w:r>
              <w:rPr>
                <w:rFonts w:hint="eastAsia" w:ascii="宋体" w:hAnsi="宋体" w:cs="Arial"/>
                <w:color w:val="000000" w:themeColor="text1"/>
                <w:highlight w:val="none"/>
                <w14:textFill>
                  <w14:solidFill>
                    <w14:schemeClr w14:val="tx1"/>
                  </w14:solidFill>
                </w14:textFill>
              </w:rPr>
              <w:t>资格审查文件、价格文件和技术文件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比选申请文件电子版份数：1份。</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比选申请文件电子版形式：每份包括</w:t>
            </w:r>
            <w:r>
              <w:rPr>
                <w:rFonts w:ascii="宋体" w:hAnsi="宋体"/>
                <w:color w:val="000000" w:themeColor="text1"/>
                <w:highlight w:val="none"/>
                <w14:textFill>
                  <w14:solidFill>
                    <w14:schemeClr w14:val="tx1"/>
                  </w14:solidFill>
                </w14:textFill>
              </w:rPr>
              <w:t>office</w:t>
            </w:r>
            <w:r>
              <w:rPr>
                <w:rFonts w:hint="eastAsia" w:ascii="宋体" w:hAnsi="宋体"/>
                <w:color w:val="000000" w:themeColor="text1"/>
                <w:highlight w:val="none"/>
                <w14:textFill>
                  <w14:solidFill>
                    <w14:schemeClr w14:val="tx1"/>
                  </w14:solidFill>
                </w14:textFill>
              </w:rPr>
              <w:t>版本（文本内容为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格式，工程量清单为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或</w:t>
            </w:r>
            <w:r>
              <w:rPr>
                <w:rFonts w:ascii="宋体" w:hAnsi="宋体"/>
                <w:color w:val="000000" w:themeColor="text1"/>
                <w:highlight w:val="none"/>
                <w14:textFill>
                  <w14:solidFill>
                    <w14:schemeClr w14:val="tx1"/>
                  </w14:solidFill>
                </w14:textFill>
              </w:rPr>
              <w:t>Excel</w:t>
            </w:r>
            <w:r>
              <w:rPr>
                <w:rFonts w:hint="eastAsia" w:ascii="宋体" w:hAnsi="宋体"/>
                <w:color w:val="000000" w:themeColor="text1"/>
                <w:highlight w:val="none"/>
                <w14:textFill>
                  <w14:solidFill>
                    <w14:schemeClr w14:val="tx1"/>
                  </w14:solidFill>
                </w14:textFill>
              </w:rPr>
              <w:t>格式）的全套比选申请文件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和盖章后的全套比选申请文件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正本的</w:t>
            </w:r>
            <w:r>
              <w:rPr>
                <w:rFonts w:ascii="宋体" w:hAnsi="宋体"/>
                <w:color w:val="000000" w:themeColor="text1"/>
                <w:highlight w:val="none"/>
                <w14:textFill>
                  <w14:solidFill>
                    <w14:schemeClr w14:val="tx1"/>
                  </w14:solidFill>
                </w14:textFill>
              </w:rPr>
              <w:t>PDF</w:t>
            </w:r>
            <w:r>
              <w:rPr>
                <w:rFonts w:hint="eastAsia" w:ascii="宋体" w:hAnsi="宋体"/>
                <w:color w:val="000000" w:themeColor="text1"/>
                <w:highlight w:val="none"/>
                <w14:textFill>
                  <w14:solidFill>
                    <w14:schemeClr w14:val="tx1"/>
                  </w14:solidFill>
                </w14:textFill>
              </w:rPr>
              <w:t>版本扫描件。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保存介质：</w:t>
            </w:r>
            <w:r>
              <w:rPr>
                <w:rFonts w:ascii="宋体" w:hAnsi="宋体"/>
                <w:color w:val="000000" w:themeColor="text1"/>
                <w:highlight w:val="none"/>
                <w14:textFill>
                  <w14:solidFill>
                    <w14:schemeClr w14:val="tx1"/>
                  </w14:solidFill>
                </w14:textFill>
              </w:rPr>
              <w:t>U</w:t>
            </w:r>
            <w:r>
              <w:rPr>
                <w:rFonts w:hint="eastAsia" w:ascii="宋体" w:hAnsi="宋体"/>
                <w:color w:val="000000" w:themeColor="text1"/>
                <w:highlight w:val="none"/>
                <w14:textFill>
                  <w14:solidFill>
                    <w14:schemeClr w14:val="tx1"/>
                  </w14:solidFill>
                </w14:textFill>
              </w:rPr>
              <w:t>盘。</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1559" w:type="dxa"/>
            <w:vMerge w:val="continue"/>
            <w:tcBorders>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2.本比选文件中描述比选申请人的“签字”是指比选申请人的法定代表人或被授权人亲自在比选文件规定签署处亲笔写上个人的名字的行为，私章、签字章、印鉴、影印等其它形式均不能代替亲笔签字。</w:t>
            </w:r>
          </w:p>
        </w:tc>
      </w:tr>
    </w:tbl>
    <w:p>
      <w:pPr>
        <w:pStyle w:val="4"/>
        <w:spacing w:after="0" w:afterAutospacing="0" w:line="360" w:lineRule="auto"/>
        <w:ind w:left="484" w:leftChars="200" w:right="0" w:hanging="64" w:hangingChars="2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163" w:name="_Toc322528193"/>
      <w:bookmarkEnd w:id="163"/>
      <w:bookmarkStart w:id="164" w:name="_Toc12463"/>
      <w:bookmarkStart w:id="165" w:name="_Toc26380"/>
      <w:bookmarkStart w:id="166" w:name="_Toc21816"/>
      <w:bookmarkStart w:id="167" w:name="_Toc6136"/>
      <w:bookmarkStart w:id="168" w:name="_Toc17777"/>
      <w:bookmarkStart w:id="169" w:name="_Toc7818"/>
      <w:bookmarkStart w:id="170" w:name="_Toc20055"/>
      <w:bookmarkStart w:id="171" w:name="_Toc32119"/>
      <w:bookmarkStart w:id="172" w:name="_Toc12932"/>
      <w:bookmarkStart w:id="173" w:name="_Toc18705"/>
      <w:bookmarkStart w:id="174" w:name="_Toc2027"/>
      <w:r>
        <w:rPr>
          <w:rFonts w:hint="eastAsia" w:ascii="宋体" w:hAnsi="宋体" w:eastAsia="宋体"/>
          <w:color w:val="000000" w:themeColor="text1"/>
          <w:sz w:val="24"/>
          <w:szCs w:val="24"/>
          <w:highlight w:val="none"/>
          <w14:textFill>
            <w14:solidFill>
              <w14:schemeClr w14:val="tx1"/>
            </w14:solidFill>
          </w14:textFill>
        </w:rPr>
        <w:t>一、</w:t>
      </w:r>
      <w:r>
        <w:rPr>
          <w:rFonts w:ascii="宋体" w:hAnsi="宋体" w:eastAsia="宋体"/>
          <w:color w:val="000000" w:themeColor="text1"/>
          <w:sz w:val="24"/>
          <w:szCs w:val="24"/>
          <w:highlight w:val="none"/>
          <w14:textFill>
            <w14:solidFill>
              <w14:schemeClr w14:val="tx1"/>
            </w14:solidFill>
          </w14:textFill>
        </w:rPr>
        <w:t>说明</w:t>
      </w:r>
      <w:bookmarkEnd w:id="164"/>
      <w:bookmarkEnd w:id="165"/>
      <w:bookmarkEnd w:id="166"/>
      <w:bookmarkEnd w:id="167"/>
      <w:bookmarkEnd w:id="168"/>
      <w:bookmarkEnd w:id="169"/>
      <w:bookmarkEnd w:id="170"/>
      <w:bookmarkEnd w:id="171"/>
      <w:bookmarkEnd w:id="172"/>
      <w:bookmarkEnd w:id="173"/>
      <w:bookmarkEnd w:id="174"/>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75" w:name="_Toc8166"/>
      <w:bookmarkStart w:id="176" w:name="_Toc27079"/>
      <w:bookmarkStart w:id="177" w:name="_Toc21139"/>
      <w:bookmarkStart w:id="178" w:name="_Toc14066"/>
      <w:bookmarkStart w:id="179" w:name="_Toc5495"/>
      <w:bookmarkStart w:id="180" w:name="_Toc12526"/>
      <w:bookmarkStart w:id="181" w:name="_Toc383891168"/>
      <w:bookmarkStart w:id="182" w:name="_Toc17845"/>
      <w:bookmarkStart w:id="183" w:name="_Toc11224"/>
      <w:bookmarkStart w:id="184" w:name="_Toc492478718"/>
      <w:bookmarkStart w:id="185" w:name="_Toc6861"/>
      <w:bookmarkStart w:id="186" w:name="_Toc3804"/>
      <w:bookmarkStart w:id="187" w:name="_Toc9366"/>
      <w:bookmarkStart w:id="188" w:name="_Toc30570"/>
      <w:bookmarkStart w:id="189" w:name="_Toc390098419"/>
      <w:bookmarkStart w:id="190" w:name="_Toc12983505"/>
      <w:bookmarkStart w:id="191" w:name="_Toc7778"/>
      <w:bookmarkStart w:id="192" w:name="_Toc385427793"/>
      <w:bookmarkStart w:id="193" w:name="_Toc463"/>
      <w:bookmarkStart w:id="194" w:name="_Toc41492179"/>
      <w:bookmarkStart w:id="195" w:name="_Toc31563"/>
      <w:bookmarkStart w:id="196" w:name="_Toc375039064"/>
      <w:bookmarkStart w:id="197" w:name="_Toc28326"/>
      <w:bookmarkStart w:id="198" w:name="_Toc25750591"/>
      <w:bookmarkStart w:id="199" w:name="_Toc3364"/>
      <w:r>
        <w:rPr>
          <w:rFonts w:hint="eastAsia" w:ascii="宋体" w:hAnsi="宋体"/>
          <w:color w:val="000000" w:themeColor="text1"/>
          <w:sz w:val="21"/>
          <w:szCs w:val="21"/>
          <w:highlight w:val="none"/>
          <w14:textFill>
            <w14:solidFill>
              <w14:schemeClr w14:val="tx1"/>
            </w14:solidFill>
          </w14:textFill>
        </w:rPr>
        <w:t xml:space="preserve">1. </w:t>
      </w:r>
      <w:r>
        <w:rPr>
          <w:rFonts w:ascii="宋体" w:hAnsi="宋体"/>
          <w:color w:val="000000" w:themeColor="text1"/>
          <w:sz w:val="21"/>
          <w:szCs w:val="21"/>
          <w:highlight w:val="none"/>
          <w14:textFill>
            <w14:solidFill>
              <w14:schemeClr w14:val="tx1"/>
            </w14:solidFill>
          </w14:textFill>
        </w:rPr>
        <w:t>项目说明</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 比选人</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 项目名称</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 项目编号</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1.4比选范围：</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1.5服务期：</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 资金来源情况：</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1.7上限控制价</w:t>
      </w:r>
      <w:r>
        <w:rPr>
          <w:rFonts w:ascii="宋体" w:hAnsi="宋体"/>
          <w:color w:val="000000" w:themeColor="text1"/>
          <w:highlight w:val="none"/>
          <w14:textFill>
            <w14:solidFill>
              <w14:schemeClr w14:val="tx1"/>
            </w14:solidFill>
          </w14:textFill>
        </w:rPr>
        <w:t>：详见比选申请须知前附表。</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00" w:name="_Toc16860"/>
      <w:bookmarkStart w:id="201" w:name="_Toc22987"/>
      <w:bookmarkStart w:id="202" w:name="_Toc24429"/>
      <w:bookmarkStart w:id="203" w:name="_Toc492478719"/>
      <w:bookmarkStart w:id="204" w:name="_Toc385427794"/>
      <w:bookmarkStart w:id="205" w:name="_Toc390098420"/>
      <w:bookmarkStart w:id="206" w:name="_Toc41492180"/>
      <w:bookmarkStart w:id="207" w:name="_Toc6038"/>
      <w:bookmarkStart w:id="208" w:name="_Toc27845"/>
      <w:bookmarkStart w:id="209" w:name="_Toc10907"/>
      <w:bookmarkStart w:id="210" w:name="_Toc31314"/>
      <w:bookmarkStart w:id="211" w:name="_Toc12983506"/>
      <w:bookmarkStart w:id="212" w:name="_Toc383891169"/>
      <w:bookmarkStart w:id="213" w:name="_Toc375039065"/>
      <w:bookmarkStart w:id="214" w:name="_Toc4780"/>
      <w:bookmarkStart w:id="215" w:name="_Toc1552"/>
      <w:bookmarkStart w:id="216" w:name="_Toc8052"/>
      <w:bookmarkStart w:id="217" w:name="_Toc27847"/>
      <w:bookmarkStart w:id="218" w:name="_Toc25750592"/>
      <w:bookmarkStart w:id="219" w:name="_Toc21874"/>
      <w:bookmarkStart w:id="220" w:name="_Toc6985"/>
      <w:r>
        <w:rPr>
          <w:rFonts w:hint="eastAsia" w:ascii="宋体" w:hAnsi="宋体"/>
          <w:color w:val="000000" w:themeColor="text1"/>
          <w:sz w:val="21"/>
          <w:szCs w:val="21"/>
          <w:highlight w:val="none"/>
          <w14:textFill>
            <w14:solidFill>
              <w14:schemeClr w14:val="tx1"/>
            </w14:solidFill>
          </w14:textFill>
        </w:rPr>
        <w:t>2. 定义</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本比选文件使用的下列词汇具有如下规定的意义。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2.1 </w:t>
      </w:r>
      <w:r>
        <w:rPr>
          <w:rFonts w:ascii="宋体" w:hAnsi="宋体"/>
          <w:color w:val="000000" w:themeColor="text1"/>
          <w:highlight w:val="none"/>
          <w14:textFill>
            <w14:solidFill>
              <w14:schemeClr w14:val="tx1"/>
            </w14:solidFill>
          </w14:textFill>
        </w:rPr>
        <w:t>“比选人”系指提出</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的国家机关、企业、事业单位或其它组织。本比选文件中比选人是指南宁轨道交通集团有限责任公司。如无特别说明本比选文件中的“发包人、业主、甲方和比选人”均指：南宁轨道交通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 xml:space="preserve"> “比选申请人”</w:t>
      </w:r>
      <w:r>
        <w:rPr>
          <w:rFonts w:hint="eastAsia" w:ascii="宋体" w:hAnsi="宋体"/>
          <w:color w:val="000000" w:themeColor="text1"/>
          <w:highlight w:val="none"/>
          <w14:textFill>
            <w14:solidFill>
              <w14:schemeClr w14:val="tx1"/>
            </w14:solidFill>
          </w14:textFill>
        </w:rPr>
        <w:t>系指响应比选、参加比选申请竞争的法人</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3</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系指招标文件规定投标人须承担的一切合同标的内容及配套工作。</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4</w:t>
      </w:r>
      <w:r>
        <w:rPr>
          <w:rFonts w:ascii="宋体" w:hAnsi="宋体"/>
          <w:color w:val="000000" w:themeColor="text1"/>
          <w:highlight w:val="none"/>
          <w14:textFill>
            <w14:solidFill>
              <w14:schemeClr w14:val="tx1"/>
            </w14:solidFill>
          </w14:textFill>
        </w:rPr>
        <w:t>“电子文件”系指将比选申请文件全部内容以</w:t>
      </w:r>
      <w:r>
        <w:rPr>
          <w:rFonts w:hint="eastAsia" w:ascii="宋体" w:hAnsi="宋体"/>
          <w:color w:val="000000" w:themeColor="text1"/>
          <w:highlight w:val="none"/>
          <w14:textFill>
            <w14:solidFill>
              <w14:schemeClr w14:val="tx1"/>
            </w14:solidFill>
          </w14:textFill>
        </w:rPr>
        <w:t>OFFICE</w:t>
      </w:r>
      <w:r>
        <w:rPr>
          <w:rFonts w:ascii="宋体" w:hAnsi="宋体"/>
          <w:color w:val="000000" w:themeColor="text1"/>
          <w:highlight w:val="none"/>
          <w14:textFill>
            <w14:solidFill>
              <w14:schemeClr w14:val="tx1"/>
            </w14:solidFill>
          </w14:textFill>
        </w:rPr>
        <w:t>的WORD、PROJECT、EXCEL等格式书写的可读电子介质</w:t>
      </w:r>
      <w:r>
        <w:rPr>
          <w:rFonts w:hint="eastAsia" w:ascii="宋体" w:hAnsi="宋体"/>
          <w:color w:val="000000" w:themeColor="text1"/>
          <w:highlight w:val="none"/>
          <w14:textFill>
            <w14:solidFill>
              <w14:schemeClr w14:val="tx1"/>
            </w14:solidFill>
          </w14:textFill>
        </w:rPr>
        <w:t>及PDF扫描版本（盖章版）</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5</w:t>
      </w:r>
      <w:r>
        <w:rPr>
          <w:rFonts w:ascii="宋体" w:hAnsi="宋体"/>
          <w:color w:val="000000" w:themeColor="text1"/>
          <w:highlight w:val="none"/>
          <w14:textFill>
            <w14:solidFill>
              <w14:schemeClr w14:val="tx1"/>
            </w14:solidFill>
          </w14:textFill>
        </w:rPr>
        <w:t>“书面形式”系指打字或印刷的函件，包括传真、电报等。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6</w:t>
      </w:r>
      <w:r>
        <w:rPr>
          <w:rFonts w:ascii="宋体" w:hAnsi="宋体"/>
          <w:color w:val="000000" w:themeColor="text1"/>
          <w:highlight w:val="none"/>
          <w14:textFill>
            <w14:solidFill>
              <w14:schemeClr w14:val="tx1"/>
            </w14:solidFill>
          </w14:textFill>
        </w:rPr>
        <w:t>“日”、“天”系指日历天。</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“保质期”系指质量三包的期限。</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21" w:name="_Toc375039066"/>
      <w:bookmarkStart w:id="222" w:name="_Toc385427795"/>
      <w:bookmarkStart w:id="223" w:name="_Toc390098421"/>
      <w:bookmarkStart w:id="224" w:name="_Toc383891170"/>
      <w:bookmarkStart w:id="225" w:name="_Toc492478720"/>
      <w:bookmarkStart w:id="226" w:name="_Toc12940"/>
      <w:bookmarkStart w:id="227" w:name="_Toc22115"/>
      <w:bookmarkStart w:id="228" w:name="_Toc29859"/>
      <w:bookmarkStart w:id="229" w:name="_Toc17568"/>
      <w:bookmarkStart w:id="230" w:name="_Toc29401"/>
      <w:bookmarkStart w:id="231" w:name="_Toc8288"/>
      <w:bookmarkStart w:id="232" w:name="_Toc25786"/>
      <w:bookmarkStart w:id="233" w:name="_Toc22845"/>
      <w:bookmarkStart w:id="234" w:name="_Toc7797"/>
      <w:bookmarkStart w:id="235" w:name="_Toc30498"/>
      <w:bookmarkStart w:id="236" w:name="_Toc12983507"/>
      <w:bookmarkStart w:id="237" w:name="_Toc7306"/>
      <w:bookmarkStart w:id="238" w:name="_Toc10653"/>
      <w:bookmarkStart w:id="239" w:name="_Toc307"/>
      <w:bookmarkStart w:id="240" w:name="_Toc17075"/>
      <w:bookmarkStart w:id="241" w:name="_Toc24844"/>
      <w:bookmarkStart w:id="242" w:name="_Toc31477"/>
      <w:bookmarkStart w:id="243" w:name="_Toc9929"/>
      <w:bookmarkStart w:id="244" w:name="_Toc25750593"/>
      <w:bookmarkStart w:id="245" w:name="_Toc41492181"/>
      <w:r>
        <w:rPr>
          <w:rFonts w:ascii="宋体" w:hAnsi="宋体"/>
          <w:color w:val="000000" w:themeColor="text1"/>
          <w:sz w:val="21"/>
          <w:szCs w:val="21"/>
          <w:highlight w:val="none"/>
          <w14:textFill>
            <w14:solidFill>
              <w14:schemeClr w14:val="tx1"/>
            </w14:solidFill>
          </w14:textFill>
        </w:rPr>
        <w:t>3. 比选申请人</w:t>
      </w:r>
      <w:bookmarkEnd w:id="221"/>
      <w:bookmarkEnd w:id="222"/>
      <w:bookmarkEnd w:id="223"/>
      <w:bookmarkEnd w:id="224"/>
      <w:bookmarkEnd w:id="225"/>
      <w:r>
        <w:rPr>
          <w:rFonts w:hint="eastAsia" w:ascii="宋体" w:hAnsi="宋体"/>
          <w:color w:val="000000" w:themeColor="text1"/>
          <w:sz w:val="21"/>
          <w:szCs w:val="21"/>
          <w:highlight w:val="none"/>
          <w14:textFill>
            <w14:solidFill>
              <w14:schemeClr w14:val="tx1"/>
            </w14:solidFill>
          </w14:textFill>
        </w:rPr>
        <w:t>应具备的资格条件</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3.1 </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 </w:t>
      </w:r>
      <w:r>
        <w:rPr>
          <w:rFonts w:hint="eastAsia" w:ascii="宋体" w:hAnsi="宋体"/>
          <w:color w:val="000000" w:themeColor="text1"/>
          <w:highlight w:val="none"/>
          <w14:textFill>
            <w14:solidFill>
              <w14:schemeClr w14:val="tx1"/>
            </w14:solidFill>
          </w14:textFill>
        </w:rPr>
        <w:t>比选申请人不得存在以下情况之一，否则其比选申请将被否决：</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）比选人申请人不具有独立法人资格的附属机构（单位）；</w:t>
      </w:r>
    </w:p>
    <w:p>
      <w:pPr>
        <w:spacing w:before="0" w:after="0" w:afterAutospacing="0" w:line="48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color w:val="000000" w:themeColor="text1"/>
          <w:highlight w:val="none"/>
          <w14:textFill>
            <w14:solidFill>
              <w14:schemeClr w14:val="tx1"/>
            </w14:solidFill>
          </w14:textFill>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（3）有骗取中选、严重违约或重大质量安全责任事故；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（5）比选申请人向比选人或评审委员会成员以行贿的手段谋取中选的；</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（7）在比选申请文件中提供虚假文件和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或资料的。</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46" w:name="_Toc25914"/>
      <w:bookmarkStart w:id="247" w:name="_Toc18668"/>
      <w:bookmarkStart w:id="248" w:name="_Toc21602"/>
      <w:bookmarkStart w:id="249" w:name="_Toc7832"/>
      <w:bookmarkStart w:id="250" w:name="_Toc24103"/>
      <w:bookmarkStart w:id="251" w:name="_Toc1125"/>
      <w:bookmarkStart w:id="252" w:name="_Toc25750594"/>
      <w:bookmarkStart w:id="253" w:name="_Toc19709"/>
      <w:bookmarkStart w:id="254" w:name="_Toc23146"/>
      <w:bookmarkStart w:id="255" w:name="_Toc31789"/>
      <w:bookmarkStart w:id="256" w:name="_Toc375039067"/>
      <w:bookmarkStart w:id="257" w:name="_Toc41492182"/>
      <w:bookmarkStart w:id="258" w:name="_Toc12983508"/>
      <w:bookmarkStart w:id="259" w:name="_Toc21215"/>
      <w:bookmarkStart w:id="260" w:name="_Toc390098422"/>
      <w:bookmarkStart w:id="261" w:name="_Toc30752"/>
      <w:bookmarkStart w:id="262" w:name="_Toc19081"/>
      <w:bookmarkStart w:id="263" w:name="_Toc492478721"/>
      <w:bookmarkStart w:id="264" w:name="_Toc3292"/>
      <w:bookmarkStart w:id="265" w:name="_Toc616"/>
      <w:bookmarkStart w:id="266" w:name="_Toc1737"/>
      <w:bookmarkStart w:id="267" w:name="_Toc7103"/>
      <w:bookmarkStart w:id="268" w:name="_Toc4438"/>
      <w:bookmarkStart w:id="269" w:name="_Toc385427796"/>
      <w:bookmarkStart w:id="270" w:name="_Toc383891171"/>
      <w:r>
        <w:rPr>
          <w:rFonts w:hint="eastAsia" w:ascii="宋体" w:hAnsi="宋体"/>
          <w:color w:val="000000" w:themeColor="text1"/>
          <w:sz w:val="21"/>
          <w:szCs w:val="21"/>
          <w:highlight w:val="none"/>
          <w14:textFill>
            <w14:solidFill>
              <w14:schemeClr w14:val="tx1"/>
            </w14:solidFill>
          </w14:textFill>
        </w:rPr>
        <w:t xml:space="preserve">4. </w:t>
      </w:r>
      <w:r>
        <w:rPr>
          <w:rFonts w:ascii="宋体" w:hAnsi="宋体"/>
          <w:color w:val="000000" w:themeColor="text1"/>
          <w:sz w:val="21"/>
          <w:szCs w:val="21"/>
          <w:highlight w:val="none"/>
          <w14:textFill>
            <w14:solidFill>
              <w14:schemeClr w14:val="tx1"/>
            </w14:solidFill>
          </w14:textFill>
        </w:rPr>
        <w:t>比选申请费用</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比选申请人准备和参加比选申请活动发生的费用自理</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271" w:name="_Toc390098423"/>
      <w:bookmarkStart w:id="272" w:name="_Toc16530"/>
      <w:bookmarkStart w:id="273" w:name="_Toc2609"/>
      <w:bookmarkStart w:id="274" w:name="_Toc15763"/>
      <w:bookmarkStart w:id="275" w:name="_Toc7441"/>
      <w:bookmarkStart w:id="276" w:name="_Toc375039068"/>
      <w:bookmarkStart w:id="277" w:name="_Toc29914"/>
      <w:bookmarkStart w:id="278" w:name="_Toc13358"/>
      <w:bookmarkStart w:id="279" w:name="_Toc28220"/>
      <w:bookmarkStart w:id="280" w:name="_Toc5487"/>
      <w:bookmarkStart w:id="281" w:name="_Toc18528"/>
      <w:bookmarkStart w:id="282" w:name="_Toc16608"/>
      <w:bookmarkStart w:id="283" w:name="_Toc16131"/>
      <w:bookmarkStart w:id="284" w:name="_Toc19859"/>
      <w:bookmarkStart w:id="285" w:name="_Toc11000"/>
      <w:bookmarkStart w:id="286" w:name="_Toc12983509"/>
      <w:bookmarkStart w:id="287" w:name="_Toc6528"/>
      <w:bookmarkStart w:id="288" w:name="_Toc7339"/>
      <w:bookmarkStart w:id="289" w:name="_Toc2986"/>
      <w:bookmarkStart w:id="290" w:name="_Toc9677"/>
      <w:bookmarkStart w:id="291" w:name="_Toc23140"/>
      <w:bookmarkStart w:id="292" w:name="_Toc5160"/>
      <w:bookmarkStart w:id="293" w:name="_Toc385427797"/>
      <w:bookmarkStart w:id="294" w:name="_Toc492478722"/>
      <w:bookmarkStart w:id="295" w:name="_Toc27637"/>
      <w:bookmarkStart w:id="296" w:name="_Toc19617"/>
      <w:bookmarkStart w:id="297" w:name="_Toc29160"/>
      <w:bookmarkStart w:id="298" w:name="_Toc30369"/>
      <w:bookmarkStart w:id="299" w:name="_Toc383891172"/>
      <w:bookmarkStart w:id="300" w:name="_Toc8562"/>
      <w:bookmarkStart w:id="301" w:name="_Toc3854"/>
      <w:bookmarkStart w:id="302" w:name="_Toc16108"/>
      <w:bookmarkStart w:id="303" w:name="_Toc21488"/>
      <w:bookmarkStart w:id="304" w:name="_Toc8538"/>
      <w:r>
        <w:rPr>
          <w:rFonts w:hint="eastAsia" w:ascii="宋体" w:hAnsi="宋体" w:eastAsia="宋体"/>
          <w:color w:val="000000" w:themeColor="text1"/>
          <w:sz w:val="24"/>
          <w:szCs w:val="24"/>
          <w:highlight w:val="none"/>
          <w14:textFill>
            <w14:solidFill>
              <w14:schemeClr w14:val="tx1"/>
            </w14:solidFill>
          </w14:textFill>
        </w:rPr>
        <w:t>二、</w:t>
      </w:r>
      <w:r>
        <w:rPr>
          <w:rFonts w:ascii="宋体" w:hAnsi="宋体" w:eastAsia="宋体"/>
          <w:color w:val="000000" w:themeColor="text1"/>
          <w:sz w:val="24"/>
          <w:szCs w:val="24"/>
          <w:highlight w:val="none"/>
          <w14:textFill>
            <w14:solidFill>
              <w14:schemeClr w14:val="tx1"/>
            </w14:solidFill>
          </w14:textFill>
        </w:rPr>
        <w:t>比选文件</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05" w:name="_Toc6637"/>
      <w:bookmarkStart w:id="306" w:name="_Toc25378"/>
      <w:bookmarkStart w:id="307" w:name="_Toc839"/>
      <w:bookmarkStart w:id="308" w:name="_Toc18436"/>
      <w:bookmarkStart w:id="309" w:name="_Toc30401"/>
      <w:bookmarkStart w:id="310" w:name="_Toc13114"/>
      <w:bookmarkStart w:id="311" w:name="_Toc32710"/>
      <w:bookmarkStart w:id="312" w:name="_Toc26333"/>
      <w:bookmarkStart w:id="313" w:name="_Toc383891173"/>
      <w:bookmarkStart w:id="314" w:name="_Toc29225"/>
      <w:bookmarkStart w:id="315" w:name="_Toc29472"/>
      <w:bookmarkStart w:id="316" w:name="_Toc385427798"/>
      <w:bookmarkStart w:id="317" w:name="_Toc25750596"/>
      <w:bookmarkStart w:id="318" w:name="_Toc12983510"/>
      <w:bookmarkStart w:id="319" w:name="_Toc6764"/>
      <w:bookmarkStart w:id="320" w:name="_Toc27870"/>
      <w:bookmarkStart w:id="321" w:name="_Toc41492184"/>
      <w:bookmarkStart w:id="322" w:name="_Toc4157"/>
      <w:bookmarkStart w:id="323" w:name="_Toc5877"/>
      <w:bookmarkStart w:id="324" w:name="_Toc9756"/>
      <w:bookmarkStart w:id="325" w:name="_Toc375039069"/>
      <w:bookmarkStart w:id="326" w:name="_Toc492478723"/>
      <w:bookmarkStart w:id="327" w:name="_Toc21811"/>
      <w:bookmarkStart w:id="328" w:name="_Toc390098424"/>
      <w:bookmarkStart w:id="329" w:name="_Toc19561"/>
      <w:r>
        <w:rPr>
          <w:rFonts w:hint="eastAsia" w:ascii="宋体" w:hAnsi="宋体"/>
          <w:color w:val="000000" w:themeColor="text1"/>
          <w:sz w:val="21"/>
          <w:szCs w:val="21"/>
          <w:highlight w:val="none"/>
          <w14:textFill>
            <w14:solidFill>
              <w14:schemeClr w14:val="tx1"/>
            </w14:solidFill>
          </w14:textFill>
        </w:rPr>
        <w:t xml:space="preserve">5. </w:t>
      </w:r>
      <w:r>
        <w:rPr>
          <w:rFonts w:ascii="宋体" w:hAnsi="宋体"/>
          <w:color w:val="000000" w:themeColor="text1"/>
          <w:sz w:val="21"/>
          <w:szCs w:val="21"/>
          <w:highlight w:val="none"/>
          <w14:textFill>
            <w14:solidFill>
              <w14:schemeClr w14:val="tx1"/>
            </w14:solidFill>
          </w14:textFill>
        </w:rPr>
        <w:t>比选文件构成</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5.1 </w:t>
      </w:r>
      <w:r>
        <w:rPr>
          <w:rFonts w:ascii="宋体" w:hAnsi="宋体"/>
          <w:color w:val="000000" w:themeColor="text1"/>
          <w:highlight w:val="none"/>
          <w14:textFill>
            <w14:solidFill>
              <w14:schemeClr w14:val="tx1"/>
            </w14:solidFill>
          </w14:textFill>
        </w:rPr>
        <w:t>比选文件包括下列内容：</w:t>
      </w:r>
    </w:p>
    <w:p>
      <w:pPr>
        <w:numPr>
          <w:ilvl w:val="0"/>
          <w:numId w:val="2"/>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比选公告</w:t>
      </w:r>
    </w:p>
    <w:p>
      <w:pPr>
        <w:numPr>
          <w:ilvl w:val="0"/>
          <w:numId w:val="2"/>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比选申请人须知</w:t>
      </w:r>
    </w:p>
    <w:p>
      <w:pPr>
        <w:numPr>
          <w:ilvl w:val="0"/>
          <w:numId w:val="2"/>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合同条款</w:t>
      </w:r>
      <w:r>
        <w:rPr>
          <w:rFonts w:hint="eastAsia" w:ascii="宋体" w:hAnsi="宋体"/>
          <w:color w:val="000000" w:themeColor="text1"/>
          <w:highlight w:val="none"/>
          <w14:textFill>
            <w14:solidFill>
              <w14:schemeClr w14:val="tx1"/>
            </w14:solidFill>
          </w14:textFill>
        </w:rPr>
        <w:t>及格式</w:t>
      </w:r>
    </w:p>
    <w:p>
      <w:pPr>
        <w:numPr>
          <w:ilvl w:val="0"/>
          <w:numId w:val="2"/>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比选申请文件格式</w:t>
      </w:r>
    </w:p>
    <w:p>
      <w:pPr>
        <w:numPr>
          <w:ilvl w:val="0"/>
          <w:numId w:val="2"/>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技术需求</w:t>
      </w:r>
      <w:r>
        <w:rPr>
          <w:rFonts w:hint="eastAsia" w:ascii="宋体" w:hAnsi="宋体"/>
          <w:color w:val="000000" w:themeColor="text1"/>
          <w:highlight w:val="none"/>
          <w:lang w:val="en-US" w:eastAsia="zh-CN"/>
          <w14:textFill>
            <w14:solidFill>
              <w14:schemeClr w14:val="tx1"/>
            </w14:solidFill>
          </w14:textFill>
        </w:rPr>
        <w:t>及数量</w:t>
      </w:r>
      <w:r>
        <w:rPr>
          <w:rFonts w:ascii="宋体" w:hAnsi="宋体"/>
          <w:color w:val="000000" w:themeColor="text1"/>
          <w:highlight w:val="none"/>
          <w14:textFill>
            <w14:solidFill>
              <w14:schemeClr w14:val="tx1"/>
            </w14:solidFill>
          </w14:textFill>
        </w:rPr>
        <w:t>表</w:t>
      </w:r>
    </w:p>
    <w:p>
      <w:pPr>
        <w:numPr>
          <w:ilvl w:val="0"/>
          <w:numId w:val="2"/>
        </w:numPr>
        <w:spacing w:before="0" w:after="0" w:afterAutospacing="0"/>
        <w:ind w:right="0" w:firstLine="19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评审</w:t>
      </w:r>
      <w:r>
        <w:rPr>
          <w:rFonts w:ascii="宋体" w:hAnsi="宋体"/>
          <w:color w:val="000000" w:themeColor="text1"/>
          <w:highlight w:val="none"/>
          <w14:textFill>
            <w14:solidFill>
              <w14:schemeClr w14:val="tx1"/>
            </w14:solidFill>
          </w14:textFill>
        </w:rPr>
        <w:t>办法</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5.2 </w:t>
      </w:r>
      <w:r>
        <w:rPr>
          <w:rFonts w:ascii="宋体" w:hAnsi="宋体"/>
          <w:color w:val="000000" w:themeColor="text1"/>
          <w:highlight w:val="none"/>
          <w14:textFill>
            <w14:solidFill>
              <w14:schemeClr w14:val="tx1"/>
            </w14:solidFill>
          </w14:textFill>
        </w:rPr>
        <w:t>比选申请人应认真检阅比选文件中所有的章节、条款、格式、图纸、附表和附件等。如果在收到比选文件后发现有缺页、印刷不清楚或对其中内容不理解而未向</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提出，由此导致的比选申请失误，其责任由比选申请人自负。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5.3 </w:t>
      </w:r>
      <w:r>
        <w:rPr>
          <w:rFonts w:ascii="宋体" w:hAnsi="宋体"/>
          <w:color w:val="000000" w:themeColor="text1"/>
          <w:highlight w:val="none"/>
          <w14:textFill>
            <w14:solidFill>
              <w14:schemeClr w14:val="tx1"/>
            </w14:solidFill>
          </w14:textFill>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30" w:name="_Toc492478724"/>
      <w:bookmarkStart w:id="331" w:name="_Toc26811"/>
      <w:bookmarkStart w:id="332" w:name="_Toc31386"/>
      <w:bookmarkStart w:id="333" w:name="_Toc2489"/>
      <w:bookmarkStart w:id="334" w:name="_Toc15154"/>
      <w:bookmarkStart w:id="335" w:name="_Toc385427799"/>
      <w:bookmarkStart w:id="336" w:name="_Toc11896"/>
      <w:bookmarkStart w:id="337" w:name="_Toc17279"/>
      <w:bookmarkStart w:id="338" w:name="_Toc10162"/>
      <w:bookmarkStart w:id="339" w:name="_Toc12983511"/>
      <w:bookmarkStart w:id="340" w:name="_Toc2789"/>
      <w:bookmarkStart w:id="341" w:name="_Toc14426"/>
      <w:bookmarkStart w:id="342" w:name="_Toc20903"/>
      <w:bookmarkStart w:id="343" w:name="_Toc31848"/>
      <w:bookmarkStart w:id="344" w:name="_Toc21365"/>
      <w:bookmarkStart w:id="345" w:name="_Toc390098425"/>
      <w:bookmarkStart w:id="346" w:name="_Toc375039070"/>
      <w:bookmarkStart w:id="347" w:name="_Toc2664"/>
      <w:bookmarkStart w:id="348" w:name="_Toc383891174"/>
      <w:bookmarkStart w:id="349" w:name="_Toc26909"/>
      <w:bookmarkStart w:id="350" w:name="_Toc18631"/>
      <w:bookmarkStart w:id="351" w:name="_Toc41492185"/>
      <w:bookmarkStart w:id="352" w:name="_Toc25750597"/>
      <w:bookmarkStart w:id="353" w:name="_Toc28270"/>
      <w:bookmarkStart w:id="354" w:name="_Toc29001"/>
      <w:r>
        <w:rPr>
          <w:rFonts w:hint="eastAsia" w:ascii="宋体" w:hAnsi="宋体"/>
          <w:color w:val="000000" w:themeColor="text1"/>
          <w:sz w:val="21"/>
          <w:szCs w:val="21"/>
          <w:highlight w:val="none"/>
          <w14:textFill>
            <w14:solidFill>
              <w14:schemeClr w14:val="tx1"/>
            </w14:solidFill>
          </w14:textFill>
        </w:rPr>
        <w:t>6.</w:t>
      </w:r>
      <w:r>
        <w:rPr>
          <w:rFonts w:ascii="宋体" w:hAnsi="宋体"/>
          <w:color w:val="000000" w:themeColor="text1"/>
          <w:sz w:val="21"/>
          <w:szCs w:val="21"/>
          <w:highlight w:val="none"/>
          <w14:textFill>
            <w14:solidFill>
              <w14:schemeClr w14:val="tx1"/>
            </w14:solidFill>
          </w14:textFill>
        </w:rPr>
        <w:t>比选文件的澄清</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6.1 </w:t>
      </w:r>
      <w:r>
        <w:rPr>
          <w:rFonts w:ascii="宋体" w:hAnsi="宋体"/>
          <w:color w:val="000000" w:themeColor="text1"/>
          <w:highlight w:val="none"/>
          <w14:textFill>
            <w14:solidFill>
              <w14:schemeClr w14:val="tx1"/>
            </w14:solidFill>
          </w14:textFill>
        </w:rPr>
        <w:t>任何要求对比选文件进行澄清的比选申请人，应在比选申请须知前附表所规定的时间</w:t>
      </w:r>
      <w:r>
        <w:rPr>
          <w:rFonts w:hint="eastAsia" w:ascii="宋体" w:hAnsi="宋体"/>
          <w:color w:val="000000" w:themeColor="text1"/>
          <w:highlight w:val="none"/>
          <w14:textFill>
            <w14:solidFill>
              <w14:schemeClr w14:val="tx1"/>
            </w14:solidFill>
          </w14:textFill>
        </w:rPr>
        <w:t>及形式向比选人提出。</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6.2 比选人</w:t>
      </w:r>
      <w:r>
        <w:rPr>
          <w:rFonts w:ascii="宋体" w:hAnsi="宋体"/>
          <w:color w:val="000000" w:themeColor="text1"/>
          <w:highlight w:val="none"/>
          <w14:textFill>
            <w14:solidFill>
              <w14:schemeClr w14:val="tx1"/>
            </w14:solidFill>
          </w14:textFill>
        </w:rPr>
        <w:t>将根据比选申请人的</w:t>
      </w:r>
      <w:r>
        <w:rPr>
          <w:rFonts w:hint="eastAsia" w:ascii="宋体" w:hAnsi="宋体"/>
          <w:color w:val="000000" w:themeColor="text1"/>
          <w:highlight w:val="none"/>
          <w14:textFill>
            <w14:solidFill>
              <w14:schemeClr w14:val="tx1"/>
            </w14:solidFill>
          </w14:textFill>
        </w:rPr>
        <w:t>书面</w:t>
      </w:r>
      <w:r>
        <w:rPr>
          <w:rFonts w:ascii="宋体" w:hAnsi="宋体"/>
          <w:color w:val="000000" w:themeColor="text1"/>
          <w:highlight w:val="none"/>
          <w14:textFill>
            <w14:solidFill>
              <w14:schemeClr w14:val="tx1"/>
            </w14:solidFill>
          </w14:textFill>
        </w:rPr>
        <w:t>澄清要求</w:t>
      </w:r>
      <w:r>
        <w:rPr>
          <w:rFonts w:hint="eastAsia" w:ascii="宋体" w:hAnsi="宋体"/>
          <w:color w:val="000000" w:themeColor="text1"/>
          <w:highlight w:val="none"/>
          <w14:textFill>
            <w14:solidFill>
              <w14:schemeClr w14:val="tx1"/>
            </w14:solidFill>
          </w14:textFill>
        </w:rPr>
        <w:t>进行澄清答复，答复的方式及比选申请人确认的方式详见比选申请须知前附表，比选人</w:t>
      </w:r>
      <w:r>
        <w:rPr>
          <w:rFonts w:ascii="宋体" w:hAnsi="宋体"/>
          <w:color w:val="000000" w:themeColor="text1"/>
          <w:highlight w:val="none"/>
          <w14:textFill>
            <w14:solidFill>
              <w14:schemeClr w14:val="tx1"/>
            </w14:solidFill>
          </w14:textFill>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55" w:name="_Toc29795"/>
      <w:bookmarkStart w:id="356" w:name="_Toc383891175"/>
      <w:bookmarkStart w:id="357" w:name="_Toc385427800"/>
      <w:bookmarkStart w:id="358" w:name="_Toc25750598"/>
      <w:bookmarkStart w:id="359" w:name="_Toc14181"/>
      <w:bookmarkStart w:id="360" w:name="_Toc27124"/>
      <w:bookmarkStart w:id="361" w:name="_Toc492478725"/>
      <w:bookmarkStart w:id="362" w:name="_Toc2072"/>
      <w:bookmarkStart w:id="363" w:name="_Toc26952"/>
      <w:bookmarkStart w:id="364" w:name="_Toc15498"/>
      <w:bookmarkStart w:id="365" w:name="_Toc30378"/>
      <w:bookmarkStart w:id="366" w:name="_Toc41492186"/>
      <w:bookmarkStart w:id="367" w:name="_Toc5364"/>
      <w:bookmarkStart w:id="368" w:name="_Toc24583"/>
      <w:bookmarkStart w:id="369" w:name="_Toc390098426"/>
      <w:bookmarkStart w:id="370" w:name="_Toc19345"/>
      <w:bookmarkStart w:id="371" w:name="_Toc7063"/>
      <w:bookmarkStart w:id="372" w:name="_Toc375039071"/>
      <w:bookmarkStart w:id="373" w:name="_Toc24128"/>
      <w:bookmarkStart w:id="374" w:name="_Toc2976"/>
      <w:bookmarkStart w:id="375" w:name="_Toc24191"/>
      <w:bookmarkStart w:id="376" w:name="_Toc12983512"/>
      <w:bookmarkStart w:id="377" w:name="_Toc22529"/>
      <w:bookmarkStart w:id="378" w:name="_Toc15674"/>
      <w:bookmarkStart w:id="379" w:name="_Toc15137"/>
      <w:r>
        <w:rPr>
          <w:rFonts w:hint="eastAsia" w:ascii="宋体" w:hAnsi="宋体"/>
          <w:color w:val="000000" w:themeColor="text1"/>
          <w:sz w:val="21"/>
          <w:szCs w:val="21"/>
          <w:highlight w:val="none"/>
          <w14:textFill>
            <w14:solidFill>
              <w14:schemeClr w14:val="tx1"/>
            </w14:solidFill>
          </w14:textFill>
        </w:rPr>
        <w:t xml:space="preserve">7. </w:t>
      </w:r>
      <w:r>
        <w:rPr>
          <w:rFonts w:ascii="宋体" w:hAnsi="宋体"/>
          <w:color w:val="000000" w:themeColor="text1"/>
          <w:sz w:val="21"/>
          <w:szCs w:val="21"/>
          <w:highlight w:val="none"/>
          <w14:textFill>
            <w14:solidFill>
              <w14:schemeClr w14:val="tx1"/>
            </w14:solidFill>
          </w14:textFill>
        </w:rPr>
        <w:t>比选文件的补遗或修改</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7.1 </w:t>
      </w:r>
      <w:r>
        <w:rPr>
          <w:rFonts w:ascii="宋体" w:hAnsi="宋体"/>
          <w:color w:val="000000" w:themeColor="text1"/>
          <w:highlight w:val="none"/>
          <w14:textFill>
            <w14:solidFill>
              <w14:schemeClr w14:val="tx1"/>
            </w14:solidFill>
          </w14:textFill>
        </w:rPr>
        <w:t>在比选申请截止期前，无论出于何种原因，</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可以主动或应比选申请人澄清要求对比选文件进行必要的补遗或修改。</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7.2 </w:t>
      </w:r>
      <w:r>
        <w:rPr>
          <w:rFonts w:ascii="宋体" w:hAnsi="宋体"/>
          <w:color w:val="000000" w:themeColor="text1"/>
          <w:highlight w:val="none"/>
          <w14:textFill>
            <w14:solidFill>
              <w14:schemeClr w14:val="tx1"/>
            </w14:solidFill>
          </w14:textFill>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color w:val="000000" w:themeColor="text1"/>
          <w:highlight w:val="none"/>
          <w14:textFill>
            <w14:solidFill>
              <w14:schemeClr w14:val="tx1"/>
            </w14:solidFill>
          </w14:textFill>
        </w:rPr>
        <w:t>南宁轨道交通集团有限责任公司官网</w:t>
      </w:r>
      <w:r>
        <w:rPr>
          <w:rFonts w:ascii="宋体" w:hAnsi="宋体"/>
          <w:color w:val="000000" w:themeColor="text1"/>
          <w:highlight w:val="none"/>
          <w14:textFill>
            <w14:solidFill>
              <w14:schemeClr w14:val="tx1"/>
            </w14:solidFill>
          </w14:textFill>
        </w:rPr>
        <w:t>上发布的补充比选文件造成的损失，由比选申请人自行负责。</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7.3 </w:t>
      </w:r>
      <w:r>
        <w:rPr>
          <w:rFonts w:ascii="宋体" w:hAnsi="宋体"/>
          <w:color w:val="000000" w:themeColor="text1"/>
          <w:highlight w:val="none"/>
          <w14:textFill>
            <w14:solidFill>
              <w14:schemeClr w14:val="tx1"/>
            </w14:solidFill>
          </w14:textFill>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7.4 </w:t>
      </w:r>
      <w:r>
        <w:rPr>
          <w:rFonts w:ascii="宋体" w:hAnsi="宋体"/>
          <w:color w:val="000000" w:themeColor="text1"/>
          <w:highlight w:val="none"/>
          <w14:textFill>
            <w14:solidFill>
              <w14:schemeClr w14:val="tx1"/>
            </w14:solidFill>
          </w14:textFill>
        </w:rPr>
        <w:t>为使比选申请人准备比选申请时有充分时间对比选文件的补遗或修改部分进行研究，</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可适当推迟比选申请截止</w:t>
      </w:r>
      <w:r>
        <w:rPr>
          <w:rFonts w:hint="eastAsia" w:ascii="宋体" w:hAnsi="宋体"/>
          <w:color w:val="000000" w:themeColor="text1"/>
          <w:highlight w:val="none"/>
          <w14:textFill>
            <w14:solidFill>
              <w14:schemeClr w14:val="tx1"/>
            </w14:solidFill>
          </w14:textFill>
        </w:rPr>
        <w:t>时间</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380" w:name="_Toc27913"/>
      <w:bookmarkStart w:id="381" w:name="_Toc17335"/>
      <w:bookmarkStart w:id="382" w:name="_Toc385427801"/>
      <w:bookmarkStart w:id="383" w:name="_Toc10841"/>
      <w:bookmarkStart w:id="384" w:name="_Toc24759"/>
      <w:bookmarkStart w:id="385" w:name="_Toc383891176"/>
      <w:bookmarkStart w:id="386" w:name="_Toc14185"/>
      <w:bookmarkStart w:id="387" w:name="_Toc17692"/>
      <w:bookmarkStart w:id="388" w:name="_Toc30363"/>
      <w:bookmarkStart w:id="389" w:name="_Toc4416"/>
      <w:bookmarkStart w:id="390" w:name="_Toc390098427"/>
      <w:bookmarkStart w:id="391" w:name="_Toc400"/>
      <w:bookmarkStart w:id="392" w:name="_Toc12983513"/>
      <w:bookmarkStart w:id="393" w:name="_Toc375039072"/>
      <w:bookmarkStart w:id="394" w:name="_Toc28044"/>
      <w:bookmarkStart w:id="395" w:name="_Toc18679"/>
      <w:bookmarkStart w:id="396" w:name="_Toc95"/>
      <w:bookmarkStart w:id="397" w:name="_Toc25361"/>
      <w:bookmarkStart w:id="398" w:name="_Toc1424"/>
      <w:bookmarkStart w:id="399" w:name="_Toc5805"/>
      <w:bookmarkStart w:id="400" w:name="_Toc4718"/>
      <w:bookmarkStart w:id="401" w:name="_Toc28211"/>
      <w:bookmarkStart w:id="402" w:name="_Toc5612"/>
      <w:bookmarkStart w:id="403" w:name="_Toc24557"/>
      <w:bookmarkStart w:id="404" w:name="_Toc7604"/>
      <w:bookmarkStart w:id="405" w:name="_Toc12575"/>
      <w:bookmarkStart w:id="406" w:name="_Toc1891"/>
      <w:bookmarkStart w:id="407" w:name="_Toc13597"/>
      <w:bookmarkStart w:id="408" w:name="_Toc24412"/>
      <w:bookmarkStart w:id="409" w:name="_Toc10869"/>
      <w:bookmarkStart w:id="410" w:name="_Toc1958"/>
      <w:bookmarkStart w:id="411" w:name="_Toc492478726"/>
      <w:bookmarkStart w:id="412" w:name="_Toc2902"/>
      <w:bookmarkStart w:id="413" w:name="_Toc16406"/>
      <w:r>
        <w:rPr>
          <w:rFonts w:hint="eastAsia" w:ascii="宋体" w:hAnsi="宋体" w:eastAsia="宋体"/>
          <w:color w:val="000000" w:themeColor="text1"/>
          <w:sz w:val="24"/>
          <w:szCs w:val="24"/>
          <w:highlight w:val="none"/>
          <w14:textFill>
            <w14:solidFill>
              <w14:schemeClr w14:val="tx1"/>
            </w14:solidFill>
          </w14:textFill>
        </w:rPr>
        <w:t>三、</w:t>
      </w:r>
      <w:r>
        <w:rPr>
          <w:rFonts w:ascii="宋体" w:hAnsi="宋体" w:eastAsia="宋体"/>
          <w:color w:val="000000" w:themeColor="text1"/>
          <w:sz w:val="24"/>
          <w:szCs w:val="24"/>
          <w:highlight w:val="none"/>
          <w14:textFill>
            <w14:solidFill>
              <w14:schemeClr w14:val="tx1"/>
            </w14:solidFill>
          </w14:textFill>
        </w:rPr>
        <w:t>比选申请文件的编制</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14" w:name="_Toc9592"/>
      <w:bookmarkStart w:id="415" w:name="_Toc16435"/>
      <w:bookmarkStart w:id="416" w:name="_Toc26680"/>
      <w:bookmarkStart w:id="417" w:name="_Toc29862"/>
      <w:bookmarkStart w:id="418" w:name="_Toc383891177"/>
      <w:bookmarkStart w:id="419" w:name="_Toc18350"/>
      <w:bookmarkStart w:id="420" w:name="_Toc21673"/>
      <w:bookmarkStart w:id="421" w:name="_Toc11259"/>
      <w:bookmarkStart w:id="422" w:name="_Toc41492188"/>
      <w:bookmarkStart w:id="423" w:name="_Toc13418"/>
      <w:bookmarkStart w:id="424" w:name="_Toc20025"/>
      <w:bookmarkStart w:id="425" w:name="_Toc375039073"/>
      <w:bookmarkStart w:id="426" w:name="_Toc25750600"/>
      <w:bookmarkStart w:id="427" w:name="_Toc2819"/>
      <w:bookmarkStart w:id="428" w:name="_Toc1733"/>
      <w:bookmarkStart w:id="429" w:name="_Toc16186"/>
      <w:bookmarkStart w:id="430" w:name="_Toc23794"/>
      <w:bookmarkStart w:id="431" w:name="_Toc385427802"/>
      <w:bookmarkStart w:id="432" w:name="_Toc4384"/>
      <w:bookmarkStart w:id="433" w:name="_Toc12456"/>
      <w:bookmarkStart w:id="434" w:name="_Toc492478727"/>
      <w:bookmarkStart w:id="435" w:name="_Toc12983514"/>
      <w:bookmarkStart w:id="436" w:name="_Toc26150"/>
      <w:bookmarkStart w:id="437" w:name="_Toc390098428"/>
      <w:bookmarkStart w:id="438" w:name="_Toc12074"/>
      <w:r>
        <w:rPr>
          <w:rFonts w:hint="eastAsia" w:ascii="宋体" w:hAnsi="宋体"/>
          <w:color w:val="000000" w:themeColor="text1"/>
          <w:sz w:val="21"/>
          <w:szCs w:val="21"/>
          <w:highlight w:val="none"/>
          <w14:textFill>
            <w14:solidFill>
              <w14:schemeClr w14:val="tx1"/>
            </w14:solidFill>
          </w14:textFill>
        </w:rPr>
        <w:t xml:space="preserve">8. </w:t>
      </w:r>
      <w:r>
        <w:rPr>
          <w:rFonts w:ascii="宋体" w:hAnsi="宋体"/>
          <w:color w:val="000000" w:themeColor="text1"/>
          <w:sz w:val="21"/>
          <w:szCs w:val="21"/>
          <w:highlight w:val="none"/>
          <w14:textFill>
            <w14:solidFill>
              <w14:schemeClr w14:val="tx1"/>
            </w14:solidFill>
          </w14:textFill>
        </w:rPr>
        <w:t>编制要求</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0"/>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39" w:name="_Toc385427803"/>
      <w:bookmarkStart w:id="440" w:name="_Toc16237"/>
      <w:bookmarkStart w:id="441" w:name="_Toc41492189"/>
      <w:bookmarkStart w:id="442" w:name="_Toc26753"/>
      <w:bookmarkStart w:id="443" w:name="_Toc24935"/>
      <w:bookmarkStart w:id="444" w:name="_Toc11161"/>
      <w:bookmarkStart w:id="445" w:name="_Toc3492"/>
      <w:bookmarkStart w:id="446" w:name="_Toc492478728"/>
      <w:bookmarkStart w:id="447" w:name="_Toc6261"/>
      <w:bookmarkStart w:id="448" w:name="_Toc375039074"/>
      <w:bookmarkStart w:id="449" w:name="_Toc11040"/>
      <w:bookmarkStart w:id="450" w:name="_Toc28065"/>
      <w:bookmarkStart w:id="451" w:name="_Toc9887"/>
      <w:bookmarkStart w:id="452" w:name="_Toc390098429"/>
      <w:bookmarkStart w:id="453" w:name="_Toc12983515"/>
      <w:bookmarkStart w:id="454" w:name="_Toc19885"/>
      <w:bookmarkStart w:id="455" w:name="_Toc383891178"/>
      <w:bookmarkStart w:id="456" w:name="_Toc28296"/>
      <w:bookmarkStart w:id="457" w:name="_Toc25750601"/>
      <w:bookmarkStart w:id="458" w:name="_Toc12207"/>
      <w:bookmarkStart w:id="459" w:name="_Toc22026"/>
      <w:bookmarkStart w:id="460" w:name="_Toc24857"/>
      <w:bookmarkStart w:id="461" w:name="_Toc15570"/>
      <w:bookmarkStart w:id="462" w:name="_Toc1047"/>
      <w:bookmarkStart w:id="463" w:name="_Toc25770"/>
      <w:r>
        <w:rPr>
          <w:rFonts w:hint="eastAsia" w:ascii="宋体" w:hAnsi="宋体"/>
          <w:color w:val="000000" w:themeColor="text1"/>
          <w:sz w:val="21"/>
          <w:szCs w:val="21"/>
          <w:highlight w:val="none"/>
          <w:lang w:val="en-US" w:eastAsia="zh-CN"/>
          <w14:textFill>
            <w14:solidFill>
              <w14:schemeClr w14:val="tx1"/>
            </w14:solidFill>
          </w14:textFill>
        </w:rPr>
        <w:t>9.</w:t>
      </w:r>
      <w:r>
        <w:rPr>
          <w:rFonts w:ascii="宋体" w:hAnsi="宋体"/>
          <w:color w:val="000000" w:themeColor="text1"/>
          <w:sz w:val="21"/>
          <w:szCs w:val="21"/>
          <w:highlight w:val="none"/>
          <w14:textFill>
            <w14:solidFill>
              <w14:schemeClr w14:val="tx1"/>
            </w14:solidFill>
          </w14:textFill>
        </w:rPr>
        <w:t>比选申请语言及计量单位</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9.1 </w:t>
      </w:r>
      <w:r>
        <w:rPr>
          <w:rFonts w:ascii="宋体" w:hAnsi="宋体"/>
          <w:color w:val="000000" w:themeColor="text1"/>
          <w:highlight w:val="none"/>
          <w14:textFill>
            <w14:solidFill>
              <w14:schemeClr w14:val="tx1"/>
            </w14:solidFill>
          </w14:textFill>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9.2 </w:t>
      </w:r>
      <w:r>
        <w:rPr>
          <w:rFonts w:ascii="宋体" w:hAnsi="宋体"/>
          <w:color w:val="000000" w:themeColor="text1"/>
          <w:highlight w:val="none"/>
          <w14:textFill>
            <w14:solidFill>
              <w14:schemeClr w14:val="tx1"/>
            </w14:solidFill>
          </w14:textFill>
        </w:rPr>
        <w:t>除在比选文件另有规定外，计量单位应使用中华人民共和国法定计量单位。</w:t>
      </w:r>
    </w:p>
    <w:p>
      <w:pPr>
        <w:pStyle w:val="5"/>
        <w:numPr>
          <w:ilvl w:val="0"/>
          <w:numId w:val="0"/>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64" w:name="_Toc385427804"/>
      <w:bookmarkStart w:id="465" w:name="_Toc15809"/>
      <w:bookmarkStart w:id="466" w:name="_Toc23229"/>
      <w:bookmarkStart w:id="467" w:name="_Toc375039075"/>
      <w:bookmarkStart w:id="468" w:name="_Toc3464"/>
      <w:bookmarkStart w:id="469" w:name="_Toc383891179"/>
      <w:bookmarkStart w:id="470" w:name="_Toc29881"/>
      <w:bookmarkStart w:id="471" w:name="_Toc24760"/>
      <w:bookmarkStart w:id="472" w:name="_Toc18149"/>
      <w:bookmarkStart w:id="473" w:name="_Toc23364"/>
      <w:bookmarkStart w:id="474" w:name="_Toc390098430"/>
      <w:bookmarkStart w:id="475" w:name="_Toc14323"/>
      <w:bookmarkStart w:id="476" w:name="_Toc3877"/>
      <w:bookmarkStart w:id="477" w:name="_Toc25750602"/>
      <w:bookmarkStart w:id="478" w:name="_Toc28164"/>
      <w:bookmarkStart w:id="479" w:name="_Toc30356"/>
      <w:bookmarkStart w:id="480" w:name="_Toc22476"/>
      <w:bookmarkStart w:id="481" w:name="_Toc53"/>
      <w:bookmarkStart w:id="482" w:name="_Toc492478729"/>
      <w:bookmarkStart w:id="483" w:name="_Toc30991"/>
      <w:bookmarkStart w:id="484" w:name="_Toc3411"/>
      <w:bookmarkStart w:id="485" w:name="_Toc41492190"/>
      <w:bookmarkStart w:id="486" w:name="_Toc12983516"/>
      <w:bookmarkStart w:id="487" w:name="_Toc16307"/>
      <w:bookmarkStart w:id="488" w:name="_Toc19681"/>
      <w:r>
        <w:rPr>
          <w:rFonts w:hint="eastAsia" w:ascii="宋体" w:hAnsi="宋体"/>
          <w:color w:val="000000" w:themeColor="text1"/>
          <w:sz w:val="21"/>
          <w:szCs w:val="21"/>
          <w:highlight w:val="none"/>
          <w:lang w:val="en-US" w:eastAsia="zh-CN"/>
          <w14:textFill>
            <w14:solidFill>
              <w14:schemeClr w14:val="tx1"/>
            </w14:solidFill>
          </w14:textFill>
        </w:rPr>
        <w:t>10.</w:t>
      </w:r>
      <w:r>
        <w:rPr>
          <w:rFonts w:ascii="宋体" w:hAnsi="宋体"/>
          <w:color w:val="000000" w:themeColor="text1"/>
          <w:sz w:val="21"/>
          <w:szCs w:val="21"/>
          <w:highlight w:val="none"/>
          <w14:textFill>
            <w14:solidFill>
              <w14:schemeClr w14:val="tx1"/>
            </w14:solidFill>
          </w14:textFill>
        </w:rPr>
        <w:t>比选申请文件组成</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tabs>
          <w:tab w:val="left" w:pos="1134"/>
          <w:tab w:val="left" w:pos="1701"/>
          <w:tab w:val="left" w:pos="1843"/>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10.1 </w:t>
      </w:r>
      <w:r>
        <w:rPr>
          <w:rFonts w:ascii="宋体" w:hAnsi="宋体"/>
          <w:color w:val="000000" w:themeColor="text1"/>
          <w:highlight w:val="none"/>
          <w14:textFill>
            <w14:solidFill>
              <w14:schemeClr w14:val="tx1"/>
            </w14:solidFill>
          </w14:textFill>
        </w:rPr>
        <w:t>比选申请文件应提供足够、准确和真实的信息，以供评审委员会判断比选申请人是否具备承担本项目的能力。比选申请人递交的比选申请文件</w:t>
      </w:r>
      <w:r>
        <w:rPr>
          <w:rFonts w:hint="eastAsia" w:ascii="宋体" w:hAnsi="宋体"/>
          <w:color w:val="000000" w:themeColor="text1"/>
          <w:highlight w:val="none"/>
          <w14:textFill>
            <w14:solidFill>
              <w14:schemeClr w14:val="tx1"/>
            </w14:solidFill>
          </w14:textFill>
        </w:rPr>
        <w:t>组成详见比选申请须知前附表</w:t>
      </w:r>
      <w:r>
        <w:rPr>
          <w:rFonts w:ascii="宋体" w:hAnsi="宋体"/>
          <w:color w:val="000000" w:themeColor="text1"/>
          <w:highlight w:val="none"/>
          <w14:textFill>
            <w14:solidFill>
              <w14:schemeClr w14:val="tx1"/>
            </w14:solidFill>
          </w14:textFill>
        </w:rPr>
        <w:t>。</w:t>
      </w:r>
    </w:p>
    <w:p>
      <w:pPr>
        <w:tabs>
          <w:tab w:val="left" w:pos="1134"/>
          <w:tab w:val="left" w:pos="1701"/>
          <w:tab w:val="left" w:pos="1843"/>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89" w:name="_Toc390098431"/>
      <w:bookmarkStart w:id="490" w:name="_Toc25750603"/>
      <w:bookmarkStart w:id="491" w:name="_Toc375039076"/>
      <w:bookmarkStart w:id="492" w:name="_Toc14630"/>
      <w:bookmarkStart w:id="493" w:name="_Toc3670"/>
      <w:bookmarkStart w:id="494" w:name="_Toc21144"/>
      <w:bookmarkStart w:id="495" w:name="_Toc41492191"/>
      <w:bookmarkStart w:id="496" w:name="_Toc15919"/>
      <w:bookmarkStart w:id="497" w:name="_Toc23002"/>
      <w:bookmarkStart w:id="498" w:name="_Toc16783"/>
      <w:bookmarkStart w:id="499" w:name="_Toc675"/>
      <w:bookmarkStart w:id="500" w:name="_Toc20490"/>
      <w:bookmarkStart w:id="501" w:name="_Toc27194"/>
      <w:bookmarkStart w:id="502" w:name="_Toc12983517"/>
      <w:bookmarkStart w:id="503" w:name="_Toc383891180"/>
      <w:bookmarkStart w:id="504" w:name="_Toc27019"/>
      <w:bookmarkStart w:id="505" w:name="_Toc8151"/>
      <w:bookmarkStart w:id="506" w:name="_Toc492478730"/>
      <w:bookmarkStart w:id="507" w:name="_Toc2395"/>
      <w:bookmarkStart w:id="508" w:name="_Toc14308"/>
      <w:bookmarkStart w:id="509" w:name="_Toc15448"/>
      <w:bookmarkStart w:id="510" w:name="_Toc385427805"/>
      <w:bookmarkStart w:id="511" w:name="_Toc20248"/>
      <w:bookmarkStart w:id="512" w:name="_Toc7608"/>
      <w:bookmarkStart w:id="513" w:name="_Toc11211"/>
      <w:r>
        <w:rPr>
          <w:rFonts w:hint="eastAsia" w:ascii="宋体" w:hAnsi="宋体"/>
          <w:color w:val="000000" w:themeColor="text1"/>
          <w:sz w:val="21"/>
          <w:szCs w:val="21"/>
          <w:highlight w:val="none"/>
          <w14:textFill>
            <w14:solidFill>
              <w14:schemeClr w14:val="tx1"/>
            </w14:solidFill>
          </w14:textFill>
        </w:rPr>
        <w:t xml:space="preserve">11. </w:t>
      </w:r>
      <w:r>
        <w:rPr>
          <w:rFonts w:ascii="宋体" w:hAnsi="宋体"/>
          <w:color w:val="000000" w:themeColor="text1"/>
          <w:sz w:val="21"/>
          <w:szCs w:val="21"/>
          <w:highlight w:val="none"/>
          <w14:textFill>
            <w14:solidFill>
              <w14:schemeClr w14:val="tx1"/>
            </w14:solidFill>
          </w14:textFill>
        </w:rPr>
        <w:t>比选申请文件格式</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11.1 </w:t>
      </w:r>
      <w:r>
        <w:rPr>
          <w:rFonts w:ascii="宋体" w:hAnsi="宋体"/>
          <w:color w:val="000000" w:themeColor="text1"/>
          <w:highlight w:val="none"/>
          <w14:textFill>
            <w14:solidFill>
              <w14:schemeClr w14:val="tx1"/>
            </w14:solidFill>
          </w14:textFill>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11.2 </w:t>
      </w:r>
      <w:r>
        <w:rPr>
          <w:rFonts w:ascii="宋体" w:hAnsi="宋体"/>
          <w:color w:val="000000" w:themeColor="text1"/>
          <w:highlight w:val="none"/>
          <w14:textFill>
            <w14:solidFill>
              <w14:schemeClr w14:val="tx1"/>
            </w14:solidFill>
          </w14:textFill>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11.3 </w:t>
      </w:r>
      <w:r>
        <w:rPr>
          <w:rFonts w:ascii="宋体" w:hAnsi="宋体"/>
          <w:color w:val="000000" w:themeColor="text1"/>
          <w:highlight w:val="none"/>
          <w14:textFill>
            <w14:solidFill>
              <w14:schemeClr w14:val="tx1"/>
            </w14:solidFill>
          </w14:textFill>
        </w:rPr>
        <w:t>比选申请文件的规格：统一为A4印刷本，纸质封面，印刷本厚度</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控制在</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公分以内，超过厚度</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分册装订。封面标明文件题名、编号、比选申请人名称、比选申请时间，</w:t>
      </w:r>
      <w:r>
        <w:rPr>
          <w:rFonts w:hint="eastAsia" w:ascii="宋体" w:hAnsi="宋体"/>
          <w:color w:val="000000" w:themeColor="text1"/>
          <w:highlight w:val="none"/>
          <w14:textFill>
            <w14:solidFill>
              <w14:schemeClr w14:val="tx1"/>
            </w14:solidFill>
          </w14:textFill>
        </w:rPr>
        <w:t>封面上标明</w:t>
      </w:r>
      <w:r>
        <w:rPr>
          <w:rFonts w:ascii="宋体" w:hAnsi="宋体"/>
          <w:color w:val="000000" w:themeColor="text1"/>
          <w:highlight w:val="none"/>
          <w14:textFill>
            <w14:solidFill>
              <w14:schemeClr w14:val="tx1"/>
            </w14:solidFill>
          </w14:textFill>
        </w:rPr>
        <w:t>正本（或副本）。</w:t>
      </w:r>
      <w:r>
        <w:rPr>
          <w:rFonts w:hint="eastAsia" w:ascii="宋体" w:hAnsi="宋体"/>
          <w:color w:val="000000" w:themeColor="text1"/>
          <w:highlight w:val="none"/>
          <w14:textFill>
            <w14:solidFill>
              <w14:schemeClr w14:val="tx1"/>
            </w14:solidFill>
          </w14:textFill>
        </w:rPr>
        <w:t>使用不锈钢书钉或拉线装订或无线胶装</w:t>
      </w:r>
      <w:r>
        <w:rPr>
          <w:rFonts w:ascii="宋体" w:hAnsi="宋体"/>
          <w:color w:val="000000" w:themeColor="text1"/>
          <w:highlight w:val="none"/>
          <w14:textFill>
            <w14:solidFill>
              <w14:schemeClr w14:val="tx1"/>
            </w14:solidFill>
          </w14:textFill>
        </w:rPr>
        <w:t>，装订时书钉不外露；不能使用塑料面或塑料胶条装订。</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11.4</w:t>
      </w:r>
      <w:r>
        <w:rPr>
          <w:rFonts w:ascii="宋体" w:hAnsi="宋体"/>
          <w:color w:val="000000" w:themeColor="text1"/>
          <w:highlight w:val="none"/>
          <w14:textFill>
            <w14:solidFill>
              <w14:schemeClr w14:val="tx1"/>
            </w14:solidFill>
          </w14:textFill>
        </w:rPr>
        <w:t>比选申请文件的页码：必须按每本</w:t>
      </w:r>
      <w:r>
        <w:rPr>
          <w:rFonts w:hint="eastAsia" w:ascii="宋体" w:hAnsi="宋体"/>
          <w:color w:val="000000" w:themeColor="text1"/>
          <w:highlight w:val="none"/>
          <w14:textFill>
            <w14:solidFill>
              <w14:schemeClr w14:val="tx1"/>
            </w14:solidFill>
          </w14:textFill>
        </w:rPr>
        <w:t>正文</w:t>
      </w:r>
      <w:r>
        <w:rPr>
          <w:rFonts w:ascii="宋体" w:hAnsi="宋体"/>
          <w:color w:val="000000" w:themeColor="text1"/>
          <w:highlight w:val="none"/>
          <w14:textFill>
            <w14:solidFill>
              <w14:schemeClr w14:val="tx1"/>
            </w14:solidFill>
          </w14:textFill>
        </w:rPr>
        <w:t>逐页从1开始，按照流水号编号。</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11.5</w:t>
      </w:r>
      <w:r>
        <w:rPr>
          <w:rFonts w:ascii="宋体" w:hAnsi="宋体"/>
          <w:color w:val="000000" w:themeColor="text1"/>
          <w:highlight w:val="none"/>
          <w14:textFill>
            <w14:solidFill>
              <w14:schemeClr w14:val="tx1"/>
            </w14:solidFill>
          </w14:textFill>
        </w:rPr>
        <w:t>图纸的整理：图纸横向按手风琴折叠，竖向按顺时针方向折叠，折叠后图标露在右下角，每本图纸厚度不</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超过4公分，超过</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分卷装订，每卷图纸从图纸封面起逐张从1开始</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按照流水号编号。</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14" w:name="_Toc17338"/>
      <w:bookmarkStart w:id="515" w:name="_Toc25750604"/>
      <w:bookmarkStart w:id="516" w:name="_Toc16653"/>
      <w:bookmarkStart w:id="517" w:name="_Toc17526"/>
      <w:bookmarkStart w:id="518" w:name="_Toc9416"/>
      <w:bookmarkStart w:id="519" w:name="_Toc24264"/>
      <w:bookmarkStart w:id="520" w:name="_Toc12983518"/>
      <w:bookmarkStart w:id="521" w:name="_Toc22295"/>
      <w:bookmarkStart w:id="522" w:name="_Toc385427806"/>
      <w:bookmarkStart w:id="523" w:name="_Toc21084"/>
      <w:bookmarkStart w:id="524" w:name="_Toc492478731"/>
      <w:bookmarkStart w:id="525" w:name="_Toc26974"/>
      <w:bookmarkStart w:id="526" w:name="_Toc7857"/>
      <w:bookmarkStart w:id="527" w:name="_Toc383891181"/>
      <w:bookmarkStart w:id="528" w:name="_Toc375039077"/>
      <w:bookmarkStart w:id="529" w:name="_Toc20685"/>
      <w:bookmarkStart w:id="530" w:name="_Toc14123"/>
      <w:bookmarkStart w:id="531" w:name="_Toc3799"/>
      <w:bookmarkStart w:id="532" w:name="_Toc390098432"/>
      <w:bookmarkStart w:id="533" w:name="_Toc31743"/>
      <w:bookmarkStart w:id="534" w:name="_Toc26482"/>
      <w:bookmarkStart w:id="535" w:name="_Toc41492192"/>
      <w:bookmarkStart w:id="536" w:name="_Toc6671"/>
      <w:bookmarkStart w:id="537" w:name="_Toc3813"/>
      <w:bookmarkStart w:id="538" w:name="_Toc17379"/>
      <w:r>
        <w:rPr>
          <w:rFonts w:hint="eastAsia" w:ascii="宋体" w:hAnsi="宋体"/>
          <w:color w:val="000000" w:themeColor="text1"/>
          <w:sz w:val="21"/>
          <w:szCs w:val="21"/>
          <w:highlight w:val="none"/>
          <w14:textFill>
            <w14:solidFill>
              <w14:schemeClr w14:val="tx1"/>
            </w14:solidFill>
          </w14:textFill>
        </w:rPr>
        <w:t xml:space="preserve">12. </w:t>
      </w:r>
      <w:r>
        <w:rPr>
          <w:rFonts w:ascii="宋体" w:hAnsi="宋体"/>
          <w:color w:val="000000" w:themeColor="text1"/>
          <w:sz w:val="21"/>
          <w:szCs w:val="21"/>
          <w:highlight w:val="none"/>
          <w14:textFill>
            <w14:solidFill>
              <w14:schemeClr w14:val="tx1"/>
            </w14:solidFill>
          </w14:textFill>
        </w:rPr>
        <w:t>比选申请报价</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12.1 </w:t>
      </w:r>
      <w:r>
        <w:rPr>
          <w:rFonts w:hint="eastAsia" w:ascii="宋体" w:hAnsi="宋体"/>
          <w:color w:val="000000" w:themeColor="text1"/>
          <w:highlight w:val="none"/>
          <w14:textFill>
            <w14:solidFill>
              <w14:schemeClr w14:val="tx1"/>
            </w14:solidFill>
          </w14:textFill>
        </w:rPr>
        <w:t>本项目采用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12.2 </w:t>
      </w:r>
      <w:r>
        <w:rPr>
          <w:rFonts w:hint="eastAsia" w:ascii="宋体" w:hAnsi="宋体"/>
          <w:color w:val="000000" w:themeColor="text1"/>
          <w:highlight w:val="none"/>
          <w14:textFill>
            <w14:solidFill>
              <w14:schemeClr w14:val="tx1"/>
            </w14:solidFill>
          </w14:textFill>
        </w:rPr>
        <w:t>比选申请报价应包括此报价已包含</w:t>
      </w:r>
      <w:r>
        <w:rPr>
          <w:rFonts w:hint="eastAsia" w:ascii="宋体" w:hAnsi="宋体"/>
          <w:color w:val="000000" w:themeColor="text1"/>
          <w:highlight w:val="none"/>
          <w:lang w:val="en-US" w:eastAsia="zh-CN"/>
          <w14:textFill>
            <w14:solidFill>
              <w14:schemeClr w14:val="tx1"/>
            </w14:solidFill>
          </w14:textFill>
        </w:rPr>
        <w:t>线上课程采购费用、线上平台使用费用、</w:t>
      </w:r>
      <w:r>
        <w:rPr>
          <w:rFonts w:hint="eastAsia" w:ascii="宋体" w:hAnsi="宋体"/>
          <w:color w:val="000000" w:themeColor="text1"/>
          <w:highlight w:val="none"/>
          <w14:textFill>
            <w14:solidFill>
              <w14:schemeClr w14:val="tx1"/>
            </w14:solidFill>
          </w14:textFill>
        </w:rPr>
        <w:t>税金、邮寄费等一切费用等履行合同标的全过程产生的所有成本和费用以及比选申请人应承担的费用。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spacing w:before="0" w:after="0" w:afterAutospacing="0"/>
        <w:ind w:left="0" w:right="0" w:firstLine="420" w:firstLineChars="200"/>
        <w:rPr>
          <w:rFonts w:ascii="宋体" w:hAnsi="宋体" w:cs="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lang w:val="en-US" w:eastAsia="zh-CN"/>
          <w14:textFill>
            <w14:solidFill>
              <w14:schemeClr w14:val="tx1"/>
            </w14:solidFill>
          </w14:textFill>
        </w:rPr>
        <w:t>4</w:t>
      </w:r>
      <w:r>
        <w:rPr>
          <w:rFonts w:ascii="宋体" w:hAnsi="宋体" w:cs="宋体"/>
          <w:color w:val="000000" w:themeColor="text1"/>
          <w:highlight w:val="none"/>
          <w14:textFill>
            <w14:solidFill>
              <w14:schemeClr w14:val="tx1"/>
            </w14:solidFill>
          </w14:textFill>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b/>
          <w:color w:val="000000" w:themeColor="text1"/>
          <w:highlight w:val="none"/>
          <w14:textFill>
            <w14:solidFill>
              <w14:schemeClr w14:val="tx1"/>
            </w14:solidFill>
          </w14:textFill>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 xml:space="preserve">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39" w:name="_Toc385427807"/>
      <w:bookmarkStart w:id="540" w:name="_Toc12983519"/>
      <w:bookmarkStart w:id="541" w:name="_Toc21430"/>
      <w:bookmarkStart w:id="542" w:name="_Toc390098433"/>
      <w:bookmarkStart w:id="543" w:name="_Toc1664"/>
      <w:bookmarkStart w:id="544" w:name="_Toc41492193"/>
      <w:bookmarkStart w:id="545" w:name="_Toc28880"/>
      <w:bookmarkStart w:id="546" w:name="_Toc25750605"/>
      <w:bookmarkStart w:id="547" w:name="_Toc28476"/>
      <w:bookmarkStart w:id="548" w:name="_Toc12762"/>
      <w:bookmarkStart w:id="549" w:name="_Toc5836"/>
      <w:bookmarkStart w:id="550" w:name="_Toc383891182"/>
      <w:bookmarkStart w:id="551" w:name="_Toc21448"/>
      <w:bookmarkStart w:id="552" w:name="_Toc25459"/>
      <w:bookmarkStart w:id="553" w:name="_Toc492478732"/>
      <w:bookmarkStart w:id="554" w:name="_Toc26064"/>
      <w:bookmarkStart w:id="555" w:name="_Toc7428"/>
      <w:bookmarkStart w:id="556" w:name="_Toc21706"/>
      <w:bookmarkStart w:id="557" w:name="_Toc10220"/>
      <w:bookmarkStart w:id="558" w:name="_Toc12947"/>
      <w:bookmarkStart w:id="559" w:name="_Toc375039078"/>
      <w:bookmarkStart w:id="560" w:name="_Toc2710"/>
      <w:bookmarkStart w:id="561" w:name="_Toc20156"/>
      <w:bookmarkStart w:id="562" w:name="_Toc15940"/>
      <w:bookmarkStart w:id="563" w:name="_Toc18875"/>
      <w:r>
        <w:rPr>
          <w:rFonts w:ascii="宋体" w:hAnsi="宋体"/>
          <w:color w:val="000000" w:themeColor="text1"/>
          <w:sz w:val="21"/>
          <w:szCs w:val="21"/>
          <w:highlight w:val="none"/>
          <w14:textFill>
            <w14:solidFill>
              <w14:schemeClr w14:val="tx1"/>
            </w14:solidFill>
          </w14:textFill>
        </w:rPr>
        <w:t>比选申请货币</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ascii="宋体" w:hAnsi="宋体"/>
          <w:color w:val="000000" w:themeColor="text1"/>
          <w:highlight w:val="none"/>
          <w14:textFill>
            <w14:solidFill>
              <w14:schemeClr w14:val="tx1"/>
            </w14:solidFill>
          </w14:textFill>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w:t>
      </w:r>
      <w:r>
        <w:rPr>
          <w:rFonts w:ascii="宋体" w:hAnsi="宋体"/>
          <w:color w:val="000000" w:themeColor="text1"/>
          <w:highlight w:val="none"/>
          <w14:textFill>
            <w14:solidFill>
              <w14:schemeClr w14:val="tx1"/>
            </w14:solidFill>
          </w14:textFill>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64" w:name="_Toc28665"/>
      <w:bookmarkStart w:id="565" w:name="_Toc30606"/>
      <w:bookmarkStart w:id="566" w:name="_Toc5974"/>
      <w:bookmarkStart w:id="567" w:name="_Toc11690"/>
      <w:bookmarkStart w:id="568" w:name="_Toc24199"/>
      <w:bookmarkStart w:id="569" w:name="_Toc30848"/>
      <w:bookmarkStart w:id="570" w:name="_Toc492478735"/>
      <w:bookmarkStart w:id="571" w:name="_Toc9237"/>
      <w:bookmarkStart w:id="572" w:name="_Toc30040"/>
      <w:bookmarkStart w:id="573" w:name="_Toc1530"/>
      <w:bookmarkStart w:id="574" w:name="_Toc27508"/>
      <w:bookmarkStart w:id="575" w:name="_Toc1624"/>
      <w:bookmarkStart w:id="576" w:name="_Toc385427810"/>
      <w:bookmarkStart w:id="577" w:name="_Toc375039081"/>
      <w:bookmarkStart w:id="578" w:name="_Toc390098436"/>
      <w:bookmarkStart w:id="579" w:name="_Toc16314"/>
      <w:bookmarkStart w:id="580" w:name="_Toc7417"/>
      <w:bookmarkStart w:id="581" w:name="_Toc25750606"/>
      <w:bookmarkStart w:id="582" w:name="_Toc22051"/>
      <w:bookmarkStart w:id="583" w:name="_Toc12983520"/>
      <w:bookmarkStart w:id="584" w:name="_Toc12049"/>
      <w:bookmarkStart w:id="585" w:name="_Toc14922"/>
      <w:bookmarkStart w:id="586" w:name="_Toc383891185"/>
      <w:bookmarkStart w:id="587" w:name="_Toc41492194"/>
      <w:bookmarkStart w:id="588" w:name="_Toc14309"/>
      <w:r>
        <w:rPr>
          <w:rFonts w:ascii="宋体" w:hAnsi="宋体"/>
          <w:color w:val="000000" w:themeColor="text1"/>
          <w:sz w:val="21"/>
          <w:szCs w:val="21"/>
          <w:highlight w:val="none"/>
          <w14:textFill>
            <w14:solidFill>
              <w14:schemeClr w14:val="tx1"/>
            </w14:solidFill>
          </w14:textFill>
        </w:rPr>
        <w:t>比选保证金</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13"/>
        <w:spacing w:before="0" w:after="0" w:afterAutospacing="0"/>
        <w:ind w:left="0" w:right="0" w:firstLine="420" w:firstLineChars="200"/>
        <w:rPr>
          <w:rFonts w:hAnsi="宋体" w:cs="Times New Roman"/>
          <w:color w:val="000000" w:themeColor="text1"/>
          <w:sz w:val="21"/>
          <w:szCs w:val="21"/>
          <w:highlight w:val="none"/>
          <w14:textFill>
            <w14:solidFill>
              <w14:schemeClr w14:val="tx1"/>
            </w14:solidFill>
          </w14:textFill>
        </w:rPr>
      </w:pPr>
      <w:r>
        <w:rPr>
          <w:rFonts w:hint="eastAsia" w:hAnsi="宋体" w:cs="Times New Roman"/>
          <w:color w:val="000000" w:themeColor="text1"/>
          <w:sz w:val="21"/>
          <w:szCs w:val="21"/>
          <w:highlight w:val="none"/>
          <w14:textFill>
            <w14:solidFill>
              <w14:schemeClr w14:val="tx1"/>
            </w14:solidFill>
          </w14:textFill>
        </w:rPr>
        <w:t>本项目</w:t>
      </w:r>
      <w:r>
        <w:rPr>
          <w:rFonts w:hint="eastAsia" w:hAnsi="宋体"/>
          <w:color w:val="000000" w:themeColor="text1"/>
          <w:sz w:val="21"/>
          <w:szCs w:val="21"/>
          <w:highlight w:val="none"/>
          <w14:textFill>
            <w14:solidFill>
              <w14:schemeClr w14:val="tx1"/>
            </w14:solidFill>
          </w14:textFill>
        </w:rPr>
        <w:t>不要求递交比选保证金。</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89" w:name="_Toc20493"/>
      <w:bookmarkStart w:id="590" w:name="_Toc9117"/>
      <w:bookmarkStart w:id="591" w:name="_Toc28555"/>
      <w:bookmarkStart w:id="592" w:name="_Toc375039082"/>
      <w:bookmarkStart w:id="593" w:name="_Toc385427811"/>
      <w:bookmarkStart w:id="594" w:name="_Toc12983521"/>
      <w:bookmarkStart w:id="595" w:name="_Toc20643"/>
      <w:bookmarkStart w:id="596" w:name="_Toc492478736"/>
      <w:bookmarkStart w:id="597" w:name="_Toc24656"/>
      <w:bookmarkStart w:id="598" w:name="_Toc5690"/>
      <w:bookmarkStart w:id="599" w:name="_Toc25750607"/>
      <w:bookmarkStart w:id="600" w:name="_Toc7808"/>
      <w:bookmarkStart w:id="601" w:name="_Toc4433"/>
      <w:bookmarkStart w:id="602" w:name="_Toc383891186"/>
      <w:bookmarkStart w:id="603" w:name="_Toc28997"/>
      <w:bookmarkStart w:id="604" w:name="_Toc10918"/>
      <w:bookmarkStart w:id="605" w:name="_Toc30499"/>
      <w:bookmarkStart w:id="606" w:name="_Toc390098437"/>
      <w:bookmarkStart w:id="607" w:name="_Toc2268"/>
      <w:bookmarkStart w:id="608" w:name="_Toc845"/>
      <w:bookmarkStart w:id="609" w:name="_Toc691"/>
      <w:bookmarkStart w:id="610" w:name="_Toc23114"/>
      <w:bookmarkStart w:id="611" w:name="_Toc20070"/>
      <w:bookmarkStart w:id="612" w:name="_Toc41492195"/>
      <w:bookmarkStart w:id="613" w:name="_Toc1604"/>
      <w:r>
        <w:rPr>
          <w:rFonts w:hint="eastAsia" w:ascii="宋体" w:hAnsi="宋体"/>
          <w:color w:val="000000" w:themeColor="text1"/>
          <w:sz w:val="21"/>
          <w:szCs w:val="21"/>
          <w:highlight w:val="none"/>
          <w14:textFill>
            <w14:solidFill>
              <w14:schemeClr w14:val="tx1"/>
            </w14:solidFill>
          </w14:textFill>
        </w:rPr>
        <w:t xml:space="preserve">15. </w:t>
      </w:r>
      <w:r>
        <w:rPr>
          <w:rFonts w:ascii="宋体" w:hAnsi="宋体"/>
          <w:color w:val="000000" w:themeColor="text1"/>
          <w:sz w:val="21"/>
          <w:szCs w:val="21"/>
          <w:highlight w:val="none"/>
          <w14:textFill>
            <w14:solidFill>
              <w14:schemeClr w14:val="tx1"/>
            </w14:solidFill>
          </w14:textFill>
        </w:rPr>
        <w:t>比选申请有效期</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15.1 </w:t>
      </w:r>
      <w:r>
        <w:rPr>
          <w:rFonts w:ascii="宋体" w:hAnsi="宋体"/>
          <w:color w:val="000000" w:themeColor="text1"/>
          <w:highlight w:val="none"/>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15.2 </w:t>
      </w:r>
      <w:r>
        <w:rPr>
          <w:rFonts w:ascii="宋体" w:hAnsi="宋体"/>
          <w:color w:val="000000" w:themeColor="text1"/>
          <w:highlight w:val="none"/>
          <w14:textFill>
            <w14:solidFill>
              <w14:schemeClr w14:val="tx1"/>
            </w14:solidFill>
          </w14:textFill>
        </w:rPr>
        <w:t>特殊情况下，</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14" w:name="_Toc25468"/>
      <w:bookmarkStart w:id="615" w:name="_Toc14672"/>
      <w:bookmarkStart w:id="616" w:name="_Toc25684"/>
      <w:bookmarkStart w:id="617" w:name="_Toc12983522"/>
      <w:bookmarkStart w:id="618" w:name="_Toc12506"/>
      <w:bookmarkStart w:id="619" w:name="_Toc6065"/>
      <w:bookmarkStart w:id="620" w:name="_Toc32525"/>
      <w:bookmarkStart w:id="621" w:name="_Toc375039083"/>
      <w:bookmarkStart w:id="622" w:name="_Toc383891187"/>
      <w:bookmarkStart w:id="623" w:name="_Toc3414"/>
      <w:bookmarkStart w:id="624" w:name="_Toc385427812"/>
      <w:bookmarkStart w:id="625" w:name="_Toc4216"/>
      <w:bookmarkStart w:id="626" w:name="_Toc19044"/>
      <w:bookmarkStart w:id="627" w:name="_Toc8100"/>
      <w:bookmarkStart w:id="628" w:name="_Toc24922"/>
      <w:bookmarkStart w:id="629" w:name="_Toc492478737"/>
      <w:bookmarkStart w:id="630" w:name="_Toc12435"/>
      <w:bookmarkStart w:id="631" w:name="_Toc32020"/>
      <w:bookmarkStart w:id="632" w:name="_Toc29108"/>
      <w:bookmarkStart w:id="633" w:name="_Toc301"/>
      <w:bookmarkStart w:id="634" w:name="_Toc19603"/>
      <w:bookmarkStart w:id="635" w:name="_Toc390098438"/>
      <w:bookmarkStart w:id="636" w:name="_Toc27730"/>
      <w:r>
        <w:rPr>
          <w:rFonts w:hint="eastAsia" w:ascii="宋体" w:hAnsi="宋体"/>
          <w:color w:val="000000" w:themeColor="text1"/>
          <w:highlight w:val="none"/>
          <w14:textFill>
            <w14:solidFill>
              <w14:schemeClr w14:val="tx1"/>
            </w14:solidFill>
          </w14:textFill>
        </w:rPr>
        <w:t xml:space="preserve">16. </w:t>
      </w:r>
      <w:r>
        <w:rPr>
          <w:rFonts w:ascii="宋体" w:hAnsi="宋体"/>
          <w:color w:val="000000" w:themeColor="text1"/>
          <w:highlight w:val="none"/>
          <w14:textFill>
            <w14:solidFill>
              <w14:schemeClr w14:val="tx1"/>
            </w14:solidFill>
          </w14:textFill>
        </w:rPr>
        <w:t>比选申请文件的制作和签署</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16.1 </w:t>
      </w:r>
      <w:r>
        <w:rPr>
          <w:rFonts w:ascii="宋体" w:hAnsi="宋体"/>
          <w:color w:val="000000" w:themeColor="text1"/>
          <w:highlight w:val="none"/>
          <w14:textFill>
            <w14:solidFill>
              <w14:schemeClr w14:val="tx1"/>
            </w14:solidFill>
          </w14:textFill>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文件不符以纸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文件为准。</w:t>
      </w:r>
      <w:r>
        <w:rPr>
          <w:rFonts w:hint="eastAsia" w:ascii="宋体" w:hAnsi="宋体"/>
          <w:b/>
          <w:color w:val="000000" w:themeColor="text1"/>
          <w:highlight w:val="none"/>
          <w14:textFill>
            <w14:solidFill>
              <w14:schemeClr w14:val="tx1"/>
            </w14:solidFill>
          </w14:textFill>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16.2 </w:t>
      </w:r>
      <w:r>
        <w:rPr>
          <w:rFonts w:ascii="宋体" w:hAnsi="宋体"/>
          <w:b/>
          <w:color w:val="000000" w:themeColor="text1"/>
          <w:highlight w:val="none"/>
          <w14:textFill>
            <w14:solidFill>
              <w14:schemeClr w14:val="tx1"/>
            </w14:solidFill>
          </w14:textFill>
        </w:rPr>
        <w:t>比选申请文件的正本需打印，并由比选申请人法定代表人或其授权委托人</w:t>
      </w:r>
      <w:r>
        <w:rPr>
          <w:rFonts w:hint="eastAsia" w:ascii="宋体" w:hAnsi="宋体"/>
          <w:b/>
          <w:color w:val="000000" w:themeColor="text1"/>
          <w:highlight w:val="none"/>
          <w14:textFill>
            <w14:solidFill>
              <w14:schemeClr w14:val="tx1"/>
            </w14:solidFill>
          </w14:textFill>
        </w:rPr>
        <w:t>在比选文件规定的相关位置</w:t>
      </w:r>
      <w:r>
        <w:rPr>
          <w:rFonts w:ascii="宋体" w:hAnsi="宋体"/>
          <w:b/>
          <w:color w:val="000000" w:themeColor="text1"/>
          <w:highlight w:val="none"/>
          <w14:textFill>
            <w14:solidFill>
              <w14:schemeClr w14:val="tx1"/>
            </w14:solidFill>
          </w14:textFill>
        </w:rPr>
        <w:t>签字并加盖公章。授权委托人应将以书面形式出具的“法定代表人授权书”附在比选申请文件中。</w:t>
      </w:r>
      <w:r>
        <w:rPr>
          <w:rFonts w:hint="eastAsia" w:ascii="宋体" w:hAnsi="宋体"/>
          <w:b/>
          <w:color w:val="000000" w:themeColor="text1"/>
          <w:highlight w:val="none"/>
          <w14:textFill>
            <w14:solidFill>
              <w14:schemeClr w14:val="tx1"/>
            </w14:solidFill>
          </w14:textFill>
        </w:rPr>
        <w:t>比选申请文件正本需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比选申请文件的副本可采用正本的复印件</w:t>
      </w:r>
      <w:r>
        <w:rPr>
          <w:rFonts w:hint="eastAsia" w:ascii="宋体" w:hAnsi="宋体"/>
          <w:b/>
          <w:color w:val="000000" w:themeColor="text1"/>
          <w:highlight w:val="none"/>
          <w14:textFill>
            <w14:solidFill>
              <w14:schemeClr w14:val="tx1"/>
            </w14:solidFill>
          </w14:textFill>
        </w:rPr>
        <w:t>（需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16.3 </w:t>
      </w:r>
      <w:r>
        <w:rPr>
          <w:rFonts w:ascii="宋体" w:hAnsi="宋体"/>
          <w:color w:val="000000" w:themeColor="text1"/>
          <w:highlight w:val="none"/>
          <w14:textFill>
            <w14:solidFill>
              <w14:schemeClr w14:val="tx1"/>
            </w14:solidFill>
          </w14:textFill>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16.4 </w:t>
      </w:r>
      <w:r>
        <w:rPr>
          <w:rFonts w:ascii="宋体" w:hAnsi="宋体"/>
          <w:color w:val="000000" w:themeColor="text1"/>
          <w:highlight w:val="none"/>
          <w14:textFill>
            <w14:solidFill>
              <w14:schemeClr w14:val="tx1"/>
            </w14:solidFill>
          </w14:textFill>
        </w:rPr>
        <w:t>比选人拒绝接受以</w:t>
      </w:r>
      <w:r>
        <w:rPr>
          <w:rFonts w:hint="eastAsia" w:ascii="宋体" w:hAnsi="宋体"/>
          <w:color w:val="000000" w:themeColor="text1"/>
          <w:highlight w:val="none"/>
          <w14:textFill>
            <w14:solidFill>
              <w14:schemeClr w14:val="tx1"/>
            </w14:solidFill>
          </w14:textFill>
        </w:rPr>
        <w:t>邮寄、</w:t>
      </w:r>
      <w:r>
        <w:rPr>
          <w:rFonts w:ascii="宋体" w:hAnsi="宋体"/>
          <w:color w:val="000000" w:themeColor="text1"/>
          <w:highlight w:val="none"/>
          <w14:textFill>
            <w14:solidFill>
              <w14:schemeClr w14:val="tx1"/>
            </w14:solidFill>
          </w14:textFill>
        </w:rPr>
        <w:t>电报、电话、传真、电子邮件形式的比选申请。</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637" w:name="_Toc390098439"/>
      <w:bookmarkStart w:id="638" w:name="_Toc385427813"/>
      <w:bookmarkStart w:id="639" w:name="_Toc375039084"/>
      <w:bookmarkStart w:id="640" w:name="_Toc383891188"/>
      <w:bookmarkStart w:id="641" w:name="_Toc32054"/>
      <w:bookmarkStart w:id="642" w:name="_Toc492478738"/>
      <w:bookmarkStart w:id="643" w:name="_Toc2476"/>
      <w:bookmarkStart w:id="644" w:name="_Toc15098"/>
      <w:bookmarkStart w:id="645" w:name="_Toc15116"/>
      <w:bookmarkStart w:id="646" w:name="_Toc708"/>
      <w:bookmarkStart w:id="647" w:name="_Toc6101"/>
      <w:bookmarkStart w:id="648" w:name="_Toc16409"/>
      <w:bookmarkStart w:id="649" w:name="_Toc21540"/>
      <w:bookmarkStart w:id="650" w:name="_Toc29744"/>
      <w:bookmarkStart w:id="651" w:name="_Toc30452"/>
      <w:bookmarkStart w:id="652" w:name="_Toc18322"/>
      <w:bookmarkStart w:id="653" w:name="_Toc2727"/>
      <w:bookmarkStart w:id="654" w:name="_Toc27697"/>
      <w:bookmarkStart w:id="655" w:name="_Toc30187"/>
      <w:bookmarkStart w:id="656" w:name="_Toc2975"/>
      <w:bookmarkStart w:id="657" w:name="_Toc26776"/>
      <w:bookmarkStart w:id="658" w:name="_Toc12983523"/>
      <w:bookmarkStart w:id="659" w:name="_Toc5728"/>
      <w:bookmarkStart w:id="660" w:name="_Toc2404"/>
      <w:bookmarkStart w:id="661" w:name="_Toc30962"/>
      <w:bookmarkStart w:id="662" w:name="_Toc2113"/>
      <w:bookmarkStart w:id="663" w:name="_Toc26551"/>
      <w:bookmarkStart w:id="664" w:name="_Toc6359"/>
      <w:bookmarkStart w:id="665" w:name="_Toc1315"/>
      <w:bookmarkStart w:id="666" w:name="_Toc22540"/>
      <w:bookmarkStart w:id="667" w:name="_Toc10234"/>
      <w:bookmarkStart w:id="668" w:name="_Toc759"/>
      <w:bookmarkStart w:id="669" w:name="_Toc23177"/>
      <w:bookmarkStart w:id="670" w:name="_Toc1952"/>
      <w:r>
        <w:rPr>
          <w:rFonts w:hint="eastAsia" w:ascii="宋体" w:hAnsi="宋体" w:eastAsia="宋体"/>
          <w:color w:val="000000" w:themeColor="text1"/>
          <w:sz w:val="24"/>
          <w:szCs w:val="24"/>
          <w:highlight w:val="none"/>
          <w14:textFill>
            <w14:solidFill>
              <w14:schemeClr w14:val="tx1"/>
            </w14:solidFill>
          </w14:textFill>
        </w:rPr>
        <w:t>四、</w:t>
      </w:r>
      <w:r>
        <w:rPr>
          <w:rFonts w:ascii="宋体" w:hAnsi="宋体" w:eastAsia="宋体"/>
          <w:color w:val="000000" w:themeColor="text1"/>
          <w:sz w:val="24"/>
          <w:szCs w:val="24"/>
          <w:highlight w:val="none"/>
          <w14:textFill>
            <w14:solidFill>
              <w14:schemeClr w14:val="tx1"/>
            </w14:solidFill>
          </w14:textFill>
        </w:rPr>
        <w:t>比选申请文件</w:t>
      </w:r>
      <w:bookmarkEnd w:id="637"/>
      <w:bookmarkEnd w:id="638"/>
      <w:bookmarkEnd w:id="639"/>
      <w:bookmarkEnd w:id="640"/>
      <w:r>
        <w:rPr>
          <w:rFonts w:hint="eastAsia" w:ascii="宋体" w:hAnsi="宋体" w:eastAsia="宋体"/>
          <w:color w:val="000000" w:themeColor="text1"/>
          <w:sz w:val="24"/>
          <w:szCs w:val="24"/>
          <w:highlight w:val="none"/>
          <w14:textFill>
            <w14:solidFill>
              <w14:schemeClr w14:val="tx1"/>
            </w14:solidFill>
          </w14:textFill>
        </w:rPr>
        <w:t>的密封和递交</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71" w:name="_Toc383891189"/>
      <w:bookmarkStart w:id="672" w:name="_Toc9307"/>
      <w:bookmarkStart w:id="673" w:name="_Toc19495"/>
      <w:bookmarkStart w:id="674" w:name="_Toc13829"/>
      <w:bookmarkStart w:id="675" w:name="_Toc13875"/>
      <w:bookmarkStart w:id="676" w:name="_Toc12983524"/>
      <w:bookmarkStart w:id="677" w:name="_Toc15650"/>
      <w:bookmarkStart w:id="678" w:name="_Toc385427814"/>
      <w:bookmarkStart w:id="679" w:name="_Toc18616"/>
      <w:bookmarkStart w:id="680" w:name="_Toc15735"/>
      <w:bookmarkStart w:id="681" w:name="_Toc24648"/>
      <w:bookmarkStart w:id="682" w:name="_Toc15071"/>
      <w:bookmarkStart w:id="683" w:name="_Toc25750609"/>
      <w:bookmarkStart w:id="684" w:name="_Toc13621"/>
      <w:bookmarkStart w:id="685" w:name="_Toc26249"/>
      <w:bookmarkStart w:id="686" w:name="_Toc390098440"/>
      <w:bookmarkStart w:id="687" w:name="_Toc12329"/>
      <w:bookmarkStart w:id="688" w:name="_Toc375039085"/>
      <w:bookmarkStart w:id="689" w:name="_Toc15663"/>
      <w:bookmarkStart w:id="690" w:name="_Toc30196"/>
      <w:bookmarkStart w:id="691" w:name="_Toc5922"/>
      <w:bookmarkStart w:id="692" w:name="_Toc492478739"/>
      <w:bookmarkStart w:id="693" w:name="_Toc12117"/>
      <w:bookmarkStart w:id="694" w:name="_Toc41492197"/>
      <w:bookmarkStart w:id="695" w:name="_Toc17200"/>
      <w:r>
        <w:rPr>
          <w:rFonts w:hint="eastAsia" w:ascii="宋体" w:hAnsi="宋体"/>
          <w:color w:val="000000" w:themeColor="text1"/>
          <w:sz w:val="21"/>
          <w:szCs w:val="21"/>
          <w:highlight w:val="none"/>
          <w14:textFill>
            <w14:solidFill>
              <w14:schemeClr w14:val="tx1"/>
            </w14:solidFill>
          </w14:textFill>
        </w:rPr>
        <w:t xml:space="preserve">17. </w:t>
      </w:r>
      <w:r>
        <w:rPr>
          <w:rFonts w:ascii="宋体" w:hAnsi="宋体"/>
          <w:color w:val="000000" w:themeColor="text1"/>
          <w:sz w:val="21"/>
          <w:szCs w:val="21"/>
          <w:highlight w:val="none"/>
          <w14:textFill>
            <w14:solidFill>
              <w14:schemeClr w14:val="tx1"/>
            </w14:solidFill>
          </w14:textFill>
        </w:rPr>
        <w:t>比选申请文件</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96" w:name="_Toc375039086"/>
      <w:bookmarkStart w:id="697" w:name="_Toc385427815"/>
      <w:bookmarkStart w:id="698" w:name="_Toc390098441"/>
      <w:bookmarkStart w:id="699" w:name="_Toc383891190"/>
      <w:r>
        <w:rPr>
          <w:rFonts w:hint="eastAsia" w:ascii="宋体" w:hAnsi="宋体"/>
          <w:color w:val="000000" w:themeColor="text1"/>
          <w:highlight w:val="none"/>
          <w14:textFill>
            <w14:solidFill>
              <w14:schemeClr w14:val="tx1"/>
            </w14:solidFill>
          </w14:textFill>
        </w:rPr>
        <w:t xml:space="preserve">17.1 </w:t>
      </w:r>
      <w:r>
        <w:rPr>
          <w:rFonts w:ascii="宋体" w:hAnsi="宋体"/>
          <w:color w:val="000000" w:themeColor="text1"/>
          <w:highlight w:val="none"/>
          <w14:textFill>
            <w14:solidFill>
              <w14:schemeClr w14:val="tx1"/>
            </w14:solidFill>
          </w14:textFill>
        </w:rPr>
        <w:t>封装方式</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）比选申请人须将</w:t>
      </w:r>
      <w:r>
        <w:rPr>
          <w:rFonts w:hint="eastAsia" w:ascii="宋体" w:hAnsi="宋体"/>
          <w:b/>
          <w:bCs/>
          <w:color w:val="000000" w:themeColor="text1"/>
          <w:highlight w:val="none"/>
          <w14:textFill>
            <w14:solidFill>
              <w14:schemeClr w14:val="tx1"/>
            </w14:solidFill>
          </w14:textFill>
        </w:rPr>
        <w:t>所有比选申请文件全部封装为</w:t>
      </w:r>
      <w:r>
        <w:rPr>
          <w:rFonts w:ascii="宋体" w:hAnsi="宋体"/>
          <w:b/>
          <w:bCs/>
          <w:color w:val="000000" w:themeColor="text1"/>
          <w:highlight w:val="none"/>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个包</w:t>
      </w:r>
      <w:r>
        <w:rPr>
          <w:rFonts w:hint="eastAsia" w:ascii="宋体" w:hAnsi="宋体"/>
          <w:color w:val="000000" w:themeColor="text1"/>
          <w:highlight w:val="none"/>
          <w14:textFill>
            <w14:solidFill>
              <w14:schemeClr w14:val="tx1"/>
            </w14:solidFill>
          </w14:textFill>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17.2 </w:t>
      </w:r>
      <w:r>
        <w:rPr>
          <w:rFonts w:ascii="宋体" w:hAnsi="宋体"/>
          <w:color w:val="000000" w:themeColor="text1"/>
          <w:highlight w:val="none"/>
          <w14:textFill>
            <w14:solidFill>
              <w14:schemeClr w14:val="tx1"/>
            </w14:solidFill>
          </w14:textFill>
        </w:rPr>
        <w:t>所有密封箱/袋都应具有下列识别标志：</w:t>
      </w:r>
    </w:p>
    <w:p>
      <w:pPr>
        <w:spacing w:before="0" w:after="0" w:afterAutospacing="0"/>
        <w:ind w:left="0" w:right="0" w:firstLine="420" w:firstLineChars="200"/>
        <w:rPr>
          <w:rFonts w:ascii="宋体" w:hAnsi="宋体"/>
          <w:color w:val="auto"/>
          <w:highlight w:val="none"/>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1）项目名称：</w:t>
      </w: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single"/>
          <w:lang w:val="en-US" w:eastAsia="zh-CN"/>
        </w:rPr>
        <w:t>运营有限公司线上培训课程与培训管理信息技术服务项目（2022年-2023年）</w:t>
      </w:r>
      <w:r>
        <w:rPr>
          <w:rFonts w:hint="eastAsia" w:ascii="宋体" w:hAnsi="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（2）</w:t>
      </w:r>
      <w:r>
        <w:rPr>
          <w:rFonts w:ascii="宋体" w:hAnsi="宋体"/>
          <w:color w:val="auto"/>
          <w:highlight w:val="none"/>
        </w:rPr>
        <w:t>项目编号：</w:t>
      </w:r>
      <w:r>
        <w:rPr>
          <w:rFonts w:hint="default" w:ascii="宋体" w:hAnsi="宋体"/>
          <w:color w:val="auto"/>
          <w:highlight w:val="none"/>
          <w:lang w:val="en-US"/>
        </w:rPr>
        <w:t>202208090001</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17.3 </w:t>
      </w:r>
      <w:r>
        <w:rPr>
          <w:rFonts w:ascii="宋体" w:hAnsi="宋体"/>
          <w:color w:val="000000" w:themeColor="text1"/>
          <w:highlight w:val="none"/>
          <w14:textFill>
            <w14:solidFill>
              <w14:schemeClr w14:val="tx1"/>
            </w14:solidFill>
          </w14:textFill>
        </w:rPr>
        <w:t>所有密封箱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17.4 </w:t>
      </w:r>
      <w:r>
        <w:rPr>
          <w:rFonts w:ascii="宋体" w:hAnsi="宋体"/>
          <w:color w:val="000000" w:themeColor="text1"/>
          <w:highlight w:val="none"/>
          <w14:textFill>
            <w14:solidFill>
              <w14:schemeClr w14:val="tx1"/>
            </w14:solidFill>
          </w14:textFill>
        </w:rPr>
        <w:t>如果密封箱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00" w:name="_Toc16818"/>
      <w:bookmarkStart w:id="701" w:name="_Toc22180"/>
      <w:bookmarkStart w:id="702" w:name="_Toc25750610"/>
      <w:bookmarkStart w:id="703" w:name="_Toc6339"/>
      <w:bookmarkStart w:id="704" w:name="_Toc6482"/>
      <w:bookmarkStart w:id="705" w:name="_Toc492478740"/>
      <w:bookmarkStart w:id="706" w:name="_Toc32760"/>
      <w:bookmarkStart w:id="707" w:name="_Toc22445"/>
      <w:bookmarkStart w:id="708" w:name="_Toc12983525"/>
      <w:bookmarkStart w:id="709" w:name="_Toc4735"/>
      <w:bookmarkStart w:id="710" w:name="_Toc23859"/>
      <w:bookmarkStart w:id="711" w:name="_Toc16266"/>
      <w:bookmarkStart w:id="712" w:name="_Toc28071"/>
      <w:bookmarkStart w:id="713" w:name="_Toc642"/>
      <w:bookmarkStart w:id="714" w:name="_Toc11096"/>
      <w:bookmarkStart w:id="715" w:name="_Toc11039"/>
      <w:bookmarkStart w:id="716" w:name="_Toc41492198"/>
      <w:bookmarkStart w:id="717" w:name="_Toc16755"/>
      <w:bookmarkStart w:id="718" w:name="_Toc2337"/>
      <w:bookmarkStart w:id="719" w:name="_Toc13883"/>
      <w:bookmarkStart w:id="720" w:name="_Toc11255"/>
      <w:r>
        <w:rPr>
          <w:rFonts w:ascii="宋体" w:hAnsi="宋体"/>
          <w:color w:val="000000" w:themeColor="text1"/>
          <w:sz w:val="21"/>
          <w:szCs w:val="21"/>
          <w:highlight w:val="none"/>
          <w14:textFill>
            <w14:solidFill>
              <w14:schemeClr w14:val="tx1"/>
            </w14:solidFill>
          </w14:textFill>
        </w:rPr>
        <w:t>比选申请截止期</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18.1 </w:t>
      </w:r>
      <w:r>
        <w:rPr>
          <w:rFonts w:ascii="宋体" w:hAnsi="宋体"/>
          <w:color w:val="000000" w:themeColor="text1"/>
          <w:highlight w:val="none"/>
          <w14:textFill>
            <w14:solidFill>
              <w14:schemeClr w14:val="tx1"/>
            </w14:solidFill>
          </w14:textFill>
        </w:rPr>
        <w:t>所有比选申请文件应派专人送交，并须按“比选申请须知前附表”中规定的比选申请截止时间</w:t>
      </w:r>
      <w:r>
        <w:rPr>
          <w:rFonts w:hint="eastAsia" w:ascii="宋体" w:hAnsi="宋体"/>
          <w:color w:val="000000" w:themeColor="text1"/>
          <w:highlight w:val="none"/>
          <w14:textFill>
            <w14:solidFill>
              <w14:schemeClr w14:val="tx1"/>
            </w14:solidFill>
          </w14:textFill>
        </w:rPr>
        <w:t>前</w:t>
      </w:r>
      <w:r>
        <w:rPr>
          <w:rFonts w:ascii="宋体" w:hAnsi="宋体"/>
          <w:color w:val="000000" w:themeColor="text1"/>
          <w:highlight w:val="none"/>
          <w14:textFill>
            <w14:solidFill>
              <w14:schemeClr w14:val="tx1"/>
            </w14:solidFill>
          </w14:textFill>
        </w:rPr>
        <w:t>送至</w:t>
      </w:r>
      <w:r>
        <w:rPr>
          <w:rFonts w:hint="eastAsia" w:ascii="宋体" w:hAnsi="宋体"/>
          <w:color w:val="000000" w:themeColor="text1"/>
          <w:highlight w:val="none"/>
          <w14:textFill>
            <w14:solidFill>
              <w14:schemeClr w14:val="tx1"/>
            </w14:solidFill>
          </w14:textFill>
        </w:rPr>
        <w:t>比选文件规定的</w:t>
      </w:r>
      <w:r>
        <w:rPr>
          <w:rFonts w:ascii="宋体" w:hAnsi="宋体"/>
          <w:color w:val="000000" w:themeColor="text1"/>
          <w:highlight w:val="none"/>
          <w14:textFill>
            <w14:solidFill>
              <w14:schemeClr w14:val="tx1"/>
            </w14:solidFill>
          </w14:textFill>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18.2 </w:t>
      </w:r>
      <w:r>
        <w:rPr>
          <w:rFonts w:ascii="宋体" w:hAnsi="宋体"/>
          <w:b/>
          <w:color w:val="000000" w:themeColor="text1"/>
          <w:highlight w:val="none"/>
          <w14:textFill>
            <w14:solidFill>
              <w14:schemeClr w14:val="tx1"/>
            </w14:solidFill>
          </w14:textFill>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18.3 </w:t>
      </w:r>
      <w:r>
        <w:rPr>
          <w:rFonts w:ascii="宋体" w:hAnsi="宋体"/>
          <w:color w:val="000000" w:themeColor="text1"/>
          <w:highlight w:val="none"/>
          <w14:textFill>
            <w14:solidFill>
              <w14:schemeClr w14:val="tx1"/>
            </w14:solidFill>
          </w14:textFill>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21" w:name="_Toc23404"/>
      <w:bookmarkStart w:id="722" w:name="_Toc29066"/>
      <w:bookmarkStart w:id="723" w:name="_Toc26431"/>
      <w:bookmarkStart w:id="724" w:name="_Toc492478741"/>
      <w:bookmarkStart w:id="725" w:name="_Toc383891191"/>
      <w:bookmarkStart w:id="726" w:name="_Toc22945"/>
      <w:bookmarkStart w:id="727" w:name="_Toc13581"/>
      <w:bookmarkStart w:id="728" w:name="_Toc11373"/>
      <w:bookmarkStart w:id="729" w:name="_Toc12983526"/>
      <w:bookmarkStart w:id="730" w:name="_Toc324"/>
      <w:bookmarkStart w:id="731" w:name="_Toc21960"/>
      <w:bookmarkStart w:id="732" w:name="_Toc2226"/>
      <w:bookmarkStart w:id="733" w:name="_Toc390098442"/>
      <w:bookmarkStart w:id="734" w:name="_Toc15252"/>
      <w:bookmarkStart w:id="735" w:name="_Toc14239"/>
      <w:bookmarkStart w:id="736" w:name="_Toc385427816"/>
      <w:bookmarkStart w:id="737" w:name="_Toc25750611"/>
      <w:bookmarkStart w:id="738" w:name="_Toc29473"/>
      <w:bookmarkStart w:id="739" w:name="_Toc3597"/>
      <w:bookmarkStart w:id="740" w:name="_Toc41492199"/>
      <w:bookmarkStart w:id="741" w:name="_Toc32252"/>
      <w:bookmarkStart w:id="742" w:name="_Toc9522"/>
      <w:bookmarkStart w:id="743" w:name="_Toc32621"/>
      <w:bookmarkStart w:id="744" w:name="_Toc375039087"/>
      <w:bookmarkStart w:id="745" w:name="_Toc10818"/>
      <w:r>
        <w:rPr>
          <w:rFonts w:ascii="宋体" w:hAnsi="宋体"/>
          <w:color w:val="000000" w:themeColor="text1"/>
          <w:sz w:val="21"/>
          <w:szCs w:val="21"/>
          <w:highlight w:val="none"/>
          <w14:textFill>
            <w14:solidFill>
              <w14:schemeClr w14:val="tx1"/>
            </w14:solidFill>
          </w14:textFill>
        </w:rPr>
        <w:t>迟交的比选申请文件</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19.1 比选人</w:t>
      </w:r>
      <w:r>
        <w:rPr>
          <w:rFonts w:ascii="宋体" w:hAnsi="宋体"/>
          <w:color w:val="000000" w:themeColor="text1"/>
          <w:highlight w:val="none"/>
          <w14:textFill>
            <w14:solidFill>
              <w14:schemeClr w14:val="tx1"/>
            </w14:solidFill>
          </w14:textFill>
        </w:rPr>
        <w:t>将拒绝并原封退回在</w:t>
      </w:r>
      <w:r>
        <w:rPr>
          <w:rFonts w:hint="eastAsia" w:ascii="宋体" w:hAnsi="宋体"/>
          <w:color w:val="000000" w:themeColor="text1"/>
          <w:highlight w:val="none"/>
          <w14:textFill>
            <w14:solidFill>
              <w14:schemeClr w14:val="tx1"/>
            </w14:solidFill>
          </w14:textFill>
        </w:rPr>
        <w:t>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46" w:name="_Toc14522"/>
      <w:bookmarkStart w:id="747" w:name="_Toc385427817"/>
      <w:bookmarkStart w:id="748" w:name="_Toc492478742"/>
      <w:bookmarkStart w:id="749" w:name="_Toc29208"/>
      <w:bookmarkStart w:id="750" w:name="_Toc41492200"/>
      <w:bookmarkStart w:id="751" w:name="_Toc27195"/>
      <w:bookmarkStart w:id="752" w:name="_Toc17797"/>
      <w:bookmarkStart w:id="753" w:name="_Toc8636"/>
      <w:bookmarkStart w:id="754" w:name="_Toc24030"/>
      <w:bookmarkStart w:id="755" w:name="_Toc383891192"/>
      <w:bookmarkStart w:id="756" w:name="_Toc9706"/>
      <w:bookmarkStart w:id="757" w:name="_Toc26282"/>
      <w:bookmarkStart w:id="758" w:name="_Toc23449"/>
      <w:bookmarkStart w:id="759" w:name="_Toc21796"/>
      <w:bookmarkStart w:id="760" w:name="_Toc25427"/>
      <w:bookmarkStart w:id="761" w:name="_Toc243"/>
      <w:bookmarkStart w:id="762" w:name="_Toc25750612"/>
      <w:bookmarkStart w:id="763" w:name="_Toc14411"/>
      <w:bookmarkStart w:id="764" w:name="_Toc12983527"/>
      <w:bookmarkStart w:id="765" w:name="_Toc375039088"/>
      <w:bookmarkStart w:id="766" w:name="_Toc28452"/>
      <w:bookmarkStart w:id="767" w:name="_Toc12682"/>
      <w:bookmarkStart w:id="768" w:name="_Toc390098443"/>
      <w:bookmarkStart w:id="769" w:name="_Toc31033"/>
      <w:bookmarkStart w:id="770" w:name="_Toc4605"/>
      <w:r>
        <w:rPr>
          <w:rFonts w:ascii="宋体" w:hAnsi="宋体"/>
          <w:color w:val="000000" w:themeColor="text1"/>
          <w:sz w:val="21"/>
          <w:szCs w:val="21"/>
          <w:highlight w:val="none"/>
          <w14:textFill>
            <w14:solidFill>
              <w14:schemeClr w14:val="tx1"/>
            </w14:solidFill>
          </w14:textFill>
        </w:rPr>
        <w:t>比选申请文件的修改和撤回</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20.1 </w:t>
      </w:r>
      <w:r>
        <w:rPr>
          <w:rFonts w:ascii="宋体" w:hAnsi="宋体"/>
          <w:color w:val="000000" w:themeColor="text1"/>
          <w:highlight w:val="none"/>
          <w14:textFill>
            <w14:solidFill>
              <w14:schemeClr w14:val="tx1"/>
            </w14:solidFill>
          </w14:textFill>
        </w:rPr>
        <w:t>比选申请人在提交比选申请文件后可对其比选申请文件进行修改或撤回，但该修改或撤回的书面通知须在比选申请截止时间之前送达</w:t>
      </w:r>
      <w:r>
        <w:rPr>
          <w:rFonts w:hint="eastAsia" w:ascii="宋体" w:hAnsi="宋体"/>
          <w:color w:val="000000" w:themeColor="text1"/>
          <w:highlight w:val="none"/>
          <w14:textFill>
            <w14:solidFill>
              <w14:schemeClr w14:val="tx1"/>
            </w14:solidFill>
          </w14:textFill>
        </w:rPr>
        <w:t>比选单位</w:t>
      </w:r>
      <w:r>
        <w:rPr>
          <w:rFonts w:ascii="宋体" w:hAnsi="宋体"/>
          <w:color w:val="000000" w:themeColor="text1"/>
          <w:highlight w:val="none"/>
          <w14:textFill>
            <w14:solidFill>
              <w14:schemeClr w14:val="tx1"/>
            </w14:solidFill>
          </w14:textFill>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20.2 </w:t>
      </w:r>
      <w:r>
        <w:rPr>
          <w:rFonts w:ascii="宋体" w:hAnsi="宋体"/>
          <w:color w:val="000000" w:themeColor="text1"/>
          <w:highlight w:val="none"/>
          <w14:textFill>
            <w14:solidFill>
              <w14:schemeClr w14:val="tx1"/>
            </w14:solidFill>
          </w14:textFill>
        </w:rPr>
        <w:t>比选申请人对比选申请文件修改的书面材料或撤回的通知应按本比选申请须知</w:t>
      </w:r>
      <w:r>
        <w:rPr>
          <w:rFonts w:hint="eastAsia" w:ascii="宋体" w:hAnsi="宋体"/>
          <w:color w:val="000000" w:themeColor="text1"/>
          <w:highlight w:val="none"/>
          <w14:textFill>
            <w14:solidFill>
              <w14:schemeClr w14:val="tx1"/>
            </w14:solidFill>
          </w14:textFill>
        </w:rPr>
        <w:t>16</w:t>
      </w:r>
      <w:r>
        <w:rPr>
          <w:rFonts w:ascii="宋体" w:hAnsi="宋体"/>
          <w:color w:val="000000" w:themeColor="text1"/>
          <w:highlight w:val="none"/>
          <w14:textFill>
            <w14:solidFill>
              <w14:schemeClr w14:val="tx1"/>
            </w14:solidFill>
          </w14:textFill>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color w:val="000000" w:themeColor="text1"/>
          <w:highlight w:val="none"/>
          <w14:textFill>
            <w14:solidFill>
              <w14:schemeClr w14:val="tx1"/>
            </w14:solidFill>
          </w14:textFill>
        </w:rPr>
        <w:t>17</w:t>
      </w:r>
      <w:r>
        <w:rPr>
          <w:rFonts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20.3 </w:t>
      </w:r>
      <w:r>
        <w:rPr>
          <w:rFonts w:ascii="宋体" w:hAnsi="宋体"/>
          <w:color w:val="000000" w:themeColor="text1"/>
          <w:highlight w:val="none"/>
          <w14:textFill>
            <w14:solidFill>
              <w14:schemeClr w14:val="tx1"/>
            </w14:solidFill>
          </w14:textFill>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20.4 </w:t>
      </w:r>
      <w:r>
        <w:rPr>
          <w:rFonts w:ascii="宋体" w:hAnsi="宋体"/>
          <w:color w:val="000000" w:themeColor="text1"/>
          <w:highlight w:val="none"/>
          <w14:textFill>
            <w14:solidFill>
              <w14:schemeClr w14:val="tx1"/>
            </w14:solidFill>
          </w14:textFill>
        </w:rPr>
        <w:t>比选申请人不得在比选申请截止时间至比选申请有效期期满前撤销比选申请文件。否则</w:t>
      </w:r>
      <w:r>
        <w:rPr>
          <w:rFonts w:hint="eastAsia" w:ascii="宋体" w:hAnsi="宋体"/>
          <w:color w:val="000000" w:themeColor="text1"/>
          <w:highlight w:val="none"/>
          <w14:textFill>
            <w14:solidFill>
              <w14:schemeClr w14:val="tx1"/>
            </w14:solidFill>
          </w14:textFill>
        </w:rPr>
        <w:t>比选人有权</w:t>
      </w:r>
      <w:r>
        <w:rPr>
          <w:rFonts w:ascii="宋体" w:hAnsi="宋体"/>
          <w:color w:val="000000" w:themeColor="text1"/>
          <w:highlight w:val="none"/>
          <w14:textFill>
            <w14:solidFill>
              <w14:schemeClr w14:val="tx1"/>
            </w14:solidFill>
          </w14:textFill>
        </w:rPr>
        <w:t>要求</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对损失给予赔偿。</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771" w:name="_Toc383891193"/>
      <w:bookmarkStart w:id="772" w:name="_Toc10325"/>
      <w:bookmarkStart w:id="773" w:name="_Toc492478743"/>
      <w:bookmarkStart w:id="774" w:name="_Toc9549"/>
      <w:bookmarkStart w:id="775" w:name="_Toc29264"/>
      <w:bookmarkStart w:id="776" w:name="_Toc2306"/>
      <w:bookmarkStart w:id="777" w:name="_Toc24485"/>
      <w:bookmarkStart w:id="778" w:name="_Toc12983528"/>
      <w:bookmarkStart w:id="779" w:name="_Toc375039089"/>
      <w:bookmarkStart w:id="780" w:name="_Toc9728"/>
      <w:bookmarkStart w:id="781" w:name="_Toc11529"/>
      <w:bookmarkStart w:id="782" w:name="_Toc16856"/>
      <w:bookmarkStart w:id="783" w:name="_Toc5592"/>
      <w:bookmarkStart w:id="784" w:name="_Toc31978"/>
      <w:bookmarkStart w:id="785" w:name="_Toc28694"/>
      <w:bookmarkStart w:id="786" w:name="_Toc22587"/>
      <w:bookmarkStart w:id="787" w:name="_Toc385427818"/>
      <w:bookmarkStart w:id="788" w:name="_Toc3006"/>
      <w:bookmarkStart w:id="789" w:name="_Toc4291"/>
      <w:bookmarkStart w:id="790" w:name="_Toc18076"/>
      <w:bookmarkStart w:id="791" w:name="_Toc12182"/>
      <w:bookmarkStart w:id="792" w:name="_Toc390098444"/>
      <w:bookmarkStart w:id="793" w:name="_Toc25433"/>
      <w:bookmarkStart w:id="794" w:name="_Toc9004"/>
      <w:bookmarkStart w:id="795" w:name="_Toc9671"/>
      <w:bookmarkStart w:id="796" w:name="_Toc30590"/>
      <w:bookmarkStart w:id="797" w:name="_Toc2371"/>
      <w:bookmarkStart w:id="798" w:name="_Toc15575"/>
      <w:bookmarkStart w:id="799" w:name="_Toc13685"/>
      <w:bookmarkStart w:id="800" w:name="_Toc17896"/>
      <w:bookmarkStart w:id="801" w:name="_Toc19886"/>
      <w:bookmarkStart w:id="802" w:name="_Toc8857"/>
      <w:bookmarkStart w:id="803" w:name="_Toc29908"/>
      <w:bookmarkStart w:id="804" w:name="_Toc15334"/>
      <w:r>
        <w:rPr>
          <w:rFonts w:hint="eastAsia" w:ascii="宋体" w:hAnsi="宋体" w:eastAsia="宋体"/>
          <w:color w:val="000000" w:themeColor="text1"/>
          <w:sz w:val="24"/>
          <w:szCs w:val="24"/>
          <w:highlight w:val="none"/>
          <w14:textFill>
            <w14:solidFill>
              <w14:schemeClr w14:val="tx1"/>
            </w14:solidFill>
          </w14:textFill>
        </w:rPr>
        <w:t>五、</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Fonts w:hint="eastAsia" w:ascii="宋体" w:hAnsi="宋体" w:eastAsia="宋体"/>
          <w:color w:val="000000" w:themeColor="text1"/>
          <w:sz w:val="24"/>
          <w:szCs w:val="24"/>
          <w:highlight w:val="none"/>
          <w14:textFill>
            <w14:solidFill>
              <w14:schemeClr w14:val="tx1"/>
            </w14:solidFill>
          </w14:textFill>
        </w:rPr>
        <w:t>比选申请文件递交与评审</w:t>
      </w:r>
      <w:bookmarkEnd w:id="794"/>
      <w:bookmarkEnd w:id="795"/>
      <w:bookmarkEnd w:id="796"/>
      <w:bookmarkEnd w:id="797"/>
      <w:bookmarkEnd w:id="798"/>
      <w:bookmarkEnd w:id="799"/>
      <w:bookmarkEnd w:id="800"/>
      <w:bookmarkEnd w:id="801"/>
      <w:bookmarkEnd w:id="802"/>
      <w:bookmarkEnd w:id="803"/>
      <w:bookmarkEnd w:id="804"/>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05" w:name="_Toc9264"/>
      <w:bookmarkStart w:id="806" w:name="_Toc383891194"/>
      <w:bookmarkStart w:id="807" w:name="_Toc895"/>
      <w:bookmarkStart w:id="808" w:name="_Toc18919"/>
      <w:bookmarkStart w:id="809" w:name="_Toc492478744"/>
      <w:bookmarkStart w:id="810" w:name="_Toc12983529"/>
      <w:bookmarkStart w:id="811" w:name="_Toc375039090"/>
      <w:bookmarkStart w:id="812" w:name="_Toc9309"/>
      <w:bookmarkStart w:id="813" w:name="_Toc5182"/>
      <w:bookmarkStart w:id="814" w:name="_Toc4638"/>
      <w:bookmarkStart w:id="815" w:name="_Toc4365"/>
      <w:bookmarkStart w:id="816" w:name="_Toc24196"/>
      <w:bookmarkStart w:id="817" w:name="_Toc10883"/>
      <w:bookmarkStart w:id="818" w:name="_Toc385427819"/>
      <w:bookmarkStart w:id="819" w:name="_Toc6377"/>
      <w:bookmarkStart w:id="820" w:name="_Toc6974"/>
      <w:bookmarkStart w:id="821" w:name="_Toc10292"/>
      <w:bookmarkStart w:id="822" w:name="_Toc4674"/>
      <w:bookmarkStart w:id="823" w:name="_Toc6839"/>
      <w:bookmarkStart w:id="824" w:name="_Toc390098445"/>
      <w:bookmarkStart w:id="825" w:name="_Toc25116"/>
      <w:bookmarkStart w:id="826" w:name="_Toc23705"/>
      <w:bookmarkStart w:id="827" w:name="_Toc4825"/>
      <w:bookmarkStart w:id="828" w:name="_Toc25750614"/>
      <w:bookmarkStart w:id="829" w:name="_Toc41492202"/>
      <w:r>
        <w:rPr>
          <w:rFonts w:hint="eastAsia" w:ascii="宋体" w:hAnsi="宋体"/>
          <w:color w:val="000000" w:themeColor="text1"/>
          <w:sz w:val="21"/>
          <w:szCs w:val="21"/>
          <w:highlight w:val="none"/>
          <w14:textFill>
            <w14:solidFill>
              <w14:schemeClr w14:val="tx1"/>
            </w14:solidFill>
          </w14:textFill>
        </w:rPr>
        <w:t xml:space="preserve">21. </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Fonts w:hint="eastAsia" w:ascii="宋体" w:hAnsi="宋体"/>
          <w:color w:val="000000" w:themeColor="text1"/>
          <w:sz w:val="21"/>
          <w:szCs w:val="21"/>
          <w:highlight w:val="none"/>
          <w14:textFill>
            <w14:solidFill>
              <w14:schemeClr w14:val="tx1"/>
            </w14:solidFill>
          </w14:textFill>
        </w:rPr>
        <w:t>比选申请文件递交</w:t>
      </w:r>
      <w:bookmarkEnd w:id="828"/>
      <w:bookmarkEnd w:id="829"/>
    </w:p>
    <w:p>
      <w:pPr>
        <w:tabs>
          <w:tab w:val="left" w:pos="945"/>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21.1 比选人将按本须知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比选申请文件有下列情形之一的，比选人应当拒收：</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.1.1逾期送达的或者未送达指定地点的比选申请文件</w:t>
      </w:r>
      <w:r>
        <w:rPr>
          <w:rFonts w:hint="eastAsia" w:ascii="宋体" w:hAnsi="宋体"/>
          <w:b/>
          <w:color w:val="000000" w:themeColor="text1"/>
          <w:highlight w:val="none"/>
          <w14:textFill>
            <w14:solidFill>
              <w14:schemeClr w14:val="tx1"/>
            </w14:solidFill>
          </w14:textFill>
        </w:rPr>
        <w:t>；</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.1.2</w:t>
      </w:r>
      <w:r>
        <w:rPr>
          <w:rFonts w:hint="eastAsia" w:ascii="宋体" w:hAnsi="宋体"/>
          <w:b/>
          <w:color w:val="000000" w:themeColor="text1"/>
          <w:highlight w:val="none"/>
          <w14:textFill>
            <w14:solidFill>
              <w14:schemeClr w14:val="tx1"/>
            </w14:solidFill>
          </w14:textFill>
        </w:rPr>
        <w:t>比选申请文件外包封</w:t>
      </w:r>
      <w:r>
        <w:rPr>
          <w:rFonts w:ascii="宋体" w:hAnsi="宋体"/>
          <w:b/>
          <w:color w:val="000000" w:themeColor="text1"/>
          <w:highlight w:val="none"/>
          <w14:textFill>
            <w14:solidFill>
              <w14:schemeClr w14:val="tx1"/>
            </w14:solidFill>
          </w14:textFill>
        </w:rPr>
        <w:t>未按比选文件要求密封的</w:t>
      </w:r>
      <w:r>
        <w:rPr>
          <w:rFonts w:hint="eastAsia" w:ascii="宋体" w:hAnsi="宋体"/>
          <w:b/>
          <w:color w:val="000000" w:themeColor="text1"/>
          <w:highlight w:val="none"/>
          <w14:textFill>
            <w14:solidFill>
              <w14:schemeClr w14:val="tx1"/>
            </w14:solidFill>
          </w14:textFill>
        </w:rPr>
        <w:t>。</w:t>
      </w:r>
    </w:p>
    <w:p>
      <w:pPr>
        <w:tabs>
          <w:tab w:val="left" w:pos="945"/>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21.2 </w:t>
      </w:r>
      <w:r>
        <w:rPr>
          <w:rFonts w:ascii="宋体" w:hAnsi="宋体"/>
          <w:b/>
          <w:color w:val="000000" w:themeColor="text1"/>
          <w:highlight w:val="none"/>
          <w14:textFill>
            <w14:solidFill>
              <w14:schemeClr w14:val="tx1"/>
            </w14:solidFill>
          </w14:textFill>
        </w:rPr>
        <w:t>比选申请人的法定代表人或其授权代表（以下统称</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比选申请人代表</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）必须在出示本人有效身份证（</w:t>
      </w:r>
      <w:r>
        <w:rPr>
          <w:rFonts w:hint="eastAsia" w:ascii="宋体" w:hAnsi="宋体"/>
          <w:b/>
          <w:color w:val="000000" w:themeColor="text1"/>
          <w:highlight w:val="none"/>
          <w14:textFill>
            <w14:solidFill>
              <w14:schemeClr w14:val="tx1"/>
            </w14:solidFill>
          </w14:textFill>
        </w:rPr>
        <w:t>限中国公民居民身份证、外籍有效护照</w:t>
      </w:r>
      <w:r>
        <w:rPr>
          <w:rFonts w:ascii="宋体" w:hAnsi="宋体"/>
          <w:b/>
          <w:color w:val="000000" w:themeColor="text1"/>
          <w:highlight w:val="none"/>
          <w14:textFill>
            <w14:solidFill>
              <w14:schemeClr w14:val="tx1"/>
            </w14:solidFill>
          </w14:textFill>
        </w:rPr>
        <w:t>，下同）的原件，比选申请人授权代表还必须同时出示比选申请授权书原件，以证明授权代表的身份和被授权范围，并由比选人验证确认。</w:t>
      </w:r>
      <w:bookmarkStart w:id="830" w:name="_Toc251051540"/>
      <w:r>
        <w:rPr>
          <w:rFonts w:ascii="宋体" w:hAnsi="宋体"/>
          <w:b/>
          <w:color w:val="000000" w:themeColor="text1"/>
          <w:highlight w:val="none"/>
          <w14:textFill>
            <w14:solidFill>
              <w14:schemeClr w14:val="tx1"/>
            </w14:solidFill>
          </w14:textFill>
        </w:rPr>
        <w:t>否则作无效</w:t>
      </w:r>
      <w:r>
        <w:rPr>
          <w:rFonts w:hint="eastAsia" w:ascii="宋体" w:hAnsi="宋体"/>
          <w:b/>
          <w:color w:val="000000" w:themeColor="text1"/>
          <w:highlight w:val="none"/>
          <w14:textFill>
            <w14:solidFill>
              <w14:schemeClr w14:val="tx1"/>
            </w14:solidFill>
          </w14:textFill>
        </w:rPr>
        <w:t>比选文件处理</w:t>
      </w:r>
      <w:bookmarkEnd w:id="830"/>
      <w:r>
        <w:rPr>
          <w:rFonts w:hint="eastAsia" w:ascii="宋体" w:hAnsi="宋体"/>
          <w:b/>
          <w:color w:val="000000" w:themeColor="text1"/>
          <w:highlight w:val="none"/>
          <w14:textFill>
            <w14:solidFill>
              <w14:schemeClr w14:val="tx1"/>
            </w14:solidFill>
          </w14:textFill>
        </w:rPr>
        <w:t>。</w:t>
      </w:r>
    </w:p>
    <w:p>
      <w:pPr>
        <w:pStyle w:val="5"/>
        <w:spacing w:before="0" w:after="0" w:afterAutospacing="0"/>
        <w:ind w:left="0" w:right="0" w:firstLine="422" w:firstLineChars="200"/>
        <w:rPr>
          <w:rFonts w:ascii="宋体" w:hAnsi="宋体"/>
          <w:color w:val="000000" w:themeColor="text1"/>
          <w:sz w:val="21"/>
          <w:szCs w:val="21"/>
          <w:highlight w:val="yellow"/>
          <w14:textFill>
            <w14:solidFill>
              <w14:schemeClr w14:val="tx1"/>
            </w14:solidFill>
          </w14:textFill>
        </w:rPr>
      </w:pPr>
      <w:bookmarkStart w:id="831" w:name="_Toc383891195"/>
      <w:bookmarkStart w:id="832" w:name="_Toc375039091"/>
      <w:bookmarkStart w:id="833" w:name="_Toc390098446"/>
      <w:bookmarkStart w:id="834" w:name="_Toc385427820"/>
      <w:bookmarkStart w:id="835" w:name="_Toc16601"/>
      <w:bookmarkStart w:id="836" w:name="_Toc25750615"/>
      <w:bookmarkStart w:id="837" w:name="_Toc13202"/>
      <w:bookmarkStart w:id="838" w:name="_Toc16068"/>
      <w:bookmarkStart w:id="839" w:name="_Toc17785"/>
      <w:bookmarkStart w:id="840" w:name="_Toc1920"/>
      <w:bookmarkStart w:id="841" w:name="_Toc11013"/>
      <w:bookmarkStart w:id="842" w:name="_Toc25270"/>
      <w:bookmarkStart w:id="843" w:name="_Toc492478745"/>
      <w:bookmarkStart w:id="844" w:name="_Toc11263"/>
      <w:bookmarkStart w:id="845" w:name="_Toc41492203"/>
      <w:bookmarkStart w:id="846" w:name="_Toc23699"/>
      <w:bookmarkStart w:id="847" w:name="_Toc24630"/>
      <w:bookmarkStart w:id="848" w:name="_Toc27636"/>
      <w:bookmarkStart w:id="849" w:name="_Toc21819"/>
      <w:bookmarkStart w:id="850" w:name="_Toc24687"/>
      <w:bookmarkStart w:id="851" w:name="_Toc9391"/>
      <w:bookmarkStart w:id="852" w:name="_Toc15466"/>
      <w:bookmarkStart w:id="853" w:name="_Toc30671"/>
      <w:bookmarkStart w:id="854" w:name="_Toc12983530"/>
      <w:bookmarkStart w:id="855" w:name="_Toc5267"/>
      <w:r>
        <w:rPr>
          <w:rFonts w:hint="eastAsia" w:ascii="宋体" w:hAnsi="宋体"/>
          <w:color w:val="000000" w:themeColor="text1"/>
          <w:sz w:val="21"/>
          <w:szCs w:val="21"/>
          <w:highlight w:val="none"/>
          <w14:textFill>
            <w14:solidFill>
              <w14:schemeClr w14:val="tx1"/>
            </w14:solidFill>
          </w14:textFill>
        </w:rPr>
        <w:t>22.</w:t>
      </w:r>
      <w:r>
        <w:rPr>
          <w:rFonts w:ascii="宋体" w:hAnsi="宋体"/>
          <w:color w:val="000000" w:themeColor="text1"/>
          <w:sz w:val="21"/>
          <w:szCs w:val="21"/>
          <w:highlight w:val="none"/>
          <w14:textFill>
            <w14:solidFill>
              <w14:schemeClr w14:val="tx1"/>
            </w14:solidFill>
          </w14:textFill>
        </w:rPr>
        <w:t>评审</w:t>
      </w:r>
      <w:bookmarkEnd w:id="831"/>
      <w:bookmarkEnd w:id="832"/>
      <w:bookmarkEnd w:id="833"/>
      <w:bookmarkEnd w:id="834"/>
      <w:r>
        <w:rPr>
          <w:rFonts w:ascii="宋体" w:hAnsi="宋体"/>
          <w:color w:val="000000" w:themeColor="text1"/>
          <w:sz w:val="21"/>
          <w:szCs w:val="21"/>
          <w:highlight w:val="none"/>
          <w14:textFill>
            <w14:solidFill>
              <w14:schemeClr w14:val="tx1"/>
            </w14:solidFill>
          </w14:textFill>
        </w:rPr>
        <w:t>程序</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bookmarkStart w:id="856" w:name="_Toc375039092"/>
      <w:r>
        <w:rPr>
          <w:rFonts w:hint="eastAsia" w:ascii="宋体" w:hAnsi="宋体"/>
          <w:color w:val="000000" w:themeColor="text1"/>
          <w:highlight w:val="none"/>
          <w14:textFill>
            <w14:solidFill>
              <w14:schemeClr w14:val="tx1"/>
            </w14:solidFill>
          </w14:textFill>
        </w:rPr>
        <w:t>详见第六章《</w:t>
      </w:r>
      <w:r>
        <w:rPr>
          <w:rFonts w:hint="eastAsia" w:ascii="宋体" w:hAnsi="宋体"/>
          <w:color w:val="000000" w:themeColor="text1"/>
          <w:highlight w:val="none"/>
          <w:lang w:val="en-US" w:eastAsia="zh-CN"/>
          <w14:textFill>
            <w14:solidFill>
              <w14:schemeClr w14:val="tx1"/>
            </w14:solidFill>
          </w14:textFill>
        </w:rPr>
        <w:t>评审办法</w:t>
      </w:r>
      <w:r>
        <w:rPr>
          <w:rFonts w:hint="eastAsia" w:ascii="宋体" w:hAnsi="宋体"/>
          <w:color w:val="000000" w:themeColor="text1"/>
          <w:highlight w:val="none"/>
          <w14:textFill>
            <w14:solidFill>
              <w14:schemeClr w14:val="tx1"/>
            </w14:solidFill>
          </w14:textFill>
        </w:rPr>
        <w:t>》。</w:t>
      </w:r>
      <w:bookmarkEnd w:id="856"/>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57" w:name="_Toc492478746"/>
      <w:bookmarkStart w:id="858" w:name="_Toc25750616"/>
      <w:bookmarkStart w:id="859" w:name="_Toc26137"/>
      <w:bookmarkStart w:id="860" w:name="_Toc5386"/>
      <w:bookmarkStart w:id="861" w:name="_Toc13421"/>
      <w:bookmarkStart w:id="862" w:name="_Toc18063"/>
      <w:bookmarkStart w:id="863" w:name="_Toc12983531"/>
      <w:bookmarkStart w:id="864" w:name="_Toc833"/>
      <w:bookmarkStart w:id="865" w:name="_Toc15"/>
      <w:bookmarkStart w:id="866" w:name="_Toc29929"/>
      <w:bookmarkStart w:id="867" w:name="_Toc1456"/>
      <w:bookmarkStart w:id="868" w:name="_Toc383891196"/>
      <w:bookmarkStart w:id="869" w:name="_Toc18803"/>
      <w:bookmarkStart w:id="870" w:name="_Toc41492204"/>
      <w:bookmarkStart w:id="871" w:name="_Toc16072"/>
      <w:bookmarkStart w:id="872" w:name="_Toc385427821"/>
      <w:bookmarkStart w:id="873" w:name="_Toc17980"/>
      <w:bookmarkStart w:id="874" w:name="_Toc11716"/>
      <w:bookmarkStart w:id="875" w:name="_Toc375039093"/>
      <w:bookmarkStart w:id="876" w:name="_Toc24755"/>
      <w:bookmarkStart w:id="877" w:name="_Toc14719"/>
      <w:bookmarkStart w:id="878" w:name="_Toc25047"/>
      <w:bookmarkStart w:id="879" w:name="_Toc8295"/>
      <w:bookmarkStart w:id="880" w:name="_Toc27570"/>
      <w:bookmarkStart w:id="881" w:name="_Toc390098447"/>
      <w:r>
        <w:rPr>
          <w:rFonts w:ascii="宋体" w:hAnsi="宋体"/>
          <w:color w:val="000000" w:themeColor="text1"/>
          <w:sz w:val="21"/>
          <w:szCs w:val="21"/>
          <w:highlight w:val="none"/>
          <w14:textFill>
            <w14:solidFill>
              <w14:schemeClr w14:val="tx1"/>
            </w14:solidFill>
          </w14:textFill>
        </w:rPr>
        <w:t>与比选人和评审委员会的接触</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23.1 </w:t>
      </w:r>
      <w:r>
        <w:rPr>
          <w:rFonts w:ascii="宋体" w:hAnsi="宋体" w:cs="Arial"/>
          <w:color w:val="000000" w:themeColor="text1"/>
          <w:highlight w:val="none"/>
          <w14:textFill>
            <w14:solidFill>
              <w14:schemeClr w14:val="tx1"/>
            </w14:solidFill>
          </w14:textFill>
        </w:rPr>
        <w:t>从比选申请截止日起至授予合同期间，未经书面要求，比选申请人不得就与其比选申请文件有关的事项与评审委员会、比选人接触（包括直接接触</w:t>
      </w:r>
      <w:r>
        <w:rPr>
          <w:rFonts w:hint="eastAsia" w:ascii="宋体" w:hAnsi="宋体" w:cs="Arial"/>
          <w:color w:val="000000" w:themeColor="text1"/>
          <w:highlight w:val="none"/>
          <w14:textFill>
            <w14:solidFill>
              <w14:schemeClr w14:val="tx1"/>
            </w14:solidFill>
          </w14:textFill>
        </w:rPr>
        <w:t>或</w:t>
      </w:r>
      <w:r>
        <w:rPr>
          <w:rFonts w:ascii="宋体" w:hAnsi="宋体" w:cs="Arial"/>
          <w:color w:val="000000" w:themeColor="text1"/>
          <w:highlight w:val="none"/>
          <w14:textFill>
            <w14:solidFill>
              <w14:schemeClr w14:val="tx1"/>
            </w14:solidFill>
          </w14:textFill>
        </w:rPr>
        <w:t>间接接触）。</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23.2 </w:t>
      </w:r>
      <w:r>
        <w:rPr>
          <w:rFonts w:ascii="宋体" w:hAnsi="宋体" w:cs="Arial"/>
          <w:color w:val="000000" w:themeColor="text1"/>
          <w:highlight w:val="none"/>
          <w14:textFill>
            <w14:solidFill>
              <w14:schemeClr w14:val="tx1"/>
            </w14:solidFill>
          </w14:textFil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23.3 </w:t>
      </w:r>
      <w:r>
        <w:rPr>
          <w:rFonts w:ascii="宋体" w:hAnsi="宋体" w:cs="Arial"/>
          <w:color w:val="000000" w:themeColor="text1"/>
          <w:highlight w:val="none"/>
          <w14:textFill>
            <w14:solidFill>
              <w14:schemeClr w14:val="tx1"/>
            </w14:solidFill>
          </w14:textFill>
        </w:rPr>
        <w:t>比选申请人不得以任何方式干扰比选人的</w:t>
      </w:r>
      <w:r>
        <w:rPr>
          <w:rFonts w:hint="eastAsia" w:ascii="宋体" w:hAnsi="宋体" w:cs="Arial"/>
          <w:color w:val="000000" w:themeColor="text1"/>
          <w:highlight w:val="none"/>
          <w14:textFill>
            <w14:solidFill>
              <w14:schemeClr w14:val="tx1"/>
            </w14:solidFill>
          </w14:textFill>
        </w:rPr>
        <w:t>比选</w:t>
      </w:r>
      <w:r>
        <w:rPr>
          <w:rFonts w:ascii="宋体" w:hAnsi="宋体" w:cs="Arial"/>
          <w:color w:val="000000" w:themeColor="text1"/>
          <w:highlight w:val="none"/>
          <w14:textFill>
            <w14:solidFill>
              <w14:schemeClr w14:val="tx1"/>
            </w14:solidFill>
          </w14:textFil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23.4 </w:t>
      </w:r>
      <w:r>
        <w:rPr>
          <w:rFonts w:ascii="宋体" w:hAnsi="宋体" w:cs="Arial"/>
          <w:color w:val="000000" w:themeColor="text1"/>
          <w:highlight w:val="none"/>
          <w14:textFill>
            <w14:solidFill>
              <w14:schemeClr w14:val="tx1"/>
            </w14:solidFill>
          </w14:textFil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82" w:name="_Toc41492205"/>
      <w:bookmarkStart w:id="883" w:name="_Toc12960"/>
      <w:bookmarkStart w:id="884" w:name="_Toc25734"/>
      <w:bookmarkStart w:id="885" w:name="_Toc25750617"/>
      <w:bookmarkStart w:id="886" w:name="_Toc20523"/>
      <w:bookmarkStart w:id="887" w:name="_Toc383891197"/>
      <w:bookmarkStart w:id="888" w:name="_Toc16963"/>
      <w:bookmarkStart w:id="889" w:name="_Toc21167"/>
      <w:bookmarkStart w:id="890" w:name="_Toc12909"/>
      <w:bookmarkStart w:id="891" w:name="_Toc12671"/>
      <w:bookmarkStart w:id="892" w:name="_Toc654"/>
      <w:bookmarkStart w:id="893" w:name="_Toc9602"/>
      <w:bookmarkStart w:id="894" w:name="_Toc19810"/>
      <w:bookmarkStart w:id="895" w:name="_Toc492478747"/>
      <w:bookmarkStart w:id="896" w:name="_Toc385427822"/>
      <w:bookmarkStart w:id="897" w:name="_Toc12983532"/>
      <w:bookmarkStart w:id="898" w:name="_Toc15988"/>
      <w:bookmarkStart w:id="899" w:name="_Toc7858"/>
      <w:bookmarkStart w:id="900" w:name="_Toc12555"/>
      <w:bookmarkStart w:id="901" w:name="_Toc29504"/>
      <w:bookmarkStart w:id="902" w:name="_Toc18515"/>
      <w:bookmarkStart w:id="903" w:name="_Toc9941"/>
      <w:bookmarkStart w:id="904" w:name="_Toc30207"/>
      <w:bookmarkStart w:id="905" w:name="_Toc390098448"/>
      <w:bookmarkStart w:id="906" w:name="_Toc378514937"/>
      <w:bookmarkStart w:id="907" w:name="_Toc294723156"/>
      <w:bookmarkStart w:id="908" w:name="_Toc375039094"/>
      <w:r>
        <w:rPr>
          <w:rFonts w:hint="eastAsia" w:ascii="宋体" w:hAnsi="宋体"/>
          <w:color w:val="000000" w:themeColor="text1"/>
          <w:sz w:val="21"/>
          <w:szCs w:val="21"/>
          <w:highlight w:val="none"/>
          <w14:textFill>
            <w14:solidFill>
              <w14:schemeClr w14:val="tx1"/>
            </w14:solidFill>
          </w14:textFill>
        </w:rPr>
        <w:t>评审过程保密</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09" w:name="_Toc390098449"/>
      <w:bookmarkStart w:id="910" w:name="_Toc12983533"/>
      <w:bookmarkStart w:id="911" w:name="_Toc28843"/>
      <w:bookmarkStart w:id="912" w:name="_Toc11077"/>
      <w:bookmarkStart w:id="913" w:name="_Toc28701"/>
      <w:bookmarkStart w:id="914" w:name="_Toc6624"/>
      <w:bookmarkStart w:id="915" w:name="_Toc41492206"/>
      <w:bookmarkStart w:id="916" w:name="_Toc24327"/>
      <w:bookmarkStart w:id="917" w:name="_Toc13743"/>
      <w:bookmarkStart w:id="918" w:name="_Toc30429"/>
      <w:bookmarkStart w:id="919" w:name="_Toc14860"/>
      <w:bookmarkStart w:id="920" w:name="_Toc383891198"/>
      <w:bookmarkStart w:id="921" w:name="_Toc492478748"/>
      <w:bookmarkStart w:id="922" w:name="_Toc385427823"/>
      <w:bookmarkStart w:id="923" w:name="_Toc1983"/>
      <w:bookmarkStart w:id="924" w:name="_Toc27670"/>
      <w:bookmarkStart w:id="925" w:name="_Toc28898"/>
      <w:bookmarkStart w:id="926" w:name="_Toc22510"/>
      <w:bookmarkStart w:id="927" w:name="_Toc13768"/>
      <w:bookmarkStart w:id="928" w:name="_Toc14799"/>
      <w:bookmarkStart w:id="929" w:name="_Toc25750618"/>
      <w:bookmarkStart w:id="930" w:name="_Toc8827"/>
      <w:bookmarkStart w:id="931" w:name="_Toc23267"/>
      <w:bookmarkStart w:id="932" w:name="_Toc5983"/>
      <w:r>
        <w:rPr>
          <w:rFonts w:hint="eastAsia" w:ascii="宋体" w:hAnsi="宋体"/>
          <w:color w:val="000000" w:themeColor="text1"/>
          <w:sz w:val="21"/>
          <w:szCs w:val="21"/>
          <w:highlight w:val="none"/>
          <w14:textFill>
            <w14:solidFill>
              <w14:schemeClr w14:val="tx1"/>
            </w14:solidFill>
          </w14:textFill>
        </w:rPr>
        <w:t>比选申请文件的澄清</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33" w:name="_Toc16884"/>
      <w:bookmarkStart w:id="934" w:name="_Toc26318"/>
      <w:bookmarkStart w:id="935" w:name="_Toc12983534"/>
      <w:bookmarkStart w:id="936" w:name="_Toc22681"/>
      <w:bookmarkStart w:id="937" w:name="_Toc20519"/>
      <w:bookmarkStart w:id="938" w:name="_Toc18093"/>
      <w:bookmarkStart w:id="939" w:name="_Toc26070"/>
      <w:bookmarkStart w:id="940" w:name="_Toc1915"/>
      <w:bookmarkStart w:id="941" w:name="_Toc492478749"/>
      <w:bookmarkStart w:id="942" w:name="_Toc4397"/>
      <w:bookmarkStart w:id="943" w:name="_Toc390098450"/>
      <w:bookmarkStart w:id="944" w:name="_Toc5607"/>
      <w:bookmarkStart w:id="945" w:name="_Toc5926"/>
      <w:bookmarkStart w:id="946" w:name="_Toc9040"/>
      <w:bookmarkStart w:id="947" w:name="_Toc385427824"/>
      <w:bookmarkStart w:id="948" w:name="_Toc6908"/>
      <w:bookmarkStart w:id="949" w:name="_Toc5437"/>
      <w:bookmarkStart w:id="950" w:name="_Toc25750619"/>
      <w:bookmarkStart w:id="951" w:name="_Toc30017"/>
      <w:bookmarkStart w:id="952" w:name="_Toc383891199"/>
      <w:bookmarkStart w:id="953" w:name="_Toc28992"/>
      <w:bookmarkStart w:id="954" w:name="_Toc41492207"/>
      <w:bookmarkStart w:id="955" w:name="_Toc29146"/>
      <w:bookmarkStart w:id="956" w:name="_Toc12795"/>
      <w:r>
        <w:rPr>
          <w:rFonts w:hint="eastAsia" w:ascii="宋体" w:hAnsi="宋体"/>
          <w:color w:val="000000" w:themeColor="text1"/>
          <w:sz w:val="21"/>
          <w:szCs w:val="21"/>
          <w:highlight w:val="none"/>
          <w14:textFill>
            <w14:solidFill>
              <w14:schemeClr w14:val="tx1"/>
            </w14:solidFill>
          </w14:textFill>
        </w:rPr>
        <w:t>比选申请文件响应性的确定</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57" w:name="_Toc20810"/>
      <w:bookmarkStart w:id="958" w:name="_Toc12167"/>
      <w:bookmarkStart w:id="959" w:name="_Toc492478750"/>
      <w:bookmarkStart w:id="960" w:name="_Toc390098451"/>
      <w:bookmarkStart w:id="961" w:name="_Toc23808"/>
      <w:bookmarkStart w:id="962" w:name="_Toc22063"/>
      <w:bookmarkStart w:id="963" w:name="_Toc385427825"/>
      <w:bookmarkStart w:id="964" w:name="_Toc26239"/>
      <w:bookmarkStart w:id="965" w:name="_Toc29398"/>
      <w:bookmarkStart w:id="966" w:name="_Toc23956"/>
      <w:bookmarkStart w:id="967" w:name="_Toc12983535"/>
      <w:bookmarkStart w:id="968" w:name="_Toc1027"/>
      <w:bookmarkStart w:id="969" w:name="_Toc22146"/>
      <w:bookmarkStart w:id="970" w:name="_Toc383891200"/>
      <w:bookmarkStart w:id="971" w:name="_Toc41492208"/>
      <w:bookmarkStart w:id="972" w:name="_Toc21468"/>
      <w:bookmarkStart w:id="973" w:name="_Toc25750620"/>
      <w:bookmarkStart w:id="974" w:name="_Toc15051"/>
      <w:bookmarkStart w:id="975" w:name="_Toc23999"/>
      <w:bookmarkStart w:id="976" w:name="_Toc31646"/>
      <w:bookmarkStart w:id="977" w:name="_Toc17236"/>
      <w:bookmarkStart w:id="978" w:name="_Toc20912"/>
      <w:bookmarkStart w:id="979" w:name="_Toc20874"/>
      <w:bookmarkStart w:id="980" w:name="_Toc19477"/>
      <w:r>
        <w:rPr>
          <w:rFonts w:hint="eastAsia" w:ascii="宋体" w:hAnsi="宋体"/>
          <w:color w:val="000000" w:themeColor="text1"/>
          <w:sz w:val="21"/>
          <w:szCs w:val="21"/>
          <w:highlight w:val="none"/>
          <w14:textFill>
            <w14:solidFill>
              <w14:schemeClr w14:val="tx1"/>
            </w14:solidFill>
          </w14:textFill>
        </w:rPr>
        <w:t>比选申请文件计算错误的修正</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27.1 比选申请报价大写金额与小写金额不一致的，以大写金额为准；</w:t>
      </w:r>
      <w:r>
        <w:rPr>
          <w:rFonts w:ascii="宋体" w:hAnsi="宋体"/>
          <w:color w:val="000000" w:themeColor="text1"/>
          <w:highlight w:val="none"/>
          <w14:textFill>
            <w14:solidFill>
              <w14:schemeClr w14:val="tx1"/>
            </w14:solidFill>
          </w14:textFill>
        </w:rPr>
        <w:t>总价金额与单价</w:t>
      </w:r>
      <w:r>
        <w:rPr>
          <w:rFonts w:hint="eastAsia" w:ascii="宋体" w:hAnsi="宋体"/>
          <w:color w:val="000000" w:themeColor="text1"/>
          <w:highlight w:val="none"/>
          <w14:textFill>
            <w14:solidFill>
              <w14:schemeClr w14:val="tx1"/>
            </w14:solidFill>
          </w14:textFill>
        </w:rPr>
        <w:t>乘以数量的合计</w:t>
      </w:r>
      <w:r>
        <w:rPr>
          <w:rFonts w:ascii="宋体" w:hAnsi="宋体"/>
          <w:color w:val="000000" w:themeColor="text1"/>
          <w:highlight w:val="none"/>
          <w14:textFill>
            <w14:solidFill>
              <w14:schemeClr w14:val="tx1"/>
            </w14:solidFill>
          </w14:textFill>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27.2 按上述修正错误的原则及方法修正后的总价经比选申请人书面确认后作为评审价，比选申请人不接受修正价格的，其比选申请</w:t>
      </w:r>
      <w:r>
        <w:rPr>
          <w:rFonts w:hint="eastAsia" w:ascii="宋体" w:hAnsi="宋体"/>
          <w:color w:val="000000" w:themeColor="text1"/>
          <w:highlight w:val="none"/>
          <w14:textFill>
            <w14:solidFill>
              <w14:schemeClr w14:val="tx1"/>
            </w14:solidFill>
          </w14:textFill>
        </w:rPr>
        <w:t>将按否决比选申请处理</w:t>
      </w:r>
      <w:r>
        <w:rPr>
          <w:rFonts w:hint="eastAsia" w:ascii="宋体" w:hAnsi="宋体" w:cs="Arial"/>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000000" w:themeColor="text1"/>
          <w:highlight w:val="none"/>
          <w14:textFill>
            <w14:solidFill>
              <w14:schemeClr w14:val="tx1"/>
            </w14:solidFill>
          </w14:textFill>
        </w:rPr>
        <w:t>，但并不减免中选人应承担的工作。</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81" w:name="_Toc4958"/>
      <w:bookmarkStart w:id="982" w:name="_Toc390098452"/>
      <w:bookmarkStart w:id="983" w:name="_Toc383891201"/>
      <w:bookmarkStart w:id="984" w:name="_Toc8959"/>
      <w:bookmarkStart w:id="985" w:name="_Toc3258"/>
      <w:bookmarkStart w:id="986" w:name="_Toc22994"/>
      <w:bookmarkStart w:id="987" w:name="_Toc19936"/>
      <w:bookmarkStart w:id="988" w:name="_Toc9737"/>
      <w:bookmarkStart w:id="989" w:name="_Toc27112"/>
      <w:bookmarkStart w:id="990" w:name="_Toc12983536"/>
      <w:bookmarkStart w:id="991" w:name="_Toc9812"/>
      <w:bookmarkStart w:id="992" w:name="_Toc25750621"/>
      <w:bookmarkStart w:id="993" w:name="_Toc41492209"/>
      <w:bookmarkStart w:id="994" w:name="_Toc29276"/>
      <w:bookmarkStart w:id="995" w:name="_Toc24176"/>
      <w:bookmarkStart w:id="996" w:name="_Toc385427826"/>
      <w:bookmarkStart w:id="997" w:name="_Toc492478751"/>
      <w:bookmarkStart w:id="998" w:name="_Toc16418"/>
      <w:bookmarkStart w:id="999" w:name="_Toc5319"/>
      <w:bookmarkStart w:id="1000" w:name="_Toc20881"/>
      <w:bookmarkStart w:id="1001" w:name="_Toc1004"/>
      <w:bookmarkStart w:id="1002" w:name="_Toc20854"/>
      <w:bookmarkStart w:id="1003" w:name="_Toc23907"/>
      <w:bookmarkStart w:id="1004" w:name="_Toc20444"/>
      <w:r>
        <w:rPr>
          <w:rFonts w:hint="eastAsia" w:ascii="宋体" w:hAnsi="宋体"/>
          <w:color w:val="000000" w:themeColor="text1"/>
          <w:sz w:val="21"/>
          <w:szCs w:val="21"/>
          <w:highlight w:val="none"/>
          <w14:textFill>
            <w14:solidFill>
              <w14:schemeClr w14:val="tx1"/>
            </w14:solidFill>
          </w14:textFill>
        </w:rPr>
        <w:t>比选申请文件的评价与比较</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28.2 评审将按《评审办法》规定执行。</w:t>
      </w:r>
      <w:bookmarkEnd w:id="906"/>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05" w:name="_Toc8845"/>
      <w:bookmarkStart w:id="1006" w:name="_Toc383891202"/>
      <w:bookmarkStart w:id="1007" w:name="_Toc22500"/>
      <w:bookmarkStart w:id="1008" w:name="_Toc8074"/>
      <w:bookmarkStart w:id="1009" w:name="_Toc11657"/>
      <w:bookmarkStart w:id="1010" w:name="_Toc3358"/>
      <w:bookmarkStart w:id="1011" w:name="_Toc12983537"/>
      <w:bookmarkStart w:id="1012" w:name="_Toc27803"/>
      <w:bookmarkStart w:id="1013" w:name="_Toc27289"/>
      <w:bookmarkStart w:id="1014" w:name="_Toc11010"/>
      <w:bookmarkStart w:id="1015" w:name="_Toc390098453"/>
      <w:bookmarkStart w:id="1016" w:name="_Toc19322"/>
      <w:bookmarkStart w:id="1017" w:name="_Toc492478752"/>
      <w:bookmarkStart w:id="1018" w:name="_Toc507"/>
      <w:bookmarkStart w:id="1019" w:name="_Toc31774"/>
      <w:bookmarkStart w:id="1020" w:name="_Toc28489"/>
      <w:bookmarkStart w:id="1021" w:name="_Toc41492210"/>
      <w:bookmarkStart w:id="1022" w:name="_Toc14300"/>
      <w:bookmarkStart w:id="1023" w:name="_Toc32344"/>
      <w:bookmarkStart w:id="1024" w:name="_Toc15146"/>
      <w:bookmarkStart w:id="1025" w:name="_Toc385427827"/>
      <w:bookmarkStart w:id="1026" w:name="_Toc1450"/>
      <w:bookmarkStart w:id="1027" w:name="_Toc25750622"/>
      <w:bookmarkStart w:id="1028" w:name="_Toc17460"/>
      <w:r>
        <w:rPr>
          <w:rFonts w:hint="eastAsia" w:ascii="宋体" w:hAnsi="宋体"/>
          <w:color w:val="000000" w:themeColor="text1"/>
          <w:sz w:val="21"/>
          <w:szCs w:val="21"/>
          <w:highlight w:val="none"/>
          <w14:textFill>
            <w14:solidFill>
              <w14:schemeClr w14:val="tx1"/>
            </w14:solidFill>
          </w14:textFill>
        </w:rPr>
        <w:t>定标</w:t>
      </w:r>
      <w:bookmarkEnd w:id="907"/>
      <w:bookmarkEnd w:id="908"/>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tabs>
          <w:tab w:val="left" w:pos="1134"/>
          <w:tab w:val="left" w:pos="8364"/>
        </w:tabs>
        <w:spacing w:before="0" w:after="0" w:afterAutospacing="0"/>
        <w:ind w:left="0" w:right="0" w:firstLine="420" w:firstLineChars="200"/>
        <w:rPr>
          <w:rFonts w:ascii="宋体" w:hAnsi="宋体" w:cs="Arial"/>
          <w:color w:val="000000" w:themeColor="text1"/>
          <w:highlight w:val="yellow"/>
          <w14:textFill>
            <w14:solidFill>
              <w14:schemeClr w14:val="tx1"/>
            </w14:solidFill>
          </w14:textFill>
        </w:rPr>
      </w:pPr>
      <w:r>
        <w:rPr>
          <w:rFonts w:ascii="宋体" w:hAnsi="宋体" w:cs="Arial"/>
          <w:color w:val="000000" w:themeColor="text1"/>
          <w:highlight w:val="none"/>
          <w14:textFill>
            <w14:solidFill>
              <w14:schemeClr w14:val="tx1"/>
            </w14:solidFill>
          </w14:textFill>
        </w:rPr>
        <w:t>29.1</w:t>
      </w:r>
      <w:r>
        <w:rPr>
          <w:rFonts w:hint="eastAsia" w:ascii="宋体" w:hAnsi="宋体" w:cs="Arial"/>
          <w:color w:val="000000" w:themeColor="text1"/>
          <w:highlight w:val="none"/>
          <w14:textFill>
            <w14:solidFill>
              <w14:schemeClr w14:val="tx1"/>
            </w14:solidFill>
          </w14:textFill>
        </w:rPr>
        <w:t xml:space="preserve"> </w:t>
      </w:r>
      <w:r>
        <w:rPr>
          <w:rFonts w:hint="eastAsia" w:ascii="宋体" w:hAnsi="宋体" w:cs="Arial"/>
          <w:color w:val="000000" w:themeColor="text1"/>
          <w:highlight w:val="none"/>
          <w:lang w:val="en-US" w:eastAsia="zh-CN"/>
          <w14:textFill>
            <w14:solidFill>
              <w14:schemeClr w14:val="tx1"/>
            </w14:solidFill>
          </w14:textFill>
        </w:rPr>
        <w:t>经评审后，评审委员会将总分最高的比选申请人推荐为中选候选人，商务和技术总得分高者排名优先；若商务和技术总得分相同的，技术分高者排名优先；若技术分和商务分都相同的，评审委员会以记名投票的方式按少数服从多数的原则决定其排名顺序。</w:t>
      </w:r>
    </w:p>
    <w:p>
      <w:pPr>
        <w:tabs>
          <w:tab w:val="left" w:pos="1134"/>
          <w:tab w:val="left" w:pos="8364"/>
        </w:tabs>
        <w:spacing w:before="0" w:after="0" w:afterAutospacing="0"/>
        <w:ind w:left="0" w:right="0" w:firstLine="420" w:firstLineChars="200"/>
        <w:rPr>
          <w:rFonts w:hint="eastAsia" w:ascii="宋体" w:hAnsi="宋体" w:cs="Arial"/>
          <w:color w:val="000000" w:themeColor="text1"/>
          <w:highlight w:val="none"/>
          <w:lang w:val="en-US" w:eastAsia="zh-CN"/>
          <w14:textFill>
            <w14:solidFill>
              <w14:schemeClr w14:val="tx1"/>
            </w14:solidFill>
          </w14:textFill>
        </w:rPr>
      </w:pPr>
      <w:r>
        <w:rPr>
          <w:rFonts w:ascii="宋体" w:hAnsi="宋体" w:cs="Arial"/>
          <w:color w:val="000000" w:themeColor="text1"/>
          <w:highlight w:val="none"/>
          <w14:textFill>
            <w14:solidFill>
              <w14:schemeClr w14:val="tx1"/>
            </w14:solidFill>
          </w14:textFill>
        </w:rPr>
        <w:t>29.2</w:t>
      </w:r>
      <w:r>
        <w:rPr>
          <w:rFonts w:hint="eastAsia" w:ascii="宋体" w:hAnsi="宋体" w:cs="Arial"/>
          <w:color w:val="000000" w:themeColor="text1"/>
          <w:highlight w:val="none"/>
          <w:lang w:val="en-US" w:eastAsia="zh-CN"/>
          <w14:textFill>
            <w14:solidFill>
              <w14:schemeClr w14:val="tx1"/>
            </w14:solidFill>
          </w14:textFil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29.3</w:t>
      </w:r>
      <w:r>
        <w:rPr>
          <w:rFonts w:hint="eastAsia" w:ascii="宋体" w:hAnsi="宋体" w:cs="Arial"/>
          <w:color w:val="000000" w:themeColor="text1"/>
          <w:highlight w:val="none"/>
          <w14:textFill>
            <w14:solidFill>
              <w14:schemeClr w14:val="tx1"/>
            </w14:solidFill>
          </w14:textFil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29.4</w:t>
      </w:r>
      <w:r>
        <w:rPr>
          <w:rFonts w:hint="eastAsia" w:ascii="宋体" w:hAnsi="宋体" w:cs="Arial"/>
          <w:color w:val="000000" w:themeColor="text1"/>
          <w:highlight w:val="none"/>
          <w14:textFill>
            <w14:solidFill>
              <w14:schemeClr w14:val="tx1"/>
            </w14:solidFill>
          </w14:textFil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29.5</w:t>
      </w:r>
      <w:r>
        <w:rPr>
          <w:rFonts w:hint="eastAsia" w:ascii="宋体" w:hAnsi="宋体" w:cs="Arial"/>
          <w:color w:val="000000" w:themeColor="text1"/>
          <w:highlight w:val="none"/>
          <w14:textFill>
            <w14:solidFill>
              <w14:schemeClr w14:val="tx1"/>
            </w14:solidFill>
          </w14:textFill>
        </w:rPr>
        <w:t>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29" w:name="_Toc18192"/>
      <w:bookmarkStart w:id="1030" w:name="_Toc16732"/>
      <w:bookmarkStart w:id="1031" w:name="_Toc26470"/>
      <w:bookmarkStart w:id="1032" w:name="_Toc1215"/>
      <w:bookmarkStart w:id="1033" w:name="_Toc5172"/>
      <w:bookmarkStart w:id="1034" w:name="_Toc15932"/>
      <w:bookmarkStart w:id="1035" w:name="_Toc375039095"/>
      <w:bookmarkStart w:id="1036" w:name="_Toc492478753"/>
      <w:bookmarkStart w:id="1037" w:name="_Toc19634"/>
      <w:bookmarkStart w:id="1038" w:name="_Toc390098454"/>
      <w:bookmarkStart w:id="1039" w:name="_Toc13986"/>
      <w:bookmarkStart w:id="1040" w:name="_Toc385427828"/>
      <w:bookmarkStart w:id="1041" w:name="_Toc3761"/>
      <w:bookmarkStart w:id="1042" w:name="_Toc383891203"/>
      <w:bookmarkStart w:id="1043" w:name="_Toc5257"/>
      <w:bookmarkStart w:id="1044" w:name="_Toc17823"/>
      <w:bookmarkStart w:id="1045" w:name="_Toc21947"/>
      <w:bookmarkStart w:id="1046" w:name="_Toc14042"/>
      <w:bookmarkStart w:id="1047" w:name="_Toc27664"/>
      <w:bookmarkStart w:id="1048" w:name="_Toc21142"/>
      <w:bookmarkStart w:id="1049" w:name="_Toc37"/>
      <w:bookmarkStart w:id="1050" w:name="_Toc22182"/>
      <w:bookmarkStart w:id="1051" w:name="_Toc12983538"/>
      <w:bookmarkStart w:id="1052" w:name="_Toc41492211"/>
      <w:bookmarkStart w:id="1053" w:name="_Toc25750623"/>
      <w:r>
        <w:rPr>
          <w:rFonts w:hint="eastAsia" w:ascii="宋体" w:hAnsi="宋体"/>
          <w:color w:val="000000" w:themeColor="text1"/>
          <w:sz w:val="21"/>
          <w:szCs w:val="21"/>
          <w:highlight w:val="none"/>
          <w14:textFill>
            <w14:solidFill>
              <w14:schemeClr w14:val="tx1"/>
            </w14:solidFill>
          </w14:textFill>
        </w:rPr>
        <w:t>重新</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Fonts w:hint="eastAsia" w:ascii="宋体" w:hAnsi="宋体"/>
          <w:color w:val="000000" w:themeColor="text1"/>
          <w:sz w:val="21"/>
          <w:szCs w:val="21"/>
          <w:highlight w:val="none"/>
          <w14:textFill>
            <w14:solidFill>
              <w14:schemeClr w14:val="tx1"/>
            </w14:solidFill>
          </w14:textFill>
        </w:rPr>
        <w:t>比选</w:t>
      </w:r>
      <w:bookmarkEnd w:id="1052"/>
      <w:bookmarkEnd w:id="1053"/>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出现下列特殊情况之一时，可重新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30.1</w:t>
      </w:r>
      <w:r>
        <w:rPr>
          <w:rFonts w:ascii="宋体" w:hAnsi="宋体"/>
          <w:color w:val="000000" w:themeColor="text1"/>
          <w:highlight w:val="none"/>
          <w14:textFill>
            <w14:solidFill>
              <w14:schemeClr w14:val="tx1"/>
            </w14:solidFill>
          </w14:textFill>
        </w:rPr>
        <w:t>在比选申请截止时间到达时提交比选申请文件的比选申请人</w:t>
      </w:r>
      <w:r>
        <w:rPr>
          <w:rFonts w:hint="eastAsia" w:ascii="宋体" w:hAnsi="宋体"/>
          <w:color w:val="000000" w:themeColor="text1"/>
          <w:highlight w:val="none"/>
          <w14:textFill>
            <w14:solidFill>
              <w14:schemeClr w14:val="tx1"/>
            </w14:solidFill>
          </w14:textFill>
        </w:rPr>
        <w:t>不足</w:t>
      </w:r>
      <w:r>
        <w:rPr>
          <w:rFonts w:hint="eastAsia" w:ascii="宋体" w:hAnsi="宋体"/>
          <w:color w:val="auto"/>
          <w:highlight w:val="none"/>
          <w:lang w:val="en-US" w:eastAsia="zh-CN"/>
        </w:rPr>
        <w:t>3</w:t>
      </w:r>
      <w:r>
        <w:rPr>
          <w:rFonts w:hint="eastAsia" w:ascii="宋体" w:hAnsi="宋体"/>
          <w:color w:val="000000" w:themeColor="text1"/>
          <w:highlight w:val="none"/>
          <w14:textFill>
            <w14:solidFill>
              <w14:schemeClr w14:val="tx1"/>
            </w14:solidFill>
          </w14:textFill>
        </w:rPr>
        <w:t>家</w:t>
      </w:r>
      <w:r>
        <w:rPr>
          <w:rFonts w:ascii="宋体" w:hAnsi="宋体"/>
          <w:color w:val="000000" w:themeColor="text1"/>
          <w:highlight w:val="none"/>
          <w14:textFill>
            <w14:solidFill>
              <w14:schemeClr w14:val="tx1"/>
            </w14:solidFill>
          </w14:textFill>
        </w:rPr>
        <w:t>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30.2评审委员会否决不合格比选申请或者界定 为否决比选申请后，因有效比选申请不足三家使得比选申请明显缺乏竞争性的（当有效比选申请仅剩两家时，评审委员会认为剩余的比选申请文件仍具有竞争性的，应继续</w:t>
      </w:r>
      <w:r>
        <w:rPr>
          <w:rFonts w:hint="eastAsia" w:ascii="宋体" w:hAnsi="宋体"/>
          <w:color w:val="000000" w:themeColor="text1"/>
          <w:highlight w:val="none"/>
          <w:lang w:val="en-US" w:eastAsia="zh-CN"/>
          <w14:textFill>
            <w14:solidFill>
              <w14:schemeClr w14:val="tx1"/>
            </w14:solidFill>
          </w14:textFill>
        </w:rPr>
        <w:t>评</w:t>
      </w:r>
      <w:r>
        <w:rPr>
          <w:rFonts w:hint="eastAsia" w:ascii="宋体" w:hAnsi="宋体"/>
          <w:color w:val="000000" w:themeColor="text1"/>
          <w:highlight w:val="none"/>
          <w14:textFill>
            <w14:solidFill>
              <w14:schemeClr w14:val="tx1"/>
            </w14:solidFill>
          </w14:textFill>
        </w:rPr>
        <w:t>审）</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评审委员会决定否决全部比选申请的；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30.4</w:t>
      </w:r>
      <w:r>
        <w:rPr>
          <w:rFonts w:ascii="宋体" w:hAnsi="宋体"/>
          <w:color w:val="000000" w:themeColor="text1"/>
          <w:highlight w:val="none"/>
          <w14:textFill>
            <w14:solidFill>
              <w14:schemeClr w14:val="tx1"/>
            </w14:solidFill>
          </w14:textFill>
        </w:rPr>
        <w:t>中选候选人均放弃中选资格</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30.5</w:t>
      </w:r>
      <w:r>
        <w:rPr>
          <w:rFonts w:ascii="宋体" w:hAnsi="宋体"/>
          <w:color w:val="000000" w:themeColor="text1"/>
          <w:highlight w:val="none"/>
          <w14:textFill>
            <w14:solidFill>
              <w14:schemeClr w14:val="tx1"/>
            </w14:solidFill>
          </w14:textFill>
        </w:rPr>
        <w:t>根据本须知15</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条规定，</w:t>
      </w:r>
      <w:r>
        <w:rPr>
          <w:rFonts w:hint="eastAsia" w:ascii="宋体" w:hAnsi="宋体"/>
          <w:color w:val="000000" w:themeColor="text1"/>
          <w:highlight w:val="none"/>
          <w14:textFill>
            <w14:solidFill>
              <w14:schemeClr w14:val="tx1"/>
            </w14:solidFill>
          </w14:textFill>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30.6比选文件中规定的其他情况。</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54" w:name="_Toc10962"/>
      <w:bookmarkStart w:id="1055" w:name="_Toc11126"/>
      <w:bookmarkStart w:id="1056" w:name="_Toc20979"/>
      <w:bookmarkStart w:id="1057" w:name="_Toc12983539"/>
      <w:bookmarkStart w:id="1058" w:name="_Toc5959"/>
      <w:bookmarkStart w:id="1059" w:name="_Toc1945"/>
      <w:bookmarkStart w:id="1060" w:name="_Toc390098455"/>
      <w:bookmarkStart w:id="1061" w:name="_Toc26954"/>
      <w:bookmarkStart w:id="1062" w:name="_Toc2422"/>
      <w:bookmarkStart w:id="1063" w:name="_Toc25257"/>
      <w:bookmarkStart w:id="1064" w:name="_Toc385427829"/>
      <w:bookmarkStart w:id="1065" w:name="_Toc6886"/>
      <w:bookmarkStart w:id="1066" w:name="_Toc31757"/>
      <w:bookmarkStart w:id="1067" w:name="_Toc14235"/>
      <w:bookmarkStart w:id="1068" w:name="_Toc375039096"/>
      <w:bookmarkStart w:id="1069" w:name="_Toc1116"/>
      <w:bookmarkStart w:id="1070" w:name="_Toc492478754"/>
      <w:bookmarkStart w:id="1071" w:name="_Toc14454"/>
      <w:bookmarkStart w:id="1072" w:name="_Toc17042"/>
      <w:bookmarkStart w:id="1073" w:name="_Toc26919"/>
      <w:bookmarkStart w:id="1074" w:name="_Toc383891204"/>
      <w:bookmarkStart w:id="1075" w:name="_Toc3769"/>
      <w:bookmarkStart w:id="1076" w:name="_Toc12031"/>
      <w:bookmarkStart w:id="1077" w:name="_Toc41492212"/>
      <w:bookmarkStart w:id="1078" w:name="_Toc25750624"/>
      <w:r>
        <w:rPr>
          <w:rFonts w:hint="eastAsia" w:ascii="宋体" w:hAnsi="宋体"/>
          <w:color w:val="000000" w:themeColor="text1"/>
          <w:sz w:val="21"/>
          <w:szCs w:val="21"/>
          <w:highlight w:val="none"/>
          <w14:textFill>
            <w14:solidFill>
              <w14:schemeClr w14:val="tx1"/>
            </w14:solidFill>
          </w14:textFill>
        </w:rPr>
        <w:t>不再</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Fonts w:hint="eastAsia" w:ascii="宋体" w:hAnsi="宋体"/>
          <w:color w:val="000000" w:themeColor="text1"/>
          <w:sz w:val="21"/>
          <w:szCs w:val="21"/>
          <w:highlight w:val="none"/>
          <w14:textFill>
            <w14:solidFill>
              <w14:schemeClr w14:val="tx1"/>
            </w14:solidFill>
          </w14:textFill>
        </w:rPr>
        <w:t>比选</w:t>
      </w:r>
      <w:bookmarkEnd w:id="1077"/>
      <w:bookmarkEnd w:id="1078"/>
    </w:p>
    <w:p>
      <w:pPr>
        <w:tabs>
          <w:tab w:val="left" w:pos="1155"/>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项目比选经两次发布信息后比选申请人仍少于三个或重新比选后有效比选申请人仍 少于三个或者所有比选申请被否决的，比选人可不再进行比选。</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1079" w:name="_Toc27839"/>
      <w:bookmarkStart w:id="1080" w:name="_Toc14430"/>
      <w:bookmarkStart w:id="1081" w:name="_Toc27663"/>
      <w:bookmarkStart w:id="1082" w:name="_Toc2606"/>
      <w:bookmarkStart w:id="1083" w:name="_Toc25431"/>
      <w:bookmarkStart w:id="1084" w:name="_Toc24580"/>
      <w:bookmarkStart w:id="1085" w:name="_Toc19952"/>
      <w:bookmarkStart w:id="1086" w:name="_Toc25763"/>
      <w:bookmarkStart w:id="1087" w:name="_Toc24681"/>
      <w:bookmarkStart w:id="1088" w:name="_Toc31958"/>
      <w:bookmarkStart w:id="1089" w:name="_Toc2326"/>
      <w:bookmarkStart w:id="1090" w:name="_Toc9113"/>
      <w:bookmarkStart w:id="1091" w:name="_Toc4743"/>
      <w:bookmarkStart w:id="1092" w:name="_Toc385427830"/>
      <w:bookmarkStart w:id="1093" w:name="_Toc492478755"/>
      <w:bookmarkStart w:id="1094" w:name="_Toc21516"/>
      <w:bookmarkStart w:id="1095" w:name="_Toc6000"/>
      <w:bookmarkStart w:id="1096" w:name="_Toc22975"/>
      <w:bookmarkStart w:id="1097" w:name="_Toc28227"/>
      <w:bookmarkStart w:id="1098" w:name="_Toc18800"/>
      <w:bookmarkStart w:id="1099" w:name="_Toc26676"/>
      <w:bookmarkStart w:id="1100" w:name="_Toc26653"/>
      <w:bookmarkStart w:id="1101" w:name="_Toc30296"/>
      <w:bookmarkStart w:id="1102" w:name="_Toc390098456"/>
      <w:bookmarkStart w:id="1103" w:name="_Toc9997"/>
      <w:bookmarkStart w:id="1104" w:name="_Toc12421"/>
      <w:bookmarkStart w:id="1105" w:name="_Toc31446"/>
      <w:bookmarkStart w:id="1106" w:name="_Toc375039097"/>
      <w:bookmarkStart w:id="1107" w:name="_Toc30278"/>
      <w:bookmarkStart w:id="1108" w:name="_Toc8834"/>
      <w:bookmarkStart w:id="1109" w:name="_Toc15939"/>
      <w:bookmarkStart w:id="1110" w:name="_Toc12983540"/>
      <w:bookmarkStart w:id="1111" w:name="_Toc32241"/>
      <w:bookmarkStart w:id="1112" w:name="_Toc383891205"/>
      <w:r>
        <w:rPr>
          <w:rFonts w:hint="eastAsia" w:ascii="宋体" w:hAnsi="宋体" w:eastAsia="宋体"/>
          <w:color w:val="000000" w:themeColor="text1"/>
          <w:sz w:val="24"/>
          <w:szCs w:val="24"/>
          <w:highlight w:val="none"/>
          <w14:textFill>
            <w14:solidFill>
              <w14:schemeClr w14:val="tx1"/>
            </w14:solidFill>
          </w14:textFill>
        </w:rPr>
        <w:t>六、</w:t>
      </w:r>
      <w:r>
        <w:rPr>
          <w:rFonts w:ascii="宋体" w:hAnsi="宋体" w:eastAsia="宋体"/>
          <w:color w:val="000000" w:themeColor="text1"/>
          <w:sz w:val="24"/>
          <w:szCs w:val="24"/>
          <w:highlight w:val="none"/>
          <w14:textFill>
            <w14:solidFill>
              <w14:schemeClr w14:val="tx1"/>
            </w14:solidFill>
          </w14:textFill>
        </w:rPr>
        <w:t>授予合同</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13" w:name="_Toc375039098"/>
      <w:bookmarkStart w:id="1114" w:name="_Toc41492214"/>
      <w:bookmarkStart w:id="1115" w:name="_Toc25750626"/>
      <w:bookmarkStart w:id="1116" w:name="_Toc20642"/>
      <w:bookmarkStart w:id="1117" w:name="_Toc383891206"/>
      <w:bookmarkStart w:id="1118" w:name="_Toc26525"/>
      <w:bookmarkStart w:id="1119" w:name="_Toc30743"/>
      <w:bookmarkStart w:id="1120" w:name="_Toc21975"/>
      <w:bookmarkStart w:id="1121" w:name="_Toc21728"/>
      <w:bookmarkStart w:id="1122" w:name="_Toc22323"/>
      <w:bookmarkStart w:id="1123" w:name="_Toc22688"/>
      <w:bookmarkStart w:id="1124" w:name="_Toc492478756"/>
      <w:bookmarkStart w:id="1125" w:name="_Toc31011"/>
      <w:bookmarkStart w:id="1126" w:name="_Toc26143"/>
      <w:bookmarkStart w:id="1127" w:name="_Toc8938"/>
      <w:bookmarkStart w:id="1128" w:name="_Toc385427831"/>
      <w:bookmarkStart w:id="1129" w:name="_Toc30026"/>
      <w:bookmarkStart w:id="1130" w:name="_Toc11795"/>
      <w:bookmarkStart w:id="1131" w:name="_Toc13914"/>
      <w:bookmarkStart w:id="1132" w:name="_Toc18878"/>
      <w:bookmarkStart w:id="1133" w:name="_Toc12983541"/>
      <w:bookmarkStart w:id="1134" w:name="_Toc10522"/>
      <w:bookmarkStart w:id="1135" w:name="_Toc1269"/>
      <w:bookmarkStart w:id="1136" w:name="_Toc390098457"/>
      <w:bookmarkStart w:id="1137" w:name="_Toc28661"/>
      <w:r>
        <w:rPr>
          <w:rFonts w:hint="eastAsia" w:ascii="宋体" w:hAnsi="宋体"/>
          <w:color w:val="000000" w:themeColor="text1"/>
          <w:sz w:val="21"/>
          <w:szCs w:val="21"/>
          <w:highlight w:val="none"/>
          <w14:textFill>
            <w14:solidFill>
              <w14:schemeClr w14:val="tx1"/>
            </w14:solidFill>
          </w14:textFill>
        </w:rPr>
        <w:t>32. 合同授予标准</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 </w:t>
      </w:r>
      <w:r>
        <w:rPr>
          <w:rFonts w:ascii="宋体" w:hAnsi="宋体"/>
          <w:color w:val="000000" w:themeColor="text1"/>
          <w:highlight w:val="none"/>
          <w14:textFill>
            <w14:solidFill>
              <w14:schemeClr w14:val="tx1"/>
            </w14:solidFill>
          </w14:textFill>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32.2 </w:t>
      </w:r>
      <w:r>
        <w:rPr>
          <w:rFonts w:ascii="宋体" w:hAnsi="宋体"/>
          <w:color w:val="000000" w:themeColor="text1"/>
          <w:highlight w:val="none"/>
          <w14:textFill>
            <w14:solidFill>
              <w14:schemeClr w14:val="tx1"/>
            </w14:solidFill>
          </w14:textFill>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38" w:name="_Toc377"/>
      <w:bookmarkStart w:id="1139" w:name="_Toc25750627"/>
      <w:bookmarkStart w:id="1140" w:name="_Toc41492215"/>
      <w:bookmarkStart w:id="1141" w:name="_Toc17818"/>
      <w:bookmarkStart w:id="1142" w:name="_Toc13417"/>
      <w:bookmarkStart w:id="1143" w:name="_Toc1873"/>
      <w:bookmarkStart w:id="1144" w:name="_Toc383891207"/>
      <w:bookmarkStart w:id="1145" w:name="_Toc31336"/>
      <w:bookmarkStart w:id="1146" w:name="_Toc19128"/>
      <w:bookmarkStart w:id="1147" w:name="_Toc14832"/>
      <w:bookmarkStart w:id="1148" w:name="_Toc11913"/>
      <w:bookmarkStart w:id="1149" w:name="_Toc19774"/>
      <w:bookmarkStart w:id="1150" w:name="_Toc24183"/>
      <w:bookmarkStart w:id="1151" w:name="_Toc390098458"/>
      <w:bookmarkStart w:id="1152" w:name="_Toc385427832"/>
      <w:bookmarkStart w:id="1153" w:name="_Toc14325"/>
      <w:bookmarkStart w:id="1154" w:name="_Toc16111"/>
      <w:bookmarkStart w:id="1155" w:name="_Toc12983542"/>
      <w:bookmarkStart w:id="1156" w:name="_Toc25797"/>
      <w:bookmarkStart w:id="1157" w:name="_Toc14301"/>
      <w:bookmarkStart w:id="1158" w:name="_Toc18977"/>
      <w:bookmarkStart w:id="1159" w:name="_Toc23649"/>
      <w:bookmarkStart w:id="1160" w:name="_Toc375039099"/>
      <w:bookmarkStart w:id="1161" w:name="_Toc492478757"/>
      <w:bookmarkStart w:id="1162" w:name="_Toc17153"/>
      <w:r>
        <w:rPr>
          <w:rFonts w:hint="eastAsia" w:ascii="宋体" w:hAnsi="宋体"/>
          <w:color w:val="000000" w:themeColor="text1"/>
          <w:sz w:val="21"/>
          <w:szCs w:val="21"/>
          <w:highlight w:val="none"/>
          <w14:textFill>
            <w14:solidFill>
              <w14:schemeClr w14:val="tx1"/>
            </w14:solidFill>
          </w14:textFill>
        </w:rPr>
        <w:t>33. 接受和否决任何或所有比选申请的权力</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63" w:name="_Toc12983543"/>
      <w:bookmarkStart w:id="1164" w:name="_Toc9636"/>
      <w:bookmarkStart w:id="1165" w:name="_Toc22657"/>
      <w:bookmarkStart w:id="1166" w:name="_Toc13605"/>
      <w:bookmarkStart w:id="1167" w:name="_Toc19556"/>
      <w:bookmarkStart w:id="1168" w:name="_Toc385427833"/>
      <w:bookmarkStart w:id="1169" w:name="_Toc17953"/>
      <w:bookmarkStart w:id="1170" w:name="_Toc13596"/>
      <w:bookmarkStart w:id="1171" w:name="_Toc383891208"/>
      <w:bookmarkStart w:id="1172" w:name="_Toc921"/>
      <w:bookmarkStart w:id="1173" w:name="_Toc25750628"/>
      <w:bookmarkStart w:id="1174" w:name="_Toc390098459"/>
      <w:bookmarkStart w:id="1175" w:name="_Toc673"/>
      <w:bookmarkStart w:id="1176" w:name="_Toc21798"/>
      <w:bookmarkStart w:id="1177" w:name="_Toc12065"/>
      <w:bookmarkStart w:id="1178" w:name="_Toc375039100"/>
      <w:bookmarkStart w:id="1179" w:name="_Toc41492216"/>
      <w:bookmarkStart w:id="1180" w:name="_Toc32424"/>
      <w:bookmarkStart w:id="1181" w:name="_Toc492478758"/>
      <w:bookmarkStart w:id="1182" w:name="_Toc5061"/>
      <w:bookmarkStart w:id="1183" w:name="_Toc19943"/>
      <w:bookmarkStart w:id="1184" w:name="_Toc2061"/>
      <w:bookmarkStart w:id="1185" w:name="_Toc10348"/>
      <w:bookmarkStart w:id="1186" w:name="_Toc20680"/>
      <w:bookmarkStart w:id="1187" w:name="_Toc27683"/>
      <w:r>
        <w:rPr>
          <w:rFonts w:hint="eastAsia" w:ascii="宋体" w:hAnsi="宋体"/>
          <w:color w:val="000000" w:themeColor="text1"/>
          <w:sz w:val="21"/>
          <w:szCs w:val="21"/>
          <w:highlight w:val="none"/>
          <w14:textFill>
            <w14:solidFill>
              <w14:schemeClr w14:val="tx1"/>
            </w14:solidFill>
          </w14:textFill>
        </w:rPr>
        <w:t>中选通知书</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34.1 </w:t>
      </w:r>
      <w:r>
        <w:rPr>
          <w:rFonts w:ascii="宋体" w:hAnsi="宋体"/>
          <w:color w:val="000000" w:themeColor="text1"/>
          <w:highlight w:val="none"/>
          <w14:textFill>
            <w14:solidFill>
              <w14:schemeClr w14:val="tx1"/>
            </w14:solidFill>
          </w14:textFill>
        </w:rPr>
        <w:t>在比选申请有效期截止前，</w:t>
      </w:r>
      <w:r>
        <w:rPr>
          <w:rFonts w:hint="eastAsia" w:ascii="宋体" w:hAnsi="宋体"/>
          <w:color w:val="000000" w:themeColor="text1"/>
          <w:highlight w:val="none"/>
          <w14:textFill>
            <w14:solidFill>
              <w14:schemeClr w14:val="tx1"/>
            </w14:solidFill>
          </w14:textFill>
        </w:rPr>
        <w:t>在本须知第</w:t>
      </w:r>
      <w:r>
        <w:rPr>
          <w:rFonts w:ascii="宋体" w:hAnsi="宋体"/>
          <w:color w:val="000000" w:themeColor="text1"/>
          <w:highlight w:val="none"/>
          <w14:textFill>
            <w14:solidFill>
              <w14:schemeClr w14:val="tx1"/>
            </w14:solidFill>
          </w14:textFill>
        </w:rPr>
        <w:t>15条</w:t>
      </w:r>
      <w:r>
        <w:rPr>
          <w:rFonts w:hint="eastAsia" w:ascii="宋体" w:hAnsi="宋体"/>
          <w:color w:val="000000" w:themeColor="text1"/>
          <w:highlight w:val="none"/>
          <w14:textFill>
            <w14:solidFill>
              <w14:schemeClr w14:val="tx1"/>
            </w14:solidFill>
          </w14:textFill>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34.2 </w:t>
      </w:r>
      <w:r>
        <w:rPr>
          <w:rFonts w:ascii="宋体" w:hAnsi="宋体"/>
          <w:color w:val="000000" w:themeColor="text1"/>
          <w:highlight w:val="none"/>
          <w14:textFill>
            <w14:solidFill>
              <w14:schemeClr w14:val="tx1"/>
            </w14:solidFill>
          </w14:textFill>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34.3 </w:t>
      </w:r>
      <w:r>
        <w:rPr>
          <w:rFonts w:ascii="宋体" w:hAnsi="宋体"/>
          <w:color w:val="000000" w:themeColor="text1"/>
          <w:highlight w:val="none"/>
          <w14:textFill>
            <w14:solidFill>
              <w14:schemeClr w14:val="tx1"/>
            </w14:solidFill>
          </w14:textFill>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34.4放弃中选人资格的处罚详见前附表。</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188" w:name="_Toc25750629"/>
      <w:bookmarkStart w:id="1189" w:name="_Toc24240"/>
      <w:bookmarkStart w:id="1190" w:name="_Toc492478759"/>
      <w:bookmarkStart w:id="1191" w:name="_Toc21570"/>
      <w:bookmarkStart w:id="1192" w:name="_Toc8628"/>
      <w:bookmarkStart w:id="1193" w:name="_Toc5617"/>
      <w:bookmarkStart w:id="1194" w:name="_Toc21217"/>
      <w:bookmarkStart w:id="1195" w:name="_Toc22442"/>
      <w:bookmarkStart w:id="1196" w:name="_Toc41492217"/>
      <w:bookmarkStart w:id="1197" w:name="_Toc1780"/>
      <w:bookmarkStart w:id="1198" w:name="_Toc383891209"/>
      <w:bookmarkStart w:id="1199" w:name="_Toc15048"/>
      <w:bookmarkStart w:id="1200" w:name="_Toc390098460"/>
      <w:bookmarkStart w:id="1201" w:name="_Toc4190"/>
      <w:bookmarkStart w:id="1202" w:name="_Toc24885"/>
      <w:bookmarkStart w:id="1203" w:name="_Toc375039101"/>
      <w:bookmarkStart w:id="1204" w:name="_Toc29993"/>
      <w:bookmarkStart w:id="1205" w:name="_Toc25208"/>
      <w:bookmarkStart w:id="1206" w:name="_Toc30862"/>
      <w:bookmarkStart w:id="1207" w:name="_Toc5767"/>
      <w:bookmarkStart w:id="1208" w:name="_Toc18694"/>
      <w:bookmarkStart w:id="1209" w:name="_Toc385427834"/>
      <w:bookmarkStart w:id="1210" w:name="_Toc28815"/>
      <w:bookmarkStart w:id="1211" w:name="_Toc12983544"/>
      <w:bookmarkStart w:id="1212" w:name="_Toc1862"/>
      <w:r>
        <w:rPr>
          <w:rFonts w:hint="eastAsia" w:ascii="宋体" w:hAnsi="宋体"/>
          <w:color w:val="000000" w:themeColor="text1"/>
          <w:sz w:val="21"/>
          <w:szCs w:val="21"/>
          <w:highlight w:val="none"/>
          <w14:textFill>
            <w14:solidFill>
              <w14:schemeClr w14:val="tx1"/>
            </w14:solidFill>
          </w14:textFill>
        </w:rPr>
        <w:t>签订合同</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35.1 中选人在收到中选通知书后的30天内，按比选文件的要求与比选人签订合同</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35.2 </w:t>
      </w:r>
      <w:r>
        <w:rPr>
          <w:rFonts w:ascii="宋体" w:hAnsi="宋体"/>
          <w:color w:val="000000" w:themeColor="text1"/>
          <w:highlight w:val="none"/>
          <w14:textFill>
            <w14:solidFill>
              <w14:schemeClr w14:val="tx1"/>
            </w14:solidFill>
          </w14:textFill>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35.3 </w:t>
      </w:r>
      <w:r>
        <w:rPr>
          <w:rFonts w:ascii="宋体" w:hAnsi="宋体"/>
          <w:color w:val="000000" w:themeColor="text1"/>
          <w:highlight w:val="none"/>
          <w14:textFill>
            <w14:solidFill>
              <w14:schemeClr w14:val="tx1"/>
            </w14:solidFill>
          </w14:textFill>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35.4 </w:t>
      </w:r>
      <w:r>
        <w:rPr>
          <w:rFonts w:ascii="宋体" w:hAnsi="宋体"/>
          <w:color w:val="000000" w:themeColor="text1"/>
          <w:highlight w:val="none"/>
          <w14:textFill>
            <w14:solidFill>
              <w14:schemeClr w14:val="tx1"/>
            </w14:solidFill>
          </w14:textFill>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213" w:name="_Toc375039103"/>
      <w:bookmarkStart w:id="1214" w:name="_Toc385427836"/>
      <w:bookmarkStart w:id="1215" w:name="_Toc390098462"/>
      <w:bookmarkStart w:id="1216" w:name="_Toc41492218"/>
      <w:bookmarkStart w:id="1217" w:name="_Toc12983546"/>
      <w:bookmarkStart w:id="1218" w:name="_Toc13615"/>
      <w:bookmarkStart w:id="1219" w:name="_Toc19122"/>
      <w:bookmarkStart w:id="1220" w:name="_Toc25750631"/>
      <w:bookmarkStart w:id="1221" w:name="_Toc25990"/>
      <w:bookmarkStart w:id="1222" w:name="_Toc21294"/>
      <w:bookmarkStart w:id="1223" w:name="_Toc16212"/>
      <w:bookmarkStart w:id="1224" w:name="_Toc8178"/>
      <w:bookmarkStart w:id="1225" w:name="_Toc16584"/>
      <w:bookmarkStart w:id="1226" w:name="_Toc10399"/>
      <w:bookmarkStart w:id="1227" w:name="_Toc20351"/>
      <w:bookmarkStart w:id="1228" w:name="_Toc26808"/>
      <w:bookmarkStart w:id="1229" w:name="_Toc492478761"/>
      <w:bookmarkStart w:id="1230" w:name="_Toc24400"/>
      <w:bookmarkStart w:id="1231" w:name="_Toc2637"/>
      <w:bookmarkStart w:id="1232" w:name="_Toc10480"/>
      <w:bookmarkStart w:id="1233" w:name="_Toc30169"/>
      <w:bookmarkStart w:id="1234" w:name="_Toc11354"/>
      <w:bookmarkStart w:id="1235" w:name="_Toc383891211"/>
      <w:bookmarkStart w:id="1236" w:name="_Toc25988"/>
      <w:bookmarkStart w:id="1237" w:name="_Toc23115"/>
      <w:r>
        <w:rPr>
          <w:rFonts w:hint="eastAsia" w:ascii="宋体" w:hAnsi="宋体"/>
          <w:color w:val="000000" w:themeColor="text1"/>
          <w:sz w:val="21"/>
          <w:szCs w:val="21"/>
          <w:highlight w:val="none"/>
          <w14:textFill>
            <w14:solidFill>
              <w14:schemeClr w14:val="tx1"/>
            </w14:solidFill>
          </w14:textFill>
        </w:rPr>
        <w:t>其他</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 </w:t>
      </w:r>
      <w:r>
        <w:rPr>
          <w:rFonts w:ascii="宋体" w:hAnsi="宋体"/>
          <w:color w:val="000000" w:themeColor="text1"/>
          <w:highlight w:val="none"/>
          <w14:textFill>
            <w14:solidFill>
              <w14:schemeClr w14:val="tx1"/>
            </w14:solidFill>
          </w14:textFill>
        </w:rPr>
        <w:t>知识产权和专利权</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36.1.1 </w:t>
      </w:r>
      <w:r>
        <w:rPr>
          <w:rFonts w:ascii="宋体" w:hAnsi="宋体"/>
          <w:color w:val="000000" w:themeColor="text1"/>
          <w:highlight w:val="none"/>
          <w14:textFill>
            <w14:solidFill>
              <w14:schemeClr w14:val="tx1"/>
            </w14:solidFill>
          </w14:textFill>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36.1.2 </w:t>
      </w:r>
      <w:r>
        <w:rPr>
          <w:rFonts w:ascii="宋体" w:hAnsi="宋体"/>
          <w:color w:val="000000" w:themeColor="text1"/>
          <w:highlight w:val="none"/>
          <w14:textFill>
            <w14:solidFill>
              <w14:schemeClr w14:val="tx1"/>
            </w14:solidFill>
          </w14:textFill>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 </w:t>
      </w:r>
      <w:r>
        <w:rPr>
          <w:rFonts w:ascii="宋体" w:hAnsi="宋体"/>
          <w:color w:val="000000" w:themeColor="text1"/>
          <w:highlight w:val="none"/>
          <w14:textFill>
            <w14:solidFill>
              <w14:schemeClr w14:val="tx1"/>
            </w14:solidFill>
          </w14:textFill>
        </w:rPr>
        <w:t>保密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36.2.1 </w:t>
      </w:r>
      <w:r>
        <w:rPr>
          <w:rFonts w:ascii="宋体" w:hAnsi="宋体"/>
          <w:color w:val="000000" w:themeColor="text1"/>
          <w:highlight w:val="none"/>
          <w14:textFill>
            <w14:solidFill>
              <w14:schemeClr w14:val="tx1"/>
            </w14:solidFill>
          </w14:textFill>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36.2.2 </w:t>
      </w:r>
      <w:r>
        <w:rPr>
          <w:rFonts w:ascii="宋体" w:hAnsi="宋体"/>
          <w:color w:val="000000" w:themeColor="text1"/>
          <w:highlight w:val="none"/>
          <w14:textFill>
            <w14:solidFill>
              <w14:schemeClr w14:val="tx1"/>
            </w14:solidFill>
          </w14:textFill>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 </w:t>
      </w:r>
      <w:r>
        <w:rPr>
          <w:rFonts w:ascii="宋体" w:hAnsi="宋体"/>
          <w:color w:val="000000" w:themeColor="text1"/>
          <w:highlight w:val="none"/>
          <w14:textFill>
            <w14:solidFill>
              <w14:schemeClr w14:val="tx1"/>
            </w14:solidFill>
          </w14:textFill>
        </w:rPr>
        <w:t>比选申请人知悉</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36.3.1 </w:t>
      </w:r>
      <w:r>
        <w:rPr>
          <w:rFonts w:ascii="宋体" w:hAnsi="宋体"/>
          <w:color w:val="000000" w:themeColor="text1"/>
          <w:highlight w:val="none"/>
          <w14:textFill>
            <w14:solidFill>
              <w14:schemeClr w14:val="tx1"/>
            </w14:solidFill>
          </w14:textFill>
        </w:rPr>
        <w:t>比选申请人将被视为已合理地充分了解了对所有影响本项目的事项，包括任何与</w:t>
      </w:r>
      <w:r>
        <w:rPr>
          <w:rFonts w:hint="eastAsia" w:ascii="宋体" w:hAnsi="宋体"/>
          <w:color w:val="000000" w:themeColor="text1"/>
          <w:highlight w:val="none"/>
          <w14:textFill>
            <w14:solidFill>
              <w14:schemeClr w14:val="tx1"/>
            </w14:solidFill>
          </w14:textFill>
        </w:rPr>
        <w:t>项目</w:t>
      </w:r>
      <w:r>
        <w:rPr>
          <w:rFonts w:ascii="宋体" w:hAnsi="宋体"/>
          <w:color w:val="000000" w:themeColor="text1"/>
          <w:highlight w:val="none"/>
          <w14:textFill>
            <w14:solidFill>
              <w14:schemeClr w14:val="tx1"/>
            </w14:solidFill>
          </w14:textFill>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36.3.2 </w:t>
      </w:r>
      <w:r>
        <w:rPr>
          <w:rFonts w:ascii="宋体" w:hAnsi="宋体"/>
          <w:color w:val="000000" w:themeColor="text1"/>
          <w:highlight w:val="none"/>
          <w14:textFill>
            <w14:solidFill>
              <w14:schemeClr w14:val="tx1"/>
            </w14:solidFill>
          </w14:textFill>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 需要补充的其他内容：详见比选申请须知前附表</w:t>
      </w:r>
    </w:p>
    <w:p>
      <w:pPr>
        <w:pStyle w:val="13"/>
        <w:pageBreakBefore/>
        <w:ind w:right="-57" w:firstLine="0"/>
        <w:jc w:val="center"/>
        <w:outlineLvl w:val="0"/>
        <w:rPr>
          <w:rStyle w:val="40"/>
          <w:rFonts w:ascii="宋体" w:hAnsi="宋体" w:eastAsia="宋体"/>
          <w:color w:val="auto"/>
          <w:highlight w:val="none"/>
        </w:rPr>
      </w:pPr>
      <w:bookmarkStart w:id="1238" w:name="_Toc25750632"/>
      <w:bookmarkStart w:id="1239" w:name="_Toc24834"/>
      <w:bookmarkStart w:id="1240" w:name="_Toc11424"/>
      <w:bookmarkStart w:id="1241" w:name="_Toc15740"/>
      <w:bookmarkStart w:id="1242" w:name="_Toc6300"/>
      <w:bookmarkStart w:id="1243" w:name="_Toc28464"/>
      <w:bookmarkStart w:id="1244" w:name="_Toc726"/>
      <w:bookmarkStart w:id="1245" w:name="_Toc138"/>
      <w:bookmarkStart w:id="1246" w:name="_Toc28586"/>
      <w:bookmarkStart w:id="1247" w:name="_Toc7547"/>
      <w:bookmarkStart w:id="1248" w:name="_Toc18303"/>
      <w:bookmarkStart w:id="1249" w:name="_Toc25920"/>
      <w:bookmarkStart w:id="1250" w:name="_Toc14991"/>
      <w:bookmarkStart w:id="1251" w:name="_Toc1179"/>
      <w:bookmarkStart w:id="1252" w:name="_Toc16340"/>
      <w:bookmarkStart w:id="1253" w:name="_Toc17022"/>
      <w:bookmarkStart w:id="1254" w:name="_Toc11581"/>
      <w:bookmarkStart w:id="1255" w:name="_Toc13323"/>
      <w:bookmarkStart w:id="1256" w:name="_Toc6627"/>
      <w:bookmarkStart w:id="1257" w:name="_Toc21919"/>
      <w:bookmarkStart w:id="1258" w:name="_Toc4003"/>
      <w:bookmarkStart w:id="1259" w:name="_Toc24181"/>
      <w:bookmarkStart w:id="1260" w:name="_Toc9991"/>
      <w:bookmarkStart w:id="1261" w:name="_Toc27952"/>
      <w:bookmarkStart w:id="1262" w:name="_Toc12281"/>
      <w:bookmarkStart w:id="1263" w:name="_Toc29755"/>
      <w:bookmarkStart w:id="1264" w:name="_Toc9725"/>
      <w:bookmarkStart w:id="1265" w:name="_Toc23292"/>
      <w:bookmarkStart w:id="1266" w:name="_Toc9458"/>
      <w:r>
        <w:rPr>
          <w:rStyle w:val="40"/>
          <w:rFonts w:hint="eastAsia" w:ascii="宋体" w:hAnsi="宋体" w:eastAsia="宋体"/>
          <w:color w:val="auto"/>
          <w:highlight w:val="none"/>
        </w:rPr>
        <w:t>第三章合同条款及格式</w:t>
      </w:r>
      <w:bookmarkEnd w:id="1238"/>
      <w:bookmarkEnd w:id="1239"/>
    </w:p>
    <w:p>
      <w:pPr>
        <w:spacing w:before="0"/>
        <w:ind w:right="0" w:firstLine="200"/>
        <w:jc w:val="center"/>
        <w:outlineLvl w:val="1"/>
        <w:rPr>
          <w:rFonts w:ascii="宋体" w:hAnsi="宋体"/>
          <w:b/>
          <w:color w:val="auto"/>
          <w:sz w:val="24"/>
          <w:szCs w:val="24"/>
          <w:highlight w:val="none"/>
        </w:rPr>
      </w:pPr>
      <w:bookmarkStart w:id="1267" w:name="_Toc8999"/>
      <w:bookmarkStart w:id="1268" w:name="_Toc13761"/>
      <w:bookmarkStart w:id="1269" w:name="_Toc1289"/>
      <w:bookmarkStart w:id="1270" w:name="_Toc32403"/>
      <w:bookmarkStart w:id="1271" w:name="_Toc25750633"/>
      <w:bookmarkStart w:id="1272" w:name="_Toc31368"/>
      <w:bookmarkStart w:id="1273" w:name="_Toc3488"/>
      <w:bookmarkStart w:id="1274" w:name="_Toc6950"/>
      <w:bookmarkStart w:id="1275" w:name="_Toc2618"/>
      <w:bookmarkStart w:id="1276" w:name="_Toc6190"/>
      <w:bookmarkStart w:id="1277" w:name="_Toc7587"/>
      <w:bookmarkStart w:id="1278" w:name="_Toc7236"/>
      <w:bookmarkStart w:id="1279" w:name="_Toc29797"/>
      <w:bookmarkStart w:id="1280" w:name="_Toc25828"/>
      <w:bookmarkStart w:id="1281" w:name="_Toc15840"/>
      <w:bookmarkStart w:id="1282" w:name="_Toc4026"/>
      <w:bookmarkStart w:id="1283" w:name="_Toc23173"/>
      <w:bookmarkStart w:id="1284" w:name="_Toc12983547"/>
      <w:bookmarkStart w:id="1285" w:name="_Toc14463"/>
      <w:bookmarkStart w:id="1286" w:name="_Toc20060"/>
      <w:r>
        <w:rPr>
          <w:rFonts w:hint="eastAsia" w:ascii="宋体" w:hAnsi="宋体"/>
          <w:b/>
          <w:color w:val="auto"/>
          <w:sz w:val="24"/>
          <w:szCs w:val="24"/>
          <w:highlight w:val="none"/>
        </w:rPr>
        <w:t>一、合同协议书</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spacing w:before="0" w:after="0" w:afterAutospacing="0"/>
        <w:ind w:left="0" w:right="0" w:firstLine="420" w:firstLineChars="200"/>
        <w:jc w:val="left"/>
        <w:rPr>
          <w:rFonts w:hint="default" w:ascii="宋体" w:hAnsi="宋体" w:eastAsia="宋体"/>
          <w:color w:val="auto"/>
          <w:highlight w:val="none"/>
          <w:u w:val="single"/>
          <w:lang w:val="en-US" w:eastAsia="zh-CN"/>
        </w:rPr>
      </w:pPr>
      <w:r>
        <w:rPr>
          <w:rFonts w:hint="eastAsia" w:ascii="宋体" w:hAnsi="宋体"/>
          <w:color w:val="auto"/>
          <w:highlight w:val="none"/>
          <w:lang w:val="en-US" w:eastAsia="zh-CN"/>
        </w:rPr>
        <w:t>甲方</w:t>
      </w:r>
      <w:r>
        <w:rPr>
          <w:rFonts w:hint="eastAsia" w:ascii="宋体" w:hAnsi="宋体"/>
          <w:color w:val="auto"/>
          <w:highlight w:val="none"/>
        </w:rPr>
        <w:t>：</w:t>
      </w:r>
      <w:r>
        <w:rPr>
          <w:rFonts w:hint="eastAsia" w:ascii="宋体" w:hAnsi="宋体"/>
          <w:color w:val="auto"/>
          <w:highlight w:val="none"/>
          <w:lang w:val="en-US" w:eastAsia="zh-CN"/>
        </w:rPr>
        <w:t>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w:t>
      </w:r>
      <w:r>
        <w:rPr>
          <w:rFonts w:hint="eastAsia" w:ascii="宋体" w:hAnsi="宋体"/>
          <w:color w:val="auto"/>
          <w:highlight w:val="none"/>
          <w:lang w:val="en-US" w:eastAsia="zh-CN"/>
        </w:rPr>
        <w:t>甲方</w:t>
      </w:r>
      <w:r>
        <w:rPr>
          <w:rFonts w:hint="eastAsia" w:ascii="宋体" w:hAnsi="宋体"/>
          <w:color w:val="auto"/>
          <w:highlight w:val="none"/>
        </w:rPr>
        <w:t>”或业主）与（下称“</w:t>
      </w:r>
      <w:r>
        <w:rPr>
          <w:rFonts w:hint="eastAsia" w:ascii="宋体" w:hAnsi="宋体"/>
          <w:color w:val="auto"/>
          <w:highlight w:val="none"/>
          <w:lang w:eastAsia="zh-CN"/>
        </w:rPr>
        <w:t>乙方</w:t>
      </w:r>
      <w:r>
        <w:rPr>
          <w:rFonts w:hint="eastAsia" w:ascii="宋体" w:hAnsi="宋体"/>
          <w:color w:val="auto"/>
          <w:highlight w:val="none"/>
        </w:rPr>
        <w:t>”），双方根据</w:t>
      </w:r>
      <w:r>
        <w:rPr>
          <w:rFonts w:hint="eastAsia" w:ascii="宋体" w:hAnsi="宋体"/>
          <w:color w:val="auto"/>
          <w:highlight w:val="none"/>
          <w:u w:val="single"/>
        </w:rPr>
        <w:t>（项目名称）</w:t>
      </w:r>
      <w:r>
        <w:rPr>
          <w:rFonts w:hint="eastAsia" w:ascii="宋体" w:hAnsi="宋体"/>
          <w:color w:val="auto"/>
          <w:highlight w:val="none"/>
        </w:rPr>
        <w:t>（项目编号：）比选结果，依据《中华人民共和国</w:t>
      </w:r>
      <w:r>
        <w:rPr>
          <w:rFonts w:hint="eastAsia" w:ascii="宋体" w:hAnsi="宋体"/>
          <w:color w:val="auto"/>
          <w:highlight w:val="none"/>
          <w:lang w:eastAsia="zh-CN"/>
        </w:rPr>
        <w:t>民法典</w:t>
      </w:r>
      <w:r>
        <w:rPr>
          <w:rFonts w:hint="eastAsia" w:ascii="宋体" w:hAnsi="宋体"/>
          <w:color w:val="auto"/>
          <w:highlight w:val="none"/>
        </w:rPr>
        <w:t>》的规定，签订协议。具体内容如下：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w:t>
      </w:r>
      <w:r>
        <w:rPr>
          <w:rFonts w:hint="eastAsia" w:ascii="宋体" w:hAnsi="宋体"/>
          <w:color w:val="auto"/>
          <w:highlight w:val="none"/>
          <w:lang w:val="en-US" w:eastAsia="zh-CN"/>
        </w:rPr>
        <w:t>甲方</w:t>
      </w:r>
      <w:r>
        <w:rPr>
          <w:rFonts w:hint="eastAsia" w:ascii="宋体" w:hAnsi="宋体" w:cs="Arial"/>
          <w:color w:val="auto"/>
          <w:highlight w:val="none"/>
        </w:rPr>
        <w:t>同意接受，</w:t>
      </w:r>
      <w:r>
        <w:rPr>
          <w:rFonts w:hint="eastAsia" w:ascii="宋体" w:hAnsi="宋体" w:cs="Arial"/>
          <w:color w:val="auto"/>
          <w:highlight w:val="none"/>
          <w:lang w:eastAsia="zh-CN"/>
        </w:rPr>
        <w:t>乙方</w:t>
      </w:r>
      <w:r>
        <w:rPr>
          <w:rFonts w:hint="eastAsia" w:ascii="宋体" w:hAnsi="宋体" w:cs="Arial"/>
          <w:color w:val="auto"/>
          <w:highlight w:val="none"/>
        </w:rPr>
        <w:t>同意作为中选方并以下列第2条所述价格提供</w:t>
      </w:r>
      <w:r>
        <w:rPr>
          <w:rFonts w:hint="eastAsia" w:ascii="宋体" w:hAnsi="宋体" w:cs="Arial"/>
          <w:color w:val="auto"/>
          <w:highlight w:val="none"/>
          <w:lang w:val="en-US" w:eastAsia="zh-CN"/>
        </w:rPr>
        <w:t>南宁轨道交通运营有限公司线上培训课程与培训管理信息技术服务项目（2022-2023年）</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甲方</w:t>
      </w:r>
      <w:r>
        <w:rPr>
          <w:rFonts w:hint="eastAsia" w:ascii="宋体" w:hAnsi="宋体"/>
          <w:color w:val="auto"/>
          <w:highlight w:val="none"/>
        </w:rPr>
        <w:t>接受</w:t>
      </w:r>
      <w:r>
        <w:rPr>
          <w:rFonts w:hint="eastAsia" w:ascii="宋体" w:hAnsi="宋体"/>
          <w:color w:val="auto"/>
          <w:highlight w:val="none"/>
          <w:lang w:eastAsia="zh-CN"/>
        </w:rPr>
        <w:t>乙方</w:t>
      </w:r>
      <w:r>
        <w:rPr>
          <w:rFonts w:hint="eastAsia" w:ascii="宋体" w:hAnsi="宋体"/>
          <w:color w:val="auto"/>
          <w:highlight w:val="none"/>
        </w:rPr>
        <w:t>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）比选文件（含比选</w:t>
      </w:r>
      <w:r>
        <w:rPr>
          <w:rFonts w:hint="eastAsia" w:ascii="宋体" w:hAnsi="宋体"/>
          <w:color w:val="auto"/>
          <w:highlight w:val="none"/>
          <w:lang w:val="en-US" w:eastAsia="zh-CN"/>
        </w:rPr>
        <w:t>补充</w:t>
      </w:r>
      <w:r>
        <w:rPr>
          <w:rFonts w:hint="eastAsia" w:ascii="宋体" w:hAnsi="宋体"/>
          <w:color w:val="auto"/>
          <w:highlight w:val="none"/>
        </w:rPr>
        <w:t>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w:t>
      </w:r>
      <w:r>
        <w:rPr>
          <w:rFonts w:hint="eastAsia"/>
          <w:color w:val="auto"/>
          <w:highlight w:val="none"/>
          <w:lang w:val="en-US" w:eastAsia="zh-CN"/>
        </w:rPr>
        <w:t>乙方比选申请文件（如技术响应表、技术文件等），按照二者较优值</w:t>
      </w:r>
      <w:r>
        <w:rPr>
          <w:rFonts w:hint="eastAsia" w:ascii="宋体" w:hAnsi="宋体" w:cs="Arial"/>
          <w:color w:val="auto"/>
          <w:highlight w:val="none"/>
        </w:rPr>
        <w:t>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w:t>
      </w:r>
      <w:r>
        <w:rPr>
          <w:rFonts w:hint="eastAsia" w:ascii="宋体" w:hAnsi="宋体"/>
          <w:color w:val="auto"/>
          <w:highlight w:val="none"/>
          <w:lang w:val="en-US" w:eastAsia="zh-CN"/>
        </w:rPr>
        <w:t>甲方</w:t>
      </w:r>
      <w:r>
        <w:rPr>
          <w:rFonts w:hint="eastAsia" w:ascii="宋体" w:hAnsi="宋体" w:cs="Arial"/>
          <w:color w:val="auto"/>
          <w:highlight w:val="none"/>
        </w:rPr>
        <w:t>将按照本合同向</w:t>
      </w:r>
      <w:r>
        <w:rPr>
          <w:rFonts w:hint="eastAsia" w:ascii="宋体" w:hAnsi="宋体" w:cs="Arial"/>
          <w:color w:val="auto"/>
          <w:highlight w:val="none"/>
          <w:lang w:eastAsia="zh-CN"/>
        </w:rPr>
        <w:t>乙方</w:t>
      </w:r>
      <w:r>
        <w:rPr>
          <w:rFonts w:hint="eastAsia" w:ascii="宋体" w:hAnsi="宋体" w:cs="Arial"/>
          <w:color w:val="auto"/>
          <w:highlight w:val="none"/>
        </w:rPr>
        <w:t>支付，</w:t>
      </w:r>
      <w:r>
        <w:rPr>
          <w:rFonts w:hint="eastAsia" w:ascii="宋体" w:hAnsi="宋体" w:cs="Arial"/>
          <w:color w:val="auto"/>
          <w:highlight w:val="none"/>
          <w:lang w:eastAsia="zh-CN"/>
        </w:rPr>
        <w:t>乙方</w:t>
      </w:r>
      <w:r>
        <w:rPr>
          <w:rFonts w:hint="eastAsia" w:ascii="宋体" w:hAnsi="宋体" w:cs="Arial"/>
          <w:color w:val="auto"/>
          <w:highlight w:val="none"/>
        </w:rPr>
        <w:t>在此保证全部按照合同的规定向</w:t>
      </w:r>
      <w:r>
        <w:rPr>
          <w:rFonts w:hint="eastAsia" w:ascii="宋体" w:hAnsi="宋体"/>
          <w:color w:val="auto"/>
          <w:highlight w:val="none"/>
          <w:lang w:val="en-US" w:eastAsia="zh-CN"/>
        </w:rPr>
        <w:t>甲方</w:t>
      </w:r>
      <w:r>
        <w:rPr>
          <w:rFonts w:hint="eastAsia" w:ascii="宋体" w:hAnsi="宋体" w:cs="Arial"/>
          <w:color w:val="auto"/>
          <w:highlight w:val="none"/>
        </w:rPr>
        <w:t>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w:t>
      </w:r>
      <w:r>
        <w:rPr>
          <w:rFonts w:hint="eastAsia" w:ascii="宋体" w:hAnsi="宋体" w:cs="Arial"/>
          <w:color w:val="auto"/>
          <w:highlight w:val="none"/>
          <w:lang w:eastAsia="zh-CN"/>
        </w:rPr>
        <w:t>乙方</w:t>
      </w:r>
      <w:r>
        <w:rPr>
          <w:rFonts w:hint="eastAsia" w:ascii="宋体" w:hAnsi="宋体" w:cs="Arial"/>
          <w:color w:val="auto"/>
          <w:highlight w:val="none"/>
        </w:rPr>
        <w:t>提供的货物和服务并修补缺陷，</w:t>
      </w:r>
      <w:r>
        <w:rPr>
          <w:rFonts w:hint="eastAsia" w:ascii="宋体" w:hAnsi="宋体"/>
          <w:color w:val="auto"/>
          <w:highlight w:val="none"/>
          <w:lang w:val="en-US" w:eastAsia="zh-CN"/>
        </w:rPr>
        <w:t>甲方</w:t>
      </w:r>
      <w:r>
        <w:rPr>
          <w:rFonts w:hint="eastAsia" w:ascii="宋体" w:hAnsi="宋体" w:cs="Arial"/>
          <w:color w:val="auto"/>
          <w:highlight w:val="none"/>
        </w:rPr>
        <w:t>在此保证按照合同规定的时间和方式向</w:t>
      </w:r>
      <w:r>
        <w:rPr>
          <w:rFonts w:hint="eastAsia" w:ascii="宋体" w:hAnsi="宋体" w:cs="Arial"/>
          <w:color w:val="auto"/>
          <w:highlight w:val="none"/>
          <w:lang w:eastAsia="zh-CN"/>
        </w:rPr>
        <w:t>乙方</w:t>
      </w:r>
      <w:r>
        <w:rPr>
          <w:rFonts w:hint="eastAsia" w:ascii="宋体" w:hAnsi="宋体" w:cs="Arial"/>
          <w:color w:val="auto"/>
          <w:highlight w:val="none"/>
        </w:rPr>
        <w:t>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w:t>
      </w:r>
      <w:r>
        <w:rPr>
          <w:rFonts w:hint="eastAsia" w:ascii="宋体" w:hAnsi="宋体" w:cs="Arial"/>
          <w:color w:val="auto"/>
          <w:highlight w:val="none"/>
          <w:lang w:eastAsia="zh-CN"/>
        </w:rPr>
        <w:t>乙方</w:t>
      </w:r>
      <w:r>
        <w:rPr>
          <w:rFonts w:hint="eastAsia" w:ascii="宋体" w:hAnsi="宋体" w:cs="Arial"/>
          <w:color w:val="auto"/>
          <w:highlight w:val="none"/>
        </w:rPr>
        <w:t>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r>
        <w:rPr>
          <w:rFonts w:hint="eastAsia" w:ascii="宋体" w:hAnsi="宋体"/>
          <w:color w:val="auto"/>
          <w:highlight w:val="none"/>
          <w:lang w:val="en-US" w:eastAsia="zh-CN"/>
        </w:rPr>
        <w:t>甲方</w:t>
      </w:r>
      <w:r>
        <w:rPr>
          <w:rFonts w:hint="eastAsia" w:ascii="宋体" w:hAnsi="宋体" w:cs="Arial"/>
          <w:color w:val="auto"/>
          <w:highlight w:val="none"/>
        </w:rPr>
        <w:t>持</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r>
        <w:rPr>
          <w:rFonts w:hint="eastAsia" w:ascii="宋体" w:hAnsi="宋体" w:cs="Arial"/>
          <w:color w:val="auto"/>
          <w:highlight w:val="none"/>
          <w:lang w:eastAsia="zh-CN"/>
        </w:rPr>
        <w:t>乙方</w:t>
      </w:r>
      <w:r>
        <w:rPr>
          <w:rFonts w:hint="eastAsia" w:ascii="宋体" w:hAnsi="宋体" w:cs="Arial"/>
          <w:color w:val="auto"/>
          <w:highlight w:val="none"/>
        </w:rPr>
        <w:t>持</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int="eastAsia" w:hAnsi="宋体" w:eastAsia="宋体" w:cs="Courier New"/>
                <w:color w:val="auto"/>
                <w:sz w:val="21"/>
                <w:szCs w:val="21"/>
                <w:highlight w:val="none"/>
                <w:lang w:eastAsia="zh-CN"/>
              </w:rPr>
            </w:pPr>
            <w:r>
              <w:rPr>
                <w:rFonts w:hint="eastAsia" w:ascii="宋体" w:hAnsi="宋体"/>
                <w:color w:val="auto"/>
                <w:highlight w:val="none"/>
                <w:lang w:val="en-US" w:eastAsia="zh-CN"/>
              </w:rPr>
              <w:t>甲方</w:t>
            </w:r>
            <w:r>
              <w:rPr>
                <w:rFonts w:hint="eastAsia" w:hAnsi="宋体" w:cs="Courier New"/>
                <w:color w:val="auto"/>
                <w:sz w:val="21"/>
                <w:szCs w:val="21"/>
                <w:highlight w:val="none"/>
              </w:rPr>
              <w:t>：</w:t>
            </w:r>
            <w:r>
              <w:rPr>
                <w:rFonts w:hint="eastAsia" w:hAnsi="宋体" w:cs="Courier New"/>
                <w:color w:val="auto"/>
                <w:sz w:val="21"/>
                <w:szCs w:val="21"/>
                <w:highlight w:val="none"/>
                <w:u w:val="single"/>
                <w:lang w:eastAsia="zh-CN"/>
              </w:rPr>
              <w:t>南宁轨道交通运营有限公司</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val="en-US" w:eastAsia="zh-CN"/>
              </w:rPr>
              <w:t>83</w:t>
            </w:r>
            <w:r>
              <w:rPr>
                <w:rFonts w:hint="eastAsia" w:hAnsi="宋体" w:cs="Courier New"/>
                <w:color w:val="auto"/>
                <w:sz w:val="21"/>
                <w:szCs w:val="21"/>
                <w:highlight w:val="none"/>
                <w:u w:val="single"/>
              </w:rPr>
              <w:t>号</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lang w:eastAsia="zh-CN"/>
              </w:rPr>
              <w:t>乙方</w:t>
            </w:r>
            <w:r>
              <w:rPr>
                <w:rFonts w:hint="eastAsia" w:hAnsi="宋体" w:cs="Courier New"/>
                <w:color w:val="auto"/>
                <w:sz w:val="21"/>
                <w:szCs w:val="21"/>
                <w:highlight w:val="none"/>
              </w:rPr>
              <w:t>：</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3"/>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287" w:name="_Toc7689"/>
      <w:bookmarkStart w:id="1288" w:name="_Toc13321"/>
      <w:bookmarkStart w:id="1289" w:name="_Toc25750634"/>
      <w:bookmarkStart w:id="1290" w:name="_Toc997"/>
      <w:bookmarkStart w:id="1291" w:name="_Toc9438"/>
      <w:bookmarkStart w:id="1292" w:name="_Toc4133"/>
      <w:bookmarkStart w:id="1293" w:name="_Toc24973"/>
      <w:bookmarkStart w:id="1294" w:name="_Toc16743"/>
      <w:bookmarkStart w:id="1295" w:name="_Toc29876"/>
      <w:bookmarkStart w:id="1296" w:name="_Toc18460"/>
      <w:bookmarkStart w:id="1297" w:name="_Toc12155"/>
      <w:bookmarkStart w:id="1298" w:name="_Toc14469"/>
      <w:bookmarkStart w:id="1299" w:name="_Toc24098"/>
      <w:bookmarkStart w:id="1300" w:name="_Toc9188"/>
      <w:bookmarkStart w:id="1301" w:name="_Toc258"/>
      <w:bookmarkStart w:id="1302" w:name="_Toc10196"/>
      <w:bookmarkStart w:id="1303" w:name="_Toc25942"/>
      <w:bookmarkStart w:id="1304" w:name="_Toc7529"/>
      <w:bookmarkStart w:id="1305" w:name="_Toc11253"/>
      <w:r>
        <w:rPr>
          <w:rFonts w:hint="eastAsia" w:ascii="宋体" w:hAnsi="宋体"/>
          <w:b/>
          <w:color w:val="auto"/>
          <w:sz w:val="24"/>
          <w:szCs w:val="24"/>
          <w:highlight w:val="none"/>
        </w:rPr>
        <w:t>二、合同条款</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tabs>
          <w:tab w:val="left" w:pos="640"/>
          <w:tab w:val="left" w:pos="1843"/>
        </w:tabs>
        <w:spacing w:before="0" w:after="0" w:afterAutospacing="0"/>
        <w:ind w:left="422" w:right="0" w:firstLine="0"/>
        <w:outlineLvl w:val="1"/>
        <w:rPr>
          <w:rFonts w:ascii="宋体" w:hAnsi="宋体"/>
          <w:b/>
          <w:color w:val="auto"/>
          <w:highlight w:val="none"/>
        </w:rPr>
      </w:pPr>
      <w:bookmarkStart w:id="1306" w:name="_Toc28024"/>
      <w:bookmarkStart w:id="1307" w:name="_Toc22880"/>
      <w:bookmarkStart w:id="1308" w:name="_Toc12080"/>
      <w:bookmarkStart w:id="1309" w:name="_Toc15707"/>
      <w:bookmarkStart w:id="1310" w:name="_Toc18727"/>
      <w:bookmarkStart w:id="1311" w:name="_Toc2614"/>
      <w:bookmarkStart w:id="1312" w:name="_Toc29932"/>
      <w:bookmarkStart w:id="1313" w:name="_Toc370933855"/>
      <w:bookmarkStart w:id="1314" w:name="_Toc10730"/>
      <w:bookmarkStart w:id="1315" w:name="_Toc385427838"/>
      <w:bookmarkStart w:id="1316" w:name="_Toc378514952"/>
      <w:bookmarkStart w:id="1317" w:name="_Toc25643"/>
      <w:bookmarkStart w:id="1318" w:name="_Toc43"/>
      <w:bookmarkStart w:id="1319" w:name="_Toc19920"/>
      <w:bookmarkStart w:id="1320" w:name="_Toc6054"/>
      <w:bookmarkStart w:id="1321" w:name="_Toc31691"/>
      <w:bookmarkStart w:id="1322" w:name="_Toc20484"/>
      <w:bookmarkStart w:id="1323" w:name="_Toc7961"/>
      <w:bookmarkStart w:id="1324" w:name="_Toc492478763"/>
      <w:bookmarkStart w:id="1325" w:name="_Toc4032"/>
      <w:bookmarkStart w:id="1326" w:name="_Toc14287"/>
      <w:bookmarkStart w:id="1327" w:name="_Toc2754"/>
      <w:bookmarkStart w:id="1328" w:name="_Toc390098464"/>
      <w:bookmarkStart w:id="1329" w:name="_Toc25750635"/>
      <w:bookmarkStart w:id="1330" w:name="_Toc12256"/>
      <w:r>
        <w:rPr>
          <w:rFonts w:hint="eastAsia" w:ascii="宋体" w:hAnsi="宋体"/>
          <w:b/>
          <w:color w:val="auto"/>
          <w:highlight w:val="none"/>
        </w:rPr>
        <w:t>1.定义及解释</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w:t>
      </w:r>
      <w:r>
        <w:rPr>
          <w:rFonts w:hint="eastAsia" w:ascii="宋体" w:hAnsi="宋体"/>
          <w:color w:val="auto"/>
          <w:highlight w:val="none"/>
          <w:lang w:eastAsia="zh-CN"/>
        </w:rPr>
        <w:t>乙方</w:t>
      </w:r>
      <w:r>
        <w:rPr>
          <w:rFonts w:hint="eastAsia" w:ascii="宋体" w:hAnsi="宋体"/>
          <w:color w:val="auto"/>
          <w:highlight w:val="none"/>
        </w:rPr>
        <w:t>在正确地完全履行合同义务后</w:t>
      </w:r>
      <w:r>
        <w:rPr>
          <w:rFonts w:hint="eastAsia" w:ascii="宋体" w:hAnsi="宋体"/>
          <w:color w:val="auto"/>
          <w:highlight w:val="none"/>
          <w:lang w:val="en-US" w:eastAsia="zh-CN"/>
        </w:rPr>
        <w:t>甲方</w:t>
      </w:r>
      <w:r>
        <w:rPr>
          <w:rFonts w:hint="eastAsia" w:ascii="宋体" w:hAnsi="宋体"/>
          <w:color w:val="auto"/>
          <w:highlight w:val="none"/>
        </w:rPr>
        <w:t>应支付给</w:t>
      </w:r>
      <w:r>
        <w:rPr>
          <w:rFonts w:hint="eastAsia" w:ascii="宋体" w:hAnsi="宋体"/>
          <w:color w:val="auto"/>
          <w:highlight w:val="none"/>
          <w:lang w:eastAsia="zh-CN"/>
        </w:rPr>
        <w:t>乙方</w:t>
      </w:r>
      <w:r>
        <w:rPr>
          <w:rFonts w:hint="eastAsia" w:ascii="宋体" w:hAnsi="宋体"/>
          <w:color w:val="auto"/>
          <w:highlight w:val="none"/>
        </w:rPr>
        <w:t>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甲方</w:t>
      </w:r>
      <w:r>
        <w:rPr>
          <w:rFonts w:hint="eastAsia" w:ascii="宋体" w:hAnsi="宋体"/>
          <w:color w:val="auto"/>
          <w:highlight w:val="none"/>
        </w:rPr>
        <w:t>”</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w:t>
      </w:r>
      <w:r>
        <w:rPr>
          <w:rFonts w:hint="eastAsia" w:ascii="宋体" w:hAnsi="宋体"/>
          <w:color w:val="auto"/>
          <w:highlight w:val="none"/>
          <w:lang w:val="en-US" w:eastAsia="zh-CN"/>
        </w:rPr>
        <w:t>甲方</w:t>
      </w:r>
      <w:r>
        <w:rPr>
          <w:rFonts w:hint="eastAsia" w:ascii="宋体" w:hAnsi="宋体"/>
          <w:color w:val="auto"/>
          <w:highlight w:val="none"/>
        </w:rPr>
        <w:t>和</w:t>
      </w:r>
      <w:r>
        <w:rPr>
          <w:rFonts w:hint="eastAsia" w:ascii="宋体" w:hAnsi="宋体"/>
          <w:color w:val="auto"/>
          <w:highlight w:val="none"/>
          <w:lang w:eastAsia="zh-CN"/>
        </w:rPr>
        <w:t>乙方</w:t>
      </w:r>
      <w:r>
        <w:rPr>
          <w:rFonts w:hint="eastAsia" w:ascii="宋体" w:hAnsi="宋体"/>
          <w:color w:val="auto"/>
          <w:highlight w:val="none"/>
        </w:rPr>
        <w:t>。</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w:t>
      </w:r>
      <w:r>
        <w:rPr>
          <w:rFonts w:hint="eastAsia" w:ascii="宋体" w:hAnsi="宋体"/>
          <w:color w:val="auto"/>
          <w:highlight w:val="none"/>
          <w:lang w:eastAsia="zh-CN"/>
        </w:rPr>
        <w:t>乙方</w:t>
      </w:r>
      <w:r>
        <w:rPr>
          <w:rFonts w:hint="eastAsia" w:ascii="宋体" w:hAnsi="宋体"/>
          <w:color w:val="auto"/>
          <w:highlight w:val="none"/>
        </w:rPr>
        <w:t>按照合同规定向</w:t>
      </w:r>
      <w:r>
        <w:rPr>
          <w:rFonts w:hint="eastAsia" w:ascii="宋体" w:hAnsi="宋体"/>
          <w:color w:val="auto"/>
          <w:highlight w:val="none"/>
          <w:lang w:eastAsia="zh-CN"/>
        </w:rPr>
        <w:t>甲方</w:t>
      </w:r>
      <w:r>
        <w:rPr>
          <w:rFonts w:hint="eastAsia" w:ascii="宋体" w:hAnsi="宋体"/>
          <w:color w:val="auto"/>
          <w:highlight w:val="none"/>
        </w:rPr>
        <w:t>提供的货物、软件、手册及其它有关资料等。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w:t>
      </w:r>
      <w:r>
        <w:rPr>
          <w:rFonts w:hint="eastAsia" w:ascii="宋体" w:hAnsi="宋体"/>
          <w:color w:val="auto"/>
          <w:highlight w:val="none"/>
          <w:lang w:eastAsia="zh-CN"/>
        </w:rPr>
        <w:t>乙方</w:t>
      </w:r>
      <w:r>
        <w:rPr>
          <w:rFonts w:hint="eastAsia" w:ascii="宋体" w:hAnsi="宋体"/>
          <w:color w:val="auto"/>
          <w:highlight w:val="none"/>
        </w:rPr>
        <w:t>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w:t>
      </w:r>
      <w:r>
        <w:rPr>
          <w:rFonts w:hint="eastAsia" w:ascii="宋体" w:hAnsi="宋体" w:cs="Arial"/>
          <w:color w:val="auto"/>
          <w:highlight w:val="none"/>
          <w:lang w:eastAsia="zh-CN"/>
        </w:rPr>
        <w:t>甲方</w:t>
      </w:r>
      <w:r>
        <w:rPr>
          <w:rFonts w:hint="eastAsia" w:ascii="宋体" w:hAnsi="宋体" w:cs="Arial"/>
          <w:color w:val="auto"/>
          <w:highlight w:val="none"/>
        </w:rPr>
        <w:t>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w:t>
      </w:r>
      <w:r>
        <w:rPr>
          <w:rFonts w:hint="eastAsia" w:ascii="宋体" w:hAnsi="宋体" w:cs="Arial"/>
          <w:color w:val="auto"/>
          <w:highlight w:val="none"/>
          <w:lang w:eastAsia="zh-CN"/>
        </w:rPr>
        <w:t>乙方</w:t>
      </w:r>
      <w:r>
        <w:rPr>
          <w:rFonts w:hint="eastAsia" w:ascii="宋体" w:hAnsi="宋体" w:cs="Arial"/>
          <w:color w:val="auto"/>
          <w:highlight w:val="none"/>
        </w:rPr>
        <w:t>根据合同规定为</w:t>
      </w:r>
      <w:r>
        <w:rPr>
          <w:rFonts w:hint="eastAsia" w:ascii="宋体" w:hAnsi="宋体" w:cs="Arial"/>
          <w:color w:val="auto"/>
          <w:highlight w:val="none"/>
          <w:lang w:eastAsia="zh-CN"/>
        </w:rPr>
        <w:t>甲方</w:t>
      </w:r>
      <w:r>
        <w:rPr>
          <w:rFonts w:hint="eastAsia" w:ascii="宋体" w:hAnsi="宋体" w:cs="Arial"/>
          <w:color w:val="auto"/>
          <w:highlight w:val="none"/>
        </w:rPr>
        <w:t>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w:t>
      </w: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331" w:name="_Toc5955"/>
      <w:bookmarkStart w:id="1332" w:name="_Toc1169"/>
      <w:bookmarkStart w:id="1333" w:name="_Toc3180"/>
      <w:bookmarkStart w:id="1334" w:name="_Toc25826"/>
      <w:bookmarkStart w:id="1335" w:name="_Toc492478764"/>
      <w:bookmarkStart w:id="1336" w:name="_Toc23112"/>
      <w:bookmarkStart w:id="1337" w:name="_Toc25750636"/>
      <w:bookmarkStart w:id="1338" w:name="_Toc7059"/>
      <w:bookmarkStart w:id="1339" w:name="_Toc7813"/>
      <w:bookmarkStart w:id="1340" w:name="_Toc378514953"/>
      <w:bookmarkStart w:id="1341" w:name="_Toc390098465"/>
      <w:bookmarkStart w:id="1342" w:name="_Toc18178"/>
      <w:bookmarkStart w:id="1343" w:name="_Toc31867"/>
      <w:bookmarkStart w:id="1344" w:name="_Toc8477"/>
      <w:bookmarkStart w:id="1345" w:name="_Toc4255"/>
      <w:bookmarkStart w:id="1346" w:name="_Toc19899"/>
      <w:bookmarkStart w:id="1347" w:name="_Toc385427839"/>
      <w:bookmarkStart w:id="1348" w:name="_Toc370933856"/>
      <w:bookmarkStart w:id="1349" w:name="_Toc4212"/>
      <w:bookmarkStart w:id="1350" w:name="_Toc30815"/>
      <w:bookmarkStart w:id="1351" w:name="_Toc13835"/>
      <w:bookmarkStart w:id="1352" w:name="_Toc15944"/>
      <w:bookmarkStart w:id="1353" w:name="_Toc23247"/>
      <w:bookmarkStart w:id="1354" w:name="_Toc4301"/>
      <w:bookmarkStart w:id="1355" w:name="_Toc23305"/>
      <w:r>
        <w:rPr>
          <w:rFonts w:hint="eastAsia" w:ascii="宋体" w:hAnsi="宋体"/>
          <w:b/>
          <w:color w:val="auto"/>
          <w:highlight w:val="none"/>
        </w:rPr>
        <w:t>2.适用性</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356" w:name="_Toc390098466"/>
      <w:bookmarkStart w:id="1357" w:name="_Toc9864"/>
      <w:bookmarkStart w:id="1358" w:name="_Toc378514954"/>
      <w:bookmarkStart w:id="1359" w:name="_Toc25750637"/>
      <w:bookmarkStart w:id="1360" w:name="_Toc18092"/>
      <w:bookmarkStart w:id="1361" w:name="_Toc4898"/>
      <w:bookmarkStart w:id="1362" w:name="_Toc4738"/>
      <w:bookmarkStart w:id="1363" w:name="_Toc14437"/>
      <w:bookmarkStart w:id="1364" w:name="_Toc385427840"/>
      <w:bookmarkStart w:id="1365" w:name="_Toc4969"/>
      <w:bookmarkStart w:id="1366" w:name="_Toc492478765"/>
      <w:bookmarkStart w:id="1367" w:name="_Toc21603"/>
      <w:bookmarkStart w:id="1368" w:name="_Toc370933857"/>
      <w:bookmarkStart w:id="1369" w:name="_Toc15308"/>
      <w:bookmarkStart w:id="1370" w:name="_Toc13801"/>
      <w:bookmarkStart w:id="1371" w:name="_Toc3674"/>
      <w:bookmarkStart w:id="1372" w:name="_Toc5253"/>
      <w:bookmarkStart w:id="1373" w:name="_Toc3131"/>
      <w:bookmarkStart w:id="1374" w:name="_Toc12248"/>
      <w:bookmarkStart w:id="1375" w:name="_Toc9306"/>
      <w:bookmarkStart w:id="1376" w:name="_Toc26983"/>
      <w:bookmarkStart w:id="1377" w:name="_Toc18342"/>
      <w:bookmarkStart w:id="1378" w:name="_Toc3397"/>
      <w:bookmarkStart w:id="1379" w:name="_Toc21065"/>
      <w:bookmarkStart w:id="1380" w:name="_Toc11803"/>
      <w:r>
        <w:rPr>
          <w:rFonts w:hint="eastAsia" w:ascii="宋体" w:hAnsi="宋体"/>
          <w:b/>
          <w:color w:val="auto"/>
          <w:highlight w:val="none"/>
        </w:rPr>
        <w:t>3.来源地</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w:t>
      </w:r>
      <w:r>
        <w:rPr>
          <w:rFonts w:hint="eastAsia" w:ascii="宋体" w:hAnsi="宋体"/>
          <w:color w:val="auto"/>
          <w:highlight w:val="none"/>
          <w:lang w:eastAsia="zh-CN"/>
        </w:rPr>
        <w:t>乙方</w:t>
      </w:r>
      <w:r>
        <w:rPr>
          <w:rFonts w:hint="eastAsia" w:ascii="宋体" w:hAnsi="宋体"/>
          <w:color w:val="auto"/>
          <w:highlight w:val="none"/>
        </w:rPr>
        <w:t>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w:t>
      </w:r>
      <w:r>
        <w:rPr>
          <w:rFonts w:hint="eastAsia" w:ascii="宋体" w:hAnsi="宋体"/>
          <w:color w:val="auto"/>
          <w:highlight w:val="none"/>
          <w:lang w:eastAsia="zh-CN"/>
        </w:rPr>
        <w:t>乙方</w:t>
      </w:r>
      <w:r>
        <w:rPr>
          <w:rFonts w:hint="eastAsia" w:ascii="宋体" w:hAnsi="宋体"/>
          <w:color w:val="auto"/>
          <w:highlight w:val="none"/>
        </w:rPr>
        <w:t>提供的货物的主要部件来自于国外，则</w:t>
      </w:r>
      <w:r>
        <w:rPr>
          <w:rFonts w:hint="eastAsia" w:ascii="宋体" w:hAnsi="宋体"/>
          <w:color w:val="auto"/>
          <w:highlight w:val="none"/>
          <w:lang w:eastAsia="zh-CN"/>
        </w:rPr>
        <w:t>乙方</w:t>
      </w:r>
      <w:r>
        <w:rPr>
          <w:rFonts w:hint="eastAsia" w:ascii="宋体" w:hAnsi="宋体"/>
          <w:color w:val="auto"/>
          <w:highlight w:val="none"/>
        </w:rPr>
        <w:t>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381" w:name="_Toc385427841"/>
      <w:bookmarkStart w:id="1382" w:name="_Toc378514955"/>
      <w:bookmarkStart w:id="1383" w:name="_Toc23258"/>
      <w:bookmarkStart w:id="1384" w:name="_Toc14273"/>
      <w:bookmarkStart w:id="1385" w:name="_Toc28358"/>
      <w:bookmarkStart w:id="1386" w:name="_Toc18548"/>
      <w:bookmarkStart w:id="1387" w:name="_Toc12180"/>
      <w:bookmarkStart w:id="1388" w:name="_Toc27450"/>
      <w:bookmarkStart w:id="1389" w:name="_Toc21289"/>
      <w:bookmarkStart w:id="1390" w:name="_Toc3318"/>
      <w:bookmarkStart w:id="1391" w:name="_Toc11524"/>
      <w:bookmarkStart w:id="1392" w:name="_Toc492478766"/>
      <w:bookmarkStart w:id="1393" w:name="_Toc370933858"/>
      <w:bookmarkStart w:id="1394" w:name="_Toc16646"/>
      <w:bookmarkStart w:id="1395" w:name="_Toc19514"/>
      <w:bookmarkStart w:id="1396" w:name="_Toc390098467"/>
      <w:bookmarkStart w:id="1397" w:name="_Toc10807"/>
      <w:bookmarkStart w:id="1398" w:name="_Toc25311"/>
      <w:bookmarkStart w:id="1399" w:name="_Toc25750638"/>
      <w:bookmarkStart w:id="1400" w:name="_Toc11626"/>
      <w:bookmarkStart w:id="1401" w:name="_Toc2708"/>
      <w:bookmarkStart w:id="1402" w:name="_Toc23249"/>
      <w:bookmarkStart w:id="1403" w:name="_Toc14713"/>
      <w:bookmarkStart w:id="1404" w:name="_Toc21356"/>
      <w:bookmarkStart w:id="1405" w:name="_Toc21641"/>
      <w:r>
        <w:rPr>
          <w:rFonts w:hint="eastAsia" w:ascii="宋体" w:hAnsi="宋体"/>
          <w:b/>
          <w:color w:val="auto"/>
          <w:highlight w:val="none"/>
        </w:rPr>
        <w:t>4.标准</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应免费向</w:t>
      </w:r>
      <w:r>
        <w:rPr>
          <w:rFonts w:hint="eastAsia" w:ascii="宋体" w:hAnsi="宋体"/>
          <w:color w:val="auto"/>
          <w:highlight w:val="none"/>
          <w:lang w:eastAsia="zh-CN"/>
        </w:rPr>
        <w:t>甲方</w:t>
      </w:r>
      <w:r>
        <w:rPr>
          <w:rFonts w:hint="eastAsia" w:ascii="宋体" w:hAnsi="宋体"/>
          <w:color w:val="auto"/>
          <w:highlight w:val="none"/>
        </w:rPr>
        <w:t>提供有关标准的文本。如果有关标准和文本不是中文，</w:t>
      </w:r>
      <w:r>
        <w:rPr>
          <w:rFonts w:hint="eastAsia" w:ascii="宋体" w:hAnsi="宋体"/>
          <w:color w:val="auto"/>
          <w:highlight w:val="none"/>
          <w:lang w:eastAsia="zh-CN"/>
        </w:rPr>
        <w:t>乙方</w:t>
      </w:r>
      <w:r>
        <w:rPr>
          <w:rFonts w:hint="eastAsia" w:ascii="宋体" w:hAnsi="宋体"/>
          <w:color w:val="auto"/>
          <w:highlight w:val="none"/>
        </w:rPr>
        <w:t>须免费向</w:t>
      </w:r>
      <w:r>
        <w:rPr>
          <w:rFonts w:hint="eastAsia" w:ascii="宋体" w:hAnsi="宋体"/>
          <w:color w:val="auto"/>
          <w:highlight w:val="none"/>
          <w:lang w:eastAsia="zh-CN"/>
        </w:rPr>
        <w:t>甲方</w:t>
      </w:r>
      <w:r>
        <w:rPr>
          <w:rFonts w:hint="eastAsia" w:ascii="宋体" w:hAnsi="宋体"/>
          <w:color w:val="auto"/>
          <w:highlight w:val="none"/>
        </w:rPr>
        <w:t>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highlight w:val="none"/>
        </w:rPr>
      </w:pPr>
      <w:bookmarkStart w:id="1406" w:name="_Toc378514956"/>
      <w:bookmarkStart w:id="1407" w:name="_Toc31912"/>
      <w:bookmarkStart w:id="1408" w:name="_Toc23539"/>
      <w:bookmarkStart w:id="1409" w:name="_Toc2352"/>
      <w:bookmarkStart w:id="1410" w:name="_Toc2304"/>
      <w:bookmarkStart w:id="1411" w:name="_Toc24783"/>
      <w:bookmarkStart w:id="1412" w:name="_Toc385427842"/>
      <w:bookmarkStart w:id="1413" w:name="_Toc14089"/>
      <w:bookmarkStart w:id="1414" w:name="_Toc370933859"/>
      <w:bookmarkStart w:id="1415" w:name="_Toc4048"/>
      <w:bookmarkStart w:id="1416" w:name="_Toc24864"/>
      <w:bookmarkStart w:id="1417" w:name="_Toc18813"/>
      <w:bookmarkStart w:id="1418" w:name="_Toc18617"/>
      <w:bookmarkStart w:id="1419" w:name="_Toc10995"/>
      <w:bookmarkStart w:id="1420" w:name="_Toc20372"/>
      <w:bookmarkStart w:id="1421" w:name="_Toc19358"/>
      <w:bookmarkStart w:id="1422" w:name="_Toc22040"/>
      <w:bookmarkStart w:id="1423" w:name="_Toc13516"/>
      <w:bookmarkStart w:id="1424" w:name="_Toc17081"/>
      <w:bookmarkStart w:id="1425" w:name="_Toc3165"/>
      <w:bookmarkStart w:id="1426" w:name="_Toc27620"/>
      <w:bookmarkStart w:id="1427" w:name="_Toc492478767"/>
      <w:bookmarkStart w:id="1428" w:name="_Toc11487"/>
      <w:bookmarkStart w:id="1429" w:name="_Toc25750639"/>
      <w:bookmarkStart w:id="1430" w:name="_Toc390098468"/>
      <w:r>
        <w:rPr>
          <w:rFonts w:hint="default" w:ascii="宋体" w:hAnsi="宋体"/>
          <w:b/>
          <w:color w:val="auto"/>
          <w:highlight w:val="none"/>
          <w:lang w:val="en-US"/>
        </w:rPr>
        <w:t>5</w:t>
      </w:r>
      <w:r>
        <w:rPr>
          <w:rFonts w:hint="eastAsia" w:ascii="宋体" w:hAnsi="宋体"/>
          <w:b/>
          <w:color w:val="auto"/>
          <w:highlight w:val="none"/>
        </w:rPr>
        <w:t>.合同文件、资料及使用</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w:t>
      </w:r>
      <w:r>
        <w:rPr>
          <w:rFonts w:hint="eastAsia" w:ascii="宋体" w:hAnsi="宋体"/>
          <w:color w:val="auto"/>
          <w:highlight w:val="none"/>
          <w:lang w:eastAsia="zh-CN"/>
        </w:rPr>
        <w:t>甲方</w:t>
      </w:r>
      <w:r>
        <w:rPr>
          <w:rFonts w:hint="eastAsia" w:ascii="宋体" w:hAnsi="宋体"/>
          <w:color w:val="auto"/>
          <w:highlight w:val="none"/>
        </w:rPr>
        <w:t>事先书面同意，</w:t>
      </w:r>
      <w:r>
        <w:rPr>
          <w:rFonts w:hint="eastAsia" w:ascii="宋体" w:hAnsi="宋体"/>
          <w:color w:val="auto"/>
          <w:highlight w:val="none"/>
          <w:lang w:eastAsia="zh-CN"/>
        </w:rPr>
        <w:t>乙方</w:t>
      </w:r>
      <w:r>
        <w:rPr>
          <w:rFonts w:hint="eastAsia" w:ascii="宋体" w:hAnsi="宋体"/>
          <w:color w:val="auto"/>
          <w:highlight w:val="none"/>
        </w:rPr>
        <w:t>不得将由</w:t>
      </w:r>
      <w:r>
        <w:rPr>
          <w:rFonts w:hint="eastAsia" w:ascii="宋体" w:hAnsi="宋体"/>
          <w:color w:val="auto"/>
          <w:highlight w:val="none"/>
          <w:lang w:eastAsia="zh-CN"/>
        </w:rPr>
        <w:t>甲方</w:t>
      </w:r>
      <w:r>
        <w:rPr>
          <w:rFonts w:hint="eastAsia" w:ascii="宋体" w:hAnsi="宋体"/>
          <w:color w:val="auto"/>
          <w:highlight w:val="none"/>
        </w:rPr>
        <w:t>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w:t>
      </w:r>
      <w:r>
        <w:rPr>
          <w:rFonts w:hint="eastAsia" w:ascii="宋体" w:hAnsi="宋体"/>
          <w:color w:val="auto"/>
          <w:highlight w:val="none"/>
          <w:lang w:eastAsia="zh-CN"/>
        </w:rPr>
        <w:t>甲方</w:t>
      </w:r>
      <w:r>
        <w:rPr>
          <w:rFonts w:hint="eastAsia" w:ascii="宋体" w:hAnsi="宋体"/>
          <w:color w:val="auto"/>
          <w:highlight w:val="none"/>
        </w:rPr>
        <w:t>事先书面同意，除了履行本合同之外，</w:t>
      </w:r>
      <w:r>
        <w:rPr>
          <w:rFonts w:hint="eastAsia" w:ascii="宋体" w:hAnsi="宋体"/>
          <w:color w:val="auto"/>
          <w:highlight w:val="none"/>
          <w:lang w:eastAsia="zh-CN"/>
        </w:rPr>
        <w:t>乙方</w:t>
      </w:r>
      <w:r>
        <w:rPr>
          <w:rFonts w:hint="eastAsia" w:ascii="宋体" w:hAnsi="宋体"/>
          <w:color w:val="auto"/>
          <w:highlight w:val="none"/>
        </w:rPr>
        <w:t>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w:t>
      </w:r>
      <w:r>
        <w:rPr>
          <w:rFonts w:hint="eastAsia" w:ascii="宋体" w:hAnsi="宋体"/>
          <w:color w:val="auto"/>
          <w:highlight w:val="none"/>
          <w:lang w:eastAsia="zh-CN"/>
        </w:rPr>
        <w:t>甲方</w:t>
      </w:r>
      <w:r>
        <w:rPr>
          <w:rFonts w:hint="eastAsia" w:ascii="宋体" w:hAnsi="宋体"/>
          <w:color w:val="auto"/>
          <w:highlight w:val="none"/>
        </w:rPr>
        <w:t>的财产。如果</w:t>
      </w:r>
      <w:r>
        <w:rPr>
          <w:rFonts w:hint="eastAsia" w:ascii="宋体" w:hAnsi="宋体"/>
          <w:color w:val="auto"/>
          <w:highlight w:val="none"/>
          <w:lang w:eastAsia="zh-CN"/>
        </w:rPr>
        <w:t>甲方</w:t>
      </w:r>
      <w:r>
        <w:rPr>
          <w:rFonts w:hint="eastAsia" w:ascii="宋体" w:hAnsi="宋体"/>
          <w:color w:val="auto"/>
          <w:highlight w:val="none"/>
        </w:rPr>
        <w:t>有要求，</w:t>
      </w:r>
      <w:r>
        <w:rPr>
          <w:rFonts w:hint="eastAsia" w:ascii="宋体" w:hAnsi="宋体"/>
          <w:color w:val="auto"/>
          <w:highlight w:val="none"/>
          <w:lang w:eastAsia="zh-CN"/>
        </w:rPr>
        <w:t>乙方</w:t>
      </w:r>
      <w:r>
        <w:rPr>
          <w:rFonts w:hint="eastAsia" w:ascii="宋体" w:hAnsi="宋体"/>
          <w:color w:val="auto"/>
          <w:highlight w:val="none"/>
        </w:rPr>
        <w:t>在完成合同后或合同终止时应将上述文件及全部复印件还交给</w:t>
      </w:r>
      <w:r>
        <w:rPr>
          <w:rFonts w:hint="eastAsia" w:ascii="宋体" w:hAnsi="宋体"/>
          <w:color w:val="auto"/>
          <w:highlight w:val="none"/>
          <w:lang w:eastAsia="zh-CN"/>
        </w:rPr>
        <w:t>甲方</w:t>
      </w:r>
      <w:r>
        <w:rPr>
          <w:rFonts w:hint="eastAsia" w:ascii="宋体" w:hAnsi="宋体"/>
          <w:color w:val="auto"/>
          <w:highlight w:val="none"/>
        </w:rPr>
        <w:t>，或按</w:t>
      </w:r>
      <w:r>
        <w:rPr>
          <w:rFonts w:hint="eastAsia" w:ascii="宋体" w:hAnsi="宋体"/>
          <w:color w:val="auto"/>
          <w:highlight w:val="none"/>
          <w:lang w:eastAsia="zh-CN"/>
        </w:rPr>
        <w:t>甲方</w:t>
      </w:r>
      <w:r>
        <w:rPr>
          <w:rFonts w:hint="eastAsia" w:ascii="宋体" w:hAnsi="宋体"/>
          <w:color w:val="auto"/>
          <w:highlight w:val="none"/>
        </w:rPr>
        <w:t>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须按</w:t>
      </w:r>
      <w:r>
        <w:rPr>
          <w:rFonts w:hint="eastAsia" w:ascii="宋体" w:hAnsi="宋体"/>
          <w:color w:val="auto"/>
          <w:highlight w:val="none"/>
          <w:lang w:eastAsia="zh-CN"/>
        </w:rPr>
        <w:t>甲方</w:t>
      </w:r>
      <w:r>
        <w:rPr>
          <w:rFonts w:hint="eastAsia" w:ascii="宋体" w:hAnsi="宋体"/>
          <w:color w:val="auto"/>
          <w:highlight w:val="none"/>
        </w:rPr>
        <w:t>有关整理档案的规范，负责编制整理合同项目所产生的档案，在验收三个月内向</w:t>
      </w:r>
      <w:r>
        <w:rPr>
          <w:rFonts w:hint="eastAsia" w:ascii="宋体" w:hAnsi="宋体"/>
          <w:color w:val="auto"/>
          <w:highlight w:val="none"/>
          <w:lang w:eastAsia="zh-CN"/>
        </w:rPr>
        <w:t>甲方</w:t>
      </w:r>
      <w:r>
        <w:rPr>
          <w:rFonts w:hint="eastAsia" w:ascii="宋体" w:hAnsi="宋体"/>
          <w:color w:val="auto"/>
          <w:highlight w:val="none"/>
        </w:rPr>
        <w:t>移交。</w:t>
      </w:r>
      <w:r>
        <w:rPr>
          <w:rFonts w:hint="eastAsia" w:ascii="宋体" w:hAnsi="宋体"/>
          <w:color w:val="auto"/>
          <w:highlight w:val="none"/>
          <w:lang w:eastAsia="zh-CN"/>
        </w:rPr>
        <w:t>甲方</w:t>
      </w:r>
      <w:r>
        <w:rPr>
          <w:rFonts w:hint="eastAsia" w:ascii="宋体" w:hAnsi="宋体"/>
          <w:color w:val="auto"/>
          <w:highlight w:val="none"/>
        </w:rPr>
        <w:t>接收了</w:t>
      </w:r>
      <w:r>
        <w:rPr>
          <w:rFonts w:hint="eastAsia" w:ascii="宋体" w:hAnsi="宋体"/>
          <w:color w:val="auto"/>
          <w:highlight w:val="none"/>
          <w:lang w:eastAsia="zh-CN"/>
        </w:rPr>
        <w:t>乙方</w:t>
      </w:r>
      <w:r>
        <w:rPr>
          <w:rFonts w:hint="eastAsia" w:ascii="宋体" w:hAnsi="宋体"/>
          <w:color w:val="auto"/>
          <w:highlight w:val="none"/>
        </w:rPr>
        <w:t>完整的档案后应签署项目档案移交确认书。未能按时移交档案的，</w:t>
      </w:r>
      <w:r>
        <w:rPr>
          <w:rFonts w:hint="eastAsia" w:ascii="宋体" w:hAnsi="宋体"/>
          <w:color w:val="auto"/>
          <w:highlight w:val="none"/>
          <w:lang w:eastAsia="zh-CN"/>
        </w:rPr>
        <w:t>甲方</w:t>
      </w:r>
      <w:r>
        <w:rPr>
          <w:rFonts w:hint="eastAsia" w:ascii="宋体" w:hAnsi="宋体"/>
          <w:color w:val="auto"/>
          <w:highlight w:val="none"/>
        </w:rPr>
        <w:t>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执行合同产生的电子版文件、图纸档案及纸质文件、图纸档案的知识产权属</w:t>
      </w:r>
      <w:r>
        <w:rPr>
          <w:rFonts w:hint="eastAsia" w:ascii="宋体" w:hAnsi="宋体"/>
          <w:color w:val="auto"/>
          <w:highlight w:val="none"/>
          <w:lang w:eastAsia="zh-CN"/>
        </w:rPr>
        <w:t>甲方</w:t>
      </w:r>
      <w:r>
        <w:rPr>
          <w:rFonts w:hint="eastAsia" w:ascii="宋体" w:hAnsi="宋体"/>
          <w:color w:val="auto"/>
          <w:highlight w:val="none"/>
        </w:rPr>
        <w:t>所有，未经</w:t>
      </w:r>
      <w:r>
        <w:rPr>
          <w:rFonts w:hint="eastAsia" w:ascii="宋体" w:hAnsi="宋体"/>
          <w:color w:val="auto"/>
          <w:highlight w:val="none"/>
          <w:lang w:eastAsia="zh-CN"/>
        </w:rPr>
        <w:t>甲方</w:t>
      </w:r>
      <w:r>
        <w:rPr>
          <w:rFonts w:hint="eastAsia" w:ascii="宋体" w:hAnsi="宋体"/>
          <w:color w:val="auto"/>
          <w:highlight w:val="none"/>
        </w:rPr>
        <w:t>书面许可，不得转让、提供第三方使用，不得用于本合同以外的其他用途；</w:t>
      </w:r>
      <w:r>
        <w:rPr>
          <w:rFonts w:hint="eastAsia" w:ascii="宋体" w:hAnsi="宋体"/>
          <w:color w:val="auto"/>
          <w:highlight w:val="none"/>
          <w:lang w:eastAsia="zh-CN"/>
        </w:rPr>
        <w:t>乙方</w:t>
      </w:r>
      <w:r>
        <w:rPr>
          <w:rFonts w:hint="eastAsia" w:ascii="宋体" w:hAnsi="宋体"/>
          <w:color w:val="auto"/>
          <w:highlight w:val="none"/>
        </w:rPr>
        <w:t>执行合同需</w:t>
      </w:r>
      <w:r>
        <w:rPr>
          <w:rFonts w:hint="eastAsia" w:ascii="宋体" w:hAnsi="宋体"/>
          <w:color w:val="auto"/>
          <w:highlight w:val="none"/>
          <w:lang w:eastAsia="zh-CN"/>
        </w:rPr>
        <w:t>甲方</w:t>
      </w:r>
      <w:r>
        <w:rPr>
          <w:rFonts w:hint="eastAsia" w:ascii="宋体" w:hAnsi="宋体"/>
          <w:color w:val="auto"/>
          <w:highlight w:val="none"/>
        </w:rPr>
        <w:t>提供资料、信息及档案材料的，未经</w:t>
      </w:r>
      <w:r>
        <w:rPr>
          <w:rFonts w:hint="eastAsia" w:ascii="宋体" w:hAnsi="宋体"/>
          <w:color w:val="auto"/>
          <w:highlight w:val="none"/>
          <w:lang w:eastAsia="zh-CN"/>
        </w:rPr>
        <w:t>甲方</w:t>
      </w:r>
      <w:r>
        <w:rPr>
          <w:rFonts w:hint="eastAsia" w:ascii="宋体" w:hAnsi="宋体"/>
          <w:color w:val="auto"/>
          <w:highlight w:val="none"/>
        </w:rPr>
        <w:t>书面同意，</w:t>
      </w:r>
      <w:r>
        <w:rPr>
          <w:rFonts w:hint="eastAsia" w:ascii="宋体" w:hAnsi="宋体"/>
          <w:color w:val="auto"/>
          <w:highlight w:val="none"/>
          <w:lang w:eastAsia="zh-CN"/>
        </w:rPr>
        <w:t>乙方</w:t>
      </w:r>
      <w:r>
        <w:rPr>
          <w:rFonts w:hint="eastAsia" w:ascii="宋体" w:hAnsi="宋体"/>
          <w:color w:val="auto"/>
          <w:highlight w:val="none"/>
        </w:rPr>
        <w:t>不能向第三方提供；否则引起的知识产权纠纷及保密责任，以及造成</w:t>
      </w:r>
      <w:r>
        <w:rPr>
          <w:rFonts w:hint="eastAsia" w:ascii="宋体" w:hAnsi="宋体"/>
          <w:color w:val="auto"/>
          <w:highlight w:val="none"/>
          <w:lang w:eastAsia="zh-CN"/>
        </w:rPr>
        <w:t>甲方</w:t>
      </w:r>
      <w:r>
        <w:rPr>
          <w:rFonts w:hint="eastAsia" w:ascii="宋体" w:hAnsi="宋体"/>
          <w:color w:val="auto"/>
          <w:highlight w:val="none"/>
        </w:rPr>
        <w:t>损失的，由</w:t>
      </w:r>
      <w:r>
        <w:rPr>
          <w:rFonts w:hint="eastAsia" w:ascii="宋体" w:hAnsi="宋体"/>
          <w:color w:val="auto"/>
          <w:highlight w:val="none"/>
          <w:lang w:eastAsia="zh-CN"/>
        </w:rPr>
        <w:t>乙方</w:t>
      </w:r>
      <w:r>
        <w:rPr>
          <w:rFonts w:hint="eastAsia" w:ascii="宋体" w:hAnsi="宋体"/>
          <w:color w:val="auto"/>
          <w:highlight w:val="none"/>
        </w:rPr>
        <w:t>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431" w:name="_Toc370933860"/>
      <w:bookmarkStart w:id="1432" w:name="_Toc5930"/>
      <w:bookmarkStart w:id="1433" w:name="_Toc25750640"/>
      <w:bookmarkStart w:id="1434" w:name="_Toc378514957"/>
      <w:bookmarkStart w:id="1435" w:name="_Toc15801"/>
      <w:bookmarkStart w:id="1436" w:name="_Toc23542"/>
      <w:bookmarkStart w:id="1437" w:name="_Toc2340"/>
      <w:bookmarkStart w:id="1438" w:name="_Toc25049"/>
      <w:bookmarkStart w:id="1439" w:name="_Toc2096"/>
      <w:bookmarkStart w:id="1440" w:name="_Toc17908"/>
      <w:bookmarkStart w:id="1441" w:name="_Toc17102"/>
      <w:bookmarkStart w:id="1442" w:name="_Toc24189"/>
      <w:bookmarkStart w:id="1443" w:name="_Toc12048"/>
      <w:bookmarkStart w:id="1444" w:name="_Toc25104"/>
      <w:bookmarkStart w:id="1445" w:name="_Toc17100"/>
      <w:bookmarkStart w:id="1446" w:name="_Toc23274"/>
      <w:bookmarkStart w:id="1447" w:name="_Toc385427843"/>
      <w:bookmarkStart w:id="1448" w:name="_Toc18946"/>
      <w:bookmarkStart w:id="1449" w:name="_Toc4739"/>
      <w:bookmarkStart w:id="1450" w:name="_Toc16891"/>
      <w:bookmarkStart w:id="1451" w:name="_Toc32465"/>
      <w:bookmarkStart w:id="1452" w:name="_Toc390098469"/>
      <w:bookmarkStart w:id="1453" w:name="_Toc8848"/>
      <w:bookmarkStart w:id="1454" w:name="_Toc492478768"/>
      <w:bookmarkStart w:id="1455" w:name="_Toc16793"/>
      <w:r>
        <w:rPr>
          <w:rFonts w:hint="eastAsia" w:ascii="宋体" w:hAnsi="宋体"/>
          <w:b/>
          <w:color w:val="auto"/>
          <w:highlight w:val="none"/>
        </w:rPr>
        <w:t>6.知识产权</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应保证其拥有货物及服务的知识产权，并保证</w:t>
      </w:r>
      <w:r>
        <w:rPr>
          <w:rFonts w:hint="eastAsia" w:ascii="宋体" w:hAnsi="宋体"/>
          <w:color w:val="auto"/>
          <w:highlight w:val="none"/>
          <w:lang w:eastAsia="zh-CN"/>
        </w:rPr>
        <w:t>甲方</w:t>
      </w:r>
      <w:r>
        <w:rPr>
          <w:rFonts w:hint="eastAsia" w:ascii="宋体" w:hAnsi="宋体"/>
          <w:color w:val="auto"/>
          <w:highlight w:val="none"/>
        </w:rPr>
        <w:t>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不对</w:t>
      </w:r>
      <w:r>
        <w:rPr>
          <w:rFonts w:hint="eastAsia" w:ascii="宋体" w:hAnsi="宋体"/>
          <w:color w:val="auto"/>
          <w:highlight w:val="none"/>
          <w:lang w:eastAsia="zh-CN"/>
        </w:rPr>
        <w:t>乙方</w:t>
      </w:r>
      <w:r>
        <w:rPr>
          <w:rFonts w:hint="eastAsia" w:ascii="宋体" w:hAnsi="宋体"/>
          <w:color w:val="auto"/>
          <w:highlight w:val="none"/>
        </w:rPr>
        <w:t>提供的货物的及服务的专利</w:t>
      </w:r>
      <w:r>
        <w:rPr>
          <w:rFonts w:hint="eastAsia" w:ascii="宋体" w:hAnsi="宋体" w:cs="Arial"/>
          <w:color w:val="auto"/>
          <w:highlight w:val="none"/>
        </w:rPr>
        <w:t>权、著作权、注册商标专有使用权、计算机软件登记等是否侵犯第三方权利负责，如因</w:t>
      </w:r>
      <w:r>
        <w:rPr>
          <w:rFonts w:hint="eastAsia" w:ascii="宋体" w:hAnsi="宋体" w:cs="Arial"/>
          <w:color w:val="auto"/>
          <w:highlight w:val="none"/>
          <w:lang w:eastAsia="zh-CN"/>
        </w:rPr>
        <w:t>乙方</w:t>
      </w:r>
      <w:r>
        <w:rPr>
          <w:rFonts w:hint="eastAsia" w:ascii="宋体" w:hAnsi="宋体" w:cs="Arial"/>
          <w:color w:val="auto"/>
          <w:highlight w:val="none"/>
        </w:rPr>
        <w:t>提供货物及服务引发争议或违法导致</w:t>
      </w:r>
      <w:r>
        <w:rPr>
          <w:rFonts w:hint="eastAsia" w:ascii="宋体" w:hAnsi="宋体" w:cs="Arial"/>
          <w:color w:val="auto"/>
          <w:highlight w:val="none"/>
          <w:lang w:eastAsia="zh-CN"/>
        </w:rPr>
        <w:t>甲方</w:t>
      </w:r>
      <w:r>
        <w:rPr>
          <w:rFonts w:hint="eastAsia" w:ascii="宋体" w:hAnsi="宋体" w:cs="Arial"/>
          <w:color w:val="auto"/>
          <w:highlight w:val="none"/>
        </w:rPr>
        <w:t>受损的，</w:t>
      </w:r>
      <w:r>
        <w:rPr>
          <w:rFonts w:hint="eastAsia" w:ascii="宋体" w:hAnsi="宋体" w:cs="Arial"/>
          <w:color w:val="auto"/>
          <w:highlight w:val="none"/>
          <w:lang w:eastAsia="zh-CN"/>
        </w:rPr>
        <w:t>乙方</w:t>
      </w:r>
      <w:r>
        <w:rPr>
          <w:rFonts w:hint="eastAsia" w:ascii="宋体" w:hAnsi="宋体" w:cs="Arial"/>
          <w:color w:val="auto"/>
          <w:highlight w:val="none"/>
        </w:rPr>
        <w:t>应赔偿因此对</w:t>
      </w:r>
      <w:r>
        <w:rPr>
          <w:rFonts w:hint="eastAsia" w:ascii="宋体" w:hAnsi="宋体" w:cs="Arial"/>
          <w:color w:val="auto"/>
          <w:highlight w:val="none"/>
          <w:lang w:eastAsia="zh-CN"/>
        </w:rPr>
        <w:t>甲方</w:t>
      </w:r>
      <w:r>
        <w:rPr>
          <w:rFonts w:hint="eastAsia" w:ascii="宋体" w:hAnsi="宋体" w:cs="Arial"/>
          <w:color w:val="auto"/>
          <w:highlight w:val="none"/>
        </w:rPr>
        <w:t>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w:t>
      </w:r>
      <w:r>
        <w:rPr>
          <w:rFonts w:hint="eastAsia" w:ascii="宋体" w:hAnsi="宋体"/>
          <w:color w:val="auto"/>
          <w:highlight w:val="none"/>
          <w:lang w:eastAsia="zh-CN"/>
        </w:rPr>
        <w:t>乙方</w:t>
      </w:r>
      <w:r>
        <w:rPr>
          <w:rFonts w:hint="eastAsia" w:ascii="宋体" w:hAnsi="宋体"/>
          <w:color w:val="auto"/>
          <w:highlight w:val="none"/>
        </w:rPr>
        <w:t>所有知识产权的货物及服务，</w:t>
      </w:r>
      <w:r>
        <w:rPr>
          <w:rFonts w:hint="eastAsia" w:ascii="宋体" w:hAnsi="宋体"/>
          <w:color w:val="auto"/>
          <w:highlight w:val="none"/>
          <w:lang w:eastAsia="zh-CN"/>
        </w:rPr>
        <w:t>乙方</w:t>
      </w:r>
      <w:r>
        <w:rPr>
          <w:rFonts w:hint="eastAsia" w:ascii="宋体" w:hAnsi="宋体"/>
          <w:color w:val="auto"/>
          <w:highlight w:val="none"/>
        </w:rPr>
        <w:t>有义务提供给</w:t>
      </w:r>
      <w:r>
        <w:rPr>
          <w:rFonts w:hint="eastAsia" w:ascii="宋体" w:hAnsi="宋体"/>
          <w:color w:val="auto"/>
          <w:highlight w:val="none"/>
          <w:lang w:eastAsia="zh-CN"/>
        </w:rPr>
        <w:t>甲方</w:t>
      </w:r>
      <w:r>
        <w:rPr>
          <w:rFonts w:hint="eastAsia" w:ascii="宋体" w:hAnsi="宋体"/>
          <w:color w:val="auto"/>
          <w:highlight w:val="none"/>
        </w:rPr>
        <w:t>正规渠道证明。</w:t>
      </w:r>
      <w:r>
        <w:rPr>
          <w:rFonts w:hint="eastAsia" w:ascii="宋体" w:hAnsi="宋体"/>
          <w:color w:val="auto"/>
          <w:highlight w:val="none"/>
          <w:lang w:eastAsia="zh-CN"/>
        </w:rPr>
        <w:t>甲方</w:t>
      </w:r>
      <w:r>
        <w:rPr>
          <w:rFonts w:hint="eastAsia" w:ascii="宋体" w:hAnsi="宋体"/>
          <w:color w:val="auto"/>
          <w:highlight w:val="none"/>
        </w:rPr>
        <w:t>永久享有</w:t>
      </w:r>
      <w:r>
        <w:rPr>
          <w:rFonts w:hint="eastAsia" w:ascii="宋体" w:hAnsi="宋体"/>
          <w:color w:val="auto"/>
          <w:highlight w:val="none"/>
          <w:lang w:eastAsia="zh-CN"/>
        </w:rPr>
        <w:t>乙方</w:t>
      </w:r>
      <w:r>
        <w:rPr>
          <w:rFonts w:hint="eastAsia" w:ascii="宋体" w:hAnsi="宋体"/>
          <w:color w:val="auto"/>
          <w:highlight w:val="none"/>
        </w:rPr>
        <w:t>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456" w:name="_Toc29127"/>
      <w:bookmarkStart w:id="1457" w:name="_Toc828"/>
      <w:bookmarkStart w:id="1458" w:name="_Toc24887"/>
      <w:bookmarkStart w:id="1459" w:name="_Toc25327"/>
      <w:bookmarkStart w:id="1460" w:name="_Toc1869"/>
      <w:bookmarkStart w:id="1461" w:name="_Toc25888"/>
      <w:bookmarkStart w:id="1462" w:name="_Toc7460"/>
      <w:bookmarkStart w:id="1463" w:name="_Toc29337"/>
      <w:bookmarkStart w:id="1464" w:name="_Toc17489"/>
      <w:bookmarkStart w:id="1465" w:name="_Toc370933861"/>
      <w:bookmarkStart w:id="1466" w:name="_Toc390098470"/>
      <w:bookmarkStart w:id="1467" w:name="_Toc492478769"/>
      <w:bookmarkStart w:id="1468" w:name="_Toc25750641"/>
      <w:bookmarkStart w:id="1469" w:name="_Toc939"/>
      <w:bookmarkStart w:id="1470" w:name="_Toc17901"/>
      <w:bookmarkStart w:id="1471" w:name="_Toc2076"/>
      <w:bookmarkStart w:id="1472" w:name="_Toc385427844"/>
      <w:bookmarkStart w:id="1473" w:name="_Toc7907"/>
      <w:bookmarkStart w:id="1474" w:name="_Toc378514958"/>
      <w:bookmarkStart w:id="1475" w:name="_Toc11516"/>
      <w:bookmarkStart w:id="1476" w:name="_Toc21755"/>
      <w:bookmarkStart w:id="1477" w:name="_Toc6777"/>
      <w:bookmarkStart w:id="1478" w:name="_Toc7187"/>
      <w:bookmarkStart w:id="1479" w:name="_Toc21848"/>
      <w:bookmarkStart w:id="1480" w:name="_Toc20551"/>
      <w:r>
        <w:rPr>
          <w:rFonts w:hint="eastAsia" w:ascii="宋体" w:hAnsi="宋体"/>
          <w:b/>
          <w:color w:val="auto"/>
          <w:highlight w:val="none"/>
        </w:rPr>
        <w:t>7.履约担保</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w:t>
      </w:r>
      <w:r>
        <w:rPr>
          <w:rFonts w:hint="eastAsia" w:ascii="宋体" w:hAnsi="宋体" w:cs="Arial"/>
          <w:color w:val="auto"/>
          <w:highlight w:val="none"/>
          <w:lang w:eastAsia="zh-CN"/>
        </w:rPr>
        <w:t>乙方</w:t>
      </w:r>
      <w:r>
        <w:rPr>
          <w:rFonts w:hint="eastAsia" w:ascii="宋体" w:hAnsi="宋体" w:cs="Arial"/>
          <w:color w:val="auto"/>
          <w:highlight w:val="none"/>
        </w:rPr>
        <w:t>应向</w:t>
      </w:r>
      <w:r>
        <w:rPr>
          <w:rFonts w:hint="eastAsia" w:ascii="宋体" w:hAnsi="宋体" w:cs="Arial"/>
          <w:color w:val="auto"/>
          <w:highlight w:val="none"/>
          <w:lang w:eastAsia="zh-CN"/>
        </w:rPr>
        <w:t>甲方</w:t>
      </w:r>
      <w:r>
        <w:rPr>
          <w:rFonts w:hint="eastAsia" w:ascii="宋体" w:hAnsi="宋体" w:cs="Arial"/>
          <w:color w:val="auto"/>
          <w:highlight w:val="none"/>
        </w:rPr>
        <w:t>提供履约担保，履约担保金额为合同价格的5</w:t>
      </w:r>
      <w:r>
        <w:rPr>
          <w:rFonts w:ascii="宋体" w:hAnsi="宋体" w:cs="Arial"/>
          <w:color w:val="auto"/>
          <w:highlight w:val="none"/>
        </w:rPr>
        <w:t>%</w:t>
      </w:r>
      <w:r>
        <w:rPr>
          <w:rFonts w:hint="eastAsia" w:ascii="宋体" w:hAnsi="宋体" w:cs="Arial"/>
          <w:color w:val="auto"/>
          <w:highlight w:val="none"/>
        </w:rPr>
        <w:t>，</w:t>
      </w:r>
      <w:r>
        <w:rPr>
          <w:rFonts w:hint="eastAsia"/>
          <w:color w:val="auto"/>
          <w:highlight w:val="none"/>
        </w:rPr>
        <w:t>采用履约保函、银行电汇、转账等形式。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w:t>
      </w:r>
      <w:r>
        <w:rPr>
          <w:rFonts w:hint="eastAsia" w:ascii="宋体" w:hAnsi="宋体" w:cs="Arial"/>
          <w:color w:val="auto"/>
          <w:highlight w:val="none"/>
          <w:lang w:eastAsia="zh-CN"/>
        </w:rPr>
        <w:t>乙方</w:t>
      </w:r>
      <w:r>
        <w:rPr>
          <w:rFonts w:hint="eastAsia" w:ascii="宋体" w:hAnsi="宋体" w:cs="Arial"/>
          <w:color w:val="auto"/>
          <w:highlight w:val="none"/>
        </w:rPr>
        <w:t>应通过银行电汇或转账的形式，从基本账户中递交至</w:t>
      </w:r>
      <w:r>
        <w:rPr>
          <w:rFonts w:hint="eastAsia" w:ascii="宋体" w:hAnsi="宋体" w:cs="Arial"/>
          <w:color w:val="auto"/>
          <w:highlight w:val="none"/>
          <w:lang w:eastAsia="zh-CN"/>
        </w:rPr>
        <w:t>甲方</w:t>
      </w:r>
      <w:r>
        <w:rPr>
          <w:rFonts w:hint="eastAsia" w:ascii="宋体" w:hAnsi="宋体" w:cs="Arial"/>
          <w:color w:val="auto"/>
          <w:highlight w:val="none"/>
        </w:rPr>
        <w:t>指定账户。</w:t>
      </w:r>
      <w:r>
        <w:rPr>
          <w:rFonts w:hint="eastAsia" w:ascii="宋体" w:hAnsi="宋体"/>
          <w:color w:val="auto"/>
          <w:highlight w:val="none"/>
        </w:rPr>
        <w:t>履约保函应采用合同规定格式，其开具银行应为中国境内商业银行地市级以上支行（含地市级支行），并须是以</w:t>
      </w:r>
      <w:r>
        <w:rPr>
          <w:rFonts w:hint="eastAsia" w:ascii="宋体" w:hAnsi="宋体"/>
          <w:color w:val="auto"/>
          <w:highlight w:val="none"/>
          <w:lang w:eastAsia="zh-CN"/>
        </w:rPr>
        <w:t>甲方</w:t>
      </w:r>
      <w:r>
        <w:rPr>
          <w:rFonts w:hint="eastAsia" w:ascii="宋体" w:hAnsi="宋体"/>
          <w:color w:val="auto"/>
          <w:highlight w:val="none"/>
        </w:rPr>
        <w:t>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履约担保应从合同文件生效之日起至全部货物验收合格之日后四十五（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w:t>
      </w:r>
      <w:r>
        <w:rPr>
          <w:rFonts w:hint="eastAsia" w:ascii="宋体" w:hAnsi="宋体" w:cs="Arial"/>
          <w:color w:val="auto"/>
          <w:highlight w:val="none"/>
          <w:lang w:eastAsia="zh-CN"/>
        </w:rPr>
        <w:t>乙方</w:t>
      </w:r>
      <w:r>
        <w:rPr>
          <w:rFonts w:hint="eastAsia" w:ascii="宋体" w:hAnsi="宋体" w:cs="Arial"/>
          <w:color w:val="auto"/>
          <w:highlight w:val="none"/>
        </w:rPr>
        <w:t>应相应延长履约担保的日期，当出现逾期验收而未及时办理保函续费手续时，</w:t>
      </w:r>
      <w:r>
        <w:rPr>
          <w:rFonts w:hint="eastAsia" w:ascii="宋体" w:hAnsi="宋体" w:cs="Arial"/>
          <w:color w:val="auto"/>
          <w:highlight w:val="none"/>
          <w:lang w:eastAsia="zh-CN"/>
        </w:rPr>
        <w:t>甲方</w:t>
      </w:r>
      <w:r>
        <w:rPr>
          <w:rFonts w:hint="eastAsia" w:ascii="宋体" w:hAnsi="宋体" w:cs="Arial"/>
          <w:color w:val="auto"/>
          <w:highlight w:val="none"/>
        </w:rPr>
        <w:t>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eastAsia="zh-CN"/>
        </w:rPr>
        <w:t>乙方</w:t>
      </w:r>
      <w:r>
        <w:rPr>
          <w:rFonts w:hint="eastAsia" w:ascii="宋体" w:hAnsi="宋体" w:cs="Arial"/>
          <w:color w:val="auto"/>
          <w:highlight w:val="none"/>
        </w:rPr>
        <w:t>提交履约担保所产生的费用由</w:t>
      </w:r>
      <w:r>
        <w:rPr>
          <w:rFonts w:hint="eastAsia" w:ascii="宋体" w:hAnsi="宋体" w:cs="Arial"/>
          <w:color w:val="auto"/>
          <w:highlight w:val="none"/>
          <w:lang w:eastAsia="zh-CN"/>
        </w:rPr>
        <w:t>乙方</w:t>
      </w:r>
      <w:r>
        <w:rPr>
          <w:rFonts w:hint="eastAsia" w:ascii="宋体" w:hAnsi="宋体" w:cs="Arial"/>
          <w:color w:val="auto"/>
          <w:highlight w:val="none"/>
        </w:rPr>
        <w:t>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w:t>
      </w:r>
      <w:r>
        <w:rPr>
          <w:rFonts w:hint="eastAsia" w:ascii="宋体" w:hAnsi="宋体" w:cs="Arial"/>
          <w:color w:val="auto"/>
          <w:highlight w:val="none"/>
          <w:lang w:eastAsia="zh-CN"/>
        </w:rPr>
        <w:t>乙方</w:t>
      </w:r>
      <w:r>
        <w:rPr>
          <w:rFonts w:hint="eastAsia" w:ascii="宋体" w:hAnsi="宋体" w:cs="Arial"/>
          <w:color w:val="auto"/>
          <w:highlight w:val="none"/>
        </w:rPr>
        <w:t>不能履行其在合同项下的义务，则</w:t>
      </w:r>
      <w:r>
        <w:rPr>
          <w:rFonts w:hint="eastAsia" w:ascii="宋体" w:hAnsi="宋体" w:cs="Arial"/>
          <w:color w:val="auto"/>
          <w:highlight w:val="none"/>
          <w:lang w:eastAsia="zh-CN"/>
        </w:rPr>
        <w:t>乙方</w:t>
      </w:r>
      <w:r>
        <w:rPr>
          <w:rFonts w:hint="eastAsia" w:ascii="宋体" w:hAnsi="宋体" w:cs="Arial"/>
          <w:color w:val="auto"/>
          <w:highlight w:val="none"/>
        </w:rPr>
        <w:t>应缴纳有关费用和罚款，否则</w:t>
      </w:r>
      <w:r>
        <w:rPr>
          <w:rFonts w:hint="eastAsia" w:ascii="宋体" w:hAnsi="宋体" w:cs="Arial"/>
          <w:color w:val="auto"/>
          <w:highlight w:val="none"/>
          <w:lang w:eastAsia="zh-CN"/>
        </w:rPr>
        <w:t>甲方</w:t>
      </w:r>
      <w:r>
        <w:rPr>
          <w:rFonts w:hint="eastAsia" w:ascii="宋体" w:hAnsi="宋体" w:cs="Arial"/>
          <w:color w:val="auto"/>
          <w:highlight w:val="none"/>
        </w:rPr>
        <w:t>有权用履约担保的资金补偿其任何损失或有权通过银行保函追索，但其剩余的履约担保仍应满足合同价格5%，</w:t>
      </w:r>
      <w:r>
        <w:rPr>
          <w:rFonts w:hint="eastAsia" w:ascii="宋体" w:hAnsi="宋体" w:cs="Arial"/>
          <w:color w:val="auto"/>
          <w:highlight w:val="none"/>
          <w:lang w:eastAsia="zh-CN"/>
        </w:rPr>
        <w:t>乙方</w:t>
      </w:r>
      <w:r>
        <w:rPr>
          <w:rFonts w:hint="eastAsia" w:ascii="宋体" w:hAnsi="宋体" w:cs="Arial"/>
          <w:color w:val="auto"/>
          <w:highlight w:val="none"/>
        </w:rPr>
        <w:t>应及时补足担保金额，每逾期一天，按照应补未补部分的千分之三向</w:t>
      </w:r>
      <w:r>
        <w:rPr>
          <w:rFonts w:hint="eastAsia" w:ascii="宋体" w:hAnsi="宋体" w:cs="Arial"/>
          <w:color w:val="auto"/>
          <w:highlight w:val="none"/>
          <w:lang w:eastAsia="zh-CN"/>
        </w:rPr>
        <w:t>甲方</w:t>
      </w:r>
      <w:r>
        <w:rPr>
          <w:rFonts w:hint="eastAsia" w:ascii="宋体" w:hAnsi="宋体" w:cs="Arial"/>
          <w:color w:val="auto"/>
          <w:highlight w:val="none"/>
        </w:rPr>
        <w:t>支付违约金，</w:t>
      </w:r>
      <w:r>
        <w:rPr>
          <w:rFonts w:hint="eastAsia" w:ascii="宋体" w:hAnsi="宋体" w:cs="Arial"/>
          <w:color w:val="auto"/>
          <w:highlight w:val="none"/>
          <w:lang w:eastAsia="zh-CN"/>
        </w:rPr>
        <w:t>甲方</w:t>
      </w:r>
      <w:r>
        <w:rPr>
          <w:rFonts w:hint="eastAsia" w:ascii="宋体" w:hAnsi="宋体" w:cs="Arial"/>
          <w:color w:val="auto"/>
          <w:highlight w:val="none"/>
        </w:rPr>
        <w:t>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w:t>
      </w:r>
      <w:r>
        <w:rPr>
          <w:rFonts w:hint="eastAsia" w:ascii="宋体" w:hAnsi="宋体" w:cs="Arial"/>
          <w:color w:val="auto"/>
          <w:highlight w:val="none"/>
          <w:lang w:eastAsia="zh-CN"/>
        </w:rPr>
        <w:t>甲方</w:t>
      </w:r>
      <w:r>
        <w:rPr>
          <w:rFonts w:hint="eastAsia" w:ascii="宋体" w:hAnsi="宋体" w:cs="Arial"/>
          <w:color w:val="auto"/>
          <w:highlight w:val="none"/>
        </w:rPr>
        <w:t>的索赔情况，将剩余履约担保款项无息退还</w:t>
      </w:r>
      <w:r>
        <w:rPr>
          <w:rFonts w:hint="eastAsia" w:ascii="宋体" w:hAnsi="宋体" w:cs="Arial"/>
          <w:color w:val="auto"/>
          <w:highlight w:val="none"/>
          <w:lang w:eastAsia="zh-CN"/>
        </w:rPr>
        <w:t>乙方</w:t>
      </w:r>
      <w:r>
        <w:rPr>
          <w:rFonts w:hint="eastAsia" w:ascii="宋体" w:hAnsi="宋体" w:cs="Arial"/>
          <w:color w:val="auto"/>
          <w:highlight w:val="none"/>
        </w:rPr>
        <w:t>。</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乙方未按规定提交履约担保的，甲方有权解除合同。</w:t>
      </w:r>
    </w:p>
    <w:p>
      <w:pPr>
        <w:tabs>
          <w:tab w:val="left" w:pos="640"/>
          <w:tab w:val="left" w:pos="1843"/>
        </w:tabs>
        <w:spacing w:before="0" w:after="0" w:afterAutospacing="0"/>
        <w:ind w:left="422" w:right="0" w:firstLine="0"/>
        <w:outlineLvl w:val="1"/>
        <w:rPr>
          <w:rFonts w:ascii="宋体" w:hAnsi="宋体"/>
          <w:b/>
          <w:color w:val="auto"/>
          <w:highlight w:val="none"/>
        </w:rPr>
      </w:pPr>
      <w:bookmarkStart w:id="1481" w:name="_Toc97"/>
      <w:bookmarkStart w:id="1482" w:name="_Toc32711"/>
      <w:bookmarkStart w:id="1483" w:name="_Toc20899"/>
      <w:bookmarkStart w:id="1484" w:name="_Toc2613"/>
      <w:bookmarkStart w:id="1485" w:name="_Toc1990"/>
      <w:bookmarkStart w:id="1486" w:name="_Toc7801"/>
      <w:bookmarkStart w:id="1487" w:name="_Toc12113"/>
      <w:bookmarkStart w:id="1488" w:name="_Toc21872"/>
      <w:bookmarkStart w:id="1489" w:name="_Toc32382"/>
      <w:bookmarkStart w:id="1490" w:name="_Toc31795"/>
      <w:bookmarkStart w:id="1491" w:name="_Toc26034"/>
      <w:bookmarkStart w:id="1492" w:name="_Toc26315"/>
      <w:bookmarkStart w:id="1493" w:name="_Toc20550"/>
      <w:bookmarkStart w:id="1494" w:name="_Toc15512"/>
      <w:bookmarkStart w:id="1495" w:name="_Toc25750642"/>
      <w:bookmarkStart w:id="1496" w:name="_Toc30234"/>
      <w:bookmarkStart w:id="1497" w:name="_Toc29729"/>
      <w:bookmarkStart w:id="1498" w:name="_Toc25873"/>
      <w:bookmarkStart w:id="1499" w:name="_Toc5676"/>
      <w:bookmarkStart w:id="1500" w:name="_Toc20252"/>
      <w:r>
        <w:rPr>
          <w:rFonts w:hint="eastAsia" w:ascii="宋体" w:hAnsi="宋体"/>
          <w:b/>
          <w:color w:val="auto"/>
          <w:highlight w:val="none"/>
        </w:rPr>
        <w:t>8.检验</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lang w:eastAsia="zh-CN"/>
        </w:rPr>
        <w:t>甲方</w:t>
      </w:r>
      <w:r>
        <w:rPr>
          <w:rFonts w:hint="eastAsia" w:ascii="宋体" w:hAnsi="宋体" w:cs="Arial"/>
          <w:color w:val="auto"/>
          <w:highlight w:val="none"/>
        </w:rPr>
        <w:t>或其代表有权检验货物，以确</w:t>
      </w:r>
      <w:r>
        <w:rPr>
          <w:rFonts w:hint="eastAsia" w:ascii="宋体" w:hAnsi="宋体"/>
          <w:color w:val="auto"/>
          <w:highlight w:val="none"/>
        </w:rPr>
        <w:t>认货物能符合合同规格的要求，所需费用由</w:t>
      </w:r>
      <w:r>
        <w:rPr>
          <w:rFonts w:hint="eastAsia" w:ascii="宋体" w:hAnsi="宋体"/>
          <w:color w:val="auto"/>
          <w:highlight w:val="none"/>
          <w:lang w:eastAsia="zh-CN"/>
        </w:rPr>
        <w:t>乙方</w:t>
      </w:r>
      <w:r>
        <w:rPr>
          <w:rFonts w:hint="eastAsia" w:ascii="宋体" w:hAnsi="宋体"/>
          <w:color w:val="auto"/>
          <w:highlight w:val="none"/>
        </w:rPr>
        <w:t>承担。合同条款将说明</w:t>
      </w:r>
      <w:r>
        <w:rPr>
          <w:rFonts w:hint="eastAsia" w:ascii="宋体" w:hAnsi="宋体"/>
          <w:color w:val="auto"/>
          <w:highlight w:val="none"/>
          <w:lang w:eastAsia="zh-CN"/>
        </w:rPr>
        <w:t>甲方</w:t>
      </w:r>
      <w:r>
        <w:rPr>
          <w:rFonts w:hint="eastAsia" w:ascii="宋体" w:hAnsi="宋体"/>
          <w:color w:val="auto"/>
          <w:highlight w:val="none"/>
        </w:rPr>
        <w:t>要求进行的检验，以及在何处进行这些检验。</w:t>
      </w:r>
      <w:r>
        <w:rPr>
          <w:rFonts w:hint="eastAsia" w:ascii="宋体" w:hAnsi="宋体"/>
          <w:color w:val="auto"/>
          <w:highlight w:val="none"/>
          <w:lang w:eastAsia="zh-CN"/>
        </w:rPr>
        <w:t>甲方</w:t>
      </w:r>
      <w:r>
        <w:rPr>
          <w:rFonts w:hint="eastAsia" w:ascii="宋体" w:hAnsi="宋体"/>
          <w:color w:val="auto"/>
          <w:highlight w:val="none"/>
        </w:rPr>
        <w:t>将及时以书面形式把进行检验的代表的身份情况通知</w:t>
      </w:r>
      <w:r>
        <w:rPr>
          <w:rFonts w:hint="eastAsia" w:ascii="宋体" w:hAnsi="宋体"/>
          <w:color w:val="auto"/>
          <w:highlight w:val="none"/>
          <w:lang w:eastAsia="zh-CN"/>
        </w:rPr>
        <w:t>乙方</w:t>
      </w:r>
      <w:r>
        <w:rPr>
          <w:rFonts w:hint="eastAsia" w:ascii="宋体" w:hAnsi="宋体"/>
          <w:color w:val="auto"/>
          <w:highlight w:val="none"/>
        </w:rPr>
        <w:t>。</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检验在货物的最终目的地进行。</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w:t>
      </w:r>
      <w:r>
        <w:rPr>
          <w:rFonts w:hint="eastAsia" w:ascii="宋体" w:hAnsi="宋体"/>
          <w:color w:val="auto"/>
          <w:highlight w:val="none"/>
          <w:lang w:eastAsia="zh-CN"/>
        </w:rPr>
        <w:t>甲方</w:t>
      </w:r>
      <w:r>
        <w:rPr>
          <w:rFonts w:hint="eastAsia" w:ascii="宋体" w:hAnsi="宋体"/>
          <w:color w:val="auto"/>
          <w:highlight w:val="none"/>
        </w:rPr>
        <w:t>可以拒绝接受该货物，</w:t>
      </w:r>
      <w:r>
        <w:rPr>
          <w:rFonts w:hint="eastAsia" w:ascii="宋体" w:hAnsi="宋体"/>
          <w:color w:val="auto"/>
          <w:highlight w:val="none"/>
          <w:lang w:eastAsia="zh-CN"/>
        </w:rPr>
        <w:t>乙方</w:t>
      </w:r>
      <w:r>
        <w:rPr>
          <w:rFonts w:hint="eastAsia" w:ascii="宋体" w:hAnsi="宋体"/>
          <w:color w:val="auto"/>
          <w:highlight w:val="none"/>
        </w:rPr>
        <w:t>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w:t>
      </w:r>
      <w:r>
        <w:rPr>
          <w:rFonts w:hint="eastAsia" w:ascii="宋体" w:hAnsi="宋体"/>
          <w:color w:val="auto"/>
          <w:highlight w:val="none"/>
          <w:lang w:eastAsia="zh-CN"/>
        </w:rPr>
        <w:t>乙方</w:t>
      </w:r>
      <w:r>
        <w:rPr>
          <w:rFonts w:hint="eastAsia" w:ascii="宋体" w:hAnsi="宋体"/>
          <w:color w:val="auto"/>
          <w:highlight w:val="none"/>
        </w:rPr>
        <w:t>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应协助</w:t>
      </w:r>
      <w:r>
        <w:rPr>
          <w:rFonts w:hint="eastAsia" w:ascii="宋体" w:hAnsi="宋体"/>
          <w:color w:val="auto"/>
          <w:highlight w:val="none"/>
          <w:lang w:eastAsia="zh-CN"/>
        </w:rPr>
        <w:t>甲方</w:t>
      </w:r>
      <w:r>
        <w:rPr>
          <w:rFonts w:hint="eastAsia" w:ascii="宋体" w:hAnsi="宋体"/>
          <w:color w:val="auto"/>
          <w:highlight w:val="none"/>
        </w:rPr>
        <w:t>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甲方</w:t>
      </w:r>
      <w:r>
        <w:rPr>
          <w:rFonts w:hint="eastAsia" w:ascii="宋体" w:hAnsi="宋体"/>
          <w:color w:val="auto"/>
          <w:highlight w:val="none"/>
        </w:rPr>
        <w:t>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在任何情况下，任何检验和验收的结果均不免除</w:t>
      </w:r>
      <w:r>
        <w:rPr>
          <w:rFonts w:hint="eastAsia" w:ascii="宋体" w:hAnsi="宋体"/>
          <w:color w:val="auto"/>
          <w:highlight w:val="none"/>
          <w:lang w:eastAsia="zh-CN"/>
        </w:rPr>
        <w:t>乙方</w:t>
      </w:r>
      <w:r>
        <w:rPr>
          <w:rFonts w:hint="eastAsia" w:ascii="宋体" w:hAnsi="宋体"/>
          <w:color w:val="auto"/>
          <w:highlight w:val="none"/>
        </w:rPr>
        <w:t>的合同责任。</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501" w:name="_Toc1560"/>
      <w:r>
        <w:rPr>
          <w:rFonts w:hint="eastAsia" w:ascii="宋体" w:hAnsi="宋体"/>
          <w:b/>
          <w:color w:val="auto"/>
          <w:highlight w:val="none"/>
          <w:lang w:eastAsia="zh-CN"/>
        </w:rPr>
        <w:t>9</w:t>
      </w:r>
      <w:r>
        <w:rPr>
          <w:rFonts w:hint="eastAsia" w:ascii="宋体" w:hAnsi="宋体"/>
          <w:b/>
          <w:color w:val="auto"/>
          <w:highlight w:val="none"/>
        </w:rPr>
        <w:t>交货和单据</w:t>
      </w:r>
      <w:bookmarkEnd w:id="1501"/>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9.1</w:t>
      </w:r>
      <w:r>
        <w:rPr>
          <w:rFonts w:hint="eastAsia" w:ascii="宋体" w:hAnsi="宋体"/>
          <w:color w:val="auto"/>
          <w:highlight w:val="none"/>
          <w:lang w:val="en-US" w:eastAsia="zh-CN"/>
        </w:rPr>
        <w:tab/>
      </w:r>
      <w:r>
        <w:rPr>
          <w:rFonts w:hint="eastAsia" w:ascii="宋体" w:hAnsi="宋体"/>
          <w:color w:val="auto"/>
          <w:highlight w:val="none"/>
        </w:rPr>
        <w:t>交货期：合同签订且</w:t>
      </w:r>
      <w:r>
        <w:rPr>
          <w:rFonts w:ascii="宋体" w:hAnsi="宋体"/>
          <w:color w:val="auto"/>
          <w:highlight w:val="none"/>
        </w:rPr>
        <w:t>交货通知书发出后</w:t>
      </w:r>
      <w:r>
        <w:rPr>
          <w:rFonts w:hint="eastAsia" w:ascii="宋体" w:hAnsi="宋体"/>
          <w:color w:val="auto"/>
          <w:highlight w:val="none"/>
          <w:u w:val="single"/>
          <w:lang w:val="en-US" w:eastAsia="zh-CN"/>
        </w:rPr>
        <w:t xml:space="preserve">   </w:t>
      </w:r>
      <w:r>
        <w:rPr>
          <w:rFonts w:hint="eastAsia" w:ascii="宋体" w:hAnsi="宋体"/>
          <w:color w:val="auto"/>
          <w:highlight w:val="none"/>
        </w:rPr>
        <w:t>天内交货。具体详见用户需求书。</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9.2</w:t>
      </w:r>
      <w:r>
        <w:rPr>
          <w:rFonts w:hint="eastAsia" w:ascii="宋体" w:hAnsi="宋体"/>
          <w:color w:val="auto"/>
          <w:highlight w:val="none"/>
          <w:lang w:val="en-US" w:eastAsia="zh-CN"/>
        </w:rPr>
        <w:tab/>
      </w:r>
      <w:r>
        <w:rPr>
          <w:rFonts w:hint="eastAsia" w:ascii="宋体" w:hAnsi="宋体"/>
          <w:color w:val="auto"/>
          <w:highlight w:val="none"/>
          <w:lang w:eastAsia="zh-CN"/>
        </w:rPr>
        <w:t>乙方</w:t>
      </w:r>
      <w:r>
        <w:rPr>
          <w:rFonts w:ascii="宋体" w:hAnsi="宋体"/>
          <w:color w:val="auto"/>
          <w:highlight w:val="none"/>
        </w:rPr>
        <w:t>应负责将合同货物在双方约定的</w:t>
      </w:r>
      <w:r>
        <w:rPr>
          <w:rFonts w:hint="eastAsia" w:ascii="宋体" w:hAnsi="宋体"/>
          <w:color w:val="auto"/>
          <w:highlight w:val="none"/>
        </w:rPr>
        <w:t>交货期</w:t>
      </w:r>
      <w:r>
        <w:rPr>
          <w:rFonts w:ascii="宋体" w:hAnsi="宋体"/>
          <w:color w:val="auto"/>
          <w:highlight w:val="none"/>
        </w:rPr>
        <w:t>内运抵</w:t>
      </w:r>
      <w:r>
        <w:rPr>
          <w:rFonts w:hint="eastAsia" w:ascii="宋体" w:hAnsi="宋体"/>
          <w:color w:val="auto"/>
          <w:highlight w:val="none"/>
          <w:lang w:eastAsia="zh-CN"/>
        </w:rPr>
        <w:t>甲方</w:t>
      </w:r>
      <w:r>
        <w:rPr>
          <w:rFonts w:ascii="宋体" w:hAnsi="宋体"/>
          <w:color w:val="auto"/>
          <w:highlight w:val="none"/>
        </w:rPr>
        <w:t>指定地点</w:t>
      </w:r>
      <w:r>
        <w:rPr>
          <w:rFonts w:hint="eastAsia" w:ascii="宋体" w:hAnsi="宋体"/>
          <w:color w:val="auto"/>
          <w:highlight w:val="none"/>
        </w:rPr>
        <w:t>。</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9.3</w:t>
      </w:r>
      <w:r>
        <w:rPr>
          <w:rFonts w:hint="eastAsia" w:ascii="宋体" w:hAnsi="宋体"/>
          <w:color w:val="auto"/>
          <w:highlight w:val="none"/>
          <w:lang w:val="en-US" w:eastAsia="zh-CN"/>
        </w:rPr>
        <w:tab/>
      </w:r>
      <w:r>
        <w:rPr>
          <w:rFonts w:hint="eastAsia" w:ascii="宋体" w:hAnsi="宋体"/>
          <w:color w:val="auto"/>
          <w:highlight w:val="none"/>
          <w:lang w:eastAsia="zh-CN"/>
        </w:rPr>
        <w:t>乙方</w:t>
      </w:r>
      <w:r>
        <w:rPr>
          <w:rFonts w:hint="eastAsia" w:ascii="宋体" w:hAnsi="宋体"/>
          <w:color w:val="auto"/>
          <w:highlight w:val="none"/>
        </w:rPr>
        <w:t>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highlight w:val="none"/>
        </w:rPr>
      </w:pPr>
      <w:bookmarkStart w:id="1502" w:name="_Toc25434"/>
      <w:bookmarkStart w:id="1503" w:name="_Toc23304"/>
      <w:bookmarkStart w:id="1504" w:name="_Toc22801"/>
      <w:bookmarkStart w:id="1505" w:name="_Toc13593"/>
      <w:bookmarkStart w:id="1506" w:name="_Toc26573"/>
      <w:bookmarkStart w:id="1507" w:name="_Toc11638"/>
      <w:bookmarkStart w:id="1508" w:name="_Toc492478773"/>
      <w:bookmarkStart w:id="1509" w:name="_Toc385427848"/>
      <w:bookmarkStart w:id="1510" w:name="_Toc25750645"/>
      <w:bookmarkStart w:id="1511" w:name="_Toc23906"/>
      <w:bookmarkStart w:id="1512" w:name="_Toc390098474"/>
      <w:bookmarkStart w:id="1513" w:name="_Toc378514962"/>
      <w:bookmarkStart w:id="1514" w:name="_Toc10285"/>
      <w:bookmarkStart w:id="1515" w:name="_Toc2014"/>
      <w:bookmarkStart w:id="1516" w:name="_Toc18844"/>
      <w:bookmarkStart w:id="1517" w:name="_Toc14212"/>
      <w:bookmarkStart w:id="1518" w:name="_Toc370933865"/>
      <w:bookmarkStart w:id="1519" w:name="_Toc11528"/>
      <w:bookmarkStart w:id="1520" w:name="_Toc9877"/>
      <w:bookmarkStart w:id="1521" w:name="_Toc20395"/>
      <w:bookmarkStart w:id="1522" w:name="_Toc23157"/>
      <w:bookmarkStart w:id="1523" w:name="_Toc22446"/>
      <w:bookmarkStart w:id="1524" w:name="_Toc3365"/>
      <w:bookmarkStart w:id="1525" w:name="_Toc3042"/>
      <w:bookmarkStart w:id="1526" w:name="_Toc29174"/>
      <w:r>
        <w:rPr>
          <w:rFonts w:hint="eastAsia" w:ascii="宋体" w:hAnsi="宋体"/>
          <w:b/>
          <w:color w:val="auto"/>
          <w:highlight w:val="none"/>
        </w:rPr>
        <w:t>1</w:t>
      </w:r>
      <w:r>
        <w:rPr>
          <w:rFonts w:hint="eastAsia" w:ascii="宋体" w:hAnsi="宋体"/>
          <w:b/>
          <w:color w:val="auto"/>
          <w:highlight w:val="none"/>
          <w:lang w:eastAsia="zh-CN"/>
        </w:rPr>
        <w:t>0</w:t>
      </w:r>
      <w:r>
        <w:rPr>
          <w:rFonts w:hint="eastAsia" w:ascii="宋体" w:hAnsi="宋体"/>
          <w:b/>
          <w:color w:val="auto"/>
          <w:highlight w:val="none"/>
        </w:rPr>
        <w:t>.所有权与风险转移</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numPr>
          <w:ilvl w:val="-1"/>
          <w:numId w:val="0"/>
        </w:numPr>
        <w:tabs>
          <w:tab w:val="left" w:pos="840"/>
        </w:tabs>
        <w:spacing w:before="0" w:after="0" w:afterAutospacing="0"/>
        <w:ind w:left="0" w:leftChars="0" w:right="0" w:firstLine="420" w:firstLineChars="200"/>
        <w:rPr>
          <w:rFonts w:hint="eastAsia" w:ascii="宋体" w:hAnsi="宋体" w:cs="Arial"/>
          <w:color w:val="auto"/>
          <w:highlight w:val="none"/>
        </w:rPr>
      </w:pPr>
      <w:r>
        <w:rPr>
          <w:rFonts w:hint="eastAsia" w:ascii="宋体" w:hAnsi="宋体"/>
          <w:color w:val="auto"/>
          <w:highlight w:val="none"/>
          <w:lang w:val="en-US" w:eastAsia="zh-CN"/>
        </w:rPr>
        <w:t>10.1</w:t>
      </w:r>
      <w:r>
        <w:rPr>
          <w:rFonts w:hint="eastAsia" w:ascii="宋体" w:hAnsi="宋体"/>
          <w:color w:val="auto"/>
          <w:highlight w:val="none"/>
        </w:rPr>
        <w:t>货</w:t>
      </w:r>
      <w:r>
        <w:rPr>
          <w:rFonts w:hint="eastAsia" w:ascii="宋体" w:hAnsi="宋体" w:cs="Arial"/>
          <w:color w:val="auto"/>
          <w:highlight w:val="none"/>
        </w:rPr>
        <w:t>物的所有权，只有</w:t>
      </w:r>
      <w:r>
        <w:rPr>
          <w:rFonts w:hint="eastAsia" w:ascii="宋体" w:hAnsi="宋体" w:cs="Arial"/>
          <w:color w:val="auto"/>
          <w:highlight w:val="none"/>
          <w:lang w:eastAsia="zh-CN"/>
        </w:rPr>
        <w:t>乙方</w:t>
      </w:r>
      <w:r>
        <w:rPr>
          <w:rFonts w:hint="eastAsia" w:ascii="宋体" w:hAnsi="宋体" w:cs="Arial"/>
          <w:color w:val="auto"/>
          <w:highlight w:val="none"/>
        </w:rPr>
        <w:t>将货物运至交货地点且经</w:t>
      </w:r>
      <w:r>
        <w:rPr>
          <w:rFonts w:hint="eastAsia" w:ascii="宋体" w:hAnsi="宋体" w:cs="Arial"/>
          <w:color w:val="auto"/>
          <w:highlight w:val="none"/>
          <w:lang w:eastAsia="zh-CN"/>
        </w:rPr>
        <w:t>甲方</w:t>
      </w:r>
      <w:r>
        <w:rPr>
          <w:rFonts w:hint="eastAsia" w:ascii="宋体" w:hAnsi="宋体" w:cs="Arial"/>
          <w:color w:val="auto"/>
          <w:highlight w:val="none"/>
        </w:rPr>
        <w:t>开箱检验无损后，</w:t>
      </w:r>
      <w:r>
        <w:rPr>
          <w:rFonts w:hint="eastAsia" w:ascii="宋体" w:hAnsi="宋体" w:cs="Arial"/>
          <w:color w:val="auto"/>
          <w:highlight w:val="none"/>
          <w:lang w:eastAsia="zh-CN"/>
        </w:rPr>
        <w:t>甲方</w:t>
      </w:r>
      <w:r>
        <w:rPr>
          <w:rFonts w:hint="eastAsia" w:ascii="宋体" w:hAnsi="宋体" w:cs="Arial"/>
          <w:color w:val="auto"/>
          <w:highlight w:val="none"/>
        </w:rPr>
        <w:t>出具相应报告并办理交接手续后由</w:t>
      </w:r>
      <w:r>
        <w:rPr>
          <w:rFonts w:hint="eastAsia" w:ascii="宋体" w:hAnsi="宋体" w:cs="Arial"/>
          <w:color w:val="auto"/>
          <w:highlight w:val="none"/>
          <w:lang w:eastAsia="zh-CN"/>
        </w:rPr>
        <w:t>乙方</w:t>
      </w:r>
      <w:r>
        <w:rPr>
          <w:rFonts w:hint="eastAsia" w:ascii="宋体" w:hAnsi="宋体" w:cs="Arial"/>
          <w:color w:val="auto"/>
          <w:highlight w:val="none"/>
        </w:rPr>
        <w:t>转移至</w:t>
      </w:r>
      <w:r>
        <w:rPr>
          <w:rFonts w:hint="eastAsia" w:ascii="宋体" w:hAnsi="宋体" w:cs="Arial"/>
          <w:color w:val="auto"/>
          <w:highlight w:val="none"/>
          <w:lang w:eastAsia="zh-CN"/>
        </w:rPr>
        <w:t>甲方</w:t>
      </w:r>
      <w:r>
        <w:rPr>
          <w:rFonts w:hint="eastAsia" w:ascii="宋体" w:hAnsi="宋体" w:cs="Arial"/>
          <w:color w:val="auto"/>
          <w:highlight w:val="none"/>
        </w:rPr>
        <w:t>。所有权的转移不免除</w:t>
      </w:r>
      <w:r>
        <w:rPr>
          <w:rFonts w:hint="eastAsia" w:ascii="宋体" w:hAnsi="宋体" w:cs="Arial"/>
          <w:color w:val="auto"/>
          <w:highlight w:val="none"/>
          <w:lang w:eastAsia="zh-CN"/>
        </w:rPr>
        <w:t>乙方</w:t>
      </w:r>
      <w:r>
        <w:rPr>
          <w:rFonts w:hint="eastAsia" w:ascii="宋体" w:hAnsi="宋体" w:cs="Arial"/>
          <w:color w:val="auto"/>
          <w:highlight w:val="none"/>
        </w:rPr>
        <w:t>的质量责任。</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10.2</w:t>
      </w:r>
      <w:r>
        <w:rPr>
          <w:rFonts w:hint="eastAsia" w:ascii="宋体" w:hAnsi="宋体"/>
          <w:color w:val="auto"/>
          <w:highlight w:val="none"/>
        </w:rPr>
        <w:t>货物毁损、灭失的风险在验收合格并移交完毕后由</w:t>
      </w:r>
      <w:r>
        <w:rPr>
          <w:rFonts w:hint="eastAsia" w:ascii="宋体" w:hAnsi="宋体"/>
          <w:color w:val="auto"/>
          <w:highlight w:val="none"/>
          <w:lang w:eastAsia="zh-CN"/>
        </w:rPr>
        <w:t>乙方</w:t>
      </w:r>
      <w:r>
        <w:rPr>
          <w:rFonts w:hint="eastAsia" w:ascii="宋体" w:hAnsi="宋体"/>
          <w:color w:val="auto"/>
          <w:highlight w:val="none"/>
        </w:rPr>
        <w:t>转移到</w:t>
      </w:r>
      <w:r>
        <w:rPr>
          <w:rFonts w:hint="eastAsia" w:ascii="宋体" w:hAnsi="宋体"/>
          <w:color w:val="auto"/>
          <w:highlight w:val="none"/>
          <w:lang w:eastAsia="zh-CN"/>
        </w:rPr>
        <w:t>甲方</w:t>
      </w:r>
      <w:r>
        <w:rPr>
          <w:rFonts w:hint="eastAsia" w:ascii="宋体" w:hAnsi="宋体"/>
          <w:color w:val="auto"/>
          <w:highlight w:val="none"/>
        </w:rPr>
        <w:t>。</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10.3</w:t>
      </w:r>
      <w:r>
        <w:rPr>
          <w:rFonts w:hint="eastAsia" w:ascii="宋体" w:hAnsi="宋体"/>
          <w:color w:val="auto"/>
          <w:highlight w:val="none"/>
        </w:rPr>
        <w:t>在拒收情况下，或者解除合同的，货物毁损、灭失的风险由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10.4</w:t>
      </w:r>
      <w:r>
        <w:rPr>
          <w:rFonts w:hint="eastAsia" w:ascii="宋体" w:hAnsi="宋体"/>
          <w:color w:val="auto"/>
          <w:highlight w:val="none"/>
        </w:rPr>
        <w:t>所有权和风险的转移，如另有约定的从其约定。所有权和风险的转移，不影响因</w:t>
      </w:r>
      <w:r>
        <w:rPr>
          <w:rFonts w:hint="eastAsia" w:ascii="宋体" w:hAnsi="宋体"/>
          <w:color w:val="auto"/>
          <w:highlight w:val="none"/>
          <w:lang w:eastAsia="zh-CN"/>
        </w:rPr>
        <w:t>乙方</w:t>
      </w:r>
      <w:r>
        <w:rPr>
          <w:rFonts w:hint="eastAsia" w:ascii="宋体" w:hAnsi="宋体"/>
          <w:color w:val="auto"/>
          <w:highlight w:val="none"/>
        </w:rPr>
        <w:t>履行义务不符合约定，</w:t>
      </w:r>
      <w:r>
        <w:rPr>
          <w:rFonts w:hint="eastAsia" w:ascii="宋体" w:hAnsi="宋体"/>
          <w:color w:val="auto"/>
          <w:highlight w:val="none"/>
          <w:lang w:eastAsia="zh-CN"/>
        </w:rPr>
        <w:t>甲方</w:t>
      </w:r>
      <w:r>
        <w:rPr>
          <w:rFonts w:hint="eastAsia" w:ascii="宋体" w:hAnsi="宋体"/>
          <w:color w:val="auto"/>
          <w:highlight w:val="none"/>
        </w:rPr>
        <w:t>要求其承担违约责任的权利。</w:t>
      </w:r>
    </w:p>
    <w:p>
      <w:pPr>
        <w:tabs>
          <w:tab w:val="left" w:pos="840"/>
          <w:tab w:val="left" w:pos="1843"/>
        </w:tabs>
        <w:spacing w:before="0" w:after="0" w:afterAutospacing="0"/>
        <w:ind w:left="422" w:right="0" w:firstLine="0"/>
        <w:outlineLvl w:val="1"/>
        <w:rPr>
          <w:rFonts w:ascii="宋体" w:hAnsi="宋体"/>
          <w:b/>
          <w:color w:val="auto"/>
          <w:highlight w:val="none"/>
        </w:rPr>
      </w:pPr>
      <w:bookmarkStart w:id="1527" w:name="_Toc492478776"/>
      <w:bookmarkStart w:id="1528" w:name="_Toc370933868"/>
      <w:bookmarkStart w:id="1529" w:name="_Toc606"/>
      <w:bookmarkStart w:id="1530" w:name="_Toc21300"/>
      <w:bookmarkStart w:id="1531" w:name="_Toc2108"/>
      <w:bookmarkStart w:id="1532" w:name="_Toc10639"/>
      <w:bookmarkStart w:id="1533" w:name="_Toc13163"/>
      <w:bookmarkStart w:id="1534" w:name="_Toc23523"/>
      <w:bookmarkStart w:id="1535" w:name="_Toc25594"/>
      <w:bookmarkStart w:id="1536" w:name="_Toc28552"/>
      <w:bookmarkStart w:id="1537" w:name="_Toc31553"/>
      <w:bookmarkStart w:id="1538" w:name="_Toc378514965"/>
      <w:bookmarkStart w:id="1539" w:name="_Toc3210"/>
      <w:bookmarkStart w:id="1540" w:name="_Toc25004"/>
      <w:bookmarkStart w:id="1541" w:name="_Toc10693"/>
      <w:bookmarkStart w:id="1542" w:name="_Toc390098477"/>
      <w:bookmarkStart w:id="1543" w:name="_Toc25750647"/>
      <w:bookmarkStart w:id="1544" w:name="_Toc23350"/>
      <w:bookmarkStart w:id="1545" w:name="_Toc28351"/>
      <w:bookmarkStart w:id="1546" w:name="_Toc23976"/>
      <w:bookmarkStart w:id="1547" w:name="_Toc15819"/>
      <w:bookmarkStart w:id="1548" w:name="_Toc7764"/>
      <w:bookmarkStart w:id="1549" w:name="_Toc18029"/>
      <w:bookmarkStart w:id="1550" w:name="_Toc385427851"/>
      <w:bookmarkStart w:id="1551" w:name="_Toc20434"/>
      <w:r>
        <w:rPr>
          <w:rFonts w:hint="eastAsia" w:ascii="宋体" w:hAnsi="宋体"/>
          <w:b/>
          <w:color w:val="auto"/>
          <w:highlight w:val="none"/>
        </w:rPr>
        <w:t>1</w:t>
      </w:r>
      <w:r>
        <w:rPr>
          <w:rFonts w:hint="eastAsia" w:ascii="宋体" w:hAnsi="宋体"/>
          <w:b/>
          <w:color w:val="auto"/>
          <w:highlight w:val="none"/>
          <w:lang w:val="en-US" w:eastAsia="zh-CN"/>
        </w:rPr>
        <w:t>1</w:t>
      </w:r>
      <w:r>
        <w:rPr>
          <w:rFonts w:hint="eastAsia" w:ascii="宋体" w:hAnsi="宋体"/>
          <w:b/>
          <w:color w:val="auto"/>
          <w:highlight w:val="none"/>
        </w:rPr>
        <w:t>服务</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numPr>
          <w:ilvl w:val="-1"/>
          <w:numId w:val="0"/>
        </w:numPr>
        <w:tabs>
          <w:tab w:val="left" w:pos="10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11.1</w:t>
      </w:r>
      <w:r>
        <w:rPr>
          <w:rFonts w:hint="eastAsia" w:ascii="宋体" w:hAnsi="宋体"/>
          <w:color w:val="auto"/>
          <w:highlight w:val="none"/>
          <w:lang w:val="en-US" w:eastAsia="zh-CN"/>
        </w:rPr>
        <w:tab/>
      </w:r>
      <w:r>
        <w:rPr>
          <w:rFonts w:hint="eastAsia" w:ascii="宋体" w:hAnsi="宋体"/>
          <w:color w:val="auto"/>
          <w:highlight w:val="none"/>
          <w:lang w:eastAsia="zh-CN"/>
        </w:rPr>
        <w:t>乙方</w:t>
      </w:r>
      <w:r>
        <w:rPr>
          <w:rFonts w:hint="eastAsia" w:ascii="宋体" w:hAnsi="宋体"/>
          <w:color w:val="auto"/>
          <w:highlight w:val="none"/>
        </w:rPr>
        <w:t>提供的服务的费用已含在合同价格中。</w:t>
      </w:r>
    </w:p>
    <w:p>
      <w:pPr>
        <w:numPr>
          <w:ilvl w:val="-1"/>
          <w:numId w:val="0"/>
        </w:numPr>
        <w:tabs>
          <w:tab w:val="left" w:pos="1020"/>
        </w:tabs>
        <w:spacing w:before="0" w:after="0" w:afterAutospacing="0"/>
        <w:ind w:left="420" w:leftChars="200" w:right="0" w:firstLine="0" w:firstLineChars="0"/>
        <w:rPr>
          <w:highlight w:val="none"/>
        </w:rPr>
      </w:pPr>
      <w:r>
        <w:rPr>
          <w:rFonts w:hint="eastAsia" w:ascii="宋体" w:hAnsi="宋体"/>
          <w:color w:val="auto"/>
          <w:highlight w:val="none"/>
          <w:lang w:val="en-US" w:eastAsia="zh-CN"/>
        </w:rPr>
        <w:t>11.2</w:t>
      </w:r>
      <w:r>
        <w:rPr>
          <w:rFonts w:hint="eastAsia" w:ascii="宋体" w:hAnsi="宋体"/>
          <w:color w:val="auto"/>
          <w:highlight w:val="none"/>
          <w:lang w:val="en-US" w:eastAsia="zh-CN"/>
        </w:rPr>
        <w:tab/>
      </w:r>
      <w:r>
        <w:rPr>
          <w:rFonts w:hint="eastAsia" w:ascii="宋体" w:hAnsi="宋体"/>
          <w:color w:val="auto"/>
          <w:highlight w:val="none"/>
        </w:rPr>
        <w:t>具体服务内容与范围详见技术规格书。</w:t>
      </w:r>
    </w:p>
    <w:p>
      <w:pPr>
        <w:tabs>
          <w:tab w:val="left" w:pos="840"/>
          <w:tab w:val="left" w:pos="1843"/>
        </w:tabs>
        <w:spacing w:before="0" w:after="0" w:afterAutospacing="0"/>
        <w:ind w:left="422" w:right="0" w:firstLine="0"/>
        <w:outlineLvl w:val="1"/>
        <w:rPr>
          <w:rFonts w:ascii="宋体" w:hAnsi="宋体"/>
          <w:b/>
          <w:color w:val="auto"/>
          <w:highlight w:val="none"/>
        </w:rPr>
      </w:pPr>
      <w:bookmarkStart w:id="1552" w:name="_Toc32206"/>
      <w:bookmarkStart w:id="1553" w:name="_Toc16602"/>
      <w:bookmarkStart w:id="1554" w:name="_Toc492478778"/>
      <w:bookmarkStart w:id="1555" w:name="_Toc13238"/>
      <w:bookmarkStart w:id="1556" w:name="_Toc11315"/>
      <w:bookmarkStart w:id="1557" w:name="_Toc378514968"/>
      <w:bookmarkStart w:id="1558" w:name="_Toc1295"/>
      <w:bookmarkStart w:id="1559" w:name="_Toc886"/>
      <w:bookmarkStart w:id="1560" w:name="_Toc3299"/>
      <w:bookmarkStart w:id="1561" w:name="_Toc370933871"/>
      <w:bookmarkStart w:id="1562" w:name="_Toc390098480"/>
      <w:bookmarkStart w:id="1563" w:name="_Toc23162"/>
      <w:bookmarkStart w:id="1564" w:name="_Toc10179"/>
      <w:bookmarkStart w:id="1565" w:name="_Toc13916"/>
      <w:bookmarkStart w:id="1566" w:name="_Toc24420"/>
      <w:bookmarkStart w:id="1567" w:name="_Toc25750649"/>
      <w:bookmarkStart w:id="1568" w:name="_Toc32188"/>
      <w:bookmarkStart w:id="1569" w:name="_Toc19053"/>
      <w:bookmarkStart w:id="1570" w:name="_Toc30538"/>
      <w:bookmarkStart w:id="1571" w:name="_Toc30070"/>
      <w:bookmarkStart w:id="1572" w:name="_Toc23773"/>
      <w:bookmarkStart w:id="1573" w:name="_Toc28560"/>
      <w:bookmarkStart w:id="1574" w:name="_Toc26721"/>
      <w:bookmarkStart w:id="1575" w:name="_Toc21624"/>
      <w:bookmarkStart w:id="1576" w:name="_Toc385427854"/>
      <w:r>
        <w:rPr>
          <w:rFonts w:hint="eastAsia" w:ascii="宋体" w:hAnsi="宋体"/>
          <w:b/>
          <w:color w:val="auto"/>
          <w:highlight w:val="none"/>
          <w:lang w:eastAsia="zh-CN"/>
        </w:rPr>
        <w:t>12</w:t>
      </w:r>
      <w:r>
        <w:rPr>
          <w:rFonts w:hint="eastAsia" w:ascii="宋体" w:hAnsi="宋体"/>
          <w:b/>
          <w:color w:val="auto"/>
          <w:highlight w:val="none"/>
        </w:rPr>
        <w:t>.付款</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bookmarkStart w:id="1577" w:name="_Toc370933872"/>
      <w:bookmarkStart w:id="1578" w:name="_Toc378514969"/>
      <w:r>
        <w:rPr>
          <w:rFonts w:hint="eastAsia" w:ascii="宋体" w:hAnsi="宋体" w:cs="Arial"/>
          <w:color w:val="auto"/>
          <w:highlight w:val="none"/>
          <w:lang w:val="en-US" w:eastAsia="zh-CN"/>
        </w:rPr>
        <w:t>12.1</w:t>
      </w:r>
      <w:r>
        <w:rPr>
          <w:rFonts w:hint="eastAsia" w:ascii="宋体" w:hAnsi="宋体" w:cs="Arial"/>
          <w:color w:val="auto"/>
          <w:highlight w:val="none"/>
          <w:lang w:val="en-US" w:eastAsia="zh-CN"/>
        </w:rPr>
        <w:tab/>
      </w: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12.2</w:t>
      </w:r>
      <w:r>
        <w:rPr>
          <w:rFonts w:hint="eastAsia" w:ascii="宋体" w:hAnsi="宋体"/>
          <w:color w:val="auto"/>
          <w:highlight w:val="none"/>
          <w:lang w:val="en-US" w:eastAsia="zh-CN"/>
        </w:rPr>
        <w:tab/>
      </w: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highlight w:val="none"/>
        </w:rPr>
      </w:pPr>
      <w:r>
        <w:rPr>
          <w:rFonts w:hint="eastAsia" w:ascii="宋体" w:hAnsi="宋体" w:cs="Arial"/>
          <w:color w:val="auto"/>
          <w:highlight w:val="none"/>
          <w:lang w:val="en-US" w:eastAsia="zh-CN"/>
        </w:rPr>
        <w:t>12.3</w:t>
      </w:r>
      <w:r>
        <w:rPr>
          <w:rFonts w:hint="eastAsia" w:ascii="宋体" w:hAnsi="宋体" w:cs="Arial"/>
          <w:color w:val="auto"/>
          <w:highlight w:val="none"/>
          <w:lang w:val="en-US" w:eastAsia="zh-CN"/>
        </w:rPr>
        <w:tab/>
      </w: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lang w:val="en-US" w:eastAsia="zh-CN"/>
        </w:rPr>
        <w:t>12</w:t>
      </w:r>
      <w:r>
        <w:rPr>
          <w:rFonts w:hint="eastAsia" w:ascii="宋体" w:hAnsi="宋体" w:cs="Arial"/>
          <w:color w:val="auto"/>
          <w:highlight w:val="none"/>
        </w:rPr>
        <w:t>.3.</w:t>
      </w:r>
      <w:r>
        <w:rPr>
          <w:rFonts w:hint="eastAsia" w:ascii="宋体" w:hAnsi="宋体" w:cs="Arial"/>
          <w:color w:val="auto"/>
          <w:highlight w:val="none"/>
          <w:lang w:val="en-US" w:eastAsia="zh-CN"/>
        </w:rPr>
        <w:t>1乙方完成全部线上课程交付且平台全部功能部署上线</w:t>
      </w:r>
      <w:r>
        <w:rPr>
          <w:rFonts w:hint="eastAsia" w:ascii="宋体" w:hAnsi="宋体" w:cs="Arial"/>
          <w:color w:val="auto"/>
          <w:highlight w:val="none"/>
        </w:rPr>
        <w:t>并验收合格后，</w:t>
      </w:r>
      <w:r>
        <w:rPr>
          <w:rFonts w:hint="eastAsia" w:ascii="宋体" w:hAnsi="宋体" w:cs="Arial"/>
          <w:color w:val="auto"/>
          <w:highlight w:val="none"/>
          <w:lang w:eastAsia="zh-CN"/>
        </w:rPr>
        <w:t>乙方</w:t>
      </w:r>
      <w:r>
        <w:rPr>
          <w:rFonts w:hint="eastAsia" w:ascii="宋体" w:hAnsi="宋体" w:cs="Arial"/>
          <w:color w:val="auto"/>
          <w:highlight w:val="none"/>
        </w:rPr>
        <w:t>根据</w:t>
      </w:r>
      <w:r>
        <w:rPr>
          <w:rFonts w:hint="eastAsia" w:ascii="宋体" w:hAnsi="宋体" w:cs="Arial"/>
          <w:color w:val="auto"/>
          <w:highlight w:val="none"/>
          <w:lang w:eastAsia="zh-CN"/>
        </w:rPr>
        <w:t>甲方</w:t>
      </w:r>
      <w:r>
        <w:rPr>
          <w:rFonts w:hint="eastAsia" w:ascii="宋体" w:hAnsi="宋体" w:cs="Arial"/>
          <w:color w:val="auto"/>
          <w:highlight w:val="none"/>
        </w:rPr>
        <w:t>要求完成</w:t>
      </w:r>
      <w:r>
        <w:rPr>
          <w:rFonts w:hint="eastAsia" w:ascii="宋体" w:hAnsi="宋体" w:cs="Arial"/>
          <w:color w:val="auto"/>
          <w:highlight w:val="none"/>
          <w:lang w:val="en-US" w:eastAsia="zh-CN"/>
        </w:rPr>
        <w:t>计量</w:t>
      </w:r>
      <w:r>
        <w:rPr>
          <w:rFonts w:hint="eastAsia" w:ascii="宋体" w:hAnsi="宋体" w:cs="Arial"/>
          <w:color w:val="auto"/>
          <w:highlight w:val="none"/>
        </w:rPr>
        <w:t>后，</w:t>
      </w:r>
      <w:r>
        <w:rPr>
          <w:rFonts w:hint="eastAsia" w:ascii="宋体" w:hAnsi="宋体" w:cs="Arial"/>
          <w:color w:val="auto"/>
          <w:highlight w:val="none"/>
          <w:lang w:eastAsia="zh-CN"/>
        </w:rPr>
        <w:t>甲方</w:t>
      </w:r>
      <w:r>
        <w:rPr>
          <w:rFonts w:hint="eastAsia" w:ascii="宋体" w:hAnsi="宋体" w:cs="Arial"/>
          <w:color w:val="auto"/>
          <w:highlight w:val="none"/>
        </w:rPr>
        <w:t>在收到</w:t>
      </w:r>
      <w:r>
        <w:rPr>
          <w:rFonts w:hint="eastAsia" w:ascii="宋体" w:hAnsi="宋体" w:cs="Arial"/>
          <w:color w:val="auto"/>
          <w:highlight w:val="none"/>
          <w:lang w:eastAsia="zh-CN"/>
        </w:rPr>
        <w:t>乙方</w:t>
      </w:r>
      <w:r>
        <w:rPr>
          <w:rFonts w:hint="eastAsia" w:ascii="宋体" w:hAnsi="宋体" w:cs="Arial"/>
          <w:color w:val="auto"/>
          <w:highlight w:val="none"/>
        </w:rPr>
        <w:t>提供的以下材料后4</w:t>
      </w:r>
      <w:r>
        <w:rPr>
          <w:rFonts w:ascii="宋体" w:hAnsi="宋体" w:cs="Arial"/>
          <w:color w:val="auto"/>
          <w:highlight w:val="none"/>
        </w:rPr>
        <w:t>5</w:t>
      </w:r>
      <w:r>
        <w:rPr>
          <w:rFonts w:hint="eastAsia" w:ascii="宋体" w:hAnsi="宋体" w:cs="Arial"/>
          <w:color w:val="auto"/>
          <w:highlight w:val="none"/>
        </w:rPr>
        <w:t>个工作日内支付至合同</w:t>
      </w:r>
      <w:r>
        <w:rPr>
          <w:rFonts w:hint="eastAsia" w:ascii="宋体" w:hAnsi="宋体" w:cs="Arial"/>
          <w:color w:val="auto"/>
          <w:highlight w:val="none"/>
          <w:lang w:val="en-US" w:eastAsia="zh-CN"/>
        </w:rPr>
        <w:t>总价</w:t>
      </w:r>
      <w:r>
        <w:rPr>
          <w:rFonts w:hint="eastAsia" w:ascii="宋体" w:hAnsi="宋体" w:cs="Arial"/>
          <w:color w:val="auto"/>
          <w:highlight w:val="none"/>
        </w:rPr>
        <w:t>的</w:t>
      </w:r>
      <w:r>
        <w:rPr>
          <w:rFonts w:hint="eastAsia" w:ascii="宋体" w:hAnsi="宋体" w:cs="Arial"/>
          <w:color w:val="auto"/>
          <w:highlight w:val="none"/>
          <w:lang w:val="en-US" w:eastAsia="zh-CN"/>
        </w:rPr>
        <w:t>60</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开具的增值税专用发票</w:t>
      </w:r>
      <w:r>
        <w:rPr>
          <w:rFonts w:hint="eastAsia" w:ascii="宋体" w:hAnsi="宋体" w:cs="Arial"/>
          <w:color w:val="auto"/>
          <w:highlight w:val="none"/>
          <w:lang w:eastAsia="zh-CN"/>
        </w:rPr>
        <w:t>，</w:t>
      </w:r>
      <w:r>
        <w:rPr>
          <w:rFonts w:hint="eastAsia" w:ascii="宋体" w:hAnsi="宋体" w:cs="Arial"/>
          <w:color w:val="auto"/>
          <w:highlight w:val="none"/>
          <w:lang w:val="en-US" w:eastAsia="zh-CN"/>
        </w:rPr>
        <w:t>金额为合同总价的60%</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w:t>
      </w:r>
      <w:r>
        <w:rPr>
          <w:rFonts w:hint="eastAsia" w:ascii="宋体" w:hAnsi="宋体" w:cs="Arial"/>
          <w:color w:val="auto"/>
          <w:highlight w:val="none"/>
          <w:lang w:eastAsia="zh-CN"/>
        </w:rPr>
        <w:t>乙方</w:t>
      </w:r>
      <w:r>
        <w:rPr>
          <w:rFonts w:hint="eastAsia" w:ascii="宋体" w:hAnsi="宋体" w:cs="Arial"/>
          <w:color w:val="auto"/>
          <w:highlight w:val="none"/>
        </w:rPr>
        <w:t>出具的支付申请书。</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③验收合格证明。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lang w:eastAsia="zh-CN"/>
        </w:rPr>
        <w:t>12</w:t>
      </w:r>
      <w:r>
        <w:rPr>
          <w:rFonts w:hint="eastAsia" w:ascii="宋体" w:hAnsi="宋体" w:cs="Arial"/>
          <w:color w:val="auto"/>
          <w:highlight w:val="none"/>
        </w:rPr>
        <w:t>.3.</w:t>
      </w:r>
      <w:r>
        <w:rPr>
          <w:rFonts w:hint="eastAsia" w:ascii="宋体" w:hAnsi="宋体" w:cs="Arial"/>
          <w:color w:val="auto"/>
          <w:highlight w:val="none"/>
          <w:lang w:val="en-US" w:eastAsia="zh-CN"/>
        </w:rPr>
        <w:t>2服务期满1年</w:t>
      </w:r>
      <w:r>
        <w:rPr>
          <w:rFonts w:hint="eastAsia" w:ascii="宋体" w:hAnsi="宋体" w:cs="Arial"/>
          <w:color w:val="auto"/>
          <w:highlight w:val="none"/>
        </w:rPr>
        <w:t>，</w:t>
      </w:r>
      <w:r>
        <w:rPr>
          <w:rFonts w:hint="eastAsia" w:ascii="宋体" w:hAnsi="宋体" w:cs="Arial"/>
          <w:color w:val="auto"/>
          <w:highlight w:val="none"/>
          <w:lang w:eastAsia="zh-CN"/>
        </w:rPr>
        <w:t>甲方</w:t>
      </w:r>
      <w:r>
        <w:rPr>
          <w:rFonts w:hint="eastAsia" w:ascii="宋体" w:hAnsi="宋体" w:cs="Arial"/>
          <w:color w:val="auto"/>
          <w:highlight w:val="none"/>
        </w:rPr>
        <w:t>在收到由</w:t>
      </w:r>
      <w:r>
        <w:rPr>
          <w:rFonts w:hint="eastAsia" w:ascii="宋体" w:hAnsi="宋体" w:cs="Arial"/>
          <w:color w:val="auto"/>
          <w:highlight w:val="none"/>
          <w:lang w:eastAsia="zh-CN"/>
        </w:rPr>
        <w:t>乙方</w:t>
      </w:r>
      <w:r>
        <w:rPr>
          <w:rFonts w:hint="eastAsia" w:ascii="宋体" w:hAnsi="宋体" w:cs="Arial"/>
          <w:color w:val="auto"/>
          <w:highlight w:val="none"/>
        </w:rPr>
        <w:t>提供的以下材料后4</w:t>
      </w:r>
      <w:r>
        <w:rPr>
          <w:rFonts w:ascii="宋体" w:hAnsi="宋体" w:cs="Arial"/>
          <w:color w:val="auto"/>
          <w:highlight w:val="none"/>
        </w:rPr>
        <w:t>5</w:t>
      </w:r>
      <w:r>
        <w:rPr>
          <w:rFonts w:hint="eastAsia" w:ascii="宋体" w:hAnsi="宋体" w:cs="Arial"/>
          <w:color w:val="auto"/>
          <w:highlight w:val="none"/>
        </w:rPr>
        <w:t>个工作日内支付</w:t>
      </w:r>
      <w:r>
        <w:rPr>
          <w:rFonts w:hint="eastAsia" w:ascii="宋体" w:hAnsi="宋体" w:cs="Arial"/>
          <w:color w:val="auto"/>
          <w:highlight w:val="none"/>
          <w:lang w:val="en-US" w:eastAsia="zh-CN"/>
        </w:rPr>
        <w:t>至合同总价的80%</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开具的增值税专用发票</w:t>
      </w:r>
      <w:r>
        <w:rPr>
          <w:rFonts w:hint="eastAsia" w:ascii="宋体" w:hAnsi="宋体" w:cs="Arial"/>
          <w:color w:val="auto"/>
          <w:highlight w:val="none"/>
          <w:lang w:eastAsia="zh-CN"/>
        </w:rPr>
        <w:t>，</w:t>
      </w:r>
      <w:r>
        <w:rPr>
          <w:rFonts w:hint="eastAsia" w:ascii="宋体" w:hAnsi="宋体" w:cs="Arial"/>
          <w:color w:val="auto"/>
          <w:highlight w:val="none"/>
          <w:lang w:val="en-US" w:eastAsia="zh-CN"/>
        </w:rPr>
        <w:t>金额为合同总价的20%</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w:t>
      </w:r>
      <w:r>
        <w:rPr>
          <w:rFonts w:hint="eastAsia" w:ascii="宋体" w:hAnsi="宋体" w:cs="Arial"/>
          <w:color w:val="auto"/>
          <w:highlight w:val="none"/>
          <w:lang w:eastAsia="zh-CN"/>
        </w:rPr>
        <w:t>乙方</w:t>
      </w:r>
      <w:r>
        <w:rPr>
          <w:rFonts w:hint="eastAsia" w:ascii="宋体" w:hAnsi="宋体" w:cs="Arial"/>
          <w:color w:val="auto"/>
          <w:highlight w:val="none"/>
        </w:rPr>
        <w:t>出具的支付申请书。</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lang w:eastAsia="zh-CN"/>
        </w:rPr>
        <w:t>12</w:t>
      </w:r>
      <w:r>
        <w:rPr>
          <w:rFonts w:hint="eastAsia" w:ascii="宋体" w:hAnsi="宋体" w:cs="Arial"/>
          <w:color w:val="auto"/>
          <w:highlight w:val="none"/>
        </w:rPr>
        <w:t>.3.</w:t>
      </w:r>
      <w:r>
        <w:rPr>
          <w:rFonts w:hint="eastAsia" w:ascii="宋体" w:hAnsi="宋体" w:cs="Arial"/>
          <w:color w:val="auto"/>
          <w:highlight w:val="none"/>
          <w:lang w:val="en-US" w:eastAsia="zh-CN"/>
        </w:rPr>
        <w:t>3服务期满2年</w:t>
      </w:r>
      <w:r>
        <w:rPr>
          <w:rFonts w:hint="eastAsia" w:ascii="宋体" w:hAnsi="宋体" w:cs="Arial"/>
          <w:color w:val="auto"/>
          <w:highlight w:val="none"/>
        </w:rPr>
        <w:t>，经</w:t>
      </w:r>
      <w:r>
        <w:rPr>
          <w:rFonts w:hint="eastAsia" w:ascii="宋体" w:hAnsi="宋体" w:cs="Arial"/>
          <w:color w:val="auto"/>
          <w:highlight w:val="none"/>
          <w:lang w:eastAsia="zh-CN"/>
        </w:rPr>
        <w:t>甲方</w:t>
      </w:r>
      <w:r>
        <w:rPr>
          <w:rFonts w:hint="eastAsia" w:ascii="宋体" w:hAnsi="宋体" w:cs="Arial"/>
          <w:color w:val="auto"/>
          <w:highlight w:val="none"/>
        </w:rPr>
        <w:t>确认合格后，</w:t>
      </w:r>
      <w:r>
        <w:rPr>
          <w:rFonts w:hint="eastAsia" w:ascii="宋体" w:hAnsi="宋体" w:cs="Arial"/>
          <w:color w:val="auto"/>
          <w:highlight w:val="none"/>
          <w:lang w:eastAsia="zh-CN"/>
        </w:rPr>
        <w:t>甲方</w:t>
      </w:r>
      <w:r>
        <w:rPr>
          <w:rFonts w:hint="eastAsia" w:ascii="宋体" w:hAnsi="宋体" w:cs="Arial"/>
          <w:color w:val="auto"/>
          <w:highlight w:val="none"/>
        </w:rPr>
        <w:t>在收到由</w:t>
      </w:r>
      <w:r>
        <w:rPr>
          <w:rFonts w:hint="eastAsia" w:ascii="宋体" w:hAnsi="宋体" w:cs="Arial"/>
          <w:color w:val="auto"/>
          <w:highlight w:val="none"/>
          <w:lang w:eastAsia="zh-CN"/>
        </w:rPr>
        <w:t>乙方</w:t>
      </w:r>
      <w:r>
        <w:rPr>
          <w:rFonts w:hint="eastAsia" w:ascii="宋体" w:hAnsi="宋体" w:cs="Arial"/>
          <w:color w:val="auto"/>
          <w:highlight w:val="none"/>
        </w:rPr>
        <w:t>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w:t>
      </w:r>
      <w:r>
        <w:rPr>
          <w:rFonts w:hint="eastAsia" w:ascii="宋体" w:hAnsi="宋体" w:cs="Arial"/>
          <w:color w:val="auto"/>
          <w:highlight w:val="none"/>
          <w:lang w:val="en-US" w:eastAsia="zh-CN"/>
        </w:rPr>
        <w:t>服务</w:t>
      </w:r>
      <w:r>
        <w:rPr>
          <w:rFonts w:hint="eastAsia" w:ascii="宋体" w:hAnsi="宋体" w:cs="Arial"/>
          <w:color w:val="auto"/>
          <w:highlight w:val="none"/>
        </w:rPr>
        <w:t>期满后产品合格证明。</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highlight w:val="none"/>
        </w:rPr>
      </w:pPr>
      <w:r>
        <w:rPr>
          <w:rFonts w:hint="eastAsia" w:ascii="宋体" w:hAnsi="宋体" w:cs="Arial"/>
          <w:color w:val="auto"/>
          <w:highlight w:val="none"/>
          <w:lang w:val="en-US" w:eastAsia="zh-CN"/>
        </w:rPr>
        <w:t>12.4</w:t>
      </w:r>
      <w:r>
        <w:rPr>
          <w:rFonts w:hint="eastAsia" w:ascii="宋体" w:hAnsi="宋体" w:cs="Arial"/>
          <w:color w:val="auto"/>
          <w:highlight w:val="none"/>
          <w:lang w:val="en-US" w:eastAsia="zh-CN"/>
        </w:rPr>
        <w:tab/>
      </w:r>
      <w:r>
        <w:rPr>
          <w:rFonts w:hint="eastAsia" w:ascii="宋体" w:hAnsi="宋体" w:cs="Arial"/>
          <w:color w:val="auto"/>
          <w:highlight w:val="none"/>
          <w:lang w:eastAsia="zh-CN"/>
        </w:rPr>
        <w:t>乙方</w:t>
      </w:r>
      <w:r>
        <w:rPr>
          <w:rFonts w:hint="eastAsia" w:ascii="宋体" w:hAnsi="宋体" w:cs="Arial"/>
          <w:color w:val="auto"/>
          <w:highlight w:val="none"/>
        </w:rPr>
        <w:t>在完成相应合同义务后以书面形式向</w:t>
      </w:r>
      <w:r>
        <w:rPr>
          <w:rFonts w:hint="eastAsia" w:ascii="宋体" w:hAnsi="宋体" w:cs="Arial"/>
          <w:color w:val="auto"/>
          <w:highlight w:val="none"/>
          <w:lang w:eastAsia="zh-CN"/>
        </w:rPr>
        <w:t>甲方</w:t>
      </w:r>
      <w:r>
        <w:rPr>
          <w:rFonts w:hint="eastAsia" w:ascii="宋体" w:hAnsi="宋体" w:cs="Arial"/>
          <w:color w:val="auto"/>
          <w:highlight w:val="none"/>
        </w:rPr>
        <w:t>申请付款，同时随附注明完服务内容的发票和合同条款规定的单据。如</w:t>
      </w:r>
      <w:r>
        <w:rPr>
          <w:rFonts w:hint="eastAsia" w:ascii="宋体" w:hAnsi="宋体" w:cs="Arial"/>
          <w:color w:val="auto"/>
          <w:highlight w:val="none"/>
          <w:lang w:eastAsia="zh-CN"/>
        </w:rPr>
        <w:t>乙方</w:t>
      </w:r>
      <w:r>
        <w:rPr>
          <w:rFonts w:hint="eastAsia" w:ascii="宋体" w:hAnsi="宋体" w:cs="Arial"/>
          <w:color w:val="auto"/>
          <w:highlight w:val="none"/>
        </w:rPr>
        <w:t>未按约定向</w:t>
      </w:r>
      <w:r>
        <w:rPr>
          <w:rFonts w:hint="eastAsia" w:ascii="宋体" w:hAnsi="宋体" w:cs="Arial"/>
          <w:color w:val="auto"/>
          <w:highlight w:val="none"/>
          <w:lang w:eastAsia="zh-CN"/>
        </w:rPr>
        <w:t>甲方</w:t>
      </w:r>
      <w:r>
        <w:rPr>
          <w:rFonts w:hint="eastAsia" w:ascii="宋体" w:hAnsi="宋体" w:cs="Arial"/>
          <w:color w:val="auto"/>
          <w:highlight w:val="none"/>
        </w:rPr>
        <w:t>提供付款申请、足额发票及相关单据的，</w:t>
      </w:r>
      <w:r>
        <w:rPr>
          <w:rFonts w:hint="eastAsia" w:ascii="宋体" w:hAnsi="宋体" w:cs="Arial"/>
          <w:color w:val="auto"/>
          <w:highlight w:val="none"/>
          <w:lang w:eastAsia="zh-CN"/>
        </w:rPr>
        <w:t>甲方</w:t>
      </w:r>
      <w:r>
        <w:rPr>
          <w:rFonts w:hint="eastAsia" w:ascii="宋体" w:hAnsi="宋体" w:cs="Arial"/>
          <w:color w:val="auto"/>
          <w:highlight w:val="none"/>
        </w:rPr>
        <w:t>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s="Arial"/>
          <w:color w:val="auto"/>
          <w:highlight w:val="none"/>
          <w:lang w:val="en-US" w:eastAsia="zh-CN"/>
        </w:rPr>
        <w:t>12.5</w:t>
      </w:r>
      <w:r>
        <w:rPr>
          <w:rFonts w:hint="eastAsia" w:ascii="宋体" w:hAnsi="宋体" w:cs="Arial"/>
          <w:color w:val="auto"/>
          <w:highlight w:val="none"/>
          <w:lang w:val="en-US" w:eastAsia="zh-CN"/>
        </w:rPr>
        <w:tab/>
      </w:r>
      <w:r>
        <w:rPr>
          <w:rFonts w:hint="eastAsia" w:ascii="宋体" w:hAnsi="宋体" w:cs="Arial"/>
          <w:color w:val="auto"/>
          <w:highlight w:val="none"/>
        </w:rPr>
        <w:t>支付的货币应以人民币支付。</w:t>
      </w:r>
    </w:p>
    <w:p>
      <w:pPr>
        <w:tabs>
          <w:tab w:val="left" w:pos="840"/>
          <w:tab w:val="left" w:pos="1134"/>
        </w:tabs>
        <w:spacing w:before="0" w:after="0" w:afterAutospacing="0"/>
        <w:ind w:left="426" w:right="0" w:firstLine="0"/>
        <w:outlineLvl w:val="1"/>
        <w:rPr>
          <w:rFonts w:ascii="宋体" w:hAnsi="宋体"/>
          <w:color w:val="auto"/>
          <w:highlight w:val="none"/>
        </w:rPr>
      </w:pPr>
      <w:bookmarkStart w:id="1579" w:name="_Toc12979"/>
      <w:bookmarkStart w:id="1580" w:name="_Toc4697"/>
      <w:bookmarkStart w:id="1581" w:name="_Toc18054"/>
      <w:bookmarkStart w:id="1582" w:name="_Toc2069"/>
      <w:bookmarkStart w:id="1583" w:name="_Toc9852"/>
      <w:bookmarkStart w:id="1584" w:name="_Toc390098481"/>
      <w:bookmarkStart w:id="1585" w:name="_Toc492478779"/>
      <w:bookmarkStart w:id="1586" w:name="_Toc18565"/>
      <w:bookmarkStart w:id="1587" w:name="_Toc26222"/>
      <w:bookmarkStart w:id="1588" w:name="_Toc24274"/>
      <w:bookmarkStart w:id="1589" w:name="_Toc12729"/>
      <w:bookmarkStart w:id="1590" w:name="_Toc16641"/>
      <w:bookmarkStart w:id="1591" w:name="_Toc2957"/>
      <w:bookmarkStart w:id="1592" w:name="_Toc385427855"/>
      <w:bookmarkStart w:id="1593" w:name="_Toc9642"/>
      <w:bookmarkStart w:id="1594" w:name="_Toc22179"/>
      <w:bookmarkStart w:id="1595" w:name="_Toc30094"/>
      <w:bookmarkStart w:id="1596" w:name="_Toc25750650"/>
      <w:bookmarkStart w:id="1597" w:name="_Toc13281"/>
      <w:bookmarkStart w:id="1598" w:name="_Toc28757"/>
      <w:bookmarkStart w:id="1599" w:name="_Toc27798"/>
      <w:bookmarkStart w:id="1600" w:name="_Toc18890"/>
      <w:bookmarkStart w:id="1601" w:name="_Toc19387"/>
      <w:r>
        <w:rPr>
          <w:rFonts w:hint="eastAsia" w:ascii="宋体" w:hAnsi="宋体"/>
          <w:b/>
          <w:color w:val="auto"/>
          <w:highlight w:val="none"/>
          <w:lang w:eastAsia="zh-CN"/>
        </w:rPr>
        <w:t>13</w:t>
      </w:r>
      <w:r>
        <w:rPr>
          <w:rFonts w:hint="eastAsia" w:ascii="宋体" w:hAnsi="宋体"/>
          <w:b/>
          <w:color w:val="auto"/>
          <w:highlight w:val="none"/>
        </w:rPr>
        <w:t>.价格</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13.1</w:t>
      </w:r>
      <w:r>
        <w:rPr>
          <w:rFonts w:hint="eastAsia" w:ascii="宋体" w:hAnsi="宋体"/>
          <w:color w:val="auto"/>
          <w:highlight w:val="none"/>
          <w:lang w:val="en-US" w:eastAsia="zh-CN"/>
        </w:rPr>
        <w:tab/>
      </w:r>
      <w:r>
        <w:rPr>
          <w:rFonts w:hint="eastAsia" w:ascii="宋体" w:hAnsi="宋体"/>
          <w:color w:val="auto"/>
          <w:highlight w:val="none"/>
        </w:rPr>
        <w:t>合同价格执行以下条款的规定。</w:t>
      </w:r>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13.2</w:t>
      </w:r>
      <w:r>
        <w:rPr>
          <w:rFonts w:hint="eastAsia" w:ascii="宋体" w:hAnsi="宋体"/>
          <w:color w:val="auto"/>
          <w:highlight w:val="none"/>
          <w:lang w:val="en-US" w:eastAsia="zh-CN"/>
        </w:rPr>
        <w:tab/>
      </w: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13.3</w:t>
      </w:r>
      <w:r>
        <w:rPr>
          <w:rFonts w:hint="eastAsia" w:ascii="宋体" w:hAnsi="宋体"/>
          <w:color w:val="auto"/>
          <w:highlight w:val="none"/>
          <w:lang w:val="en-US" w:eastAsia="zh-CN"/>
        </w:rPr>
        <w:tab/>
      </w:r>
      <w:r>
        <w:rPr>
          <w:rFonts w:hint="eastAsia" w:ascii="宋体" w:hAnsi="宋体"/>
          <w:color w:val="auto"/>
          <w:highlight w:val="none"/>
        </w:rPr>
        <w:t>合同价格完全包括本合同中要求的全部</w:t>
      </w:r>
      <w:r>
        <w:rPr>
          <w:rFonts w:hint="eastAsia" w:ascii="宋体" w:hAnsi="宋体"/>
          <w:color w:val="auto"/>
          <w:highlight w:val="none"/>
          <w:lang w:val="en-US" w:eastAsia="zh-CN"/>
        </w:rPr>
        <w:t>货物、</w:t>
      </w:r>
      <w:r>
        <w:rPr>
          <w:rFonts w:hint="eastAsia" w:ascii="宋体" w:hAnsi="宋体"/>
          <w:color w:val="auto"/>
          <w:highlight w:val="none"/>
        </w:rPr>
        <w:t>服务及所涉及</w:t>
      </w:r>
      <w:r>
        <w:rPr>
          <w:rFonts w:hint="eastAsia" w:ascii="宋体" w:hAnsi="宋体"/>
          <w:color w:val="auto"/>
          <w:highlight w:val="none"/>
          <w:lang w:val="en-US" w:eastAsia="zh-CN"/>
        </w:rPr>
        <w:t>其他费用</w:t>
      </w:r>
      <w:r>
        <w:rPr>
          <w:rFonts w:hint="eastAsia" w:ascii="宋体" w:hAnsi="宋体"/>
          <w:color w:val="auto"/>
          <w:highlight w:val="none"/>
        </w:rPr>
        <w:t>。</w:t>
      </w:r>
    </w:p>
    <w:p>
      <w:pPr>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13.4</w:t>
      </w: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840"/>
          <w:tab w:val="left" w:pos="1843"/>
        </w:tabs>
        <w:spacing w:before="0" w:after="0" w:afterAutospacing="0"/>
        <w:ind w:left="422" w:right="0" w:firstLine="0"/>
        <w:outlineLvl w:val="1"/>
        <w:rPr>
          <w:rFonts w:ascii="宋体" w:hAnsi="宋体"/>
          <w:b/>
          <w:color w:val="auto"/>
          <w:highlight w:val="none"/>
        </w:rPr>
      </w:pPr>
      <w:bookmarkStart w:id="1602" w:name="_Toc12881"/>
      <w:bookmarkStart w:id="1603" w:name="_Toc25441"/>
      <w:bookmarkStart w:id="1604" w:name="_Toc492478780"/>
      <w:bookmarkStart w:id="1605" w:name="_Toc390098482"/>
      <w:bookmarkStart w:id="1606" w:name="_Toc30611"/>
      <w:bookmarkStart w:id="1607" w:name="_Toc21856"/>
      <w:bookmarkStart w:id="1608" w:name="_Toc29106"/>
      <w:bookmarkStart w:id="1609" w:name="_Toc12825"/>
      <w:bookmarkStart w:id="1610" w:name="_Toc10545"/>
      <w:bookmarkStart w:id="1611" w:name="_Toc385427856"/>
      <w:bookmarkStart w:id="1612" w:name="_Toc24113"/>
      <w:bookmarkStart w:id="1613" w:name="_Toc26418"/>
      <w:bookmarkStart w:id="1614" w:name="_Toc378514970"/>
      <w:bookmarkStart w:id="1615" w:name="_Toc3558"/>
      <w:bookmarkStart w:id="1616" w:name="_Toc2295"/>
      <w:bookmarkStart w:id="1617" w:name="_Toc27489"/>
      <w:bookmarkStart w:id="1618" w:name="_Toc6771"/>
      <w:bookmarkStart w:id="1619" w:name="_Toc32028"/>
      <w:bookmarkStart w:id="1620" w:name="_Toc769"/>
      <w:bookmarkStart w:id="1621" w:name="_Toc370933873"/>
      <w:bookmarkStart w:id="1622" w:name="_Toc25750651"/>
      <w:bookmarkStart w:id="1623" w:name="_Toc14851"/>
      <w:bookmarkStart w:id="1624" w:name="_Toc29593"/>
      <w:bookmarkStart w:id="1625" w:name="_Toc23070"/>
      <w:bookmarkStart w:id="1626" w:name="_Toc25230"/>
      <w:r>
        <w:rPr>
          <w:rFonts w:hint="eastAsia" w:ascii="宋体" w:hAnsi="宋体"/>
          <w:b/>
          <w:color w:val="auto"/>
          <w:highlight w:val="none"/>
        </w:rPr>
        <w:t>1</w:t>
      </w:r>
      <w:r>
        <w:rPr>
          <w:rFonts w:hint="eastAsia" w:ascii="宋体" w:hAnsi="宋体"/>
          <w:b/>
          <w:color w:val="auto"/>
          <w:highlight w:val="none"/>
          <w:lang w:val="en-US" w:eastAsia="zh-CN"/>
        </w:rPr>
        <w:t>4</w:t>
      </w:r>
      <w:r>
        <w:rPr>
          <w:rFonts w:hint="eastAsia" w:ascii="宋体" w:hAnsi="宋体"/>
          <w:b/>
          <w:color w:val="auto"/>
          <w:highlight w:val="none"/>
        </w:rPr>
        <w:t>.合同变更与修改</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14.1</w:t>
      </w:r>
      <w:r>
        <w:rPr>
          <w:rFonts w:hint="eastAsia" w:ascii="宋体" w:hAnsi="宋体"/>
          <w:color w:val="auto"/>
          <w:highlight w:val="none"/>
          <w:lang w:val="en-US" w:eastAsia="zh-CN"/>
        </w:rPr>
        <w:tab/>
      </w:r>
      <w:r>
        <w:rPr>
          <w:rFonts w:hint="eastAsia" w:ascii="宋体" w:hAnsi="宋体"/>
          <w:color w:val="auto"/>
          <w:highlight w:val="none"/>
        </w:rPr>
        <w:t>除非</w:t>
      </w:r>
      <w:r>
        <w:rPr>
          <w:rFonts w:hint="eastAsia" w:ascii="宋体" w:hAnsi="宋体"/>
          <w:color w:val="auto"/>
          <w:highlight w:val="none"/>
          <w:lang w:eastAsia="zh-CN"/>
        </w:rPr>
        <w:t>甲方</w:t>
      </w:r>
      <w:r>
        <w:rPr>
          <w:rFonts w:hint="eastAsia" w:ascii="宋体" w:hAnsi="宋体"/>
          <w:color w:val="auto"/>
          <w:highlight w:val="none"/>
        </w:rPr>
        <w:t>与</w:t>
      </w:r>
      <w:r>
        <w:rPr>
          <w:rFonts w:hint="eastAsia" w:ascii="宋体" w:hAnsi="宋体"/>
          <w:color w:val="auto"/>
          <w:highlight w:val="none"/>
          <w:lang w:eastAsia="zh-CN"/>
        </w:rPr>
        <w:t>乙方</w:t>
      </w:r>
      <w:r>
        <w:rPr>
          <w:rFonts w:hint="eastAsia" w:ascii="宋体" w:hAnsi="宋体"/>
          <w:color w:val="auto"/>
          <w:highlight w:val="none"/>
        </w:rPr>
        <w:t>双方签署书面修改书，否则不能对合同条款进行任何变更。如果合同另有约定，从其约定。</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14.2</w:t>
      </w:r>
      <w:r>
        <w:rPr>
          <w:rFonts w:hint="eastAsia" w:ascii="宋体" w:hAnsi="宋体"/>
          <w:color w:val="auto"/>
          <w:highlight w:val="none"/>
          <w:lang w:val="en-US" w:eastAsia="zh-CN"/>
        </w:rPr>
        <w:tab/>
      </w: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14.3</w:t>
      </w:r>
      <w:r>
        <w:rPr>
          <w:rFonts w:hint="eastAsia" w:ascii="宋体" w:hAnsi="宋体"/>
          <w:color w:val="auto"/>
          <w:highlight w:val="none"/>
          <w:lang w:val="en-US" w:eastAsia="zh-CN"/>
        </w:rPr>
        <w:tab/>
      </w:r>
      <w:r>
        <w:rPr>
          <w:rFonts w:hint="eastAsia" w:ascii="宋体" w:hAnsi="宋体"/>
          <w:color w:val="auto"/>
          <w:highlight w:val="none"/>
          <w:lang w:eastAsia="zh-CN"/>
        </w:rPr>
        <w:t>甲方</w:t>
      </w:r>
      <w:r>
        <w:rPr>
          <w:rFonts w:hint="eastAsia" w:ascii="宋体" w:hAnsi="宋体"/>
          <w:color w:val="auto"/>
          <w:highlight w:val="none"/>
        </w:rPr>
        <w:t>在执行合同期间内的任何时间可以对合同作变更、修改、删除、增加或做其它改变</w:t>
      </w:r>
      <w:r>
        <w:rPr>
          <w:rFonts w:hint="eastAsia" w:ascii="宋体" w:hAnsi="宋体"/>
          <w:color w:val="auto"/>
          <w:highlight w:val="none"/>
          <w:lang w:eastAsia="zh-CN"/>
        </w:rPr>
        <w:t>，</w:t>
      </w:r>
      <w:r>
        <w:rPr>
          <w:rFonts w:hint="eastAsia" w:ascii="宋体" w:hAnsi="宋体"/>
          <w:color w:val="auto"/>
          <w:highlight w:val="none"/>
        </w:rPr>
        <w:t>经</w:t>
      </w:r>
      <w:r>
        <w:rPr>
          <w:rFonts w:hint="eastAsia" w:ascii="宋体" w:hAnsi="宋体"/>
          <w:color w:val="auto"/>
          <w:highlight w:val="none"/>
          <w:lang w:eastAsia="zh-CN"/>
        </w:rPr>
        <w:t>乙方</w:t>
      </w:r>
      <w:r>
        <w:rPr>
          <w:rFonts w:hint="eastAsia" w:ascii="宋体" w:hAnsi="宋体"/>
          <w:color w:val="auto"/>
          <w:highlight w:val="none"/>
        </w:rPr>
        <w:t>同意后，这些变更应作为合同的组成部分，任何修改将构成合同的组成部分并适用其他条款，</w:t>
      </w:r>
      <w:r>
        <w:rPr>
          <w:rFonts w:hint="eastAsia" w:ascii="宋体" w:hAnsi="宋体"/>
          <w:color w:val="auto"/>
          <w:highlight w:val="none"/>
          <w:lang w:eastAsia="zh-CN"/>
        </w:rPr>
        <w:t>乙方</w:t>
      </w:r>
      <w:r>
        <w:rPr>
          <w:rFonts w:hint="eastAsia" w:ascii="宋体" w:hAnsi="宋体"/>
          <w:color w:val="auto"/>
          <w:highlight w:val="none"/>
        </w:rPr>
        <w:t>应履行这些变更并受同样条件约束。</w:t>
      </w:r>
    </w:p>
    <w:p>
      <w:pPr>
        <w:tabs>
          <w:tab w:val="left" w:pos="840"/>
          <w:tab w:val="left" w:pos="1843"/>
        </w:tabs>
        <w:spacing w:before="0" w:after="0" w:afterAutospacing="0"/>
        <w:ind w:left="422" w:right="0" w:firstLine="0"/>
        <w:outlineLvl w:val="1"/>
        <w:rPr>
          <w:rFonts w:ascii="宋体" w:hAnsi="宋体"/>
          <w:b/>
          <w:color w:val="auto"/>
          <w:highlight w:val="none"/>
        </w:rPr>
      </w:pPr>
      <w:bookmarkStart w:id="1627" w:name="_Toc17029"/>
      <w:bookmarkStart w:id="1628" w:name="_Toc18508"/>
      <w:bookmarkStart w:id="1629" w:name="_Toc11530"/>
      <w:bookmarkStart w:id="1630" w:name="_Toc370933875"/>
      <w:bookmarkStart w:id="1631" w:name="_Toc32343"/>
      <w:bookmarkStart w:id="1632" w:name="_Toc378514972"/>
      <w:bookmarkStart w:id="1633" w:name="_Toc24065"/>
      <w:bookmarkStart w:id="1634" w:name="_Toc21413"/>
      <w:bookmarkStart w:id="1635" w:name="_Toc661"/>
      <w:bookmarkStart w:id="1636" w:name="_Toc13888"/>
      <w:bookmarkStart w:id="1637" w:name="_Toc26277"/>
      <w:bookmarkStart w:id="1638" w:name="_Toc6234"/>
      <w:bookmarkStart w:id="1639" w:name="_Toc25342"/>
      <w:bookmarkStart w:id="1640" w:name="_Toc385427858"/>
      <w:bookmarkStart w:id="1641" w:name="_Toc492478782"/>
      <w:bookmarkStart w:id="1642" w:name="_Toc24037"/>
      <w:bookmarkStart w:id="1643" w:name="_Toc13416"/>
      <w:bookmarkStart w:id="1644" w:name="_Toc390098484"/>
      <w:bookmarkStart w:id="1645" w:name="_Toc25750653"/>
      <w:bookmarkStart w:id="1646" w:name="_Toc12432"/>
      <w:bookmarkStart w:id="1647" w:name="_Toc3130"/>
      <w:bookmarkStart w:id="1648" w:name="_Toc4396"/>
      <w:bookmarkStart w:id="1649" w:name="_Toc16315"/>
      <w:bookmarkStart w:id="1650" w:name="_Toc8696"/>
      <w:bookmarkStart w:id="1651" w:name="_Toc19987"/>
      <w:r>
        <w:rPr>
          <w:rFonts w:hint="eastAsia" w:ascii="宋体" w:hAnsi="宋体"/>
          <w:b/>
          <w:color w:val="auto"/>
          <w:highlight w:val="none"/>
        </w:rPr>
        <w:t>1</w:t>
      </w:r>
      <w:r>
        <w:rPr>
          <w:rFonts w:hint="eastAsia" w:ascii="宋体" w:hAnsi="宋体"/>
          <w:b/>
          <w:color w:val="auto"/>
          <w:highlight w:val="none"/>
          <w:lang w:val="en-US" w:eastAsia="zh-CN"/>
        </w:rPr>
        <w:t>6</w:t>
      </w:r>
      <w:r>
        <w:rPr>
          <w:rFonts w:hint="eastAsia" w:ascii="宋体" w:hAnsi="宋体"/>
          <w:b/>
          <w:color w:val="auto"/>
          <w:highlight w:val="none"/>
        </w:rPr>
        <w:t>.不可抗力</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16.1</w:t>
      </w:r>
      <w:r>
        <w:rPr>
          <w:rFonts w:hint="eastAsia" w:ascii="宋体" w:hAnsi="宋体"/>
          <w:color w:val="auto"/>
          <w:highlight w:val="none"/>
          <w:lang w:val="en-US" w:eastAsia="zh-CN"/>
        </w:rPr>
        <w:tab/>
      </w: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16.2</w:t>
      </w:r>
      <w:r>
        <w:rPr>
          <w:rFonts w:hint="eastAsia" w:ascii="宋体" w:hAnsi="宋体"/>
          <w:color w:val="auto"/>
          <w:highlight w:val="none"/>
          <w:lang w:val="en-US" w:eastAsia="zh-CN"/>
        </w:rPr>
        <w:tab/>
      </w:r>
      <w:r>
        <w:rPr>
          <w:rFonts w:hint="eastAsia" w:ascii="宋体" w:hAnsi="宋体"/>
          <w:color w:val="auto"/>
          <w:highlight w:val="none"/>
        </w:rPr>
        <w:t>若不可抗力发生使合同执行受阻，则合同执行时间根据受影响的时间相应延长，但合同价格不得调整。</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16.3</w:t>
      </w:r>
      <w:r>
        <w:rPr>
          <w:rFonts w:hint="eastAsia" w:ascii="宋体" w:hAnsi="宋体"/>
          <w:color w:val="auto"/>
          <w:highlight w:val="none"/>
          <w:lang w:val="en-US" w:eastAsia="zh-CN"/>
        </w:rPr>
        <w:tab/>
      </w:r>
      <w:r>
        <w:rPr>
          <w:rFonts w:hint="eastAsia" w:ascii="宋体" w:hAnsi="宋体"/>
          <w:color w:val="auto"/>
          <w:highlight w:val="none"/>
        </w:rPr>
        <w:t>如发生不可抗力，</w:t>
      </w:r>
      <w:r>
        <w:rPr>
          <w:rFonts w:hint="eastAsia" w:ascii="宋体" w:hAnsi="宋体"/>
          <w:color w:val="auto"/>
          <w:highlight w:val="none"/>
          <w:lang w:eastAsia="zh-CN"/>
        </w:rPr>
        <w:t>乙方</w:t>
      </w:r>
      <w:r>
        <w:rPr>
          <w:rFonts w:hint="eastAsia" w:ascii="宋体" w:hAnsi="宋体"/>
          <w:color w:val="auto"/>
          <w:highlight w:val="none"/>
        </w:rPr>
        <w:t>应在十四天内通知</w:t>
      </w:r>
      <w:r>
        <w:rPr>
          <w:rFonts w:hint="eastAsia" w:ascii="宋体" w:hAnsi="宋体"/>
          <w:color w:val="auto"/>
          <w:highlight w:val="none"/>
          <w:lang w:eastAsia="zh-CN"/>
        </w:rPr>
        <w:t>甲方</w:t>
      </w:r>
      <w:r>
        <w:rPr>
          <w:rFonts w:hint="eastAsia" w:ascii="宋体" w:hAnsi="宋体"/>
          <w:color w:val="auto"/>
          <w:highlight w:val="none"/>
        </w:rPr>
        <w:t>并应提供有关当局（官方机构）的证明文件。除非</w:t>
      </w:r>
      <w:r>
        <w:rPr>
          <w:rFonts w:hint="eastAsia" w:ascii="宋体" w:hAnsi="宋体"/>
          <w:color w:val="auto"/>
          <w:highlight w:val="none"/>
          <w:lang w:eastAsia="zh-CN"/>
        </w:rPr>
        <w:t>甲方</w:t>
      </w:r>
      <w:r>
        <w:rPr>
          <w:rFonts w:hint="eastAsia" w:ascii="宋体" w:hAnsi="宋体"/>
          <w:color w:val="auto"/>
          <w:highlight w:val="none"/>
        </w:rPr>
        <w:t>另有书面指示，</w:t>
      </w:r>
      <w:r>
        <w:rPr>
          <w:rFonts w:hint="eastAsia" w:ascii="宋体" w:hAnsi="宋体"/>
          <w:color w:val="auto"/>
          <w:highlight w:val="none"/>
          <w:lang w:eastAsia="zh-CN"/>
        </w:rPr>
        <w:t>乙方</w:t>
      </w:r>
      <w:r>
        <w:rPr>
          <w:rFonts w:hint="eastAsia" w:ascii="宋体" w:hAnsi="宋体"/>
          <w:color w:val="auto"/>
          <w:highlight w:val="none"/>
        </w:rPr>
        <w:t>应继续依可行方式及其他不受不可抗力制约的替代形式履行合同义务。</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16.4</w:t>
      </w:r>
      <w:r>
        <w:rPr>
          <w:rFonts w:hint="eastAsia" w:ascii="宋体" w:hAnsi="宋体"/>
          <w:color w:val="auto"/>
          <w:highlight w:val="none"/>
          <w:lang w:val="en-US" w:eastAsia="zh-CN"/>
        </w:rPr>
        <w:tab/>
      </w:r>
      <w:r>
        <w:rPr>
          <w:rFonts w:hint="eastAsia" w:ascii="宋体" w:hAnsi="宋体"/>
          <w:color w:val="auto"/>
          <w:highlight w:val="none"/>
        </w:rPr>
        <w:t>任何因不可抗力所导致延误履行合同或不能履行合同，受阻方将不因此而构成违约。</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16.5</w:t>
      </w:r>
      <w:r>
        <w:rPr>
          <w:rFonts w:hint="eastAsia" w:ascii="宋体" w:hAnsi="宋体"/>
          <w:color w:val="auto"/>
          <w:highlight w:val="none"/>
          <w:lang w:val="en-US" w:eastAsia="zh-CN"/>
        </w:rPr>
        <w:tab/>
      </w: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w:t>
      </w:r>
      <w:r>
        <w:rPr>
          <w:rFonts w:hint="eastAsia" w:ascii="宋体" w:hAnsi="宋体"/>
          <w:color w:val="auto"/>
          <w:highlight w:val="none"/>
          <w:lang w:eastAsia="zh-CN"/>
        </w:rPr>
        <w:t>乙方</w:t>
      </w:r>
      <w:r>
        <w:rPr>
          <w:rFonts w:hint="eastAsia" w:ascii="宋体" w:hAnsi="宋体"/>
          <w:color w:val="auto"/>
          <w:highlight w:val="none"/>
        </w:rPr>
        <w:t>应及时履行合同，否则视为违约。</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16.6</w:t>
      </w:r>
      <w:r>
        <w:rPr>
          <w:rFonts w:hint="eastAsia" w:ascii="宋体" w:hAnsi="宋体"/>
          <w:color w:val="auto"/>
          <w:highlight w:val="none"/>
          <w:lang w:val="en-US" w:eastAsia="zh-CN"/>
        </w:rPr>
        <w:tab/>
      </w: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w:t>
      </w:r>
      <w:r>
        <w:rPr>
          <w:rFonts w:hint="eastAsia" w:ascii="宋体" w:hAnsi="宋体"/>
          <w:color w:val="auto"/>
          <w:highlight w:val="none"/>
          <w:lang w:eastAsia="zh-CN"/>
        </w:rPr>
        <w:t>乙方</w:t>
      </w:r>
      <w:r>
        <w:rPr>
          <w:rFonts w:hint="eastAsia" w:ascii="宋体" w:hAnsi="宋体"/>
          <w:color w:val="auto"/>
          <w:highlight w:val="none"/>
        </w:rPr>
        <w:t>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16.7</w:t>
      </w:r>
      <w:r>
        <w:rPr>
          <w:rFonts w:hint="eastAsia" w:ascii="宋体" w:hAnsi="宋体"/>
          <w:color w:val="auto"/>
          <w:highlight w:val="none"/>
          <w:lang w:val="en-US" w:eastAsia="zh-CN"/>
        </w:rPr>
        <w:tab/>
      </w:r>
      <w:r>
        <w:rPr>
          <w:rFonts w:hint="eastAsia" w:ascii="宋体" w:hAnsi="宋体"/>
          <w:color w:val="auto"/>
          <w:highlight w:val="none"/>
        </w:rPr>
        <w:t>如果不可抗力的情况发生并因此根据</w:t>
      </w:r>
      <w:r>
        <w:rPr>
          <w:rFonts w:hint="eastAsia" w:ascii="宋体" w:hAnsi="宋体"/>
          <w:color w:val="auto"/>
          <w:highlight w:val="none"/>
          <w:lang w:eastAsia="zh-CN"/>
        </w:rPr>
        <w:t>民法典</w:t>
      </w:r>
      <w:r>
        <w:rPr>
          <w:rFonts w:hint="eastAsia" w:ascii="宋体" w:hAnsi="宋体"/>
          <w:color w:val="auto"/>
          <w:highlight w:val="none"/>
        </w:rPr>
        <w:t>双方均被解除进一步履行合同，</w:t>
      </w:r>
      <w:r>
        <w:rPr>
          <w:rFonts w:hint="eastAsia" w:ascii="宋体" w:hAnsi="宋体"/>
          <w:color w:val="auto"/>
          <w:highlight w:val="none"/>
          <w:lang w:eastAsia="zh-CN"/>
        </w:rPr>
        <w:t>乙方</w:t>
      </w:r>
      <w:r>
        <w:rPr>
          <w:rFonts w:hint="eastAsia" w:ascii="宋体" w:hAnsi="宋体"/>
          <w:color w:val="auto"/>
          <w:highlight w:val="none"/>
        </w:rPr>
        <w:t>的履约担保不被没收。</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color w:val="auto"/>
          <w:highlight w:val="none"/>
          <w:lang w:val="en-US" w:eastAsia="zh-CN"/>
        </w:rPr>
        <w:t>16.8</w:t>
      </w:r>
      <w:r>
        <w:rPr>
          <w:rFonts w:hint="eastAsia"/>
          <w:color w:val="auto"/>
          <w:highlight w:val="none"/>
          <w:lang w:val="en-US" w:eastAsia="zh-CN"/>
        </w:rPr>
        <w:tab/>
      </w:r>
      <w:r>
        <w:rPr>
          <w:rFonts w:hint="eastAsia"/>
          <w:color w:val="auto"/>
          <w:highlight w:val="none"/>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1"/>
        <w:rPr>
          <w:rFonts w:ascii="宋体" w:hAnsi="宋体"/>
          <w:b/>
          <w:color w:val="auto"/>
          <w:highlight w:val="none"/>
        </w:rPr>
      </w:pPr>
      <w:bookmarkStart w:id="1652" w:name="_Toc32509"/>
      <w:r>
        <w:rPr>
          <w:rFonts w:hint="eastAsia" w:ascii="宋体" w:hAnsi="宋体"/>
          <w:b/>
          <w:color w:val="auto"/>
          <w:highlight w:val="none"/>
          <w:lang w:eastAsia="zh-CN"/>
        </w:rPr>
        <w:t>17</w:t>
      </w:r>
      <w:r>
        <w:rPr>
          <w:rFonts w:hint="eastAsia" w:ascii="宋体" w:hAnsi="宋体"/>
          <w:b/>
          <w:color w:val="auto"/>
          <w:highlight w:val="none"/>
        </w:rPr>
        <w:t>.损失补偿</w:t>
      </w:r>
      <w:bookmarkEnd w:id="1652"/>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17.1</w:t>
      </w:r>
      <w:r>
        <w:rPr>
          <w:rFonts w:hint="eastAsia" w:ascii="宋体" w:hAnsi="宋体"/>
          <w:color w:val="auto"/>
          <w:highlight w:val="none"/>
          <w:lang w:val="en-US" w:eastAsia="zh-CN"/>
        </w:rPr>
        <w:tab/>
      </w:r>
      <w:r>
        <w:rPr>
          <w:rFonts w:hint="eastAsia" w:ascii="宋体" w:hAnsi="宋体"/>
          <w:color w:val="auto"/>
          <w:highlight w:val="none"/>
        </w:rPr>
        <w:t>除第1</w:t>
      </w:r>
      <w:r>
        <w:rPr>
          <w:rFonts w:hint="eastAsia" w:ascii="宋体" w:hAnsi="宋体"/>
          <w:color w:val="auto"/>
          <w:highlight w:val="none"/>
          <w:lang w:val="en-US" w:eastAsia="zh-CN"/>
        </w:rPr>
        <w:t>7</w:t>
      </w:r>
      <w:r>
        <w:rPr>
          <w:rFonts w:hint="eastAsia" w:ascii="宋体" w:hAnsi="宋体"/>
          <w:color w:val="auto"/>
          <w:highlight w:val="none"/>
        </w:rPr>
        <w:t>条所述之不可抗力因素外，</w:t>
      </w:r>
      <w:r>
        <w:rPr>
          <w:rFonts w:hint="eastAsia" w:ascii="宋体" w:hAnsi="宋体"/>
          <w:color w:val="auto"/>
          <w:highlight w:val="none"/>
          <w:lang w:eastAsia="zh-CN"/>
        </w:rPr>
        <w:t>乙方</w:t>
      </w:r>
      <w:r>
        <w:rPr>
          <w:rFonts w:hint="eastAsia" w:ascii="宋体" w:hAnsi="宋体"/>
          <w:color w:val="auto"/>
          <w:highlight w:val="none"/>
        </w:rPr>
        <w:t>不能在合同规定的交货期内交货或提供服务，</w:t>
      </w:r>
      <w:r>
        <w:rPr>
          <w:rFonts w:hint="eastAsia" w:ascii="宋体" w:hAnsi="宋体"/>
          <w:color w:val="auto"/>
          <w:highlight w:val="none"/>
          <w:lang w:eastAsia="zh-CN"/>
        </w:rPr>
        <w:t>甲方</w:t>
      </w:r>
      <w:r>
        <w:rPr>
          <w:rFonts w:hint="eastAsia" w:ascii="宋体" w:hAnsi="宋体"/>
          <w:color w:val="auto"/>
          <w:highlight w:val="none"/>
        </w:rPr>
        <w:t>有权按合同条款中规定的比例扣除合同货款，作为损失补偿，直至合同条款中规定的最高比例。当扣款达到最高比例时，</w:t>
      </w:r>
      <w:r>
        <w:rPr>
          <w:rFonts w:hint="eastAsia" w:ascii="宋体" w:hAnsi="宋体"/>
          <w:color w:val="auto"/>
          <w:highlight w:val="none"/>
          <w:lang w:eastAsia="zh-CN"/>
        </w:rPr>
        <w:t>甲方</w:t>
      </w:r>
      <w:r>
        <w:rPr>
          <w:rFonts w:hint="eastAsia" w:ascii="宋体" w:hAnsi="宋体"/>
          <w:color w:val="auto"/>
          <w:highlight w:val="none"/>
        </w:rPr>
        <w:t>有权按第</w:t>
      </w:r>
      <w:r>
        <w:rPr>
          <w:rFonts w:hint="eastAsia" w:ascii="宋体" w:hAnsi="宋体"/>
          <w:color w:val="auto"/>
          <w:highlight w:val="none"/>
          <w:lang w:val="en-US" w:eastAsia="zh-CN"/>
        </w:rPr>
        <w:t>18</w:t>
      </w:r>
      <w:r>
        <w:rPr>
          <w:rFonts w:hint="eastAsia" w:ascii="宋体" w:hAnsi="宋体"/>
          <w:color w:val="auto"/>
          <w:highlight w:val="none"/>
        </w:rPr>
        <w:t>条拖期终止条款终止合同。</w:t>
      </w:r>
    </w:p>
    <w:p>
      <w:pPr>
        <w:tabs>
          <w:tab w:val="left" w:pos="860"/>
          <w:tab w:val="left" w:pos="1134"/>
        </w:tabs>
        <w:spacing w:before="0" w:after="0" w:afterAutospacing="0"/>
        <w:ind w:left="0" w:leftChars="0" w:right="0" w:firstLine="422" w:firstLineChars="200"/>
        <w:outlineLvl w:val="1"/>
        <w:rPr>
          <w:rFonts w:ascii="宋体" w:hAnsi="宋体"/>
          <w:b/>
          <w:color w:val="auto"/>
          <w:highlight w:val="none"/>
        </w:rPr>
      </w:pPr>
      <w:bookmarkStart w:id="1653" w:name="_Toc385427861"/>
      <w:bookmarkStart w:id="1654" w:name="_Toc378514975"/>
      <w:bookmarkStart w:id="1655" w:name="_Toc15242"/>
      <w:bookmarkStart w:id="1656" w:name="_Toc12693"/>
      <w:bookmarkStart w:id="1657" w:name="_Toc24190"/>
      <w:bookmarkStart w:id="1658" w:name="_Toc6938"/>
      <w:bookmarkStart w:id="1659" w:name="_Toc8154"/>
      <w:bookmarkStart w:id="1660" w:name="_Toc4252"/>
      <w:bookmarkStart w:id="1661" w:name="_Toc11613"/>
      <w:bookmarkStart w:id="1662" w:name="_Toc8146"/>
      <w:bookmarkStart w:id="1663" w:name="_Toc28076"/>
      <w:bookmarkStart w:id="1664" w:name="_Toc31151"/>
      <w:bookmarkStart w:id="1665" w:name="_Toc492478785"/>
      <w:bookmarkStart w:id="1666" w:name="_Toc32687"/>
      <w:bookmarkStart w:id="1667" w:name="_Toc10295"/>
      <w:bookmarkStart w:id="1668" w:name="_Toc10649"/>
      <w:bookmarkStart w:id="1669" w:name="_Toc390098487"/>
      <w:bookmarkStart w:id="1670" w:name="_Toc3079"/>
      <w:bookmarkStart w:id="1671" w:name="_Toc20303"/>
      <w:bookmarkStart w:id="1672" w:name="_Toc11756"/>
      <w:bookmarkStart w:id="1673" w:name="_Toc25945"/>
      <w:bookmarkStart w:id="1674" w:name="_Toc25750656"/>
      <w:bookmarkStart w:id="1675" w:name="_Toc4139"/>
      <w:bookmarkStart w:id="1676" w:name="_Toc26678"/>
      <w:bookmarkStart w:id="1677" w:name="_Toc370933878"/>
      <w:r>
        <w:rPr>
          <w:rFonts w:hint="eastAsia" w:ascii="宋体" w:hAnsi="宋体"/>
          <w:b/>
          <w:color w:val="auto"/>
          <w:highlight w:val="none"/>
          <w:lang w:val="en-US" w:eastAsia="zh-CN"/>
        </w:rPr>
        <w:t>18</w:t>
      </w:r>
      <w:r>
        <w:rPr>
          <w:rFonts w:ascii="宋体" w:hAnsi="宋体"/>
          <w:b/>
          <w:color w:val="auto"/>
          <w:highlight w:val="none"/>
        </w:rPr>
        <w:t>.</w:t>
      </w:r>
      <w:r>
        <w:rPr>
          <w:rFonts w:hint="eastAsia" w:ascii="宋体" w:hAnsi="宋体"/>
          <w:b/>
          <w:color w:val="auto"/>
          <w:highlight w:val="none"/>
        </w:rPr>
        <w:t>拖期终止</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numPr>
          <w:ilvl w:val="-1"/>
          <w:numId w:val="0"/>
        </w:numPr>
        <w:tabs>
          <w:tab w:val="left" w:pos="9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18.1</w:t>
      </w:r>
      <w:r>
        <w:rPr>
          <w:rFonts w:hint="eastAsia" w:ascii="宋体" w:hAnsi="宋体"/>
          <w:color w:val="auto"/>
          <w:highlight w:val="none"/>
          <w:lang w:val="en-US" w:eastAsia="zh-CN"/>
        </w:rPr>
        <w:tab/>
      </w:r>
      <w:r>
        <w:rPr>
          <w:rFonts w:hint="eastAsia" w:ascii="宋体" w:hAnsi="宋体"/>
          <w:color w:val="auto"/>
          <w:highlight w:val="none"/>
        </w:rPr>
        <w:t>当发生以下情况时，</w:t>
      </w:r>
      <w:r>
        <w:rPr>
          <w:rFonts w:hint="eastAsia" w:ascii="宋体" w:hAnsi="宋体"/>
          <w:color w:val="auto"/>
          <w:highlight w:val="none"/>
          <w:lang w:eastAsia="zh-CN"/>
        </w:rPr>
        <w:t>甲方</w:t>
      </w:r>
      <w:r>
        <w:rPr>
          <w:rFonts w:hint="eastAsia" w:ascii="宋体" w:hAnsi="宋体"/>
          <w:color w:val="auto"/>
          <w:highlight w:val="none"/>
        </w:rPr>
        <w:t>有权以书面形式通知部分或全部终止合同：</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18.1.1</w:t>
      </w:r>
      <w:r>
        <w:rPr>
          <w:rFonts w:hint="eastAsia" w:ascii="宋体" w:hAnsi="宋体"/>
          <w:color w:val="auto"/>
          <w:highlight w:val="none"/>
          <w:lang w:val="en-US" w:eastAsia="zh-CN"/>
        </w:rPr>
        <w:tab/>
      </w: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不能在合同规定的交货期内</w:t>
      </w:r>
      <w:r>
        <w:rPr>
          <w:rFonts w:hint="default" w:ascii="宋体" w:hAnsi="宋体"/>
          <w:color w:val="auto"/>
          <w:highlight w:val="none"/>
          <w:lang w:val="en-US"/>
        </w:rPr>
        <w:t>交货</w:t>
      </w:r>
      <w:r>
        <w:rPr>
          <w:rFonts w:hint="eastAsia" w:ascii="宋体" w:hAnsi="宋体"/>
          <w:color w:val="auto"/>
          <w:highlight w:val="none"/>
        </w:rPr>
        <w:t>；</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18.1.2</w:t>
      </w:r>
      <w:r>
        <w:rPr>
          <w:rFonts w:hint="eastAsia" w:ascii="宋体" w:hAnsi="宋体"/>
          <w:color w:val="auto"/>
          <w:highlight w:val="none"/>
          <w:lang w:val="en-US" w:eastAsia="zh-CN"/>
        </w:rPr>
        <w:tab/>
      </w: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不能履行合同项下其他义务；</w:t>
      </w:r>
    </w:p>
    <w:p>
      <w:pPr>
        <w:numPr>
          <w:ilvl w:val="-1"/>
          <w:numId w:val="0"/>
        </w:numPr>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18.1.3</w:t>
      </w:r>
      <w:r>
        <w:rPr>
          <w:rFonts w:hint="eastAsia" w:ascii="宋体" w:hAnsi="宋体"/>
          <w:color w:val="auto"/>
          <w:highlight w:val="none"/>
          <w:lang w:val="en-US" w:eastAsia="zh-CN"/>
        </w:rPr>
        <w:tab/>
      </w: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在上述情况下不能在接到</w:t>
      </w:r>
      <w:r>
        <w:rPr>
          <w:rFonts w:hint="eastAsia" w:ascii="宋体" w:hAnsi="宋体"/>
          <w:color w:val="auto"/>
          <w:highlight w:val="none"/>
          <w:lang w:eastAsia="zh-CN"/>
        </w:rPr>
        <w:t>甲方</w:t>
      </w:r>
      <w:r>
        <w:rPr>
          <w:rFonts w:hint="eastAsia" w:ascii="宋体" w:hAnsi="宋体"/>
          <w:color w:val="auto"/>
          <w:highlight w:val="none"/>
        </w:rPr>
        <w:t>通知后十（</w:t>
      </w:r>
      <w:r>
        <w:rPr>
          <w:rFonts w:ascii="宋体" w:hAnsi="宋体"/>
          <w:color w:val="auto"/>
          <w:highlight w:val="none"/>
        </w:rPr>
        <w:t>10</w:t>
      </w:r>
      <w:r>
        <w:rPr>
          <w:rFonts w:hint="eastAsia" w:ascii="宋体" w:hAnsi="宋体"/>
          <w:color w:val="auto"/>
          <w:highlight w:val="none"/>
        </w:rPr>
        <w:t>）天之内（或</w:t>
      </w:r>
      <w:r>
        <w:rPr>
          <w:rFonts w:hint="eastAsia" w:ascii="宋体" w:hAnsi="宋体"/>
          <w:color w:val="auto"/>
          <w:highlight w:val="none"/>
          <w:lang w:eastAsia="zh-CN"/>
        </w:rPr>
        <w:t>甲方</w:t>
      </w:r>
      <w:r>
        <w:rPr>
          <w:rFonts w:hint="eastAsia" w:ascii="宋体" w:hAnsi="宋体"/>
          <w:color w:val="auto"/>
          <w:highlight w:val="none"/>
        </w:rPr>
        <w:t>同意的更长的时间内）补救过失。</w:t>
      </w:r>
    </w:p>
    <w:p>
      <w:pPr>
        <w:numPr>
          <w:ilvl w:val="-1"/>
          <w:numId w:val="0"/>
        </w:numPr>
        <w:tabs>
          <w:tab w:val="left" w:pos="98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18.2</w:t>
      </w:r>
      <w:r>
        <w:rPr>
          <w:rFonts w:hint="eastAsia" w:ascii="宋体" w:hAnsi="宋体"/>
          <w:color w:val="auto"/>
          <w:highlight w:val="none"/>
          <w:lang w:val="en-US" w:eastAsia="zh-CN"/>
        </w:rPr>
        <w:tab/>
      </w:r>
      <w:r>
        <w:rPr>
          <w:rFonts w:hint="eastAsia" w:ascii="宋体" w:hAnsi="宋体"/>
          <w:color w:val="auto"/>
          <w:highlight w:val="none"/>
          <w:lang w:eastAsia="zh-CN"/>
        </w:rPr>
        <w:t>甲方</w:t>
      </w:r>
      <w:r>
        <w:rPr>
          <w:rFonts w:hint="eastAsia" w:ascii="宋体" w:hAnsi="宋体"/>
          <w:color w:val="auto"/>
          <w:highlight w:val="none"/>
        </w:rPr>
        <w:t>依第</w:t>
      </w:r>
      <w:r>
        <w:rPr>
          <w:rFonts w:ascii="宋体" w:hAnsi="宋体"/>
          <w:color w:val="auto"/>
          <w:highlight w:val="none"/>
        </w:rPr>
        <w:t>2</w:t>
      </w:r>
      <w:r>
        <w:rPr>
          <w:rFonts w:hint="eastAsia" w:ascii="宋体" w:hAnsi="宋体"/>
          <w:color w:val="auto"/>
          <w:highlight w:val="none"/>
          <w:lang w:val="en-US" w:eastAsia="zh-CN"/>
        </w:rPr>
        <w:t>0</w:t>
      </w:r>
      <w:r>
        <w:rPr>
          <w:rFonts w:ascii="宋体" w:hAnsi="宋体"/>
          <w:color w:val="auto"/>
          <w:highlight w:val="none"/>
        </w:rPr>
        <w:t>.1</w:t>
      </w:r>
      <w:r>
        <w:rPr>
          <w:rFonts w:hint="eastAsia" w:ascii="宋体" w:hAnsi="宋体"/>
          <w:color w:val="auto"/>
          <w:highlight w:val="none"/>
        </w:rPr>
        <w:t>条部分或全部终止合同，</w:t>
      </w:r>
      <w:r>
        <w:rPr>
          <w:rFonts w:hint="eastAsia" w:ascii="宋体" w:hAnsi="宋体"/>
          <w:color w:val="auto"/>
          <w:highlight w:val="none"/>
          <w:lang w:eastAsia="zh-CN"/>
        </w:rPr>
        <w:t>甲方</w:t>
      </w:r>
      <w:r>
        <w:rPr>
          <w:rFonts w:hint="eastAsia" w:ascii="宋体" w:hAnsi="宋体"/>
          <w:color w:val="auto"/>
          <w:highlight w:val="none"/>
        </w:rPr>
        <w:t>可就未交货部分按认为适合的方式进行采购，由此造成的类似产品的超价由</w:t>
      </w:r>
      <w:r>
        <w:rPr>
          <w:rFonts w:hint="eastAsia" w:ascii="宋体" w:hAnsi="宋体"/>
          <w:color w:val="auto"/>
          <w:highlight w:val="none"/>
          <w:lang w:eastAsia="zh-CN"/>
        </w:rPr>
        <w:t>乙方</w:t>
      </w:r>
      <w:r>
        <w:rPr>
          <w:rFonts w:hint="eastAsia" w:ascii="宋体" w:hAnsi="宋体"/>
          <w:color w:val="auto"/>
          <w:highlight w:val="none"/>
        </w:rPr>
        <w:t>负责。</w:t>
      </w:r>
      <w:r>
        <w:rPr>
          <w:rFonts w:hint="eastAsia" w:ascii="宋体" w:hAnsi="宋体"/>
          <w:color w:val="auto"/>
          <w:highlight w:val="none"/>
          <w:lang w:eastAsia="zh-CN"/>
        </w:rPr>
        <w:t>乙方</w:t>
      </w:r>
      <w:r>
        <w:rPr>
          <w:rFonts w:hint="eastAsia" w:ascii="宋体" w:hAnsi="宋体"/>
          <w:color w:val="auto"/>
          <w:highlight w:val="none"/>
        </w:rPr>
        <w:t>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678" w:name="_Toc9699"/>
      <w:bookmarkStart w:id="1679" w:name="_Toc18938"/>
      <w:bookmarkStart w:id="1680" w:name="_Toc19130"/>
      <w:bookmarkStart w:id="1681" w:name="_Toc27131"/>
      <w:bookmarkStart w:id="1682" w:name="_Toc26288"/>
      <w:bookmarkStart w:id="1683" w:name="_Toc17552"/>
      <w:bookmarkStart w:id="1684" w:name="_Toc29284"/>
      <w:bookmarkStart w:id="1685" w:name="_Toc15636"/>
      <w:bookmarkStart w:id="1686" w:name="_Toc27804"/>
      <w:bookmarkStart w:id="1687" w:name="_Toc370933879"/>
      <w:bookmarkStart w:id="1688" w:name="_Toc1299"/>
      <w:bookmarkStart w:id="1689" w:name="_Toc2356"/>
      <w:bookmarkStart w:id="1690" w:name="_Toc390098488"/>
      <w:bookmarkStart w:id="1691" w:name="_Toc17764"/>
      <w:bookmarkStart w:id="1692" w:name="_Toc26166"/>
      <w:bookmarkStart w:id="1693" w:name="_Toc385427862"/>
      <w:bookmarkStart w:id="1694" w:name="_Toc10559"/>
      <w:bookmarkStart w:id="1695" w:name="_Toc492478786"/>
      <w:bookmarkStart w:id="1696" w:name="_Toc9989"/>
      <w:bookmarkStart w:id="1697" w:name="_Toc19811"/>
      <w:bookmarkStart w:id="1698" w:name="_Toc25750657"/>
      <w:bookmarkStart w:id="1699" w:name="_Toc13372"/>
      <w:bookmarkStart w:id="1700" w:name="_Toc18674"/>
      <w:bookmarkStart w:id="1701" w:name="_Toc23635"/>
      <w:bookmarkStart w:id="1702" w:name="_Toc378514976"/>
      <w:r>
        <w:rPr>
          <w:rFonts w:hint="eastAsia" w:ascii="宋体" w:hAnsi="宋体"/>
          <w:b/>
          <w:color w:val="auto"/>
          <w:highlight w:val="none"/>
          <w:lang w:val="en-US" w:eastAsia="zh-CN"/>
        </w:rPr>
        <w:t>19</w:t>
      </w:r>
      <w:r>
        <w:rPr>
          <w:rFonts w:hint="eastAsia" w:ascii="宋体" w:hAnsi="宋体"/>
          <w:b/>
          <w:color w:val="auto"/>
          <w:highlight w:val="none"/>
        </w:rPr>
        <w:t>.破产终止</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numPr>
          <w:ilvl w:val="-1"/>
          <w:numId w:val="0"/>
        </w:numPr>
        <w:tabs>
          <w:tab w:val="left" w:pos="9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19.1</w:t>
      </w:r>
      <w:r>
        <w:rPr>
          <w:rFonts w:hint="eastAsia" w:ascii="宋体" w:hAnsi="宋体"/>
          <w:color w:val="auto"/>
          <w:highlight w:val="none"/>
          <w:lang w:val="en-US" w:eastAsia="zh-CN"/>
        </w:rPr>
        <w:tab/>
      </w:r>
      <w:r>
        <w:rPr>
          <w:rFonts w:hint="eastAsia" w:ascii="宋体" w:hAnsi="宋体"/>
          <w:color w:val="auto"/>
          <w:highlight w:val="none"/>
        </w:rPr>
        <w:t>如</w:t>
      </w:r>
      <w:r>
        <w:rPr>
          <w:rFonts w:hint="eastAsia" w:ascii="宋体" w:hAnsi="宋体"/>
          <w:color w:val="auto"/>
          <w:highlight w:val="none"/>
          <w:lang w:eastAsia="zh-CN"/>
        </w:rPr>
        <w:t>乙方</w:t>
      </w:r>
      <w:r>
        <w:rPr>
          <w:rFonts w:hint="eastAsia" w:ascii="宋体" w:hAnsi="宋体"/>
          <w:color w:val="auto"/>
          <w:highlight w:val="none"/>
        </w:rPr>
        <w:t>破产，</w:t>
      </w:r>
      <w:r>
        <w:rPr>
          <w:rFonts w:hint="eastAsia" w:ascii="宋体" w:hAnsi="宋体"/>
          <w:color w:val="auto"/>
          <w:highlight w:val="none"/>
          <w:lang w:eastAsia="zh-CN"/>
        </w:rPr>
        <w:t>甲方</w:t>
      </w:r>
      <w:r>
        <w:rPr>
          <w:rFonts w:hint="eastAsia" w:ascii="宋体" w:hAnsi="宋体"/>
          <w:color w:val="auto"/>
          <w:highlight w:val="none"/>
        </w:rPr>
        <w:t>有权可以在任意时间，以书面形式通知终止合同，且不必补偿</w:t>
      </w:r>
      <w:r>
        <w:rPr>
          <w:rFonts w:hint="eastAsia" w:ascii="宋体" w:hAnsi="宋体"/>
          <w:color w:val="auto"/>
          <w:highlight w:val="none"/>
          <w:lang w:val="en-US" w:eastAsia="zh-CN"/>
        </w:rPr>
        <w:t>乙方</w:t>
      </w:r>
      <w:r>
        <w:rPr>
          <w:rFonts w:hint="eastAsia" w:ascii="宋体" w:hAnsi="宋体"/>
          <w:color w:val="auto"/>
          <w:highlight w:val="none"/>
        </w:rPr>
        <w:t>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703" w:name="_Toc31954"/>
      <w:bookmarkStart w:id="1704" w:name="_Toc10887"/>
      <w:bookmarkStart w:id="1705" w:name="_Toc28429"/>
      <w:bookmarkStart w:id="1706" w:name="_Toc28919"/>
      <w:bookmarkStart w:id="1707" w:name="_Toc32601"/>
      <w:bookmarkStart w:id="1708" w:name="_Toc378514977"/>
      <w:bookmarkStart w:id="1709" w:name="_Toc8002"/>
      <w:bookmarkStart w:id="1710" w:name="_Toc385427863"/>
      <w:bookmarkStart w:id="1711" w:name="_Toc14059"/>
      <w:bookmarkStart w:id="1712" w:name="_Toc11490"/>
      <w:bookmarkStart w:id="1713" w:name="_Toc5847"/>
      <w:bookmarkStart w:id="1714" w:name="_Toc22731"/>
      <w:bookmarkStart w:id="1715" w:name="_Toc14761"/>
      <w:bookmarkStart w:id="1716" w:name="_Toc24054"/>
      <w:bookmarkStart w:id="1717" w:name="_Toc390098489"/>
      <w:bookmarkStart w:id="1718" w:name="_Toc370933880"/>
      <w:bookmarkStart w:id="1719" w:name="_Toc492478787"/>
      <w:bookmarkStart w:id="1720" w:name="_Toc3150"/>
      <w:bookmarkStart w:id="1721" w:name="_Toc13603"/>
      <w:bookmarkStart w:id="1722" w:name="_Toc8795"/>
      <w:bookmarkStart w:id="1723" w:name="_Toc25750658"/>
      <w:bookmarkStart w:id="1724" w:name="_Toc24032"/>
      <w:bookmarkStart w:id="1725" w:name="_Toc31893"/>
      <w:bookmarkStart w:id="1726" w:name="_Toc5275"/>
      <w:bookmarkStart w:id="1727" w:name="_Toc12574"/>
      <w:r>
        <w:rPr>
          <w:rFonts w:hint="eastAsia" w:ascii="宋体" w:hAnsi="宋体"/>
          <w:b/>
          <w:color w:val="auto"/>
          <w:highlight w:val="none"/>
        </w:rPr>
        <w:t>2</w:t>
      </w:r>
      <w:r>
        <w:rPr>
          <w:rFonts w:hint="eastAsia" w:ascii="宋体" w:hAnsi="宋体"/>
          <w:b/>
          <w:color w:val="auto"/>
          <w:highlight w:val="none"/>
          <w:lang w:val="en-US" w:eastAsia="zh-CN"/>
        </w:rPr>
        <w:t>0</w:t>
      </w:r>
      <w:r>
        <w:rPr>
          <w:rFonts w:hint="eastAsia" w:ascii="宋体" w:hAnsi="宋体"/>
          <w:b/>
          <w:color w:val="auto"/>
          <w:highlight w:val="none"/>
        </w:rPr>
        <w:t>.方便终止</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20.1</w:t>
      </w:r>
      <w:r>
        <w:rPr>
          <w:rFonts w:hint="eastAsia" w:ascii="宋体" w:hAnsi="宋体"/>
          <w:color w:val="auto"/>
          <w:highlight w:val="none"/>
          <w:lang w:val="en-US" w:eastAsia="zh-CN"/>
        </w:rPr>
        <w:tab/>
      </w: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w:t>
      </w:r>
      <w:r>
        <w:rPr>
          <w:rFonts w:hint="eastAsia" w:ascii="宋体" w:hAnsi="宋体"/>
          <w:color w:val="auto"/>
          <w:highlight w:val="none"/>
          <w:lang w:eastAsia="zh-CN"/>
        </w:rPr>
        <w:t>甲方</w:t>
      </w:r>
      <w:r>
        <w:rPr>
          <w:rFonts w:hint="eastAsia" w:ascii="宋体" w:hAnsi="宋体"/>
          <w:color w:val="auto"/>
          <w:highlight w:val="none"/>
        </w:rPr>
        <w:t>应按原合同条款及价格采购。未完成部分，</w:t>
      </w:r>
      <w:r>
        <w:rPr>
          <w:rFonts w:hint="eastAsia" w:ascii="宋体" w:hAnsi="宋体"/>
          <w:color w:val="auto"/>
          <w:highlight w:val="none"/>
          <w:lang w:eastAsia="zh-CN"/>
        </w:rPr>
        <w:t>甲方</w:t>
      </w:r>
      <w:r>
        <w:rPr>
          <w:rFonts w:hint="eastAsia" w:ascii="宋体" w:hAnsi="宋体"/>
          <w:color w:val="auto"/>
          <w:highlight w:val="none"/>
        </w:rPr>
        <w:t>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0</w:t>
      </w:r>
      <w:r>
        <w:rPr>
          <w:rFonts w:hint="eastAsia" w:ascii="宋体" w:hAnsi="宋体"/>
          <w:color w:val="auto"/>
          <w:highlight w:val="none"/>
        </w:rPr>
        <w:t>.1.1</w:t>
      </w:r>
      <w:r>
        <w:rPr>
          <w:rFonts w:hint="eastAsia" w:ascii="宋体" w:hAnsi="宋体"/>
          <w:color w:val="auto"/>
          <w:highlight w:val="none"/>
          <w:lang w:val="en-US" w:eastAsia="zh-CN"/>
        </w:rPr>
        <w:tab/>
      </w:r>
      <w:r>
        <w:rPr>
          <w:rFonts w:hint="eastAsia" w:ascii="宋体" w:hAnsi="宋体"/>
          <w:color w:val="auto"/>
          <w:highlight w:val="none"/>
        </w:rPr>
        <w:t>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0</w:t>
      </w:r>
      <w:r>
        <w:rPr>
          <w:rFonts w:hint="eastAsia" w:ascii="宋体" w:hAnsi="宋体"/>
          <w:color w:val="auto"/>
          <w:highlight w:val="none"/>
        </w:rPr>
        <w:t>.1.2</w:t>
      </w:r>
      <w:r>
        <w:rPr>
          <w:rFonts w:hint="eastAsia" w:ascii="宋体" w:hAnsi="宋体"/>
          <w:color w:val="auto"/>
          <w:highlight w:val="none"/>
          <w:lang w:val="en-US" w:eastAsia="zh-CN"/>
        </w:rPr>
        <w:tab/>
      </w:r>
      <w:r>
        <w:rPr>
          <w:rFonts w:hint="eastAsia" w:ascii="宋体" w:hAnsi="宋体"/>
          <w:color w:val="auto"/>
          <w:highlight w:val="none"/>
          <w:lang w:val="en-US" w:eastAsia="zh-CN"/>
        </w:rPr>
        <w:t xml:space="preserve"> </w:t>
      </w:r>
      <w:r>
        <w:rPr>
          <w:rFonts w:hint="eastAsia" w:ascii="宋体" w:hAnsi="宋体"/>
          <w:color w:val="auto"/>
          <w:highlight w:val="none"/>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28" w:name="_Toc21718"/>
      <w:bookmarkStart w:id="1729" w:name="_Toc24894"/>
      <w:bookmarkStart w:id="1730" w:name="_Toc26831"/>
      <w:bookmarkStart w:id="1731" w:name="_Toc7691"/>
      <w:bookmarkStart w:id="1732" w:name="_Toc29365"/>
      <w:bookmarkStart w:id="1733" w:name="_Toc26667"/>
      <w:bookmarkStart w:id="1734" w:name="_Toc1972"/>
      <w:bookmarkStart w:id="1735" w:name="_Toc1503"/>
      <w:bookmarkStart w:id="1736" w:name="_Toc15352"/>
      <w:bookmarkStart w:id="1737" w:name="_Toc492478788"/>
      <w:bookmarkStart w:id="1738" w:name="_Toc15991"/>
      <w:bookmarkStart w:id="1739" w:name="_Toc10764"/>
      <w:bookmarkStart w:id="1740" w:name="_Toc19072"/>
      <w:bookmarkStart w:id="1741" w:name="_Toc24354"/>
      <w:bookmarkStart w:id="1742" w:name="_Toc390098490"/>
      <w:bookmarkStart w:id="1743" w:name="_Toc17213"/>
      <w:bookmarkStart w:id="1744" w:name="_Toc4002"/>
      <w:bookmarkStart w:id="1745" w:name="_Toc10805"/>
      <w:bookmarkStart w:id="1746" w:name="_Toc378514978"/>
      <w:bookmarkStart w:id="1747" w:name="_Toc370933881"/>
      <w:bookmarkStart w:id="1748" w:name="_Toc25750659"/>
      <w:bookmarkStart w:id="1749" w:name="_Toc16121"/>
      <w:bookmarkStart w:id="1750" w:name="_Toc20058"/>
      <w:bookmarkStart w:id="1751" w:name="_Toc20850"/>
      <w:bookmarkStart w:id="1752" w:name="_Toc385427864"/>
      <w:r>
        <w:rPr>
          <w:rFonts w:hint="eastAsia" w:ascii="宋体" w:hAnsi="宋体"/>
          <w:b/>
          <w:color w:val="auto"/>
          <w:highlight w:val="none"/>
        </w:rPr>
        <w:t>2</w:t>
      </w:r>
      <w:r>
        <w:rPr>
          <w:rFonts w:hint="eastAsia" w:ascii="宋体" w:hAnsi="宋体"/>
          <w:b/>
          <w:color w:val="auto"/>
          <w:highlight w:val="none"/>
          <w:lang w:val="en-US" w:eastAsia="zh-CN"/>
        </w:rPr>
        <w:t>1</w:t>
      </w:r>
      <w:r>
        <w:rPr>
          <w:rFonts w:hint="eastAsia" w:ascii="宋体" w:hAnsi="宋体"/>
          <w:b/>
          <w:color w:val="auto"/>
          <w:highlight w:val="none"/>
        </w:rPr>
        <w:t>.争端的解决</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21.1</w:t>
      </w:r>
      <w:r>
        <w:rPr>
          <w:rFonts w:hint="eastAsia" w:ascii="宋体" w:hAnsi="宋体"/>
          <w:color w:val="auto"/>
          <w:highlight w:val="none"/>
          <w:lang w:val="en-US" w:eastAsia="zh-CN"/>
        </w:rPr>
        <w:tab/>
      </w:r>
      <w:r>
        <w:rPr>
          <w:rFonts w:hint="eastAsia" w:ascii="宋体" w:hAnsi="宋体"/>
          <w:color w:val="auto"/>
          <w:highlight w:val="none"/>
        </w:rPr>
        <w:t>因本合同引起的或与本合同有关的合同争议，由买卖双方协商解决，协商不成的，可向</w:t>
      </w:r>
      <w:r>
        <w:rPr>
          <w:rFonts w:hint="eastAsia" w:ascii="宋体" w:hAnsi="宋体"/>
          <w:color w:val="auto"/>
          <w:highlight w:val="none"/>
          <w:lang w:eastAsia="zh-CN"/>
        </w:rPr>
        <w:t>甲方</w:t>
      </w:r>
      <w:r>
        <w:rPr>
          <w:rFonts w:hint="eastAsia" w:ascii="宋体" w:hAnsi="宋体"/>
          <w:color w:val="auto"/>
          <w:highlight w:val="none"/>
        </w:rPr>
        <w:t>住所地有管辖权的人民法院提起诉讼。</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21.2</w:t>
      </w:r>
      <w:r>
        <w:rPr>
          <w:rFonts w:hint="eastAsia" w:ascii="宋体" w:hAnsi="宋体"/>
          <w:color w:val="auto"/>
          <w:highlight w:val="none"/>
          <w:lang w:val="en-US" w:eastAsia="zh-CN"/>
        </w:rPr>
        <w:tab/>
      </w:r>
      <w:r>
        <w:rPr>
          <w:rFonts w:hint="eastAsia" w:ascii="宋体" w:hAnsi="宋体"/>
          <w:color w:val="auto"/>
          <w:highlight w:val="none"/>
        </w:rPr>
        <w:t>除非各方另有约定，诉讼语言应为汉语。</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21.3</w:t>
      </w:r>
      <w:r>
        <w:rPr>
          <w:rFonts w:hint="eastAsia" w:ascii="宋体" w:hAnsi="宋体"/>
          <w:color w:val="auto"/>
          <w:highlight w:val="none"/>
          <w:lang w:val="en-US" w:eastAsia="zh-CN"/>
        </w:rPr>
        <w:tab/>
      </w:r>
      <w:r>
        <w:rPr>
          <w:rFonts w:hint="eastAsia" w:ascii="宋体" w:hAnsi="宋体"/>
          <w:color w:val="auto"/>
          <w:highlight w:val="none"/>
        </w:rPr>
        <w:t>法院判决应为最终裁决，对双方均具有约束力。</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21.4</w:t>
      </w:r>
      <w:r>
        <w:rPr>
          <w:rFonts w:hint="eastAsia" w:ascii="宋体" w:hAnsi="宋体"/>
          <w:color w:val="auto"/>
          <w:highlight w:val="none"/>
          <w:lang w:val="en-US" w:eastAsia="zh-CN"/>
        </w:rPr>
        <w:tab/>
      </w:r>
      <w:r>
        <w:rPr>
          <w:rFonts w:hint="eastAsia" w:ascii="宋体" w:hAnsi="宋体"/>
          <w:color w:val="auto"/>
          <w:highlight w:val="none"/>
        </w:rPr>
        <w:t>诉讼费应由败诉方负担。</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21.5</w:t>
      </w:r>
      <w:r>
        <w:rPr>
          <w:rFonts w:hint="eastAsia" w:ascii="宋体" w:hAnsi="宋体"/>
          <w:color w:val="auto"/>
          <w:highlight w:val="none"/>
          <w:lang w:val="en-US" w:eastAsia="zh-CN"/>
        </w:rPr>
        <w:tab/>
      </w: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753" w:name="_Toc9395"/>
      <w:bookmarkStart w:id="1754" w:name="_Toc25750660"/>
      <w:bookmarkStart w:id="1755" w:name="_Toc26376"/>
      <w:bookmarkStart w:id="1756" w:name="_Toc28145"/>
      <w:bookmarkStart w:id="1757" w:name="_Toc385427865"/>
      <w:bookmarkStart w:id="1758" w:name="_Toc16935"/>
      <w:bookmarkStart w:id="1759" w:name="_Toc370933882"/>
      <w:bookmarkStart w:id="1760" w:name="_Toc11947"/>
      <w:bookmarkStart w:id="1761" w:name="_Toc19227"/>
      <w:bookmarkStart w:id="1762" w:name="_Toc25167"/>
      <w:bookmarkStart w:id="1763" w:name="_Toc21064"/>
      <w:bookmarkStart w:id="1764" w:name="_Toc16769"/>
      <w:bookmarkStart w:id="1765" w:name="_Toc1271"/>
      <w:bookmarkStart w:id="1766" w:name="_Toc23425"/>
      <w:bookmarkStart w:id="1767" w:name="_Toc7510"/>
      <w:bookmarkStart w:id="1768" w:name="_Toc12179"/>
      <w:bookmarkStart w:id="1769" w:name="_Toc22003"/>
      <w:bookmarkStart w:id="1770" w:name="_Toc492478789"/>
      <w:bookmarkStart w:id="1771" w:name="_Toc16475"/>
      <w:bookmarkStart w:id="1772" w:name="_Toc28185"/>
      <w:bookmarkStart w:id="1773" w:name="_Toc27659"/>
      <w:bookmarkStart w:id="1774" w:name="_Toc390098491"/>
      <w:bookmarkStart w:id="1775" w:name="_Toc6134"/>
      <w:bookmarkStart w:id="1776" w:name="_Toc378514979"/>
      <w:r>
        <w:rPr>
          <w:rFonts w:hint="eastAsia" w:ascii="宋体" w:hAnsi="宋体"/>
          <w:b/>
          <w:color w:val="auto"/>
          <w:highlight w:val="none"/>
        </w:rPr>
        <w:t>2</w:t>
      </w:r>
      <w:r>
        <w:rPr>
          <w:rFonts w:hint="eastAsia" w:ascii="宋体" w:hAnsi="宋体"/>
          <w:b/>
          <w:color w:val="auto"/>
          <w:highlight w:val="none"/>
          <w:lang w:val="en-US" w:eastAsia="zh-CN"/>
        </w:rPr>
        <w:t>2</w:t>
      </w:r>
      <w:r>
        <w:rPr>
          <w:rFonts w:hint="eastAsia" w:ascii="宋体" w:hAnsi="宋体"/>
          <w:b/>
          <w:color w:val="auto"/>
          <w:highlight w:val="none"/>
        </w:rPr>
        <w:t>.语言</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numPr>
          <w:ilvl w:val="-1"/>
          <w:numId w:val="0"/>
        </w:numPr>
        <w:tabs>
          <w:tab w:val="left" w:pos="9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22.1</w:t>
      </w:r>
      <w:r>
        <w:rPr>
          <w:rFonts w:hint="eastAsia" w:ascii="宋体" w:hAnsi="宋体"/>
          <w:color w:val="auto"/>
          <w:highlight w:val="none"/>
          <w:lang w:val="en-US" w:eastAsia="zh-CN"/>
        </w:rPr>
        <w:tab/>
      </w:r>
      <w:r>
        <w:rPr>
          <w:rFonts w:hint="eastAsia" w:ascii="宋体" w:hAnsi="宋体"/>
          <w:color w:val="auto"/>
          <w:highlight w:val="none"/>
        </w:rPr>
        <w:t>本合同语言为中文。</w:t>
      </w:r>
    </w:p>
    <w:p>
      <w:pPr>
        <w:numPr>
          <w:ilvl w:val="-1"/>
          <w:numId w:val="0"/>
        </w:numPr>
        <w:tabs>
          <w:tab w:val="left" w:pos="94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22.2</w:t>
      </w:r>
      <w:r>
        <w:rPr>
          <w:rFonts w:hint="eastAsia" w:ascii="宋体" w:hAnsi="宋体"/>
          <w:color w:val="auto"/>
          <w:highlight w:val="none"/>
          <w:lang w:val="en-US" w:eastAsia="zh-CN"/>
        </w:rPr>
        <w:tab/>
      </w: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0"/>
        </w:numPr>
        <w:tabs>
          <w:tab w:val="left" w:pos="9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22.3</w:t>
      </w:r>
      <w:r>
        <w:rPr>
          <w:rFonts w:hint="eastAsia" w:ascii="宋体" w:hAnsi="宋体"/>
          <w:color w:val="auto"/>
          <w:highlight w:val="none"/>
          <w:lang w:val="en-US" w:eastAsia="zh-CN"/>
        </w:rPr>
        <w:tab/>
      </w:r>
      <w:r>
        <w:rPr>
          <w:rFonts w:hint="eastAsia" w:ascii="宋体" w:hAnsi="宋体"/>
          <w:color w:val="auto"/>
          <w:highlight w:val="none"/>
          <w:lang w:eastAsia="zh-CN"/>
        </w:rPr>
        <w:t>乙方</w:t>
      </w:r>
      <w:r>
        <w:rPr>
          <w:rFonts w:hint="eastAsia" w:ascii="宋体" w:hAnsi="宋体"/>
          <w:color w:val="auto"/>
          <w:highlight w:val="none"/>
        </w:rPr>
        <w:t>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777" w:name="_Toc2075"/>
      <w:bookmarkStart w:id="1778" w:name="_Toc27380"/>
      <w:bookmarkStart w:id="1779" w:name="_Toc23513"/>
      <w:bookmarkStart w:id="1780" w:name="_Toc12520"/>
      <w:bookmarkStart w:id="1781" w:name="_Toc10482"/>
      <w:bookmarkStart w:id="1782" w:name="_Toc6951"/>
      <w:bookmarkStart w:id="1783" w:name="_Toc492478790"/>
      <w:bookmarkStart w:id="1784" w:name="_Toc27111"/>
      <w:bookmarkStart w:id="1785" w:name="_Toc14784"/>
      <w:bookmarkStart w:id="1786" w:name="_Toc390098492"/>
      <w:bookmarkStart w:id="1787" w:name="_Toc20613"/>
      <w:bookmarkStart w:id="1788" w:name="_Toc18902"/>
      <w:bookmarkStart w:id="1789" w:name="_Toc19166"/>
      <w:bookmarkStart w:id="1790" w:name="_Toc12823"/>
      <w:bookmarkStart w:id="1791" w:name="_Toc8756"/>
      <w:bookmarkStart w:id="1792" w:name="_Toc10209"/>
      <w:bookmarkStart w:id="1793" w:name="_Toc10832"/>
      <w:bookmarkStart w:id="1794" w:name="_Toc385427866"/>
      <w:bookmarkStart w:id="1795" w:name="_Toc378514980"/>
      <w:bookmarkStart w:id="1796" w:name="_Toc370933883"/>
      <w:bookmarkStart w:id="1797" w:name="_Toc21361"/>
      <w:bookmarkStart w:id="1798" w:name="_Toc25403"/>
      <w:bookmarkStart w:id="1799" w:name="_Toc14320"/>
      <w:bookmarkStart w:id="1800" w:name="_Toc2898"/>
      <w:bookmarkStart w:id="1801" w:name="_Toc25750661"/>
      <w:r>
        <w:rPr>
          <w:rFonts w:hint="eastAsia" w:ascii="宋体" w:hAnsi="宋体"/>
          <w:b/>
          <w:color w:val="auto"/>
          <w:highlight w:val="none"/>
        </w:rPr>
        <w:t>2</w:t>
      </w:r>
      <w:r>
        <w:rPr>
          <w:rFonts w:hint="eastAsia" w:ascii="宋体" w:hAnsi="宋体"/>
          <w:b/>
          <w:color w:val="auto"/>
          <w:highlight w:val="none"/>
          <w:lang w:val="en-US" w:eastAsia="zh-CN"/>
        </w:rPr>
        <w:t>3</w:t>
      </w:r>
      <w:r>
        <w:rPr>
          <w:rFonts w:hint="eastAsia" w:ascii="宋体" w:hAnsi="宋体"/>
          <w:b/>
          <w:color w:val="auto"/>
          <w:highlight w:val="none"/>
        </w:rPr>
        <w:t>.适用法律</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23.1</w:t>
      </w: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802" w:name="_Toc32071"/>
      <w:bookmarkStart w:id="1803" w:name="_Toc25750662"/>
      <w:bookmarkStart w:id="1804" w:name="_Toc3019"/>
      <w:bookmarkStart w:id="1805" w:name="_Toc15635"/>
      <w:bookmarkStart w:id="1806" w:name="_Toc3785"/>
      <w:bookmarkStart w:id="1807" w:name="_Toc492478791"/>
      <w:bookmarkStart w:id="1808" w:name="_Toc385427867"/>
      <w:bookmarkStart w:id="1809" w:name="_Toc22330"/>
      <w:bookmarkStart w:id="1810" w:name="_Toc378514981"/>
      <w:bookmarkStart w:id="1811" w:name="_Toc370933884"/>
      <w:bookmarkStart w:id="1812" w:name="_Toc28875"/>
      <w:bookmarkStart w:id="1813" w:name="_Toc19209"/>
      <w:bookmarkStart w:id="1814" w:name="_Toc2458"/>
      <w:bookmarkStart w:id="1815" w:name="_Toc6374"/>
      <w:bookmarkStart w:id="1816" w:name="_Toc6421"/>
      <w:bookmarkStart w:id="1817" w:name="_Toc17344"/>
      <w:bookmarkStart w:id="1818" w:name="_Toc32638"/>
      <w:bookmarkStart w:id="1819" w:name="_Toc10304"/>
      <w:bookmarkStart w:id="1820" w:name="_Toc23442"/>
      <w:bookmarkStart w:id="1821" w:name="_Toc25119"/>
      <w:bookmarkStart w:id="1822" w:name="_Toc30721"/>
      <w:bookmarkStart w:id="1823" w:name="_Toc390098493"/>
      <w:bookmarkStart w:id="1824" w:name="_Toc13343"/>
      <w:bookmarkStart w:id="1825" w:name="_Toc26295"/>
      <w:bookmarkStart w:id="1826" w:name="_Toc864"/>
      <w:r>
        <w:rPr>
          <w:rFonts w:hint="eastAsia" w:ascii="宋体" w:hAnsi="宋体"/>
          <w:b/>
          <w:color w:val="auto"/>
          <w:highlight w:val="none"/>
        </w:rPr>
        <w:t>2</w:t>
      </w:r>
      <w:r>
        <w:rPr>
          <w:rFonts w:hint="eastAsia" w:ascii="宋体" w:hAnsi="宋体"/>
          <w:b/>
          <w:color w:val="auto"/>
          <w:highlight w:val="none"/>
          <w:lang w:val="en-US" w:eastAsia="zh-CN"/>
        </w:rPr>
        <w:t>4</w:t>
      </w:r>
      <w:r>
        <w:rPr>
          <w:rFonts w:hint="eastAsia" w:ascii="宋体" w:hAnsi="宋体"/>
          <w:b/>
          <w:color w:val="auto"/>
          <w:highlight w:val="none"/>
        </w:rPr>
        <w:t>.通知</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24.1</w:t>
      </w:r>
      <w:r>
        <w:rPr>
          <w:rFonts w:hint="eastAsia" w:ascii="宋体" w:hAnsi="宋体"/>
          <w:color w:val="auto"/>
          <w:highlight w:val="none"/>
          <w:lang w:val="en-US" w:eastAsia="zh-CN"/>
        </w:rPr>
        <w:tab/>
      </w: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24.2</w:t>
      </w:r>
      <w:r>
        <w:rPr>
          <w:rFonts w:hint="eastAsia" w:ascii="宋体" w:hAnsi="宋体"/>
          <w:color w:val="auto"/>
          <w:highlight w:val="none"/>
          <w:lang w:val="en-US" w:eastAsia="zh-CN"/>
        </w:rPr>
        <w:tab/>
      </w:r>
      <w:r>
        <w:rPr>
          <w:rFonts w:hint="eastAsia" w:ascii="宋体" w:hAnsi="宋体"/>
          <w:color w:val="auto"/>
          <w:highlight w:val="none"/>
        </w:rPr>
        <w:t>通知的内容包括合同项下的批复、意见、指令、说明和证据。</w:t>
      </w:r>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24.3</w:t>
      </w:r>
      <w:r>
        <w:rPr>
          <w:rFonts w:hint="eastAsia" w:ascii="宋体" w:hAnsi="宋体"/>
          <w:color w:val="auto"/>
          <w:highlight w:val="none"/>
          <w:lang w:val="en-US" w:eastAsia="zh-CN"/>
        </w:rPr>
        <w:tab/>
      </w: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27" w:name="_Toc370933885"/>
      <w:bookmarkStart w:id="1828" w:name="_Toc378514982"/>
      <w:bookmarkStart w:id="1829" w:name="_Toc492478792"/>
      <w:bookmarkStart w:id="1830" w:name="_Toc7810"/>
      <w:bookmarkStart w:id="1831" w:name="_Toc8544"/>
      <w:bookmarkStart w:id="1832" w:name="_Toc30549"/>
      <w:bookmarkStart w:id="1833" w:name="_Toc12126"/>
      <w:bookmarkStart w:id="1834" w:name="_Toc6793"/>
      <w:bookmarkStart w:id="1835" w:name="_Toc21067"/>
      <w:bookmarkStart w:id="1836" w:name="_Toc29046"/>
      <w:bookmarkStart w:id="1837" w:name="_Toc11314"/>
      <w:bookmarkStart w:id="1838" w:name="_Toc31709"/>
      <w:bookmarkStart w:id="1839" w:name="_Toc1881"/>
      <w:bookmarkStart w:id="1840" w:name="_Toc6110"/>
      <w:bookmarkStart w:id="1841" w:name="_Toc11726"/>
      <w:bookmarkStart w:id="1842" w:name="_Toc390098494"/>
      <w:bookmarkStart w:id="1843" w:name="_Toc32680"/>
      <w:bookmarkStart w:id="1844" w:name="_Toc385427868"/>
      <w:bookmarkStart w:id="1845" w:name="_Toc17127"/>
      <w:bookmarkStart w:id="1846" w:name="_Toc13922"/>
      <w:bookmarkStart w:id="1847" w:name="_Toc27428"/>
      <w:bookmarkStart w:id="1848" w:name="_Toc6173"/>
      <w:bookmarkStart w:id="1849" w:name="_Toc12697"/>
      <w:bookmarkStart w:id="1850" w:name="_Toc25750663"/>
      <w:bookmarkStart w:id="1851" w:name="_Toc1446"/>
      <w:r>
        <w:rPr>
          <w:rFonts w:hint="eastAsia" w:ascii="宋体" w:hAnsi="宋体"/>
          <w:b/>
          <w:color w:val="auto"/>
          <w:highlight w:val="none"/>
        </w:rPr>
        <w:t>2</w:t>
      </w:r>
      <w:r>
        <w:rPr>
          <w:rFonts w:hint="eastAsia" w:ascii="宋体" w:hAnsi="宋体"/>
          <w:b/>
          <w:color w:val="auto"/>
          <w:highlight w:val="none"/>
          <w:lang w:val="en-US" w:eastAsia="zh-CN"/>
        </w:rPr>
        <w:t>5</w:t>
      </w:r>
      <w:r>
        <w:rPr>
          <w:rFonts w:hint="eastAsia" w:ascii="宋体" w:hAnsi="宋体"/>
          <w:b/>
          <w:color w:val="auto"/>
          <w:highlight w:val="none"/>
        </w:rPr>
        <w:t>.税</w:t>
      </w:r>
      <w:bookmarkEnd w:id="1827"/>
      <w:bookmarkEnd w:id="1828"/>
      <w:r>
        <w:rPr>
          <w:rFonts w:hint="eastAsia" w:ascii="宋体" w:hAnsi="宋体"/>
          <w:b/>
          <w:color w:val="auto"/>
          <w:highlight w:val="none"/>
        </w:rPr>
        <w:t>费</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numPr>
          <w:ilvl w:val="-1"/>
          <w:numId w:val="0"/>
        </w:numPr>
        <w:tabs>
          <w:tab w:val="left" w:pos="96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25.1</w:t>
      </w:r>
      <w:r>
        <w:rPr>
          <w:rFonts w:hint="eastAsia" w:ascii="宋体" w:hAnsi="宋体"/>
          <w:color w:val="auto"/>
          <w:highlight w:val="none"/>
          <w:lang w:val="en-US" w:eastAsia="zh-CN"/>
        </w:rPr>
        <w:tab/>
      </w:r>
      <w:r>
        <w:rPr>
          <w:rFonts w:hint="eastAsia" w:ascii="宋体" w:hAnsi="宋体"/>
          <w:color w:val="auto"/>
          <w:highlight w:val="none"/>
        </w:rPr>
        <w:t>由中国政府根据现行税法向</w:t>
      </w:r>
      <w:r>
        <w:rPr>
          <w:rFonts w:hint="eastAsia" w:ascii="宋体" w:hAnsi="宋体"/>
          <w:color w:val="auto"/>
          <w:highlight w:val="none"/>
          <w:lang w:eastAsia="zh-CN"/>
        </w:rPr>
        <w:t>甲方</w:t>
      </w:r>
      <w:r>
        <w:rPr>
          <w:rFonts w:hint="eastAsia" w:ascii="宋体" w:hAnsi="宋体"/>
          <w:color w:val="auto"/>
          <w:highlight w:val="none"/>
        </w:rPr>
        <w:t>征收的与合同执行有关的所有税款，应由</w:t>
      </w:r>
      <w:r>
        <w:rPr>
          <w:rFonts w:hint="eastAsia" w:ascii="宋体" w:hAnsi="宋体"/>
          <w:color w:val="auto"/>
          <w:highlight w:val="none"/>
          <w:lang w:eastAsia="zh-CN"/>
        </w:rPr>
        <w:t>甲方</w:t>
      </w:r>
      <w:r>
        <w:rPr>
          <w:rFonts w:hint="eastAsia" w:ascii="宋体" w:hAnsi="宋体"/>
          <w:color w:val="auto"/>
          <w:highlight w:val="none"/>
        </w:rPr>
        <w:t>承担。</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25.2</w:t>
      </w:r>
      <w:r>
        <w:rPr>
          <w:rFonts w:hint="eastAsia" w:ascii="宋体" w:hAnsi="宋体"/>
          <w:color w:val="auto"/>
          <w:highlight w:val="none"/>
          <w:lang w:val="en-US" w:eastAsia="zh-CN"/>
        </w:rPr>
        <w:tab/>
      </w:r>
      <w:r>
        <w:rPr>
          <w:rFonts w:hint="eastAsia" w:ascii="宋体" w:hAnsi="宋体"/>
          <w:color w:val="auto"/>
          <w:highlight w:val="none"/>
        </w:rPr>
        <w:t>由中国政府根据现行税法向</w:t>
      </w:r>
      <w:r>
        <w:rPr>
          <w:rFonts w:hint="eastAsia" w:ascii="宋体" w:hAnsi="宋体"/>
          <w:color w:val="auto"/>
          <w:highlight w:val="none"/>
          <w:lang w:eastAsia="zh-CN"/>
        </w:rPr>
        <w:t>乙方</w:t>
      </w:r>
      <w:r>
        <w:rPr>
          <w:rFonts w:hint="eastAsia" w:ascii="宋体" w:hAnsi="宋体"/>
          <w:color w:val="auto"/>
          <w:highlight w:val="none"/>
        </w:rPr>
        <w:t>征收的与合同执行有关的所有税款，应由</w:t>
      </w:r>
      <w:r>
        <w:rPr>
          <w:rFonts w:hint="eastAsia" w:ascii="宋体" w:hAnsi="宋体"/>
          <w:color w:val="auto"/>
          <w:highlight w:val="none"/>
          <w:lang w:eastAsia="zh-CN"/>
        </w:rPr>
        <w:t>乙方</w:t>
      </w:r>
      <w:r>
        <w:rPr>
          <w:rFonts w:hint="eastAsia" w:ascii="宋体" w:hAnsi="宋体"/>
          <w:color w:val="auto"/>
          <w:highlight w:val="none"/>
        </w:rPr>
        <w:t>承担，并已包含在合同总价中。</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25.3</w:t>
      </w:r>
      <w:r>
        <w:rPr>
          <w:rFonts w:hint="eastAsia" w:ascii="宋体" w:hAnsi="宋体"/>
          <w:color w:val="auto"/>
          <w:highlight w:val="none"/>
        </w:rPr>
        <w:t>由中国政府根据现行个人所得税法向</w:t>
      </w:r>
      <w:r>
        <w:rPr>
          <w:rFonts w:hint="eastAsia" w:ascii="宋体" w:hAnsi="宋体"/>
          <w:color w:val="auto"/>
          <w:highlight w:val="none"/>
          <w:lang w:eastAsia="zh-CN"/>
        </w:rPr>
        <w:t>乙方</w:t>
      </w:r>
      <w:r>
        <w:rPr>
          <w:rFonts w:hint="eastAsia" w:ascii="宋体" w:hAnsi="宋体"/>
          <w:color w:val="auto"/>
          <w:highlight w:val="none"/>
        </w:rPr>
        <w:t>征收的与合同执行有关的所有个人所得税款，应由</w:t>
      </w:r>
      <w:r>
        <w:rPr>
          <w:rFonts w:hint="eastAsia" w:ascii="宋体" w:hAnsi="宋体"/>
          <w:color w:val="auto"/>
          <w:highlight w:val="none"/>
          <w:lang w:eastAsia="zh-CN"/>
        </w:rPr>
        <w:t>乙方</w:t>
      </w:r>
      <w:r>
        <w:rPr>
          <w:rFonts w:hint="eastAsia" w:ascii="宋体" w:hAnsi="宋体"/>
          <w:color w:val="auto"/>
          <w:highlight w:val="none"/>
        </w:rPr>
        <w:t>承担，并已包含在合同总价中。</w:t>
      </w:r>
    </w:p>
    <w:p>
      <w:pPr>
        <w:numPr>
          <w:ilvl w:val="-1"/>
          <w:numId w:val="0"/>
        </w:numPr>
        <w:tabs>
          <w:tab w:val="left" w:pos="9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25.4</w:t>
      </w:r>
      <w:r>
        <w:rPr>
          <w:rFonts w:hint="eastAsia" w:ascii="宋体" w:hAnsi="宋体"/>
          <w:color w:val="auto"/>
          <w:highlight w:val="none"/>
          <w:lang w:eastAsia="zh-CN"/>
        </w:rPr>
        <w:t>乙方</w:t>
      </w:r>
      <w:r>
        <w:rPr>
          <w:rFonts w:hint="eastAsia" w:ascii="宋体" w:hAnsi="宋体"/>
          <w:color w:val="auto"/>
          <w:highlight w:val="none"/>
        </w:rPr>
        <w:t>必须保证所开具的发票符合中华人民共和国税法等相关法律法规，且由此产生的一切后果，由</w:t>
      </w:r>
      <w:r>
        <w:rPr>
          <w:rFonts w:hint="eastAsia" w:ascii="宋体" w:hAnsi="宋体"/>
          <w:color w:val="auto"/>
          <w:highlight w:val="none"/>
          <w:lang w:eastAsia="zh-CN"/>
        </w:rPr>
        <w:t>乙方</w:t>
      </w:r>
      <w:r>
        <w:rPr>
          <w:rFonts w:hint="eastAsia" w:ascii="宋体" w:hAnsi="宋体"/>
          <w:color w:val="auto"/>
          <w:highlight w:val="none"/>
        </w:rPr>
        <w:t>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2" w:name="_Toc9994"/>
      <w:r>
        <w:rPr>
          <w:rFonts w:hint="eastAsia" w:ascii="宋体" w:hAnsi="宋体"/>
          <w:b/>
          <w:color w:val="auto"/>
          <w:highlight w:val="none"/>
          <w:lang w:val="en-US" w:eastAsia="zh-CN"/>
        </w:rPr>
        <w:t>26</w:t>
      </w:r>
      <w:r>
        <w:rPr>
          <w:rFonts w:hint="eastAsia" w:ascii="宋体" w:hAnsi="宋体"/>
          <w:b/>
          <w:color w:val="auto"/>
          <w:highlight w:val="none"/>
        </w:rPr>
        <w:t>.合同标的</w:t>
      </w:r>
      <w:bookmarkEnd w:id="1852"/>
    </w:p>
    <w:p>
      <w:pPr>
        <w:numPr>
          <w:ilvl w:val="-1"/>
          <w:numId w:val="0"/>
        </w:numPr>
        <w:tabs>
          <w:tab w:val="left" w:pos="10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26.1</w:t>
      </w:r>
      <w:r>
        <w:rPr>
          <w:rFonts w:hint="eastAsia" w:ascii="宋体" w:hAnsi="宋体"/>
          <w:color w:val="auto"/>
          <w:highlight w:val="none"/>
        </w:rPr>
        <w:t>合同生效后，买卖双方按合同约定提供本项目</w:t>
      </w:r>
      <w:r>
        <w:rPr>
          <w:rFonts w:hint="eastAsia" w:ascii="宋体" w:hAnsi="宋体"/>
          <w:color w:val="auto"/>
          <w:highlight w:val="none"/>
          <w:lang w:val="en-US" w:eastAsia="zh-CN"/>
        </w:rPr>
        <w:t>的相关服务</w:t>
      </w:r>
      <w:r>
        <w:rPr>
          <w:rFonts w:hint="eastAsia" w:ascii="宋体" w:hAnsi="宋体"/>
          <w:color w:val="auto"/>
          <w:highlight w:val="none"/>
        </w:rPr>
        <w:t>。</w:t>
      </w:r>
    </w:p>
    <w:p>
      <w:pPr>
        <w:numPr>
          <w:ilvl w:val="-1"/>
          <w:numId w:val="0"/>
        </w:numPr>
        <w:tabs>
          <w:tab w:val="left" w:pos="10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26.2</w:t>
      </w:r>
      <w:r>
        <w:rPr>
          <w:rFonts w:hint="eastAsia" w:ascii="宋体" w:hAnsi="宋体"/>
          <w:color w:val="auto"/>
          <w:highlight w:val="none"/>
        </w:rPr>
        <w:t>除非合同中另有约定，</w:t>
      </w:r>
      <w:r>
        <w:rPr>
          <w:rFonts w:hint="eastAsia" w:ascii="宋体" w:hAnsi="宋体"/>
          <w:color w:val="auto"/>
          <w:highlight w:val="none"/>
          <w:lang w:eastAsia="zh-CN"/>
        </w:rPr>
        <w:t>乙方</w:t>
      </w:r>
      <w:r>
        <w:rPr>
          <w:rFonts w:hint="eastAsia" w:ascii="宋体" w:hAnsi="宋体"/>
          <w:color w:val="auto"/>
          <w:highlight w:val="none"/>
        </w:rPr>
        <w:t>要负责</w:t>
      </w:r>
      <w:r>
        <w:rPr>
          <w:rFonts w:hint="eastAsia" w:ascii="宋体" w:hAnsi="宋体"/>
          <w:color w:val="auto"/>
          <w:highlight w:val="none"/>
          <w:lang w:val="en-US" w:eastAsia="zh-CN"/>
        </w:rPr>
        <w:t>该项目的</w:t>
      </w:r>
      <w:r>
        <w:rPr>
          <w:rFonts w:hint="eastAsia" w:ascii="宋体" w:hAnsi="宋体"/>
          <w:color w:val="auto"/>
          <w:highlight w:val="none"/>
        </w:rPr>
        <w:t>所有服务</w:t>
      </w:r>
      <w:r>
        <w:rPr>
          <w:rFonts w:hint="eastAsia" w:ascii="宋体" w:hAnsi="宋体"/>
          <w:color w:val="auto"/>
          <w:highlight w:val="none"/>
          <w:lang w:val="en-US" w:eastAsia="zh-CN"/>
        </w:rPr>
        <w:t>内容</w:t>
      </w:r>
      <w:r>
        <w:rPr>
          <w:rFonts w:hint="eastAsia" w:ascii="宋体" w:hAnsi="宋体"/>
          <w:color w:val="auto"/>
          <w:highlight w:val="none"/>
        </w:rPr>
        <w:t>。</w:t>
      </w:r>
    </w:p>
    <w:p>
      <w:pPr>
        <w:numPr>
          <w:ilvl w:val="-1"/>
          <w:numId w:val="0"/>
        </w:numPr>
        <w:tabs>
          <w:tab w:val="left" w:pos="104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26.3</w:t>
      </w:r>
      <w:r>
        <w:rPr>
          <w:rFonts w:hint="eastAsia" w:ascii="宋体" w:hAnsi="宋体"/>
          <w:color w:val="auto"/>
          <w:highlight w:val="none"/>
        </w:rPr>
        <w:t>在</w:t>
      </w:r>
      <w:r>
        <w:rPr>
          <w:rFonts w:hint="eastAsia" w:ascii="宋体" w:hAnsi="宋体"/>
          <w:color w:val="auto"/>
          <w:highlight w:val="none"/>
          <w:lang w:eastAsia="zh-CN"/>
        </w:rPr>
        <w:t>甲方</w:t>
      </w:r>
      <w:r>
        <w:rPr>
          <w:rFonts w:hint="eastAsia" w:ascii="宋体" w:hAnsi="宋体"/>
          <w:color w:val="auto"/>
          <w:highlight w:val="none"/>
        </w:rPr>
        <w:t>依照合同规定履行其合同义务的条件下，</w:t>
      </w:r>
      <w:r>
        <w:rPr>
          <w:rFonts w:hint="eastAsia" w:ascii="宋体" w:hAnsi="宋体"/>
          <w:color w:val="auto"/>
          <w:highlight w:val="none"/>
          <w:lang w:eastAsia="zh-CN"/>
        </w:rPr>
        <w:t>乙方</w:t>
      </w:r>
      <w:r>
        <w:rPr>
          <w:rFonts w:hint="eastAsia" w:ascii="宋体" w:hAnsi="宋体"/>
          <w:color w:val="auto"/>
          <w:highlight w:val="none"/>
        </w:rPr>
        <w:t>应承担依照合同规定而履行其合同义务所产生的全部费用。</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26.4</w:t>
      </w:r>
      <w:r>
        <w:rPr>
          <w:rFonts w:hint="eastAsia" w:ascii="宋体" w:hAnsi="宋体"/>
          <w:color w:val="auto"/>
          <w:highlight w:val="none"/>
          <w:lang w:eastAsia="zh-CN"/>
        </w:rPr>
        <w:t>乙方</w:t>
      </w:r>
      <w:r>
        <w:rPr>
          <w:rFonts w:hint="eastAsia" w:ascii="宋体" w:hAnsi="宋体"/>
          <w:color w:val="auto"/>
          <w:highlight w:val="none"/>
        </w:rPr>
        <w:t>应对本合同项下其承担的全部工作实施有效管理。</w:t>
      </w:r>
    </w:p>
    <w:p>
      <w:pPr>
        <w:tabs>
          <w:tab w:val="left" w:pos="860"/>
          <w:tab w:val="left" w:pos="1843"/>
        </w:tabs>
        <w:spacing w:before="0" w:after="0" w:afterAutospacing="0"/>
        <w:ind w:left="0" w:leftChars="0" w:right="0" w:firstLine="422" w:firstLineChars="200"/>
        <w:outlineLvl w:val="1"/>
        <w:rPr>
          <w:rFonts w:ascii="宋体" w:hAnsi="宋体"/>
          <w:b/>
          <w:color w:val="auto"/>
          <w:highlight w:val="none"/>
        </w:rPr>
      </w:pPr>
      <w:bookmarkStart w:id="1853" w:name="_Toc21428"/>
      <w:r>
        <w:rPr>
          <w:rFonts w:hint="eastAsia" w:ascii="宋体" w:hAnsi="宋体"/>
          <w:b/>
          <w:color w:val="auto"/>
          <w:highlight w:val="none"/>
          <w:lang w:val="en-US" w:eastAsia="zh-CN"/>
        </w:rPr>
        <w:t>27</w:t>
      </w:r>
      <w:r>
        <w:rPr>
          <w:rFonts w:ascii="宋体" w:hAnsi="宋体"/>
          <w:b/>
          <w:color w:val="auto"/>
          <w:highlight w:val="none"/>
        </w:rPr>
        <w:t>.</w:t>
      </w:r>
      <w:r>
        <w:rPr>
          <w:rFonts w:hint="eastAsia" w:ascii="宋体" w:hAnsi="宋体"/>
          <w:b/>
          <w:color w:val="auto"/>
          <w:highlight w:val="none"/>
        </w:rPr>
        <w:t>索赔与赔偿</w:t>
      </w:r>
      <w:bookmarkEnd w:id="1853"/>
    </w:p>
    <w:p>
      <w:pPr>
        <w:pStyle w:val="35"/>
        <w:numPr>
          <w:ilvl w:val="-1"/>
          <w:numId w:val="0"/>
        </w:numPr>
        <w:tabs>
          <w:tab w:val="left" w:pos="980"/>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27.1</w:t>
      </w: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w:t>
      </w:r>
      <w:r>
        <w:rPr>
          <w:rFonts w:hint="eastAsia" w:ascii="宋体" w:hAnsi="宋体"/>
          <w:color w:val="auto"/>
          <w:highlight w:val="none"/>
          <w:lang w:eastAsia="zh-CN"/>
        </w:rPr>
        <w:t>乙方</w:t>
      </w:r>
      <w:r>
        <w:rPr>
          <w:rFonts w:hint="eastAsia" w:ascii="宋体" w:hAnsi="宋体"/>
          <w:color w:val="auto"/>
          <w:highlight w:val="none"/>
        </w:rPr>
        <w:t>未能按合同规定的或双方协商确定的交货期交付使用，则</w:t>
      </w:r>
      <w:r>
        <w:rPr>
          <w:rFonts w:hint="eastAsia" w:ascii="宋体" w:hAnsi="宋体"/>
          <w:color w:val="auto"/>
          <w:highlight w:val="none"/>
          <w:lang w:eastAsia="zh-CN"/>
        </w:rPr>
        <w:t>乙方</w:t>
      </w:r>
      <w:r>
        <w:rPr>
          <w:rFonts w:hint="eastAsia" w:ascii="宋体" w:hAnsi="宋体"/>
          <w:color w:val="auto"/>
          <w:highlight w:val="none"/>
        </w:rPr>
        <w:t>应根据以下标准向</w:t>
      </w:r>
      <w:r>
        <w:rPr>
          <w:rFonts w:hint="eastAsia" w:ascii="宋体" w:hAnsi="宋体"/>
          <w:color w:val="auto"/>
          <w:highlight w:val="none"/>
          <w:lang w:eastAsia="zh-CN"/>
        </w:rPr>
        <w:t>甲方</w:t>
      </w:r>
      <w:r>
        <w:rPr>
          <w:rFonts w:hint="eastAsia" w:ascii="宋体" w:hAnsi="宋体"/>
          <w:color w:val="auto"/>
          <w:highlight w:val="none"/>
        </w:rPr>
        <w:t>支付违约金：</w:t>
      </w:r>
    </w:p>
    <w:p>
      <w:pPr>
        <w:pStyle w:val="35"/>
        <w:numPr>
          <w:ilvl w:val="-1"/>
          <w:numId w:val="0"/>
        </w:numPr>
        <w:tabs>
          <w:tab w:val="left" w:pos="1134"/>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27.1.1</w:t>
      </w:r>
      <w:r>
        <w:rPr>
          <w:rFonts w:hint="eastAsia" w:ascii="宋体" w:hAnsi="宋体"/>
          <w:color w:val="auto"/>
          <w:highlight w:val="none"/>
        </w:rPr>
        <w:t>延迟交付使用的，每天加收合同总价的万分之六的违约金；</w:t>
      </w:r>
    </w:p>
    <w:p>
      <w:pPr>
        <w:pStyle w:val="35"/>
        <w:numPr>
          <w:ilvl w:val="-1"/>
          <w:numId w:val="0"/>
        </w:numPr>
        <w:tabs>
          <w:tab w:val="left" w:pos="980"/>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27.2</w:t>
      </w: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hint="eastAsia" w:ascii="宋体" w:hAnsi="宋体"/>
          <w:color w:val="auto"/>
          <w:highlight w:val="none"/>
          <w:lang w:val="en-US" w:eastAsia="zh-CN"/>
        </w:rPr>
        <w:t>12</w:t>
      </w:r>
      <w:r>
        <w:rPr>
          <w:rFonts w:hint="eastAsia" w:ascii="宋体" w:hAnsi="宋体"/>
          <w:color w:val="auto"/>
          <w:highlight w:val="none"/>
        </w:rPr>
        <w:t>条和</w:t>
      </w:r>
      <w:r>
        <w:rPr>
          <w:rFonts w:hint="eastAsia" w:ascii="宋体" w:hAnsi="宋体"/>
          <w:color w:val="auto"/>
          <w:highlight w:val="none"/>
          <w:lang w:val="en-US" w:eastAsia="zh-CN"/>
        </w:rPr>
        <w:t>28</w:t>
      </w:r>
      <w:r>
        <w:rPr>
          <w:rFonts w:hint="eastAsia" w:ascii="宋体" w:hAnsi="宋体"/>
          <w:color w:val="auto"/>
          <w:highlight w:val="none"/>
        </w:rPr>
        <w:t>条的规定进行处理。</w:t>
      </w:r>
    </w:p>
    <w:p>
      <w:pPr>
        <w:pStyle w:val="35"/>
        <w:numPr>
          <w:ilvl w:val="-1"/>
          <w:numId w:val="0"/>
        </w:numPr>
        <w:tabs>
          <w:tab w:val="left" w:pos="980"/>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27.3</w:t>
      </w: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5"/>
        <w:numPr>
          <w:ilvl w:val="-1"/>
          <w:numId w:val="0"/>
        </w:numPr>
        <w:tabs>
          <w:tab w:val="left" w:pos="1000"/>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27.4</w:t>
      </w: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w:t>
      </w:r>
      <w:r>
        <w:rPr>
          <w:rFonts w:hint="eastAsia" w:ascii="宋体" w:hAnsi="宋体"/>
          <w:color w:val="auto"/>
          <w:highlight w:val="none"/>
          <w:lang w:eastAsia="zh-CN"/>
        </w:rPr>
        <w:t>甲方</w:t>
      </w:r>
      <w:r>
        <w:rPr>
          <w:rFonts w:hint="eastAsia" w:ascii="宋体" w:hAnsi="宋体"/>
          <w:color w:val="auto"/>
          <w:highlight w:val="none"/>
        </w:rPr>
        <w:t>有权从履约担保中获得违约金和赔偿金或从任何一笔应支付给</w:t>
      </w:r>
      <w:r>
        <w:rPr>
          <w:rFonts w:hint="eastAsia" w:ascii="宋体" w:hAnsi="宋体"/>
          <w:color w:val="auto"/>
          <w:highlight w:val="none"/>
          <w:lang w:eastAsia="zh-CN"/>
        </w:rPr>
        <w:t>乙方</w:t>
      </w:r>
      <w:r>
        <w:rPr>
          <w:rFonts w:hint="eastAsia" w:ascii="宋体" w:hAnsi="宋体"/>
          <w:color w:val="auto"/>
          <w:highlight w:val="none"/>
        </w:rPr>
        <w:t>的款项中扣除，或要求</w:t>
      </w:r>
      <w:r>
        <w:rPr>
          <w:rFonts w:hint="eastAsia" w:ascii="宋体" w:hAnsi="宋体"/>
          <w:color w:val="auto"/>
          <w:highlight w:val="none"/>
          <w:lang w:eastAsia="zh-CN"/>
        </w:rPr>
        <w:t>乙方</w:t>
      </w:r>
      <w:r>
        <w:rPr>
          <w:rFonts w:hint="eastAsia" w:ascii="宋体" w:hAnsi="宋体"/>
          <w:color w:val="auto"/>
          <w:highlight w:val="none"/>
        </w:rPr>
        <w:t>以电汇方式向</w:t>
      </w:r>
      <w:r>
        <w:rPr>
          <w:rFonts w:hint="eastAsia" w:ascii="宋体" w:hAnsi="宋体"/>
          <w:color w:val="auto"/>
          <w:highlight w:val="none"/>
          <w:lang w:eastAsia="zh-CN"/>
        </w:rPr>
        <w:t>甲方</w:t>
      </w:r>
      <w:r>
        <w:rPr>
          <w:rFonts w:hint="eastAsia" w:ascii="宋体" w:hAnsi="宋体"/>
          <w:color w:val="auto"/>
          <w:highlight w:val="none"/>
        </w:rPr>
        <w:t>支付偿还。在后一种情况下</w:t>
      </w:r>
      <w:r>
        <w:rPr>
          <w:rFonts w:hint="eastAsia" w:ascii="宋体" w:hAnsi="宋体"/>
          <w:color w:val="auto"/>
          <w:highlight w:val="none"/>
          <w:lang w:eastAsia="zh-CN"/>
        </w:rPr>
        <w:t>乙方</w:t>
      </w:r>
      <w:r>
        <w:rPr>
          <w:rFonts w:hint="eastAsia" w:ascii="宋体" w:hAnsi="宋体"/>
          <w:color w:val="auto"/>
          <w:highlight w:val="none"/>
        </w:rPr>
        <w:t>应在一个月内凭</w:t>
      </w:r>
      <w:r>
        <w:rPr>
          <w:rFonts w:hint="eastAsia" w:ascii="宋体" w:hAnsi="宋体"/>
          <w:color w:val="auto"/>
          <w:highlight w:val="none"/>
          <w:lang w:eastAsia="zh-CN"/>
        </w:rPr>
        <w:t>甲方</w:t>
      </w:r>
      <w:r>
        <w:rPr>
          <w:rFonts w:hint="eastAsia" w:ascii="宋体" w:hAnsi="宋体"/>
          <w:color w:val="auto"/>
          <w:highlight w:val="none"/>
        </w:rPr>
        <w:t>索赔文件以电汇方式向</w:t>
      </w:r>
      <w:r>
        <w:rPr>
          <w:rFonts w:hint="eastAsia" w:ascii="宋体" w:hAnsi="宋体"/>
          <w:color w:val="auto"/>
          <w:highlight w:val="none"/>
          <w:lang w:eastAsia="zh-CN"/>
        </w:rPr>
        <w:t>甲方</w:t>
      </w:r>
      <w:r>
        <w:rPr>
          <w:rFonts w:hint="eastAsia" w:ascii="宋体" w:hAnsi="宋体"/>
          <w:color w:val="auto"/>
          <w:highlight w:val="none"/>
        </w:rPr>
        <w:t>支付所有违约金和赔偿金。</w:t>
      </w:r>
    </w:p>
    <w:p>
      <w:pPr>
        <w:pStyle w:val="35"/>
        <w:numPr>
          <w:ilvl w:val="-1"/>
          <w:numId w:val="0"/>
        </w:numPr>
        <w:tabs>
          <w:tab w:val="left" w:pos="1000"/>
          <w:tab w:val="left" w:pos="144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27.5</w:t>
      </w:r>
      <w:r>
        <w:rPr>
          <w:rFonts w:hint="eastAsia" w:ascii="宋体" w:hAnsi="宋体"/>
          <w:color w:val="auto"/>
          <w:highlight w:val="none"/>
        </w:rPr>
        <w:t>所有违约金和赔偿金的支付不减轻</w:t>
      </w:r>
      <w:r>
        <w:rPr>
          <w:rFonts w:hint="eastAsia" w:ascii="宋体" w:hAnsi="宋体"/>
          <w:color w:val="auto"/>
          <w:highlight w:val="none"/>
          <w:lang w:eastAsia="zh-CN"/>
        </w:rPr>
        <w:t>乙方</w:t>
      </w:r>
      <w:r>
        <w:rPr>
          <w:rFonts w:hint="eastAsia" w:ascii="宋体" w:hAnsi="宋体"/>
          <w:color w:val="auto"/>
          <w:highlight w:val="none"/>
        </w:rPr>
        <w:t>合同项下的任何责任和义务。如果</w:t>
      </w:r>
      <w:r>
        <w:rPr>
          <w:rFonts w:hint="eastAsia" w:ascii="宋体" w:hAnsi="宋体"/>
          <w:color w:val="auto"/>
          <w:highlight w:val="none"/>
          <w:lang w:eastAsia="zh-CN"/>
        </w:rPr>
        <w:t>甲方</w:t>
      </w:r>
      <w:r>
        <w:rPr>
          <w:rFonts w:hint="eastAsia" w:ascii="宋体" w:hAnsi="宋体"/>
          <w:color w:val="auto"/>
          <w:highlight w:val="none"/>
        </w:rPr>
        <w:t>所遭受的损失超过违约金，</w:t>
      </w:r>
      <w:r>
        <w:rPr>
          <w:rFonts w:hint="eastAsia" w:ascii="宋体" w:hAnsi="宋体"/>
          <w:color w:val="auto"/>
          <w:highlight w:val="none"/>
          <w:lang w:eastAsia="zh-CN"/>
        </w:rPr>
        <w:t>乙方</w:t>
      </w:r>
      <w:r>
        <w:rPr>
          <w:rFonts w:hint="eastAsia" w:ascii="宋体" w:hAnsi="宋体"/>
          <w:color w:val="auto"/>
          <w:highlight w:val="none"/>
        </w:rPr>
        <w:t>应对超出违约金部分的损失给予赔偿。</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4" w:name="_Toc3030"/>
      <w:r>
        <w:rPr>
          <w:rFonts w:hint="eastAsia" w:ascii="宋体" w:hAnsi="宋体"/>
          <w:b/>
          <w:color w:val="auto"/>
          <w:highlight w:val="none"/>
          <w:lang w:val="en-US" w:eastAsia="zh-CN"/>
        </w:rPr>
        <w:t>28</w:t>
      </w:r>
      <w:r>
        <w:rPr>
          <w:rFonts w:hint="eastAsia" w:ascii="宋体" w:hAnsi="宋体"/>
          <w:b/>
          <w:color w:val="auto"/>
          <w:highlight w:val="none"/>
        </w:rPr>
        <w:t>.合同终止与暂停</w:t>
      </w:r>
      <w:bookmarkEnd w:id="1854"/>
    </w:p>
    <w:p>
      <w:pPr>
        <w:numPr>
          <w:ilvl w:val="-1"/>
          <w:numId w:val="0"/>
        </w:numPr>
        <w:tabs>
          <w:tab w:val="left" w:pos="98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28.1</w:t>
      </w: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28.1.1</w:t>
      </w:r>
      <w:r>
        <w:rPr>
          <w:rFonts w:hint="eastAsia" w:ascii="宋体" w:hAnsi="宋体"/>
          <w:color w:val="auto"/>
          <w:highlight w:val="none"/>
        </w:rPr>
        <w:t>当买卖双方完成了合同中规定的所有责任和义务，合同终止；</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28.1.2</w:t>
      </w:r>
      <w:r>
        <w:rPr>
          <w:rFonts w:hint="eastAsia" w:ascii="宋体" w:hAnsi="宋体"/>
          <w:color w:val="auto"/>
          <w:highlight w:val="none"/>
          <w:lang w:eastAsia="zh-CN"/>
        </w:rPr>
        <w:t>乙方</w:t>
      </w:r>
      <w:r>
        <w:rPr>
          <w:rFonts w:hint="eastAsia" w:ascii="宋体" w:hAnsi="宋体"/>
          <w:color w:val="auto"/>
          <w:highlight w:val="none"/>
        </w:rPr>
        <w:t>违约时的终止和</w:t>
      </w:r>
      <w:r>
        <w:rPr>
          <w:rFonts w:hint="eastAsia" w:ascii="宋体" w:hAnsi="宋体"/>
          <w:color w:val="auto"/>
          <w:highlight w:val="none"/>
          <w:lang w:eastAsia="zh-CN"/>
        </w:rPr>
        <w:t>甲方</w:t>
      </w:r>
      <w:r>
        <w:rPr>
          <w:rFonts w:hint="eastAsia" w:ascii="宋体" w:hAnsi="宋体"/>
          <w:color w:val="auto"/>
          <w:highlight w:val="none"/>
        </w:rPr>
        <w:t>违约时的终止；</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28.1.3</w:t>
      </w:r>
      <w:r>
        <w:rPr>
          <w:rFonts w:hint="eastAsia" w:ascii="宋体" w:hAnsi="宋体"/>
          <w:color w:val="auto"/>
          <w:highlight w:val="none"/>
        </w:rPr>
        <w:t>因</w:t>
      </w:r>
      <w:r>
        <w:rPr>
          <w:rFonts w:hint="eastAsia" w:ascii="宋体" w:hAnsi="宋体"/>
          <w:color w:val="auto"/>
          <w:highlight w:val="none"/>
          <w:lang w:eastAsia="zh-CN"/>
        </w:rPr>
        <w:t>甲方</w:t>
      </w:r>
      <w:r>
        <w:rPr>
          <w:rFonts w:hint="eastAsia" w:ascii="宋体" w:hAnsi="宋体"/>
          <w:color w:val="auto"/>
          <w:highlight w:val="none"/>
        </w:rPr>
        <w:t>的便利而终止合同。</w:t>
      </w:r>
    </w:p>
    <w:p>
      <w:pPr>
        <w:numPr>
          <w:ilvl w:val="-1"/>
          <w:numId w:val="0"/>
        </w:numPr>
        <w:tabs>
          <w:tab w:val="left" w:pos="108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28.2</w:t>
      </w: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未按合同执行或因疏忽而未能履行本合同项下义务以致影响项目进行时，</w:t>
      </w:r>
      <w:r>
        <w:rPr>
          <w:rFonts w:hint="eastAsia" w:ascii="宋体" w:hAnsi="宋体"/>
          <w:color w:val="auto"/>
          <w:highlight w:val="none"/>
          <w:lang w:eastAsia="zh-CN"/>
        </w:rPr>
        <w:t>甲方</w:t>
      </w:r>
      <w:r>
        <w:rPr>
          <w:rFonts w:hint="eastAsia" w:ascii="宋体" w:hAnsi="宋体"/>
          <w:color w:val="auto"/>
          <w:highlight w:val="none"/>
        </w:rPr>
        <w:t>书面通知</w:t>
      </w:r>
      <w:r>
        <w:rPr>
          <w:rFonts w:hint="eastAsia" w:ascii="宋体" w:hAnsi="宋体"/>
          <w:color w:val="auto"/>
          <w:highlight w:val="none"/>
          <w:lang w:eastAsia="zh-CN"/>
        </w:rPr>
        <w:t>乙方</w:t>
      </w:r>
      <w:r>
        <w:rPr>
          <w:rFonts w:hint="eastAsia" w:ascii="宋体" w:hAnsi="宋体"/>
          <w:color w:val="auto"/>
          <w:highlight w:val="none"/>
        </w:rPr>
        <w:t>，要求补救上述失误或疏忽。</w:t>
      </w:r>
    </w:p>
    <w:p>
      <w:pPr>
        <w:numPr>
          <w:ilvl w:val="-1"/>
          <w:numId w:val="0"/>
        </w:numPr>
        <w:tabs>
          <w:tab w:val="left" w:pos="10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28.3</w:t>
      </w:r>
      <w:r>
        <w:rPr>
          <w:rFonts w:hint="eastAsia" w:ascii="宋体" w:hAnsi="宋体"/>
          <w:color w:val="auto"/>
          <w:highlight w:val="none"/>
          <w:lang w:eastAsia="zh-CN"/>
        </w:rPr>
        <w:t>乙方</w:t>
      </w:r>
      <w:r>
        <w:rPr>
          <w:rFonts w:hint="eastAsia" w:ascii="宋体" w:hAnsi="宋体"/>
          <w:color w:val="auto"/>
          <w:highlight w:val="none"/>
        </w:rPr>
        <w:t>违约时的终止</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28.3.1</w:t>
      </w: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28.3.1.1</w:t>
      </w:r>
      <w:r>
        <w:rPr>
          <w:rFonts w:hint="eastAsia" w:ascii="宋体" w:hAnsi="宋体"/>
          <w:color w:val="auto"/>
          <w:highlight w:val="none"/>
        </w:rPr>
        <w:t>在收到本合同条款</w:t>
      </w:r>
      <w:r>
        <w:rPr>
          <w:rFonts w:hint="eastAsia" w:ascii="宋体" w:hAnsi="宋体"/>
          <w:color w:val="auto"/>
          <w:highlight w:val="none"/>
          <w:lang w:val="en-US" w:eastAsia="zh-CN"/>
        </w:rPr>
        <w:t>29</w:t>
      </w:r>
      <w:r>
        <w:rPr>
          <w:rFonts w:hint="eastAsia" w:ascii="宋体" w:hAnsi="宋体"/>
          <w:color w:val="auto"/>
          <w:highlight w:val="none"/>
        </w:rPr>
        <w:t>条之</w:t>
      </w:r>
      <w:r>
        <w:rPr>
          <w:rFonts w:hint="eastAsia" w:ascii="宋体" w:hAnsi="宋体"/>
          <w:color w:val="auto"/>
          <w:highlight w:val="none"/>
          <w:lang w:val="en-US" w:eastAsia="zh-CN"/>
        </w:rPr>
        <w:t>29</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28.3.1.2</w:t>
      </w:r>
      <w:r>
        <w:rPr>
          <w:rFonts w:hint="eastAsia" w:ascii="宋体" w:hAnsi="宋体"/>
          <w:color w:val="auto"/>
          <w:highlight w:val="none"/>
        </w:rPr>
        <w:t>没有</w:t>
      </w:r>
      <w:r>
        <w:rPr>
          <w:rFonts w:hint="eastAsia" w:ascii="宋体" w:hAnsi="宋体"/>
          <w:color w:val="auto"/>
          <w:highlight w:val="none"/>
          <w:lang w:eastAsia="zh-CN"/>
        </w:rPr>
        <w:t>甲方</w:t>
      </w:r>
      <w:r>
        <w:rPr>
          <w:rFonts w:hint="eastAsia" w:ascii="宋体" w:hAnsi="宋体"/>
          <w:color w:val="auto"/>
          <w:highlight w:val="none"/>
        </w:rPr>
        <w:t>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28.3.1.3</w:t>
      </w:r>
      <w:r>
        <w:rPr>
          <w:rFonts w:hint="eastAsia" w:ascii="宋体" w:hAnsi="宋体"/>
          <w:color w:val="auto"/>
          <w:highlight w:val="none"/>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28.3.1.4</w:t>
      </w:r>
      <w:r>
        <w:rPr>
          <w:rFonts w:hint="eastAsia" w:ascii="宋体" w:hAnsi="宋体"/>
          <w:color w:val="auto"/>
          <w:highlight w:val="none"/>
          <w:lang w:eastAsia="zh-CN"/>
        </w:rPr>
        <w:t>乙方</w:t>
      </w:r>
      <w:r>
        <w:rPr>
          <w:rFonts w:hint="eastAsia" w:ascii="宋体" w:hAnsi="宋体"/>
          <w:color w:val="auto"/>
          <w:highlight w:val="none"/>
        </w:rPr>
        <w:t>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28.3.1.5</w:t>
      </w:r>
      <w:r>
        <w:rPr>
          <w:rFonts w:hint="eastAsia" w:ascii="宋体" w:hAnsi="宋体"/>
          <w:color w:val="auto"/>
          <w:highlight w:val="none"/>
        </w:rPr>
        <w:t>由于</w:t>
      </w:r>
      <w:r>
        <w:rPr>
          <w:rFonts w:hint="eastAsia" w:ascii="宋体" w:hAnsi="宋体"/>
          <w:color w:val="auto"/>
          <w:highlight w:val="none"/>
          <w:lang w:eastAsia="zh-CN"/>
        </w:rPr>
        <w:t>乙方</w:t>
      </w:r>
      <w:r>
        <w:rPr>
          <w:rFonts w:hint="eastAsia" w:ascii="宋体" w:hAnsi="宋体"/>
          <w:color w:val="auto"/>
          <w:highlight w:val="none"/>
        </w:rPr>
        <w:t>违约而导致</w:t>
      </w:r>
      <w:r>
        <w:rPr>
          <w:rFonts w:hint="eastAsia" w:ascii="宋体" w:hAnsi="宋体"/>
          <w:color w:val="auto"/>
          <w:highlight w:val="none"/>
          <w:lang w:eastAsia="zh-CN"/>
        </w:rPr>
        <w:t>乙方</w:t>
      </w:r>
      <w:r>
        <w:rPr>
          <w:rFonts w:hint="eastAsia" w:ascii="宋体" w:hAnsi="宋体"/>
          <w:color w:val="auto"/>
          <w:highlight w:val="none"/>
        </w:rPr>
        <w:t>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w:t>
      </w:r>
      <w:r>
        <w:rPr>
          <w:rFonts w:hint="eastAsia" w:ascii="宋体" w:hAnsi="宋体"/>
          <w:color w:val="auto"/>
          <w:highlight w:val="none"/>
          <w:lang w:eastAsia="zh-CN"/>
        </w:rPr>
        <w:t>甲方</w:t>
      </w:r>
      <w:r>
        <w:rPr>
          <w:rFonts w:hint="eastAsia" w:ascii="宋体" w:hAnsi="宋体"/>
          <w:color w:val="auto"/>
          <w:highlight w:val="none"/>
        </w:rPr>
        <w:t>可在向</w:t>
      </w:r>
      <w:r>
        <w:rPr>
          <w:rFonts w:hint="eastAsia" w:ascii="宋体" w:hAnsi="宋体"/>
          <w:color w:val="auto"/>
          <w:highlight w:val="none"/>
          <w:lang w:eastAsia="zh-CN"/>
        </w:rPr>
        <w:t>乙方</w:t>
      </w:r>
      <w:r>
        <w:rPr>
          <w:rFonts w:hint="eastAsia" w:ascii="宋体" w:hAnsi="宋体"/>
          <w:color w:val="auto"/>
          <w:highlight w:val="none"/>
        </w:rPr>
        <w:t>发出终止通知十四</w:t>
      </w:r>
      <w:r>
        <w:rPr>
          <w:rFonts w:ascii="宋体" w:hAnsi="宋体"/>
          <w:color w:val="auto"/>
          <w:highlight w:val="none"/>
        </w:rPr>
        <w:t>(14)</w:t>
      </w:r>
      <w:r>
        <w:rPr>
          <w:rFonts w:hint="eastAsia" w:ascii="宋体" w:hAnsi="宋体"/>
          <w:color w:val="auto"/>
          <w:highlight w:val="none"/>
        </w:rPr>
        <w:t>天后选择终止部分或全部合同。但是，</w:t>
      </w:r>
      <w:r>
        <w:rPr>
          <w:rFonts w:hint="eastAsia" w:ascii="宋体" w:hAnsi="宋体"/>
          <w:color w:val="auto"/>
          <w:highlight w:val="none"/>
          <w:lang w:eastAsia="zh-CN"/>
        </w:rPr>
        <w:t>乙方</w:t>
      </w:r>
      <w:r>
        <w:rPr>
          <w:rFonts w:hint="eastAsia" w:ascii="宋体" w:hAnsi="宋体"/>
          <w:color w:val="auto"/>
          <w:highlight w:val="none"/>
        </w:rPr>
        <w:t>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w:t>
      </w:r>
      <w:r>
        <w:rPr>
          <w:rFonts w:hint="eastAsia" w:ascii="宋体" w:hAnsi="宋体"/>
          <w:color w:val="auto"/>
          <w:highlight w:val="none"/>
          <w:lang w:eastAsia="zh-CN"/>
        </w:rPr>
        <w:t>甲方</w:t>
      </w:r>
      <w:r>
        <w:rPr>
          <w:rFonts w:hint="eastAsia" w:ascii="宋体" w:hAnsi="宋体"/>
          <w:color w:val="auto"/>
          <w:highlight w:val="none"/>
        </w:rPr>
        <w:t>可自己或由任何其他承包商完成项目，</w:t>
      </w:r>
      <w:r>
        <w:rPr>
          <w:rFonts w:hint="eastAsia" w:ascii="宋体" w:hAnsi="宋体"/>
          <w:color w:val="auto"/>
          <w:highlight w:val="none"/>
          <w:lang w:eastAsia="zh-CN"/>
        </w:rPr>
        <w:t>乙方</w:t>
      </w:r>
      <w:r>
        <w:rPr>
          <w:rFonts w:hint="eastAsia" w:ascii="宋体" w:hAnsi="宋体"/>
          <w:color w:val="auto"/>
          <w:highlight w:val="none"/>
        </w:rPr>
        <w:t>必须向</w:t>
      </w:r>
      <w:r>
        <w:rPr>
          <w:rFonts w:hint="eastAsia" w:ascii="宋体" w:hAnsi="宋体"/>
          <w:color w:val="auto"/>
          <w:highlight w:val="none"/>
          <w:lang w:eastAsia="zh-CN"/>
        </w:rPr>
        <w:t>甲方</w:t>
      </w:r>
      <w:r>
        <w:rPr>
          <w:rFonts w:hint="eastAsia" w:ascii="宋体" w:hAnsi="宋体"/>
          <w:color w:val="auto"/>
          <w:highlight w:val="none"/>
        </w:rPr>
        <w:t>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28.3.1.6</w:t>
      </w:r>
      <w:r>
        <w:rPr>
          <w:rFonts w:hint="eastAsia" w:ascii="宋体" w:hAnsi="宋体"/>
          <w:color w:val="auto"/>
          <w:highlight w:val="none"/>
        </w:rPr>
        <w:t>按本合同条款</w:t>
      </w:r>
      <w:r>
        <w:rPr>
          <w:rFonts w:hint="eastAsia" w:ascii="宋体" w:hAnsi="宋体"/>
          <w:color w:val="auto"/>
          <w:highlight w:val="none"/>
          <w:lang w:val="en-US" w:eastAsia="zh-CN"/>
        </w:rPr>
        <w:t>29</w:t>
      </w:r>
      <w:r>
        <w:rPr>
          <w:rFonts w:hint="eastAsia" w:ascii="宋体" w:hAnsi="宋体"/>
          <w:color w:val="auto"/>
          <w:highlight w:val="none"/>
        </w:rPr>
        <w:t>条之</w:t>
      </w:r>
      <w:r>
        <w:rPr>
          <w:rFonts w:hint="eastAsia" w:ascii="宋体" w:hAnsi="宋体"/>
          <w:color w:val="auto"/>
          <w:highlight w:val="none"/>
          <w:lang w:val="en-US" w:eastAsia="zh-CN"/>
        </w:rPr>
        <w:t>29</w:t>
      </w:r>
      <w:r>
        <w:rPr>
          <w:rFonts w:ascii="宋体" w:hAnsi="宋体"/>
          <w:color w:val="auto"/>
          <w:highlight w:val="none"/>
        </w:rPr>
        <w:t>.3.1.1</w:t>
      </w:r>
      <w:r>
        <w:rPr>
          <w:rFonts w:hint="eastAsia" w:ascii="宋体" w:hAnsi="宋体"/>
          <w:color w:val="auto"/>
          <w:highlight w:val="none"/>
        </w:rPr>
        <w:t>、</w:t>
      </w:r>
      <w:r>
        <w:rPr>
          <w:rFonts w:hint="eastAsia" w:ascii="宋体" w:hAnsi="宋体"/>
          <w:color w:val="auto"/>
          <w:highlight w:val="none"/>
          <w:lang w:val="en-US" w:eastAsia="zh-CN"/>
        </w:rPr>
        <w:t>29</w:t>
      </w:r>
      <w:r>
        <w:rPr>
          <w:rFonts w:ascii="宋体" w:hAnsi="宋体"/>
          <w:color w:val="auto"/>
          <w:highlight w:val="none"/>
        </w:rPr>
        <w:t>.3.1.2</w:t>
      </w:r>
      <w:r>
        <w:rPr>
          <w:rFonts w:hint="eastAsia" w:ascii="宋体" w:hAnsi="宋体"/>
          <w:color w:val="auto"/>
          <w:highlight w:val="none"/>
        </w:rPr>
        <w:t>和</w:t>
      </w:r>
      <w:r>
        <w:rPr>
          <w:rFonts w:hint="eastAsia" w:ascii="宋体" w:hAnsi="宋体"/>
          <w:color w:val="auto"/>
          <w:highlight w:val="none"/>
          <w:lang w:val="en-US" w:eastAsia="zh-CN"/>
        </w:rPr>
        <w:t>29</w:t>
      </w:r>
      <w:r>
        <w:rPr>
          <w:rFonts w:ascii="宋体" w:hAnsi="宋体"/>
          <w:color w:val="auto"/>
          <w:highlight w:val="none"/>
        </w:rPr>
        <w:t>.3.1.5</w:t>
      </w:r>
      <w:r>
        <w:rPr>
          <w:rFonts w:hint="eastAsia" w:ascii="宋体" w:hAnsi="宋体"/>
          <w:color w:val="auto"/>
          <w:highlight w:val="none"/>
        </w:rPr>
        <w:t>终止合同之后，</w:t>
      </w:r>
      <w:r>
        <w:rPr>
          <w:rFonts w:hint="eastAsia" w:ascii="宋体" w:hAnsi="宋体"/>
          <w:color w:val="auto"/>
          <w:highlight w:val="none"/>
          <w:lang w:eastAsia="zh-CN"/>
        </w:rPr>
        <w:t>甲方</w:t>
      </w:r>
      <w:r>
        <w:rPr>
          <w:rFonts w:hint="eastAsia" w:ascii="宋体" w:hAnsi="宋体"/>
          <w:color w:val="auto"/>
          <w:highlight w:val="none"/>
        </w:rPr>
        <w:t>应将</w:t>
      </w:r>
      <w:r>
        <w:rPr>
          <w:rFonts w:hint="eastAsia" w:ascii="宋体" w:hAnsi="宋体"/>
          <w:color w:val="auto"/>
          <w:highlight w:val="none"/>
          <w:lang w:eastAsia="zh-CN"/>
        </w:rPr>
        <w:t>乙方</w:t>
      </w:r>
      <w:r>
        <w:rPr>
          <w:rFonts w:hint="eastAsia" w:ascii="宋体" w:hAnsi="宋体"/>
          <w:color w:val="auto"/>
          <w:highlight w:val="none"/>
        </w:rPr>
        <w:t>在终止合同日期前应得的所有金额向</w:t>
      </w:r>
      <w:r>
        <w:rPr>
          <w:rFonts w:hint="eastAsia" w:ascii="宋体" w:hAnsi="宋体"/>
          <w:color w:val="auto"/>
          <w:highlight w:val="none"/>
          <w:lang w:eastAsia="zh-CN"/>
        </w:rPr>
        <w:t>乙方</w:t>
      </w:r>
      <w:r>
        <w:rPr>
          <w:rFonts w:hint="eastAsia" w:ascii="宋体" w:hAnsi="宋体"/>
          <w:color w:val="auto"/>
          <w:highlight w:val="none"/>
        </w:rPr>
        <w:t>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w:t>
      </w:r>
      <w:r>
        <w:rPr>
          <w:rFonts w:hint="eastAsia" w:ascii="宋体" w:hAnsi="宋体"/>
          <w:color w:val="auto"/>
          <w:highlight w:val="none"/>
          <w:lang w:eastAsia="zh-CN"/>
        </w:rPr>
        <w:t>甲方</w:t>
      </w:r>
      <w:r>
        <w:rPr>
          <w:rFonts w:hint="eastAsia" w:ascii="宋体" w:hAnsi="宋体"/>
          <w:color w:val="auto"/>
          <w:highlight w:val="none"/>
        </w:rPr>
        <w:t>没有义务向</w:t>
      </w:r>
      <w:r>
        <w:rPr>
          <w:rFonts w:hint="eastAsia" w:ascii="宋体" w:hAnsi="宋体"/>
          <w:color w:val="auto"/>
          <w:highlight w:val="none"/>
          <w:lang w:eastAsia="zh-CN"/>
        </w:rPr>
        <w:t>乙方</w:t>
      </w:r>
      <w:r>
        <w:rPr>
          <w:rFonts w:hint="eastAsia" w:ascii="宋体" w:hAnsi="宋体"/>
          <w:color w:val="auto"/>
          <w:highlight w:val="none"/>
        </w:rPr>
        <w:t>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w:t>
      </w:r>
      <w:r>
        <w:rPr>
          <w:rFonts w:hint="eastAsia" w:ascii="宋体" w:hAnsi="宋体"/>
          <w:color w:val="auto"/>
          <w:highlight w:val="none"/>
          <w:lang w:eastAsia="zh-CN"/>
        </w:rPr>
        <w:t>乙方</w:t>
      </w:r>
      <w:r>
        <w:rPr>
          <w:rFonts w:hint="eastAsia" w:ascii="宋体" w:hAnsi="宋体"/>
          <w:color w:val="auto"/>
          <w:highlight w:val="none"/>
        </w:rPr>
        <w:t>的任何金额中，</w:t>
      </w:r>
      <w:r>
        <w:rPr>
          <w:rFonts w:hint="eastAsia" w:ascii="宋体" w:hAnsi="宋体"/>
          <w:color w:val="auto"/>
          <w:highlight w:val="none"/>
          <w:lang w:eastAsia="zh-CN"/>
        </w:rPr>
        <w:t>甲方</w:t>
      </w:r>
      <w:r>
        <w:rPr>
          <w:rFonts w:hint="eastAsia" w:ascii="宋体" w:hAnsi="宋体"/>
          <w:color w:val="auto"/>
          <w:highlight w:val="none"/>
        </w:rPr>
        <w:t>有权从</w:t>
      </w:r>
      <w:r>
        <w:rPr>
          <w:rFonts w:hint="eastAsia" w:ascii="宋体" w:hAnsi="宋体"/>
          <w:color w:val="auto"/>
          <w:highlight w:val="none"/>
          <w:lang w:eastAsia="zh-CN"/>
        </w:rPr>
        <w:t>乙方</w:t>
      </w:r>
      <w:r>
        <w:rPr>
          <w:rFonts w:hint="eastAsia" w:ascii="宋体" w:hAnsi="宋体"/>
          <w:color w:val="auto"/>
          <w:highlight w:val="none"/>
        </w:rPr>
        <w:t>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w:t>
      </w:r>
      <w:r>
        <w:rPr>
          <w:rFonts w:hint="eastAsia" w:ascii="宋体" w:hAnsi="宋体"/>
          <w:color w:val="auto"/>
          <w:highlight w:val="none"/>
          <w:lang w:eastAsia="zh-CN"/>
        </w:rPr>
        <w:t>甲方</w:t>
      </w:r>
      <w:r>
        <w:rPr>
          <w:rFonts w:hint="eastAsia" w:ascii="宋体" w:hAnsi="宋体"/>
          <w:color w:val="auto"/>
          <w:highlight w:val="none"/>
        </w:rPr>
        <w:t>应向</w:t>
      </w:r>
      <w:r>
        <w:rPr>
          <w:rFonts w:hint="eastAsia" w:ascii="宋体" w:hAnsi="宋体"/>
          <w:color w:val="auto"/>
          <w:highlight w:val="none"/>
          <w:lang w:eastAsia="zh-CN"/>
        </w:rPr>
        <w:t>乙方</w:t>
      </w:r>
      <w:r>
        <w:rPr>
          <w:rFonts w:hint="eastAsia" w:ascii="宋体" w:hAnsi="宋体"/>
          <w:color w:val="auto"/>
          <w:highlight w:val="none"/>
        </w:rPr>
        <w:t>支付应付给</w:t>
      </w:r>
      <w:r>
        <w:rPr>
          <w:rFonts w:hint="eastAsia" w:ascii="宋体" w:hAnsi="宋体"/>
          <w:color w:val="auto"/>
          <w:highlight w:val="none"/>
          <w:lang w:eastAsia="zh-CN"/>
        </w:rPr>
        <w:t>乙方</w:t>
      </w:r>
      <w:r>
        <w:rPr>
          <w:rFonts w:hint="eastAsia" w:ascii="宋体" w:hAnsi="宋体"/>
          <w:color w:val="auto"/>
          <w:highlight w:val="none"/>
        </w:rPr>
        <w:t>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甲方</w:t>
      </w:r>
      <w:r>
        <w:rPr>
          <w:rFonts w:hint="eastAsia" w:ascii="宋体" w:hAnsi="宋体"/>
          <w:color w:val="auto"/>
          <w:highlight w:val="none"/>
        </w:rPr>
        <w:t>按合同条款</w:t>
      </w:r>
      <w:r>
        <w:rPr>
          <w:rFonts w:hint="eastAsia" w:ascii="宋体" w:hAnsi="宋体"/>
          <w:color w:val="auto"/>
          <w:highlight w:val="none"/>
          <w:lang w:val="en-US" w:eastAsia="zh-CN"/>
        </w:rPr>
        <w:t>29</w:t>
      </w:r>
      <w:r>
        <w:rPr>
          <w:rFonts w:hint="eastAsia" w:ascii="宋体" w:hAnsi="宋体"/>
          <w:color w:val="auto"/>
          <w:highlight w:val="none"/>
        </w:rPr>
        <w:t>条之</w:t>
      </w:r>
      <w:r>
        <w:rPr>
          <w:rFonts w:hint="eastAsia" w:ascii="宋体" w:hAnsi="宋体"/>
          <w:color w:val="auto"/>
          <w:highlight w:val="none"/>
          <w:lang w:val="en-US" w:eastAsia="zh-CN"/>
        </w:rPr>
        <w:t>29</w:t>
      </w:r>
      <w:r>
        <w:rPr>
          <w:rFonts w:ascii="宋体" w:hAnsi="宋体"/>
          <w:color w:val="auto"/>
          <w:highlight w:val="none"/>
        </w:rPr>
        <w:t>.3.1.3</w:t>
      </w:r>
      <w:r>
        <w:rPr>
          <w:rFonts w:hint="eastAsia" w:ascii="宋体" w:hAnsi="宋体"/>
          <w:color w:val="auto"/>
          <w:highlight w:val="none"/>
        </w:rPr>
        <w:t>和</w:t>
      </w:r>
      <w:r>
        <w:rPr>
          <w:rFonts w:hint="eastAsia" w:ascii="宋体" w:hAnsi="宋体"/>
          <w:color w:val="auto"/>
          <w:highlight w:val="none"/>
          <w:lang w:val="en-US" w:eastAsia="zh-CN"/>
        </w:rPr>
        <w:t>29</w:t>
      </w:r>
      <w:r>
        <w:rPr>
          <w:rFonts w:ascii="宋体" w:hAnsi="宋体"/>
          <w:color w:val="auto"/>
          <w:highlight w:val="none"/>
        </w:rPr>
        <w:t>.3.1.4</w:t>
      </w:r>
      <w:r>
        <w:rPr>
          <w:rFonts w:hint="eastAsia" w:ascii="宋体" w:hAnsi="宋体"/>
          <w:color w:val="auto"/>
          <w:highlight w:val="none"/>
        </w:rPr>
        <w:t>终止合同，</w:t>
      </w:r>
      <w:r>
        <w:rPr>
          <w:rFonts w:hint="eastAsia" w:ascii="宋体" w:hAnsi="宋体"/>
          <w:color w:val="auto"/>
          <w:highlight w:val="none"/>
          <w:lang w:eastAsia="zh-CN"/>
        </w:rPr>
        <w:t>甲方</w:t>
      </w:r>
      <w:r>
        <w:rPr>
          <w:rFonts w:hint="eastAsia" w:ascii="宋体" w:hAnsi="宋体"/>
          <w:color w:val="auto"/>
          <w:highlight w:val="none"/>
        </w:rPr>
        <w:t>可以不给</w:t>
      </w:r>
      <w:r>
        <w:rPr>
          <w:rFonts w:hint="eastAsia" w:ascii="宋体" w:hAnsi="宋体"/>
          <w:color w:val="auto"/>
          <w:highlight w:val="none"/>
          <w:lang w:eastAsia="zh-CN"/>
        </w:rPr>
        <w:t>乙方</w:t>
      </w:r>
      <w:r>
        <w:rPr>
          <w:rFonts w:hint="eastAsia" w:ascii="宋体" w:hAnsi="宋体"/>
          <w:color w:val="auto"/>
          <w:highlight w:val="none"/>
        </w:rPr>
        <w:t>任何补偿，且该终止合同将不损害或影响</w:t>
      </w:r>
      <w:r>
        <w:rPr>
          <w:rFonts w:hint="eastAsia" w:ascii="宋体" w:hAnsi="宋体"/>
          <w:color w:val="auto"/>
          <w:highlight w:val="none"/>
          <w:lang w:eastAsia="zh-CN"/>
        </w:rPr>
        <w:t>甲方</w:t>
      </w:r>
      <w:r>
        <w:rPr>
          <w:rFonts w:hint="eastAsia" w:ascii="宋体" w:hAnsi="宋体"/>
          <w:color w:val="auto"/>
          <w:highlight w:val="none"/>
        </w:rPr>
        <w:t>已经采取或将要采取的任何行动或补救措施的权利。</w:t>
      </w:r>
    </w:p>
    <w:p>
      <w:pPr>
        <w:numPr>
          <w:ilvl w:val="-1"/>
          <w:numId w:val="0"/>
        </w:numPr>
        <w:tabs>
          <w:tab w:val="left" w:pos="10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28.4</w:t>
      </w:r>
      <w:r>
        <w:rPr>
          <w:rFonts w:hint="eastAsia" w:ascii="宋体" w:hAnsi="宋体"/>
          <w:color w:val="auto"/>
          <w:highlight w:val="none"/>
          <w:lang w:eastAsia="zh-CN"/>
        </w:rPr>
        <w:t>甲方</w:t>
      </w:r>
      <w:r>
        <w:rPr>
          <w:rFonts w:hint="eastAsia" w:ascii="宋体" w:hAnsi="宋体"/>
          <w:color w:val="auto"/>
          <w:highlight w:val="none"/>
        </w:rPr>
        <w:t>违约时的终止</w:t>
      </w:r>
    </w:p>
    <w:p>
      <w:pPr>
        <w:numPr>
          <w:ilvl w:val="-1"/>
          <w:numId w:val="0"/>
        </w:numPr>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28.4.1</w:t>
      </w:r>
      <w:r>
        <w:rPr>
          <w:rFonts w:hint="eastAsia" w:ascii="宋体" w:hAnsi="宋体"/>
          <w:color w:val="auto"/>
          <w:highlight w:val="none"/>
        </w:rPr>
        <w:t>如果</w:t>
      </w:r>
      <w:r>
        <w:rPr>
          <w:rFonts w:hint="eastAsia" w:ascii="宋体" w:hAnsi="宋体"/>
          <w:color w:val="auto"/>
          <w:highlight w:val="none"/>
          <w:lang w:eastAsia="zh-CN"/>
        </w:rPr>
        <w:t>甲方</w:t>
      </w:r>
      <w:r>
        <w:rPr>
          <w:rFonts w:hint="eastAsia" w:ascii="宋体" w:hAnsi="宋体"/>
          <w:color w:val="auto"/>
          <w:highlight w:val="none"/>
        </w:rPr>
        <w:t>破产或无力偿还债务，收到法院对</w:t>
      </w:r>
      <w:r>
        <w:rPr>
          <w:rFonts w:hint="eastAsia" w:ascii="宋体" w:hAnsi="宋体"/>
          <w:color w:val="auto"/>
          <w:highlight w:val="none"/>
          <w:lang w:eastAsia="zh-CN"/>
        </w:rPr>
        <w:t>甲方</w:t>
      </w:r>
      <w:r>
        <w:rPr>
          <w:rFonts w:hint="eastAsia" w:ascii="宋体" w:hAnsi="宋体"/>
          <w:color w:val="auto"/>
          <w:highlight w:val="none"/>
        </w:rPr>
        <w:t>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在向</w:t>
      </w:r>
      <w:r>
        <w:rPr>
          <w:rFonts w:hint="eastAsia" w:ascii="宋体" w:hAnsi="宋体"/>
          <w:color w:val="auto"/>
          <w:highlight w:val="none"/>
          <w:lang w:eastAsia="zh-CN"/>
        </w:rPr>
        <w:t>甲方</w:t>
      </w:r>
      <w:r>
        <w:rPr>
          <w:rFonts w:hint="eastAsia" w:ascii="宋体" w:hAnsi="宋体"/>
          <w:color w:val="auto"/>
          <w:highlight w:val="none"/>
        </w:rPr>
        <w:t>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w:t>
      </w:r>
      <w:r>
        <w:rPr>
          <w:rFonts w:hint="eastAsia" w:ascii="宋体" w:hAnsi="宋体"/>
          <w:color w:val="auto"/>
          <w:highlight w:val="none"/>
          <w:lang w:eastAsia="zh-CN"/>
        </w:rPr>
        <w:t>甲方</w:t>
      </w:r>
      <w:r>
        <w:rPr>
          <w:rFonts w:hint="eastAsia" w:ascii="宋体" w:hAnsi="宋体"/>
          <w:color w:val="auto"/>
          <w:highlight w:val="none"/>
        </w:rPr>
        <w:t>的任何其它权利。</w:t>
      </w:r>
    </w:p>
    <w:p>
      <w:pPr>
        <w:numPr>
          <w:ilvl w:val="-1"/>
          <w:numId w:val="0"/>
        </w:numPr>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28.4.2</w:t>
      </w:r>
      <w:r>
        <w:rPr>
          <w:rFonts w:hint="eastAsia" w:ascii="宋体" w:hAnsi="宋体"/>
          <w:color w:val="auto"/>
          <w:highlight w:val="none"/>
        </w:rPr>
        <w:t>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w:t>
      </w:r>
      <w:r>
        <w:rPr>
          <w:rFonts w:hint="eastAsia" w:ascii="宋体" w:hAnsi="宋体"/>
          <w:color w:val="auto"/>
          <w:highlight w:val="none"/>
          <w:lang w:eastAsia="zh-CN"/>
        </w:rPr>
        <w:t>甲方</w:t>
      </w:r>
      <w:r>
        <w:rPr>
          <w:rFonts w:hint="eastAsia" w:ascii="宋体" w:hAnsi="宋体"/>
          <w:color w:val="auto"/>
          <w:highlight w:val="none"/>
        </w:rPr>
        <w:t>应将在终止合同日期就</w:t>
      </w:r>
      <w:r>
        <w:rPr>
          <w:rFonts w:hint="eastAsia" w:ascii="宋体" w:hAnsi="宋体"/>
          <w:color w:val="auto"/>
          <w:highlight w:val="none"/>
          <w:lang w:eastAsia="zh-CN"/>
        </w:rPr>
        <w:t>乙方</w:t>
      </w:r>
      <w:r>
        <w:rPr>
          <w:rFonts w:hint="eastAsia" w:ascii="宋体" w:hAnsi="宋体"/>
          <w:color w:val="auto"/>
          <w:highlight w:val="none"/>
        </w:rPr>
        <w:t>应得的所有金额向</w:t>
      </w:r>
      <w:r>
        <w:rPr>
          <w:rFonts w:hint="eastAsia" w:ascii="宋体" w:hAnsi="宋体"/>
          <w:color w:val="auto"/>
          <w:highlight w:val="none"/>
          <w:lang w:eastAsia="zh-CN"/>
        </w:rPr>
        <w:t>乙方</w:t>
      </w:r>
      <w:r>
        <w:rPr>
          <w:rFonts w:hint="eastAsia" w:ascii="宋体" w:hAnsi="宋体"/>
          <w:color w:val="auto"/>
          <w:highlight w:val="none"/>
        </w:rPr>
        <w:t>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5" w:name="_Toc2496"/>
      <w:r>
        <w:rPr>
          <w:rFonts w:hint="eastAsia" w:ascii="宋体" w:hAnsi="宋体"/>
          <w:b/>
          <w:color w:val="auto"/>
          <w:highlight w:val="none"/>
          <w:lang w:val="en-US" w:eastAsia="zh-CN"/>
        </w:rPr>
        <w:t>29</w:t>
      </w:r>
      <w:r>
        <w:rPr>
          <w:rFonts w:hint="eastAsia" w:ascii="宋体" w:hAnsi="宋体"/>
          <w:b/>
          <w:color w:val="auto"/>
          <w:highlight w:val="none"/>
        </w:rPr>
        <w:t>.验收</w:t>
      </w:r>
      <w:bookmarkEnd w:id="1855"/>
    </w:p>
    <w:p>
      <w:pPr>
        <w:numPr>
          <w:ilvl w:val="-1"/>
          <w:numId w:val="0"/>
        </w:numPr>
        <w:tabs>
          <w:tab w:val="left" w:pos="1060"/>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29.1</w:t>
      </w:r>
      <w:r>
        <w:rPr>
          <w:rFonts w:hint="eastAsia" w:ascii="宋体" w:hAnsi="宋体"/>
          <w:color w:val="auto"/>
          <w:highlight w:val="none"/>
          <w:lang w:eastAsia="zh-CN"/>
        </w:rPr>
        <w:t>乙方</w:t>
      </w:r>
      <w:r>
        <w:rPr>
          <w:rFonts w:hint="eastAsia" w:ascii="宋体" w:hAnsi="宋体"/>
          <w:color w:val="auto"/>
          <w:highlight w:val="none"/>
        </w:rPr>
        <w:t>应</w:t>
      </w:r>
      <w:r>
        <w:rPr>
          <w:rFonts w:hint="eastAsia" w:ascii="宋体" w:hAnsi="宋体"/>
          <w:color w:val="auto"/>
          <w:highlight w:val="none"/>
          <w:lang w:val="en-US" w:eastAsia="zh-CN"/>
        </w:rPr>
        <w:t>提</w:t>
      </w:r>
      <w:r>
        <w:rPr>
          <w:rFonts w:hint="eastAsia" w:ascii="宋体" w:hAnsi="宋体"/>
          <w:color w:val="auto"/>
          <w:highlight w:val="none"/>
        </w:rPr>
        <w:t>前</w:t>
      </w:r>
      <w:r>
        <w:rPr>
          <w:rFonts w:ascii="宋体" w:hAnsi="宋体"/>
          <w:color w:val="auto"/>
          <w:highlight w:val="none"/>
        </w:rPr>
        <w:t>2个工作日书面通知</w:t>
      </w:r>
      <w:r>
        <w:rPr>
          <w:rFonts w:hint="eastAsia" w:ascii="宋体" w:hAnsi="宋体"/>
          <w:color w:val="auto"/>
          <w:highlight w:val="none"/>
          <w:lang w:eastAsia="zh-CN"/>
        </w:rPr>
        <w:t>甲方</w:t>
      </w:r>
      <w:r>
        <w:rPr>
          <w:rFonts w:hint="eastAsia" w:ascii="宋体" w:hAnsi="宋体"/>
          <w:color w:val="auto"/>
          <w:highlight w:val="none"/>
          <w:lang w:val="en-US" w:eastAsia="zh-CN"/>
        </w:rPr>
        <w:t>平台部署上线时间</w:t>
      </w:r>
      <w:r>
        <w:rPr>
          <w:rFonts w:hint="eastAsia" w:ascii="宋体" w:hAnsi="宋体"/>
          <w:color w:val="auto"/>
          <w:highlight w:val="none"/>
        </w:rPr>
        <w:t>，根据双方协定时间</w:t>
      </w:r>
      <w:r>
        <w:rPr>
          <w:rFonts w:hint="eastAsia" w:ascii="宋体" w:hAnsi="宋体"/>
          <w:color w:val="auto"/>
          <w:highlight w:val="none"/>
          <w:lang w:val="en-US" w:eastAsia="zh-CN"/>
        </w:rPr>
        <w:t>交付使用权</w:t>
      </w:r>
      <w:r>
        <w:rPr>
          <w:rFonts w:hint="eastAsia" w:ascii="宋体" w:hAnsi="宋体"/>
          <w:color w:val="auto"/>
          <w:highlight w:val="none"/>
        </w:rPr>
        <w:t>并验收，验收合格之日起计算质量保证期。</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29.2</w:t>
      </w:r>
      <w:r>
        <w:rPr>
          <w:rFonts w:hint="eastAsia" w:ascii="宋体" w:hAnsi="宋体"/>
          <w:color w:val="auto"/>
          <w:highlight w:val="none"/>
        </w:rPr>
        <w:t>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lang w:val="en-US" w:eastAsia="zh-CN"/>
        </w:rPr>
        <w:t>课程</w:t>
      </w:r>
      <w:r>
        <w:rPr>
          <w:rFonts w:ascii="宋体" w:hAnsi="宋体"/>
          <w:color w:val="auto"/>
          <w:highlight w:val="none"/>
        </w:rPr>
        <w:t>清单</w:t>
      </w:r>
      <w:r>
        <w:rPr>
          <w:rFonts w:hint="eastAsia" w:ascii="宋体" w:hAnsi="宋体"/>
          <w:color w:val="auto"/>
          <w:highlight w:val="none"/>
        </w:rPr>
        <w:t>、质量合格证书（如有）、</w:t>
      </w:r>
      <w:r>
        <w:rPr>
          <w:rFonts w:hint="eastAsia" w:ascii="宋体" w:hAnsi="宋体"/>
          <w:color w:val="auto"/>
          <w:highlight w:val="none"/>
          <w:lang w:val="en-US" w:eastAsia="zh-CN"/>
        </w:rPr>
        <w:t>平台操作</w:t>
      </w:r>
      <w:r>
        <w:rPr>
          <w:rFonts w:hint="eastAsia" w:ascii="宋体" w:hAnsi="宋体"/>
          <w:color w:val="auto"/>
          <w:highlight w:val="none"/>
        </w:rPr>
        <w:t>使用说明书、</w:t>
      </w:r>
      <w:r>
        <w:rPr>
          <w:rFonts w:hint="eastAsia" w:ascii="宋体" w:hAnsi="宋体"/>
          <w:color w:val="auto"/>
          <w:highlight w:val="none"/>
          <w:lang w:val="en-US" w:eastAsia="zh-CN"/>
        </w:rPr>
        <w:t>服务方案</w:t>
      </w:r>
      <w:r>
        <w:rPr>
          <w:rFonts w:hint="eastAsia" w:ascii="宋体" w:hAnsi="宋体"/>
          <w:color w:val="auto"/>
          <w:highlight w:val="none"/>
        </w:rPr>
        <w:t>；</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2）本合同附件所涉及的质量、技术、服务及验收的相关内容。</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6" w:name="_Toc492478799"/>
      <w:bookmarkStart w:id="1857" w:name="_Toc23559"/>
      <w:bookmarkStart w:id="1858" w:name="_Toc13751"/>
      <w:bookmarkStart w:id="1859" w:name="_Toc30584"/>
      <w:bookmarkStart w:id="1860" w:name="_Toc5694"/>
      <w:bookmarkStart w:id="1861" w:name="_Toc14941"/>
      <w:bookmarkStart w:id="1862" w:name="_Toc13500"/>
      <w:bookmarkStart w:id="1863" w:name="_Toc408"/>
      <w:bookmarkStart w:id="1864" w:name="_Toc6868"/>
      <w:bookmarkStart w:id="1865" w:name="_Toc12087"/>
      <w:bookmarkStart w:id="1866" w:name="_Toc9798"/>
      <w:bookmarkStart w:id="1867" w:name="_Toc25750669"/>
      <w:bookmarkStart w:id="1868" w:name="_Toc15108"/>
      <w:bookmarkStart w:id="1869" w:name="_Toc21038"/>
      <w:bookmarkStart w:id="1870" w:name="_Toc15820"/>
      <w:bookmarkStart w:id="1871" w:name="_Toc30922"/>
      <w:bookmarkStart w:id="1872" w:name="_Toc6005"/>
      <w:bookmarkStart w:id="1873" w:name="_Toc21060"/>
      <w:bookmarkStart w:id="1874" w:name="_Toc31498"/>
      <w:bookmarkStart w:id="1875" w:name="_Toc12478"/>
      <w:r>
        <w:rPr>
          <w:rFonts w:hint="eastAsia" w:ascii="宋体" w:hAnsi="宋体"/>
          <w:b/>
          <w:color w:val="auto"/>
          <w:highlight w:val="none"/>
          <w:lang w:val="en-US" w:eastAsia="zh-CN"/>
        </w:rPr>
        <w:t>30.</w:t>
      </w:r>
      <w:r>
        <w:rPr>
          <w:rFonts w:hint="eastAsia" w:ascii="宋体" w:hAnsi="宋体"/>
          <w:b/>
          <w:color w:val="auto"/>
          <w:highlight w:val="none"/>
        </w:rPr>
        <w:t>时间保证</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numPr>
          <w:ilvl w:val="-1"/>
          <w:numId w:val="0"/>
        </w:numPr>
        <w:tabs>
          <w:tab w:val="left" w:pos="940"/>
        </w:tabs>
        <w:snapToGrid w:val="0"/>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30.1</w:t>
      </w:r>
      <w:r>
        <w:rPr>
          <w:rFonts w:hint="eastAsia" w:ascii="宋体" w:hAnsi="宋体"/>
          <w:color w:val="auto"/>
          <w:highlight w:val="none"/>
        </w:rPr>
        <w:t>此款项将完全弥补</w:t>
      </w:r>
      <w:r>
        <w:rPr>
          <w:rFonts w:hint="eastAsia" w:ascii="宋体" w:hAnsi="宋体"/>
          <w:color w:val="auto"/>
          <w:highlight w:val="none"/>
          <w:lang w:eastAsia="zh-CN"/>
        </w:rPr>
        <w:t>乙方</w:t>
      </w:r>
      <w:r>
        <w:rPr>
          <w:rFonts w:hint="eastAsia" w:ascii="宋体" w:hAnsi="宋体"/>
          <w:color w:val="auto"/>
          <w:highlight w:val="none"/>
        </w:rPr>
        <w:t>未在规定的时间或按照相关条款的延期时间内完成货物或相关部分货物的义务。</w:t>
      </w:r>
      <w:r>
        <w:rPr>
          <w:rFonts w:hint="eastAsia" w:ascii="宋体" w:hAnsi="宋体"/>
          <w:color w:val="auto"/>
          <w:highlight w:val="none"/>
          <w:lang w:eastAsia="zh-CN"/>
        </w:rPr>
        <w:t>乙方</w:t>
      </w:r>
      <w:r>
        <w:rPr>
          <w:rFonts w:hint="eastAsia" w:ascii="宋体" w:hAnsi="宋体"/>
          <w:color w:val="auto"/>
          <w:highlight w:val="none"/>
        </w:rPr>
        <w:t>无须对</w:t>
      </w:r>
      <w:r>
        <w:rPr>
          <w:rFonts w:hint="eastAsia" w:ascii="宋体" w:hAnsi="宋体"/>
          <w:color w:val="auto"/>
          <w:highlight w:val="none"/>
          <w:lang w:eastAsia="zh-CN"/>
        </w:rPr>
        <w:t>甲方</w:t>
      </w:r>
      <w:r>
        <w:rPr>
          <w:rFonts w:hint="eastAsia" w:ascii="宋体" w:hAnsi="宋体"/>
          <w:color w:val="auto"/>
          <w:highlight w:val="none"/>
        </w:rPr>
        <w:t>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w:t>
      </w:r>
      <w:r>
        <w:rPr>
          <w:rFonts w:hint="eastAsia" w:ascii="宋体" w:hAnsi="宋体"/>
          <w:color w:val="auto"/>
          <w:highlight w:val="none"/>
          <w:lang w:eastAsia="zh-CN"/>
        </w:rPr>
        <w:t>乙方</w:t>
      </w:r>
      <w:r>
        <w:rPr>
          <w:rFonts w:hint="eastAsia" w:ascii="宋体" w:hAnsi="宋体"/>
          <w:color w:val="auto"/>
          <w:highlight w:val="none"/>
        </w:rPr>
        <w:t>完成合同内其它货物的义务或合同规定的</w:t>
      </w:r>
      <w:r>
        <w:rPr>
          <w:rFonts w:hint="eastAsia" w:ascii="宋体" w:hAnsi="宋体"/>
          <w:color w:val="auto"/>
          <w:highlight w:val="none"/>
          <w:lang w:eastAsia="zh-CN"/>
        </w:rPr>
        <w:t>乙方</w:t>
      </w:r>
      <w:r>
        <w:rPr>
          <w:rFonts w:hint="eastAsia" w:ascii="宋体" w:hAnsi="宋体"/>
          <w:color w:val="auto"/>
          <w:highlight w:val="none"/>
        </w:rPr>
        <w:t>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876" w:name="_Toc2427"/>
      <w:bookmarkStart w:id="1877" w:name="_Toc16845"/>
      <w:bookmarkStart w:id="1878" w:name="_Toc8642"/>
      <w:bookmarkStart w:id="1879" w:name="_Toc27029"/>
      <w:bookmarkStart w:id="1880" w:name="_Toc11322"/>
      <w:bookmarkStart w:id="1881" w:name="_Toc370933887"/>
      <w:bookmarkStart w:id="1882" w:name="_Toc385427876"/>
      <w:bookmarkStart w:id="1883" w:name="_Toc925"/>
      <w:bookmarkStart w:id="1884" w:name="_Toc25406"/>
      <w:bookmarkStart w:id="1885" w:name="_Toc309"/>
      <w:bookmarkStart w:id="1886" w:name="_Toc27400"/>
      <w:bookmarkStart w:id="1887" w:name="_Toc378514990"/>
      <w:bookmarkStart w:id="1888" w:name="_Toc14240"/>
      <w:bookmarkStart w:id="1889" w:name="_Toc20780"/>
      <w:bookmarkStart w:id="1890" w:name="_Toc3164"/>
      <w:bookmarkStart w:id="1891" w:name="_Toc492478800"/>
      <w:bookmarkStart w:id="1892" w:name="_Toc20826"/>
      <w:bookmarkStart w:id="1893" w:name="_Toc25750670"/>
      <w:bookmarkStart w:id="1894" w:name="_Toc390098502"/>
      <w:bookmarkStart w:id="1895" w:name="_Toc4370"/>
      <w:bookmarkStart w:id="1896" w:name="_Toc26446"/>
      <w:bookmarkStart w:id="1897" w:name="_Toc25859"/>
      <w:bookmarkStart w:id="1898" w:name="_Toc6462"/>
      <w:bookmarkStart w:id="1899" w:name="_Toc24789"/>
      <w:bookmarkStart w:id="1900" w:name="_Toc11286"/>
      <w:r>
        <w:rPr>
          <w:rFonts w:hint="eastAsia" w:ascii="宋体" w:hAnsi="宋体"/>
          <w:b/>
          <w:color w:val="auto"/>
          <w:highlight w:val="none"/>
        </w:rPr>
        <w:t>3</w:t>
      </w:r>
      <w:r>
        <w:rPr>
          <w:rFonts w:hint="eastAsia" w:ascii="宋体" w:hAnsi="宋体"/>
          <w:b/>
          <w:color w:val="auto"/>
          <w:highlight w:val="none"/>
          <w:lang w:val="en-US" w:eastAsia="zh-CN"/>
        </w:rPr>
        <w:t>1</w:t>
      </w:r>
      <w:r>
        <w:rPr>
          <w:rFonts w:hint="eastAsia" w:ascii="宋体" w:hAnsi="宋体"/>
          <w:b/>
          <w:color w:val="auto"/>
          <w:highlight w:val="none"/>
        </w:rPr>
        <w:t>.其他</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31.1</w:t>
      </w:r>
      <w:r>
        <w:rPr>
          <w:rFonts w:hint="eastAsia" w:ascii="宋体" w:hAnsi="宋体"/>
          <w:color w:val="auto"/>
          <w:highlight w:val="none"/>
          <w:lang w:eastAsia="zh-CN"/>
        </w:rPr>
        <w:t>乙方</w:t>
      </w:r>
      <w:r>
        <w:rPr>
          <w:rFonts w:hint="eastAsia" w:ascii="宋体" w:hAnsi="宋体"/>
          <w:color w:val="auto"/>
          <w:highlight w:val="none"/>
        </w:rPr>
        <w:t>确认并认知：</w:t>
      </w:r>
    </w:p>
    <w:p>
      <w:pPr>
        <w:pStyle w:val="35"/>
        <w:numPr>
          <w:ilvl w:val="-1"/>
          <w:numId w:val="0"/>
        </w:numPr>
        <w:tabs>
          <w:tab w:val="left" w:pos="1134"/>
          <w:tab w:val="left" w:pos="8364"/>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31.1.1</w:t>
      </w: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5"/>
        <w:numPr>
          <w:ilvl w:val="-1"/>
          <w:numId w:val="0"/>
        </w:numPr>
        <w:tabs>
          <w:tab w:val="left" w:pos="1134"/>
          <w:tab w:val="left" w:pos="8364"/>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31.1.2</w:t>
      </w:r>
      <w:r>
        <w:rPr>
          <w:rFonts w:hint="eastAsia" w:ascii="宋体" w:hAnsi="宋体"/>
          <w:color w:val="auto"/>
          <w:highlight w:val="none"/>
        </w:rPr>
        <w:t>其同意该等风险和义务，并未受到</w:t>
      </w:r>
      <w:r>
        <w:rPr>
          <w:rFonts w:hint="eastAsia" w:ascii="宋体" w:hAnsi="宋体"/>
          <w:color w:val="auto"/>
          <w:highlight w:val="none"/>
          <w:lang w:eastAsia="zh-CN"/>
        </w:rPr>
        <w:t>甲方</w:t>
      </w:r>
      <w:r>
        <w:rPr>
          <w:rFonts w:hint="eastAsia" w:ascii="宋体" w:hAnsi="宋体"/>
          <w:color w:val="auto"/>
          <w:highlight w:val="none"/>
        </w:rPr>
        <w:t>方面的任何胁迫或压力；</w:t>
      </w:r>
    </w:p>
    <w:p>
      <w:pPr>
        <w:pStyle w:val="35"/>
        <w:numPr>
          <w:ilvl w:val="-1"/>
          <w:numId w:val="0"/>
        </w:numPr>
        <w:tabs>
          <w:tab w:val="left" w:pos="1134"/>
          <w:tab w:val="left" w:pos="8364"/>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31.1.3</w:t>
      </w:r>
      <w:r>
        <w:rPr>
          <w:rFonts w:hint="eastAsia" w:ascii="宋体" w:hAnsi="宋体"/>
          <w:color w:val="auto"/>
          <w:highlight w:val="none"/>
        </w:rPr>
        <w:t>其接受该等风险和义务，是</w:t>
      </w:r>
      <w:r>
        <w:rPr>
          <w:rFonts w:hint="eastAsia" w:ascii="宋体" w:hAnsi="宋体"/>
          <w:color w:val="auto"/>
          <w:highlight w:val="none"/>
          <w:lang w:eastAsia="zh-CN"/>
        </w:rPr>
        <w:t>甲方</w:t>
      </w:r>
      <w:r>
        <w:rPr>
          <w:rFonts w:hint="eastAsia" w:ascii="宋体" w:hAnsi="宋体"/>
          <w:color w:val="auto"/>
          <w:highlight w:val="none"/>
        </w:rPr>
        <w:t>愿意和能够按合同约定的价格订立合同的先决条件；</w:t>
      </w:r>
    </w:p>
    <w:p>
      <w:pPr>
        <w:pStyle w:val="35"/>
        <w:numPr>
          <w:ilvl w:val="-1"/>
          <w:numId w:val="0"/>
        </w:numPr>
        <w:tabs>
          <w:tab w:val="left" w:pos="1134"/>
          <w:tab w:val="left" w:pos="8364"/>
        </w:tabs>
        <w:spacing w:before="0" w:after="0" w:afterAutospacing="0"/>
        <w:ind w:left="0" w:leftChars="0" w:right="0" w:firstLine="420" w:firstLineChars="200"/>
        <w:rPr>
          <w:rFonts w:ascii="宋体" w:hAnsi="宋体"/>
          <w:color w:val="auto"/>
          <w:highlight w:val="none"/>
        </w:rPr>
      </w:pPr>
      <w:r>
        <w:rPr>
          <w:rFonts w:hint="eastAsia" w:ascii="宋体" w:hAnsi="宋体"/>
          <w:color w:val="auto"/>
          <w:highlight w:val="none"/>
          <w:lang w:val="en-US" w:eastAsia="zh-CN"/>
        </w:rPr>
        <w:t>31.1.4</w:t>
      </w:r>
      <w:r>
        <w:rPr>
          <w:rFonts w:hint="eastAsia" w:ascii="宋体" w:hAnsi="宋体"/>
          <w:color w:val="auto"/>
          <w:highlight w:val="none"/>
        </w:rPr>
        <w:t>考虑到本交易的所有情形，合同的条款是公平合理的，</w:t>
      </w:r>
      <w:r>
        <w:rPr>
          <w:rFonts w:hint="eastAsia" w:ascii="宋体" w:hAnsi="宋体"/>
          <w:color w:val="auto"/>
          <w:highlight w:val="none"/>
          <w:lang w:eastAsia="zh-CN"/>
        </w:rPr>
        <w:t>乙方</w:t>
      </w:r>
      <w:r>
        <w:rPr>
          <w:rFonts w:hint="eastAsia" w:ascii="宋体" w:hAnsi="宋体"/>
          <w:color w:val="auto"/>
          <w:highlight w:val="none"/>
        </w:rPr>
        <w:t>之后不得以任何理由寻求对合同或其任一条款的法律效力提出异议，并放弃这样做的任何权利。</w:t>
      </w:r>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31.2</w:t>
      </w: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31.3</w:t>
      </w: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w:t>
      </w:r>
      <w:r>
        <w:rPr>
          <w:rFonts w:hint="eastAsia" w:ascii="宋体" w:hAnsi="宋体"/>
          <w:color w:val="auto"/>
          <w:highlight w:val="none"/>
          <w:lang w:eastAsia="zh-CN"/>
        </w:rPr>
        <w:t>甲方</w:t>
      </w:r>
      <w:r>
        <w:rPr>
          <w:rFonts w:hint="eastAsia" w:ascii="宋体" w:hAnsi="宋体"/>
          <w:color w:val="auto"/>
          <w:highlight w:val="none"/>
        </w:rPr>
        <w:t>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1901" w:name="_Toc4615"/>
      <w:bookmarkStart w:id="1902" w:name="_Toc16195"/>
      <w:bookmarkStart w:id="1903" w:name="_Toc2266"/>
      <w:bookmarkStart w:id="1904" w:name="_Toc18173"/>
      <w:bookmarkStart w:id="1905" w:name="_Toc5033"/>
      <w:bookmarkStart w:id="1906" w:name="_Toc13499"/>
      <w:bookmarkStart w:id="1907" w:name="_Toc7437"/>
      <w:bookmarkStart w:id="1908" w:name="_Toc7637"/>
      <w:bookmarkStart w:id="1909" w:name="_Toc24724"/>
      <w:bookmarkStart w:id="1910" w:name="_Toc25750671"/>
      <w:bookmarkStart w:id="1911" w:name="_Toc16684"/>
      <w:bookmarkStart w:id="1912" w:name="_Toc2305"/>
      <w:bookmarkStart w:id="1913" w:name="_Toc13166"/>
      <w:bookmarkStart w:id="1914" w:name="_Toc19698"/>
      <w:bookmarkStart w:id="1915" w:name="_Toc15121"/>
      <w:bookmarkStart w:id="1916" w:name="_Toc13837"/>
      <w:bookmarkStart w:id="1917" w:name="_Toc560"/>
      <w:bookmarkStart w:id="1918" w:name="_Toc22187"/>
      <w:bookmarkStart w:id="1919" w:name="_Toc8007"/>
      <w:bookmarkStart w:id="1920" w:name="_Toc24622"/>
      <w:r>
        <w:rPr>
          <w:rFonts w:hint="eastAsia" w:ascii="宋体" w:hAnsi="宋体"/>
          <w:b/>
          <w:color w:val="auto"/>
          <w:highlight w:val="none"/>
        </w:rPr>
        <w:t>3</w:t>
      </w:r>
      <w:r>
        <w:rPr>
          <w:rFonts w:hint="eastAsia" w:ascii="宋体" w:hAnsi="宋体"/>
          <w:b/>
          <w:color w:val="auto"/>
          <w:highlight w:val="none"/>
          <w:lang w:val="en-US" w:eastAsia="zh-CN"/>
        </w:rPr>
        <w:t>2</w:t>
      </w:r>
      <w:r>
        <w:rPr>
          <w:rFonts w:hint="eastAsia" w:ascii="宋体" w:hAnsi="宋体"/>
          <w:b/>
          <w:color w:val="auto"/>
          <w:highlight w:val="none"/>
        </w:rPr>
        <w:t>.合同生效和签约地</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32.1</w:t>
      </w:r>
      <w:r>
        <w:rPr>
          <w:rFonts w:hint="eastAsia" w:ascii="宋体" w:hAnsi="宋体"/>
          <w:color w:val="auto"/>
          <w:highlight w:val="none"/>
        </w:rPr>
        <w:t>本合同生效的时间以双方签署的协议书上的最后日期为准。</w:t>
      </w:r>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32.2</w:t>
      </w:r>
      <w:r>
        <w:rPr>
          <w:rFonts w:hint="eastAsia" w:ascii="宋体" w:hAnsi="宋体"/>
          <w:color w:val="auto"/>
          <w:highlight w:val="none"/>
        </w:rPr>
        <w:t>本合同签约地为中华人民共和国广西壮族自治区南宁市青秀区。</w:t>
      </w:r>
    </w:p>
    <w:p>
      <w:pPr>
        <w:pStyle w:val="35"/>
        <w:numPr>
          <w:ilvl w:val="-1"/>
          <w:numId w:val="0"/>
        </w:numPr>
        <w:tabs>
          <w:tab w:val="left" w:pos="960"/>
          <w:tab w:val="left" w:pos="8364"/>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32.3</w:t>
      </w:r>
      <w:r>
        <w:rPr>
          <w:rFonts w:hint="eastAsia" w:ascii="宋体" w:hAnsi="宋体"/>
          <w:color w:val="auto"/>
          <w:highlight w:val="none"/>
        </w:rPr>
        <w:t>本合同将在各方授权代表签字，</w:t>
      </w:r>
      <w:r>
        <w:rPr>
          <w:rFonts w:hint="eastAsia" w:ascii="宋体" w:hAnsi="宋体"/>
          <w:color w:val="auto"/>
          <w:highlight w:val="none"/>
          <w:lang w:eastAsia="zh-CN"/>
        </w:rPr>
        <w:t>甲方</w:t>
      </w:r>
      <w:r>
        <w:rPr>
          <w:rFonts w:hint="eastAsia" w:ascii="宋体" w:hAnsi="宋体"/>
          <w:color w:val="auto"/>
          <w:highlight w:val="none"/>
        </w:rPr>
        <w:t>收到</w:t>
      </w:r>
      <w:r>
        <w:rPr>
          <w:rFonts w:hint="eastAsia" w:ascii="宋体" w:hAnsi="宋体"/>
          <w:color w:val="auto"/>
          <w:highlight w:val="none"/>
          <w:lang w:eastAsia="zh-CN"/>
        </w:rPr>
        <w:t>乙方</w:t>
      </w:r>
      <w:r>
        <w:rPr>
          <w:rFonts w:hint="eastAsia" w:ascii="宋体" w:hAnsi="宋体"/>
          <w:color w:val="auto"/>
          <w:highlight w:val="none"/>
        </w:rPr>
        <w:t>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Pr>
        <w:widowControl w:val="0"/>
        <w:spacing w:before="0" w:after="0" w:afterAutospacing="0" w:line="240" w:lineRule="auto"/>
        <w:ind w:left="0" w:right="0" w:firstLine="0"/>
        <w:rPr>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921" w:name="_Toc6151"/>
      <w:bookmarkStart w:id="1922" w:name="_Toc1713"/>
      <w:bookmarkStart w:id="1923" w:name="_Toc21689"/>
      <w:bookmarkStart w:id="1924" w:name="_Toc8852"/>
      <w:bookmarkStart w:id="1925" w:name="_Toc21176"/>
      <w:bookmarkStart w:id="1926" w:name="_Toc32011"/>
      <w:bookmarkStart w:id="1927" w:name="_Toc14727"/>
      <w:bookmarkStart w:id="1928" w:name="_Toc14790"/>
      <w:bookmarkStart w:id="1929" w:name="_Toc17261"/>
      <w:bookmarkStart w:id="1930" w:name="_Toc26522"/>
      <w:bookmarkStart w:id="1931" w:name="_Toc29546"/>
      <w:bookmarkStart w:id="1932" w:name="_Toc30433"/>
      <w:bookmarkStart w:id="1933" w:name="_Toc13687"/>
      <w:bookmarkStart w:id="1934" w:name="_Toc13167"/>
      <w:bookmarkStart w:id="1935" w:name="_Toc11320"/>
      <w:bookmarkStart w:id="1936" w:name="_Toc1105"/>
      <w:bookmarkStart w:id="1937" w:name="_Toc31574"/>
      <w:bookmarkStart w:id="1938" w:name="_Toc28677"/>
      <w:bookmarkStart w:id="1939" w:name="_Toc25306"/>
      <w:bookmarkStart w:id="1940" w:name="_Toc30920"/>
      <w:bookmarkStart w:id="1941" w:name="_Toc17396"/>
      <w:bookmarkStart w:id="1942" w:name="_Toc2265"/>
      <w:bookmarkStart w:id="1943" w:name="_Toc28285"/>
      <w:bookmarkStart w:id="1944" w:name="_Toc9464"/>
      <w:bookmarkStart w:id="1945" w:name="_Toc31873"/>
      <w:bookmarkStart w:id="1946" w:name="_Toc17830"/>
      <w:bookmarkStart w:id="1947" w:name="_Toc27263"/>
      <w:bookmarkStart w:id="1948" w:name="_Toc4374"/>
      <w:r>
        <w:rPr>
          <w:rStyle w:val="40"/>
          <w:rFonts w:hint="eastAsia" w:ascii="宋体" w:hAnsi="宋体" w:eastAsia="宋体"/>
          <w:color w:val="000000" w:themeColor="text1"/>
          <w:highlight w:val="none"/>
          <w14:textFill>
            <w14:solidFill>
              <w14:schemeClr w14:val="tx1"/>
            </w14:solidFill>
          </w14:textFill>
        </w:rPr>
        <w:t>第四章比选申请文件格式</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jc w:val="center"/>
        <w:rPr>
          <w:rFonts w:ascii="宋体" w:hAnsi="宋体"/>
          <w:color w:val="000000" w:themeColor="text1"/>
          <w:sz w:val="48"/>
          <w:szCs w:val="48"/>
          <w:highlight w:val="none"/>
          <w:u w:val="single"/>
          <w14:textFill>
            <w14:solidFill>
              <w14:schemeClr w14:val="tx1"/>
            </w14:solidFill>
          </w14:textFill>
        </w:rPr>
      </w:pPr>
      <w:bookmarkStart w:id="1949" w:name="_Toc12983549"/>
      <w:bookmarkStart w:id="1950" w:name="_Toc3396"/>
      <w:bookmarkStart w:id="1951" w:name="_Toc414290520"/>
      <w:bookmarkStart w:id="1952" w:name="_Toc31535"/>
      <w:bookmarkStart w:id="1953" w:name="_Toc30705"/>
      <w:bookmarkStart w:id="1954" w:name="_Toc16671"/>
      <w:bookmarkStart w:id="1955" w:name="_Toc23261"/>
      <w:bookmarkStart w:id="1956" w:name="_Toc31624"/>
      <w:bookmarkStart w:id="1957" w:name="_Toc492478802"/>
      <w:bookmarkStart w:id="1958" w:name="_Toc19412"/>
      <w:bookmarkStart w:id="1959" w:name="_Toc4873"/>
      <w:bookmarkStart w:id="1960" w:name="_Toc32185"/>
      <w:bookmarkStart w:id="1961" w:name="_Toc6941"/>
      <w:bookmarkStart w:id="1962" w:name="_Toc12984805"/>
      <w:bookmarkStart w:id="1963" w:name="_Toc4027"/>
      <w:bookmarkStart w:id="1964" w:name="_Toc361"/>
      <w:bookmarkStart w:id="1965" w:name="_Toc24453"/>
      <w:bookmarkStart w:id="1966" w:name="_Toc24824"/>
      <w:bookmarkStart w:id="1967" w:name="_Toc21274"/>
      <w:bookmarkStart w:id="1968" w:name="_Toc25325"/>
      <w:bookmarkStart w:id="1969" w:name="_Toc22709"/>
    </w:p>
    <w:p>
      <w:pPr>
        <w:jc w:val="center"/>
        <w:outlineLvl w:val="0"/>
        <w:rPr>
          <w:rFonts w:ascii="宋体" w:hAnsi="宋体"/>
          <w:color w:val="000000" w:themeColor="text1"/>
          <w:sz w:val="48"/>
          <w:szCs w:val="48"/>
          <w:highlight w:val="none"/>
          <w14:textFill>
            <w14:solidFill>
              <w14:schemeClr w14:val="tx1"/>
            </w14:solidFill>
          </w14:textFill>
        </w:rPr>
      </w:pPr>
      <w:bookmarkStart w:id="1970" w:name="_Toc118"/>
      <w:bookmarkStart w:id="1971" w:name="_Toc27617"/>
      <w:bookmarkStart w:id="1972" w:name="_Toc6968"/>
      <w:bookmarkStart w:id="1973" w:name="_Toc23382"/>
      <w:bookmarkStart w:id="1974" w:name="_Toc11886"/>
      <w:bookmarkStart w:id="1975" w:name="_Toc9630"/>
      <w:bookmarkStart w:id="1976" w:name="_Toc29075"/>
      <w:bookmarkStart w:id="1977" w:name="_Toc10537"/>
      <w:bookmarkStart w:id="1978" w:name="_Toc2492"/>
      <w:bookmarkStart w:id="1979" w:name="_Toc29134"/>
      <w:bookmarkStart w:id="1980" w:name="_Toc28878"/>
      <w:r>
        <w:rPr>
          <w:rFonts w:hint="eastAsia" w:ascii="宋体" w:hAnsi="宋体"/>
          <w:color w:val="000000" w:themeColor="text1"/>
          <w:sz w:val="48"/>
          <w:szCs w:val="48"/>
          <w:highlight w:val="none"/>
          <w14:textFill>
            <w14:solidFill>
              <w14:schemeClr w14:val="tx1"/>
            </w14:solidFill>
          </w14:textFill>
        </w:rPr>
        <w:t>项目比选申请文件</w:t>
      </w:r>
      <w:bookmarkEnd w:id="1970"/>
      <w:bookmarkEnd w:id="1971"/>
      <w:bookmarkEnd w:id="1972"/>
      <w:bookmarkEnd w:id="1973"/>
      <w:bookmarkEnd w:id="1974"/>
      <w:bookmarkEnd w:id="1975"/>
      <w:bookmarkEnd w:id="1976"/>
      <w:bookmarkEnd w:id="1977"/>
      <w:bookmarkEnd w:id="1978"/>
      <w:bookmarkEnd w:id="1979"/>
      <w:bookmarkEnd w:id="1980"/>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981" w:name="_Toc24091"/>
      <w:bookmarkStart w:id="1982" w:name="_Toc16541"/>
      <w:bookmarkStart w:id="1983" w:name="_Toc30878"/>
      <w:bookmarkStart w:id="1984" w:name="_Toc4505"/>
      <w:bookmarkStart w:id="1985" w:name="_Toc10620"/>
      <w:bookmarkStart w:id="1986" w:name="_Toc16423"/>
      <w:bookmarkStart w:id="1987" w:name="_Toc743"/>
      <w:bookmarkStart w:id="1988" w:name="_Toc22899"/>
      <w:bookmarkStart w:id="1989" w:name="_Toc15243"/>
      <w:bookmarkStart w:id="1990" w:name="_Toc15999"/>
      <w:bookmarkStart w:id="1991" w:name="_Toc21862"/>
      <w:r>
        <w:rPr>
          <w:rFonts w:hint="eastAsia" w:ascii="华文中宋" w:eastAsia="华文中宋"/>
          <w:color w:val="000000" w:themeColor="text1"/>
          <w:sz w:val="48"/>
          <w:szCs w:val="48"/>
          <w:highlight w:val="none"/>
          <w14:textFill>
            <w14:solidFill>
              <w14:schemeClr w14:val="tx1"/>
            </w14:solidFill>
          </w14:textFill>
        </w:rPr>
        <w:t>资格审查文件</w:t>
      </w:r>
      <w:bookmarkEnd w:id="1981"/>
      <w:bookmarkEnd w:id="1982"/>
      <w:bookmarkEnd w:id="1983"/>
      <w:bookmarkEnd w:id="1984"/>
      <w:bookmarkEnd w:id="1985"/>
      <w:bookmarkEnd w:id="1986"/>
      <w:bookmarkEnd w:id="1987"/>
      <w:bookmarkEnd w:id="1988"/>
      <w:bookmarkEnd w:id="1989"/>
      <w:bookmarkEnd w:id="1990"/>
      <w:bookmarkEnd w:id="1991"/>
    </w:p>
    <w:p>
      <w:pPr>
        <w:autoSpaceDE w:val="0"/>
        <w:autoSpaceDN w:val="0"/>
        <w:adjustRightInd w:val="0"/>
        <w:jc w:val="center"/>
        <w:rPr>
          <w:rFonts w:ascii="楷体_GB2312" w:eastAsia="楷体_GB2312"/>
          <w:color w:val="000000" w:themeColor="text1"/>
          <w:sz w:val="36"/>
          <w:szCs w:val="36"/>
          <w:highlight w:val="none"/>
          <w14:textFill>
            <w14:solidFill>
              <w14:schemeClr w14:val="tx1"/>
            </w14:solidFill>
          </w14:textFill>
        </w:rPr>
      </w:pPr>
      <w:r>
        <w:rPr>
          <w:rFonts w:hint="eastAsia" w:ascii="楷体_GB2312" w:eastAsia="楷体_GB2312"/>
          <w:color w:val="000000" w:themeColor="text1"/>
          <w:sz w:val="36"/>
          <w:szCs w:val="36"/>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left="0" w:firstLine="0"/>
        <w:rPr>
          <w:rFonts w:ascii="宋体" w:hAnsi="宋体"/>
          <w:color w:val="000000" w:themeColor="text1"/>
          <w:sz w:val="28"/>
          <w:szCs w:val="28"/>
          <w:highlight w:val="none"/>
          <w14:textFill>
            <w14:solidFill>
              <w14:schemeClr w14:val="tx1"/>
            </w14:solidFill>
          </w14:textFill>
        </w:rPr>
      </w:pPr>
    </w:p>
    <w:p>
      <w:pPr>
        <w:autoSpaceDE w:val="0"/>
        <w:autoSpaceDN w:val="0"/>
        <w:adjustRightInd w:val="0"/>
        <w:ind w:firstLine="980" w:firstLineChars="350"/>
        <w:jc w:val="center"/>
        <w:rPr>
          <w:rFonts w:ascii="楷体_GB2312" w:eastAsia="楷体_GB2312"/>
          <w:color w:val="000000" w:themeColor="text1"/>
          <w:sz w:val="32"/>
          <w:highlight w:val="none"/>
          <w14:textFill>
            <w14:solidFill>
              <w14:schemeClr w14:val="tx1"/>
            </w14:solidFill>
          </w14:textFill>
        </w:rPr>
      </w:pP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日</w:t>
      </w:r>
    </w:p>
    <w:p>
      <w:pPr>
        <w:ind w:right="-57" w:firstLine="0"/>
        <w:jc w:val="center"/>
        <w:rPr>
          <w:color w:val="000000" w:themeColor="text1"/>
          <w:sz w:val="24"/>
          <w:szCs w:val="24"/>
          <w:highlight w:val="none"/>
          <w14:textFill>
            <w14:solidFill>
              <w14:schemeClr w14:val="tx1"/>
            </w14:solidFill>
          </w14:textFill>
        </w:rPr>
      </w:pPr>
    </w:p>
    <w:p>
      <w:pPr>
        <w:pStyle w:val="3"/>
        <w:spacing w:after="100"/>
        <w:ind w:right="-57" w:firstLine="0"/>
        <w:jc w:val="center"/>
        <w:rPr>
          <w:color w:val="000000" w:themeColor="text1"/>
          <w:sz w:val="24"/>
          <w:szCs w:val="24"/>
          <w:highlight w:val="none"/>
          <w14:textFill>
            <w14:solidFill>
              <w14:schemeClr w14:val="tx1"/>
            </w14:solidFill>
          </w14:textFill>
        </w:rPr>
      </w:pPr>
      <w:bookmarkStart w:id="1992" w:name="_Toc29152"/>
      <w:bookmarkStart w:id="1993" w:name="_Toc31723"/>
      <w:bookmarkStart w:id="1994" w:name="_Toc8022"/>
      <w:bookmarkStart w:id="1995" w:name="_Toc30231"/>
      <w:bookmarkStart w:id="1996" w:name="_Toc16560"/>
      <w:bookmarkStart w:id="1997" w:name="_Toc26624"/>
      <w:bookmarkStart w:id="1998" w:name="_Toc14178"/>
      <w:bookmarkStart w:id="1999" w:name="_Toc14777"/>
      <w:bookmarkStart w:id="2000" w:name="_Toc4152"/>
      <w:bookmarkStart w:id="2001" w:name="_Toc23627"/>
      <w:bookmarkStart w:id="2002" w:name="_Toc28632"/>
      <w:r>
        <w:rPr>
          <w:color w:val="000000" w:themeColor="text1"/>
          <w:sz w:val="24"/>
          <w:szCs w:val="24"/>
          <w:highlight w:val="none"/>
          <w14:textFill>
            <w14:solidFill>
              <w14:schemeClr w14:val="tx1"/>
            </w14:solidFill>
          </w14:textFill>
        </w:rPr>
        <w:t>A  资格审查</w:t>
      </w:r>
      <w:r>
        <w:rPr>
          <w:rFonts w:hint="eastAsia"/>
          <w:color w:val="000000" w:themeColor="text1"/>
          <w:sz w:val="24"/>
          <w:szCs w:val="24"/>
          <w:highlight w:val="none"/>
          <w14:textFill>
            <w14:solidFill>
              <w14:schemeClr w14:val="tx1"/>
            </w14:solidFill>
          </w14:textFill>
        </w:rPr>
        <w:t>文件</w:t>
      </w:r>
      <w:bookmarkEnd w:id="1992"/>
      <w:bookmarkEnd w:id="1993"/>
      <w:bookmarkEnd w:id="1994"/>
      <w:bookmarkEnd w:id="1995"/>
      <w:bookmarkEnd w:id="1996"/>
      <w:bookmarkEnd w:id="1997"/>
      <w:bookmarkEnd w:id="1998"/>
      <w:bookmarkEnd w:id="1999"/>
      <w:bookmarkEnd w:id="2000"/>
      <w:bookmarkEnd w:id="2001"/>
      <w:bookmarkEnd w:id="2002"/>
    </w:p>
    <w:p>
      <w:pPr>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资格审查文件格式</w:t>
      </w:r>
    </w:p>
    <w:p>
      <w:pPr>
        <w:tabs>
          <w:tab w:val="left" w:pos="1134"/>
        </w:tabs>
        <w:spacing w:before="0" w:after="0" w:afterAutospacing="0"/>
        <w:ind w:left="0" w:right="0" w:firstLine="420" w:firstLineChars="200"/>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（2）比选申请人有效的营业执照副本或事业单位法人证书等证明文件复印件；</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3</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承诺书（格式见</w:t>
      </w:r>
      <w:r>
        <w:rPr>
          <w:color w:val="000000" w:themeColor="text1"/>
          <w:highlight w:val="none"/>
          <w14:textFill>
            <w14:solidFill>
              <w14:schemeClr w14:val="tx1"/>
            </w14:solidFill>
          </w14:textFill>
        </w:rPr>
        <w:t>A</w:t>
      </w:r>
      <w:r>
        <w:rPr>
          <w:rFonts w:hint="eastAsia"/>
          <w:color w:val="000000" w:themeColor="text1"/>
          <w:highlight w:val="none"/>
          <w:lang w:val="en-US" w:eastAsia="zh-CN"/>
          <w14:textFill>
            <w14:solidFill>
              <w14:schemeClr w14:val="tx1"/>
            </w14:solidFill>
          </w14:textFill>
        </w:rPr>
        <w:t>3</w:t>
      </w:r>
      <w:r>
        <w:rPr>
          <w:rFonts w:hAnsi="宋体"/>
          <w:color w:val="000000" w:themeColor="text1"/>
          <w:highlight w:val="none"/>
          <w14:textFill>
            <w14:solidFill>
              <w14:schemeClr w14:val="tx1"/>
            </w14:solidFill>
          </w14:textFill>
        </w:rPr>
        <w:t>）；</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）比选申请人认为应提交的其他比选申请资料（如有）。</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spacing w:before="0" w:after="0" w:afterAutospacing="0"/>
        <w:ind w:left="0" w:right="0" w:firstLine="420" w:firstLineChars="200"/>
        <w:rPr>
          <w:rFonts w:hAnsi="宋体"/>
          <w:color w:val="000000" w:themeColor="text1"/>
          <w:highlight w:val="none"/>
          <w14:textFill>
            <w14:solidFill>
              <w14:schemeClr w14:val="tx1"/>
            </w14:solidFill>
          </w14:textFill>
        </w:rPr>
        <w:sectPr>
          <w:footerReference r:id="rId7" w:type="default"/>
          <w:pgSz w:w="11905" w:h="16838"/>
          <w:pgMar w:top="1417" w:right="1417" w:bottom="1417" w:left="1417" w:header="454" w:footer="567" w:gutter="0"/>
          <w:cols w:space="720" w:num="1"/>
          <w:docGrid w:linePitch="312" w:charSpace="0"/>
        </w:sectPr>
      </w:pPr>
    </w:p>
    <w:p>
      <w:pPr>
        <w:numPr>
          <w:ilvl w:val="1"/>
          <w:numId w:val="15"/>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2003" w:name="_Toc10433"/>
      <w:bookmarkStart w:id="2004" w:name="_Toc22533"/>
      <w:bookmarkStart w:id="2005" w:name="_Toc25750675"/>
      <w:bookmarkStart w:id="2006" w:name="_Toc492478804"/>
      <w:bookmarkStart w:id="2007" w:name="_Toc8868"/>
      <w:bookmarkStart w:id="2008" w:name="_Toc10238"/>
      <w:bookmarkStart w:id="2009" w:name="_Toc7057"/>
      <w:bookmarkStart w:id="2010" w:name="_Toc20029"/>
      <w:bookmarkStart w:id="2011" w:name="_Toc4125"/>
      <w:bookmarkStart w:id="2012" w:name="_Toc10789"/>
      <w:bookmarkStart w:id="2013" w:name="_Toc20671"/>
      <w:bookmarkStart w:id="2014" w:name="_Toc32455"/>
      <w:bookmarkStart w:id="2015" w:name="_Toc956"/>
      <w:bookmarkStart w:id="2016" w:name="_Toc41492239"/>
      <w:bookmarkStart w:id="2017" w:name="_Toc12984807"/>
      <w:bookmarkStart w:id="2018" w:name="_Toc15696"/>
      <w:bookmarkStart w:id="2019" w:name="_Toc24436"/>
      <w:bookmarkStart w:id="2020" w:name="_Toc9658"/>
      <w:bookmarkStart w:id="2021" w:name="_Toc375564351"/>
      <w:bookmarkStart w:id="2022" w:name="_Toc20283"/>
      <w:bookmarkStart w:id="2023" w:name="_Toc3499"/>
      <w:bookmarkStart w:id="2024" w:name="_Toc414290522"/>
      <w:bookmarkStart w:id="2025" w:name="_Toc16089"/>
      <w:bookmarkStart w:id="2026" w:name="_Toc13389"/>
      <w:r>
        <w:rPr>
          <w:rFonts w:ascii="宋体" w:hAnsi="宋体"/>
          <w:b/>
          <w:color w:val="000000" w:themeColor="text1"/>
          <w:highlight w:val="none"/>
          <w14:textFill>
            <w14:solidFill>
              <w14:schemeClr w14:val="tx1"/>
            </w14:solidFill>
          </w14:textFill>
        </w:rPr>
        <w:t>法定代表人授权书格式</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法定代表人授权书</w:t>
      </w:r>
    </w:p>
    <w:p>
      <w:pPr>
        <w:tabs>
          <w:tab w:val="left" w:pos="8364"/>
        </w:tabs>
        <w:snapToGrid w:val="0"/>
        <w:ind w:left="500" w:right="0" w:hanging="499"/>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本授权书声明：注册于</w:t>
      </w:r>
      <w:r>
        <w:rPr>
          <w:rFonts w:ascii="宋体" w:hAnsi="宋体"/>
          <w:color w:val="000000" w:themeColor="text1"/>
          <w:highlight w:val="none"/>
          <w:u w:val="single"/>
          <w14:textFill>
            <w14:solidFill>
              <w14:schemeClr w14:val="tx1"/>
            </w14:solidFill>
          </w14:textFill>
        </w:rPr>
        <w:t>(国家或地区)</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（比选申请人名称）</w:t>
      </w:r>
      <w:r>
        <w:rPr>
          <w:rFonts w:ascii="宋体" w:hAnsi="宋体"/>
          <w:color w:val="000000" w:themeColor="text1"/>
          <w:highlight w:val="none"/>
          <w14:textFill>
            <w14:solidFill>
              <w14:schemeClr w14:val="tx1"/>
            </w14:solidFill>
          </w14:textFill>
        </w:rPr>
        <w:t>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（法定代表人姓名、职务）</w:t>
      </w:r>
      <w:r>
        <w:rPr>
          <w:rFonts w:ascii="宋体" w:hAnsi="宋体"/>
          <w:color w:val="000000" w:themeColor="text1"/>
          <w:highlight w:val="none"/>
          <w14:textFill>
            <w14:solidFill>
              <w14:schemeClr w14:val="tx1"/>
            </w14:solidFill>
          </w14:textFill>
        </w:rPr>
        <w:t>代表本公司授权在下面签字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（被授权人的姓名、职务）</w:t>
      </w:r>
      <w:r>
        <w:rPr>
          <w:rFonts w:ascii="宋体" w:hAnsi="宋体"/>
          <w:color w:val="000000" w:themeColor="text1"/>
          <w:highlight w:val="none"/>
          <w14:textFill>
            <w14:solidFill>
              <w14:schemeClr w14:val="tx1"/>
            </w14:solidFill>
          </w14:textFill>
        </w:rPr>
        <w:t>为本公司的合法代理人，就</w:t>
      </w: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none"/>
          <w:lang w:val="en-US" w:eastAsia="zh-CN"/>
        </w:rPr>
        <w:t>运营有限公司线上培训课程与培训管理信息技术服务项目（2022年-2023年）</w:t>
      </w:r>
      <w:r>
        <w:rPr>
          <w:rFonts w:hint="eastAsia" w:ascii="宋体" w:hAnsi="宋体"/>
          <w:color w:val="auto"/>
          <w:highlight w:val="none"/>
          <w:u w:val="single"/>
          <w:lang w:eastAsia="zh-CN"/>
        </w:rPr>
        <w:t>，</w:t>
      </w:r>
      <w:r>
        <w:rPr>
          <w:rFonts w:ascii="宋体" w:hAnsi="宋体"/>
          <w:color w:val="auto"/>
          <w:highlight w:val="none"/>
        </w:rPr>
        <w:t>编号为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default" w:ascii="宋体" w:hAnsi="宋体"/>
          <w:color w:val="auto"/>
          <w:highlight w:val="none"/>
          <w:u w:val="single"/>
          <w:lang w:val="en-US"/>
        </w:rPr>
        <w:t>202208090001</w:t>
      </w:r>
      <w:r>
        <w:rPr>
          <w:rFonts w:hint="eastAsia" w:ascii="宋体" w:hAnsi="宋体"/>
          <w:color w:val="auto"/>
          <w:highlight w:val="none"/>
          <w:u w:val="single"/>
          <w:lang w:val="en-US" w:eastAsia="zh-CN"/>
        </w:rPr>
        <w:t xml:space="preserve">  </w:t>
      </w:r>
      <w:r>
        <w:rPr>
          <w:rFonts w:ascii="宋体" w:hAnsi="宋体"/>
          <w:color w:val="000000" w:themeColor="text1"/>
          <w:highlight w:val="none"/>
          <w14:textFill>
            <w14:solidFill>
              <w14:schemeClr w14:val="tx1"/>
            </w14:solidFill>
          </w14:textFill>
        </w:rPr>
        <w:t>的项目的服务的比选申请和合同执行，作为比选申请人代表以本公司的名义处理一切与之有关的事宜。</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本授权书于年月日签字生效，特此声明。</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法定代表人签字或盖章：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比选申请人代表（被授权人）签字或盖章：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ind w:right="0" w:firstLine="135"/>
        <w:rPr>
          <w:rFonts w:ascii="宋体" w:hAnsi="宋体"/>
          <w:color w:val="000000" w:themeColor="text1"/>
          <w:highlight w:val="none"/>
          <w:u w:val="singl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附：授权代理人身份证复印件</w:t>
      </w:r>
    </w:p>
    <w:p>
      <w:pPr>
        <w:numPr>
          <w:ilvl w:val="1"/>
          <w:numId w:val="15"/>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2027" w:name="_Toc19744"/>
      <w:bookmarkStart w:id="2028" w:name="_Toc492478805"/>
      <w:bookmarkStart w:id="2029" w:name="_Toc15572"/>
      <w:bookmarkStart w:id="2030" w:name="_Toc17964"/>
      <w:bookmarkStart w:id="2031" w:name="_Toc27722"/>
      <w:bookmarkStart w:id="2032" w:name="_Toc375564352"/>
      <w:bookmarkStart w:id="2033" w:name="_Toc9757"/>
      <w:bookmarkStart w:id="2034" w:name="_Toc414290523"/>
      <w:bookmarkStart w:id="2035" w:name="_Toc24322"/>
      <w:bookmarkStart w:id="2036" w:name="_Toc27657"/>
      <w:bookmarkStart w:id="2037" w:name="_Toc9583"/>
      <w:bookmarkStart w:id="2038" w:name="_Toc31808"/>
      <w:bookmarkStart w:id="2039" w:name="_Toc13798"/>
      <w:bookmarkStart w:id="2040" w:name="_Toc7273"/>
      <w:bookmarkStart w:id="2041" w:name="_Toc7753"/>
      <w:bookmarkStart w:id="2042" w:name="_Toc20436"/>
      <w:bookmarkStart w:id="2043" w:name="_Toc8654"/>
      <w:bookmarkStart w:id="2044" w:name="_Toc13606"/>
      <w:bookmarkStart w:id="2045" w:name="_Toc12984808"/>
      <w:bookmarkStart w:id="2046" w:name="_Toc41492240"/>
      <w:bookmarkStart w:id="2047" w:name="_Toc15980"/>
      <w:bookmarkStart w:id="2048" w:name="_Toc25750676"/>
      <w:bookmarkStart w:id="2049" w:name="_Toc13634"/>
      <w:bookmarkStart w:id="2050" w:name="_Toc26713"/>
      <w:r>
        <w:rPr>
          <w:rFonts w:ascii="宋体" w:hAnsi="宋体"/>
          <w:b/>
          <w:color w:val="000000" w:themeColor="text1"/>
          <w:highlight w:val="none"/>
          <w14:textFill>
            <w14:solidFill>
              <w14:schemeClr w14:val="tx1"/>
            </w14:solidFill>
          </w14:textFill>
        </w:rPr>
        <w:t>法定代表人资格证明书格式</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ind w:right="0" w:firstLine="200"/>
        <w:rPr>
          <w:rFonts w:ascii="宋体" w:hAnsi="宋体"/>
          <w:color w:val="000000" w:themeColor="text1"/>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法定代表人资格证明书</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姓名：性别：年龄：职务：</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的法定代表人。</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特此证明。</w:t>
      </w:r>
    </w:p>
    <w:p>
      <w:pPr>
        <w:ind w:right="0" w:firstLine="200"/>
        <w:rPr>
          <w:rFonts w:ascii="宋体" w:hAnsi="宋体"/>
          <w:color w:val="000000" w:themeColor="text1"/>
          <w:highlight w:val="none"/>
          <w14:textFill>
            <w14:solidFill>
              <w14:schemeClr w14:val="tx1"/>
            </w14:solidFill>
          </w14:textFill>
        </w:rPr>
      </w:pP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比选申请人：（盖章）</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日期：年月日</w:t>
      </w:r>
    </w:p>
    <w:p>
      <w:pPr>
        <w:rPr>
          <w:rFonts w:ascii="宋体" w:hAnsi="宋体"/>
          <w:b/>
          <w:color w:val="000000" w:themeColor="text1"/>
          <w:highlight w:val="none"/>
          <w14:textFill>
            <w14:solidFill>
              <w14:schemeClr w14:val="tx1"/>
            </w14:solidFill>
          </w14:textFill>
        </w:rPr>
      </w:pPr>
      <w:bookmarkStart w:id="2051" w:name="_Toc12984809"/>
      <w:r>
        <w:rPr>
          <w:rFonts w:hint="eastAsia" w:ascii="宋体" w:hAnsi="宋体"/>
          <w:b/>
          <w:color w:val="000000" w:themeColor="text1"/>
          <w:highlight w:val="none"/>
          <w14:textFill>
            <w14:solidFill>
              <w14:schemeClr w14:val="tx1"/>
            </w14:solidFill>
          </w14:textFill>
        </w:rPr>
        <w:t>附</w:t>
      </w:r>
      <w:r>
        <w:rPr>
          <w:rFonts w:ascii="宋体" w:hAnsi="宋体"/>
          <w:b/>
          <w:color w:val="000000" w:themeColor="text1"/>
          <w:highlight w:val="non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法人身份证复印件</w:t>
      </w: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bookmarkStart w:id="2052" w:name="_Toc17745"/>
      <w:bookmarkStart w:id="2053" w:name="_Toc24848"/>
      <w:bookmarkStart w:id="2054" w:name="_Toc3426"/>
      <w:bookmarkStart w:id="2055" w:name="_Toc7712"/>
      <w:bookmarkStart w:id="2056" w:name="_Toc15609"/>
      <w:bookmarkStart w:id="2057" w:name="_Toc41492241"/>
      <w:bookmarkStart w:id="2058" w:name="_Toc11425"/>
      <w:bookmarkStart w:id="2059" w:name="_Toc4894"/>
      <w:bookmarkStart w:id="2060" w:name="_Toc492478806"/>
      <w:bookmarkStart w:id="2061" w:name="_Toc26907"/>
      <w:bookmarkStart w:id="2062" w:name="_Toc16467"/>
      <w:bookmarkStart w:id="2063" w:name="_Toc1932"/>
      <w:bookmarkStart w:id="2064" w:name="_Toc21307"/>
      <w:bookmarkStart w:id="2065" w:name="_Toc31448"/>
      <w:bookmarkStart w:id="2066" w:name="_Toc29246"/>
      <w:bookmarkStart w:id="2067" w:name="_Toc19721"/>
      <w:bookmarkStart w:id="2068" w:name="_Toc25750677"/>
      <w:bookmarkStart w:id="2069" w:name="_Toc32062"/>
      <w:bookmarkStart w:id="2070" w:name="_Toc414290524"/>
      <w:bookmarkStart w:id="2071" w:name="_Toc15394"/>
      <w:bookmarkStart w:id="2072" w:name="_Toc6033"/>
      <w:bookmarkStart w:id="2073" w:name="_Toc26097"/>
      <w:bookmarkStart w:id="2074" w:name="_Toc375564353"/>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A</w:t>
      </w:r>
      <w:r>
        <w:rPr>
          <w:rFonts w:hint="eastAsia" w:ascii="宋体" w:hAnsi="宋体"/>
          <w:b/>
          <w:color w:val="000000" w:themeColor="text1"/>
          <w:highlight w:val="none"/>
          <w:lang w:val="en-US" w:eastAsia="zh-CN"/>
          <w14:textFill>
            <w14:solidFill>
              <w14:schemeClr w14:val="tx1"/>
            </w14:solidFill>
          </w14:textFill>
        </w:rPr>
        <w:t>3</w:t>
      </w:r>
      <w:r>
        <w:rPr>
          <w:rFonts w:hint="eastAsia" w:ascii="宋体" w:hAnsi="宋体"/>
          <w:b/>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承诺书格式</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spacing w:before="240" w:after="240" w:line="360" w:lineRule="exact"/>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承诺书</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w:t>
      </w:r>
      <w:r>
        <w:rPr>
          <w:rFonts w:ascii="宋体" w:hAnsi="宋体"/>
          <w:color w:val="000000" w:themeColor="text1"/>
          <w:highlight w:val="none"/>
          <w:u w:val="single"/>
          <w14:textFill>
            <w14:solidFill>
              <w14:schemeClr w14:val="tx1"/>
            </w14:solidFill>
          </w14:textFill>
        </w:rPr>
        <w:t>南宁轨道交通</w:t>
      </w:r>
      <w:r>
        <w:rPr>
          <w:rFonts w:hint="eastAsia" w:ascii="宋体" w:hAnsi="宋体"/>
          <w:color w:val="000000" w:themeColor="text1"/>
          <w:highlight w:val="none"/>
          <w:u w:val="single"/>
          <w:lang w:val="en-US" w:eastAsia="zh-CN"/>
          <w14:textFill>
            <w14:solidFill>
              <w14:schemeClr w14:val="tx1"/>
            </w14:solidFill>
          </w14:textFill>
        </w:rPr>
        <w:t>运营有限</w:t>
      </w:r>
      <w:r>
        <w:rPr>
          <w:rFonts w:ascii="宋体" w:hAnsi="宋体"/>
          <w:color w:val="000000" w:themeColor="text1"/>
          <w:highlight w:val="none"/>
          <w:u w:val="single"/>
          <w14:textFill>
            <w14:solidFill>
              <w14:schemeClr w14:val="tx1"/>
            </w14:solidFill>
          </w14:textFill>
        </w:rPr>
        <w:t>公司</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1、在认真研读南宁轨道交通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r>
        <w:rPr>
          <w:rFonts w:hint="eastAsia" w:ascii="宋体" w:hAnsi="宋体"/>
          <w:color w:val="000000" w:themeColor="text1"/>
          <w:highlight w:val="none"/>
          <w14:textFill>
            <w14:solidFill>
              <w14:schemeClr w14:val="tx1"/>
            </w14:solidFill>
          </w14:textFill>
        </w:rPr>
        <w:t>的比选文件</w:t>
      </w:r>
      <w:r>
        <w:rPr>
          <w:rFonts w:ascii="宋体" w:hAnsi="宋体"/>
          <w:color w:val="000000" w:themeColor="text1"/>
          <w:highlight w:val="none"/>
          <w14:textFill>
            <w14:solidFill>
              <w14:schemeClr w14:val="tx1"/>
            </w14:solidFill>
          </w14:textFill>
        </w:rPr>
        <w:t>后，我方经慎重考虑，郑重承诺参加</w:t>
      </w:r>
      <w:r>
        <w:rPr>
          <w:rFonts w:hint="eastAsia" w:ascii="宋体" w:hAnsi="宋体"/>
          <w:color w:val="000000" w:themeColor="text1"/>
          <w:highlight w:val="none"/>
          <w14:textFill>
            <w14:solidFill>
              <w14:schemeClr w14:val="tx1"/>
            </w14:solidFill>
          </w14:textFill>
        </w:rPr>
        <w:t>项目的招比选申请</w:t>
      </w:r>
      <w:r>
        <w:rPr>
          <w:rFonts w:ascii="宋体" w:hAnsi="宋体"/>
          <w:color w:val="000000" w:themeColor="text1"/>
          <w:highlight w:val="none"/>
          <w14:textFill>
            <w14:solidFill>
              <w14:schemeClr w14:val="tx1"/>
            </w14:solidFill>
          </w14:textFill>
        </w:rPr>
        <w:t>活动。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2、我方按照贵方</w:t>
      </w:r>
      <w:r>
        <w:rPr>
          <w:rFonts w:hint="eastAsia" w:ascii="宋体" w:hAnsi="宋体"/>
          <w:color w:val="000000" w:themeColor="text1"/>
          <w:highlight w:val="none"/>
          <w14:textFill>
            <w14:solidFill>
              <w14:schemeClr w14:val="tx1"/>
            </w14:solidFill>
          </w14:textFill>
        </w:rPr>
        <w:t>比选文件</w:t>
      </w:r>
      <w:r>
        <w:rPr>
          <w:rFonts w:ascii="宋体" w:hAnsi="宋体"/>
          <w:color w:val="000000" w:themeColor="text1"/>
          <w:highlight w:val="none"/>
          <w14:textFill>
            <w14:solidFill>
              <w14:schemeClr w14:val="tx1"/>
            </w14:solidFill>
          </w14:textFill>
        </w:rPr>
        <w:t>要求的内容与格式，已编制完成</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，现报上。</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承诺：在</w:t>
      </w:r>
      <w:r>
        <w:rPr>
          <w:rFonts w:hint="eastAsia" w:ascii="宋体" w:hAnsi="宋体"/>
          <w:color w:val="000000" w:themeColor="text1"/>
          <w:highlight w:val="none"/>
          <w14:textFill>
            <w14:solidFill>
              <w14:schemeClr w14:val="tx1"/>
            </w14:solidFill>
          </w14:textFill>
        </w:rPr>
        <w:t>评审</w:t>
      </w:r>
      <w:r>
        <w:rPr>
          <w:rFonts w:ascii="宋体" w:hAnsi="宋体"/>
          <w:color w:val="000000" w:themeColor="text1"/>
          <w:highlight w:val="none"/>
          <w14:textFill>
            <w14:solidFill>
              <w14:schemeClr w14:val="tx1"/>
            </w14:solidFill>
          </w14:textFill>
        </w:rPr>
        <w:t>过程中，贵方可调查、审核我方提交的与本</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我方保证没有处于被责令停业，或财产被接管、冻结、破产状态；在比选申请截止时间前3年内没有骗取中选、严重违约或重大质量安全责任事故。</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我方保证没有单位负责人为同一人或者存在控股、管理关系的不同单位，参加同一标段比选申请或者未划分标段的同一比选项目比选申请。</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6、如果</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在该项目</w:t>
      </w:r>
      <w:r>
        <w:rPr>
          <w:rFonts w:hint="eastAsia" w:ascii="宋体" w:hAnsi="宋体"/>
          <w:color w:val="000000" w:themeColor="text1"/>
          <w:highlight w:val="none"/>
          <w14:textFill>
            <w14:solidFill>
              <w14:schemeClr w14:val="tx1"/>
            </w14:solidFill>
          </w14:textFill>
        </w:rPr>
        <w:t>报名、</w:t>
      </w:r>
      <w:r>
        <w:rPr>
          <w:rFonts w:ascii="宋体" w:hAnsi="宋体"/>
          <w:color w:val="000000" w:themeColor="text1"/>
          <w:highlight w:val="none"/>
          <w14:textFill>
            <w14:solidFill>
              <w14:schemeClr w14:val="tx1"/>
            </w14:solidFill>
          </w14:textFill>
        </w:rPr>
        <w:t>比选申请过程中或者在中选后，比选人或者有管辖权的行政监管机构发现并查实我公司在所填报的该项目</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中存在提供虚假或不真实的信息或者伪造数据、资料或证书等情况，</w:t>
      </w:r>
      <w:r>
        <w:rPr>
          <w:rFonts w:hint="eastAsia" w:ascii="宋体" w:hAnsi="宋体"/>
          <w:color w:val="000000" w:themeColor="text1"/>
          <w:highlight w:val="none"/>
          <w14:textFill>
            <w14:solidFill>
              <w14:schemeClr w14:val="tx1"/>
            </w14:solidFill>
          </w14:textFill>
        </w:rPr>
        <w:t>视为我公司违约，我公司愿意接受</w:t>
      </w:r>
      <w:r>
        <w:rPr>
          <w:rFonts w:ascii="宋体" w:hAnsi="宋体"/>
          <w:color w:val="000000" w:themeColor="text1"/>
          <w:highlight w:val="none"/>
          <w14:textFill>
            <w14:solidFill>
              <w14:schemeClr w14:val="tx1"/>
            </w14:solidFill>
          </w14:textFill>
        </w:rPr>
        <w:t>比选人或有管辖权的监管机构的处罚；如果我公司已</w:t>
      </w:r>
      <w:r>
        <w:rPr>
          <w:rFonts w:hint="eastAsia" w:ascii="宋体" w:hAnsi="宋体"/>
          <w:color w:val="000000" w:themeColor="text1"/>
          <w:highlight w:val="none"/>
          <w14:textFill>
            <w14:solidFill>
              <w14:schemeClr w14:val="tx1"/>
            </w14:solidFill>
          </w14:textFill>
        </w:rPr>
        <w:t>与比选人签订合同，则视为我公司违约，履约保证金由比选人没收</w:t>
      </w:r>
      <w:r>
        <w:rPr>
          <w:rFonts w:ascii="宋体" w:hAnsi="宋体"/>
          <w:color w:val="000000" w:themeColor="text1"/>
          <w:highlight w:val="none"/>
          <w14:textFill>
            <w14:solidFill>
              <w14:schemeClr w14:val="tx1"/>
            </w14:solidFill>
          </w14:textFill>
        </w:rPr>
        <w:t>；由此造成的任何后果和损失均由我公司承担。本段承诺既是我公司</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的有效组成内容，也是我公司真实意思的表示，对我公司在与该项目有关的任何行为中始终具有优先的法律约束力。</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7、我方了解：无论</w:t>
      </w:r>
      <w:r>
        <w:rPr>
          <w:rFonts w:hint="eastAsia" w:ascii="宋体" w:hAnsi="宋体"/>
          <w:color w:val="000000" w:themeColor="text1"/>
          <w:highlight w:val="none"/>
          <w14:textFill>
            <w14:solidFill>
              <w14:schemeClr w14:val="tx1"/>
            </w14:solidFill>
          </w14:textFill>
        </w:rPr>
        <w:t>是否中选</w:t>
      </w:r>
      <w:r>
        <w:rPr>
          <w:rFonts w:ascii="宋体" w:hAnsi="宋体"/>
          <w:color w:val="000000" w:themeColor="text1"/>
          <w:highlight w:val="none"/>
          <w14:textFill>
            <w14:solidFill>
              <w14:schemeClr w14:val="tx1"/>
            </w14:solidFill>
          </w14:textFill>
        </w:rPr>
        <w:t>，我方将自行承担与</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活动所需的一切费用。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8</w:t>
      </w:r>
      <w:r>
        <w:rPr>
          <w:rFonts w:hint="eastAsia" w:ascii="宋体" w:hAnsi="宋体"/>
          <w:color w:val="000000" w:themeColor="text1"/>
          <w:highlight w:val="none"/>
          <w14:textFill>
            <w14:solidFill>
              <w14:schemeClr w14:val="tx1"/>
            </w14:solidFill>
          </w14:textFill>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我</w:t>
      </w:r>
      <w:r>
        <w:rPr>
          <w:rFonts w:hint="eastAsia" w:ascii="宋体" w:hAnsi="宋体"/>
          <w:color w:val="000000" w:themeColor="text1"/>
          <w:highlight w:val="none"/>
          <w14:textFill>
            <w14:solidFill>
              <w14:schemeClr w14:val="tx1"/>
            </w14:solidFill>
          </w14:textFill>
        </w:rPr>
        <w:t>方</w:t>
      </w:r>
      <w:r>
        <w:rPr>
          <w:rFonts w:ascii="宋体" w:hAnsi="宋体"/>
          <w:color w:val="000000" w:themeColor="text1"/>
          <w:highlight w:val="none"/>
          <w14:textFill>
            <w14:solidFill>
              <w14:schemeClr w14:val="tx1"/>
            </w14:solidFill>
          </w14:textFill>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地址：</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盖单位公章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法定代表人（或委托代理人）：</w:t>
      </w:r>
      <w:r>
        <w:rPr>
          <w:rFonts w:ascii="宋体" w:hAnsi="宋体"/>
          <w:color w:val="000000" w:themeColor="text1"/>
          <w:highlight w:val="none"/>
          <w:u w:val="single"/>
          <w14:textFill>
            <w14:solidFill>
              <w14:schemeClr w14:val="tx1"/>
            </w14:solidFill>
          </w14:textFill>
        </w:rPr>
        <w:t>(签字</w:t>
      </w:r>
      <w:r>
        <w:rPr>
          <w:rFonts w:hint="eastAsia" w:ascii="宋体" w:hAnsi="宋体"/>
          <w:color w:val="000000" w:themeColor="text1"/>
          <w:highlight w:val="none"/>
          <w:u w:val="single"/>
          <w14:textFill>
            <w14:solidFill>
              <w14:schemeClr w14:val="tx1"/>
            </w14:solidFill>
          </w14:textFill>
        </w:rPr>
        <w:t>或盖章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电话：</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传真：</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pStyle w:val="3"/>
        <w:pageBreakBefore/>
        <w:spacing w:after="100"/>
        <w:ind w:left="0" w:right="-57" w:firstLine="0"/>
        <w:jc w:val="center"/>
        <w:rPr>
          <w:rFonts w:ascii="宋体" w:hAnsi="宋体"/>
          <w:color w:val="000000" w:themeColor="text1"/>
          <w:sz w:val="24"/>
          <w:szCs w:val="24"/>
          <w:highlight w:val="none"/>
          <w14:textFill>
            <w14:solidFill>
              <w14:schemeClr w14:val="tx1"/>
            </w14:solidFill>
          </w14:textFill>
        </w:rPr>
      </w:pPr>
      <w:bookmarkStart w:id="2075" w:name="_Toc12677"/>
      <w:bookmarkStart w:id="2076" w:name="_Toc10812"/>
      <w:bookmarkStart w:id="2077" w:name="_Toc8874"/>
      <w:bookmarkStart w:id="2078" w:name="_Toc8451"/>
      <w:bookmarkStart w:id="2079" w:name="_Toc14988"/>
      <w:bookmarkStart w:id="2080" w:name="_Toc13328"/>
      <w:bookmarkStart w:id="2081" w:name="_Toc23770"/>
      <w:bookmarkStart w:id="2082" w:name="_Toc12984811"/>
      <w:bookmarkStart w:id="2083" w:name="_Toc18876"/>
      <w:bookmarkStart w:id="2084" w:name="_Toc17687"/>
      <w:bookmarkStart w:id="2085" w:name="_Toc28662"/>
      <w:bookmarkStart w:id="2086" w:name="_Toc8914"/>
      <w:bookmarkStart w:id="2087" w:name="_Toc14586"/>
      <w:bookmarkStart w:id="2088" w:name="_Toc27820"/>
      <w:bookmarkStart w:id="2089" w:name="_Toc12983551"/>
      <w:bookmarkStart w:id="2090" w:name="_Toc11582"/>
      <w:bookmarkStart w:id="2091" w:name="_Toc24971"/>
      <w:bookmarkStart w:id="2092" w:name="_Toc414290525"/>
      <w:bookmarkStart w:id="2093" w:name="_Toc492478807"/>
      <w:bookmarkStart w:id="2094" w:name="_Toc16676"/>
      <w:bookmarkStart w:id="2095" w:name="_Toc29358"/>
      <w:bookmarkStart w:id="2096" w:name="_Toc29138"/>
      <w:bookmarkStart w:id="2097" w:name="_Toc2862"/>
      <w:bookmarkStart w:id="2098" w:name="_Toc20950"/>
      <w:bookmarkStart w:id="2099" w:name="_Toc302"/>
      <w:bookmarkStart w:id="2100" w:name="_Toc502"/>
      <w:bookmarkStart w:id="2101" w:name="_Toc27554"/>
      <w:bookmarkStart w:id="2102" w:name="_Toc31124"/>
      <w:bookmarkStart w:id="2103" w:name="_Toc27324"/>
      <w:bookmarkStart w:id="2104" w:name="_Toc9261"/>
      <w:bookmarkStart w:id="2105" w:name="_Toc17103"/>
      <w:bookmarkStart w:id="2106" w:name="_Toc26133"/>
      <w:r>
        <w:rPr>
          <w:rFonts w:ascii="宋体" w:hAnsi="宋体"/>
          <w:color w:val="000000" w:themeColor="text1"/>
          <w:sz w:val="24"/>
          <w:szCs w:val="24"/>
          <w:highlight w:val="none"/>
          <w14:textFill>
            <w14:solidFill>
              <w14:schemeClr w14:val="tx1"/>
            </w14:solidFill>
          </w14:textFill>
        </w:rPr>
        <w:t xml:space="preserve">B </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Fonts w:hint="eastAsia" w:ascii="宋体" w:hAnsi="宋体"/>
          <w:color w:val="000000" w:themeColor="text1"/>
          <w:sz w:val="24"/>
          <w:szCs w:val="24"/>
          <w:highlight w:val="none"/>
          <w14:textFill>
            <w14:solidFill>
              <w14:schemeClr w14:val="tx1"/>
            </w14:solidFill>
          </w14:textFill>
        </w:rPr>
        <w:t>价格文件</w:t>
      </w:r>
      <w:bookmarkEnd w:id="2096"/>
      <w:bookmarkEnd w:id="2097"/>
      <w:bookmarkEnd w:id="2098"/>
      <w:bookmarkEnd w:id="2099"/>
      <w:bookmarkEnd w:id="2100"/>
      <w:bookmarkEnd w:id="2101"/>
      <w:bookmarkEnd w:id="2102"/>
      <w:bookmarkEnd w:id="2103"/>
      <w:bookmarkEnd w:id="2104"/>
      <w:bookmarkEnd w:id="2105"/>
      <w:bookmarkEnd w:id="2106"/>
    </w:p>
    <w:p>
      <w:pPr>
        <w:jc w:val="center"/>
        <w:rPr>
          <w:rFonts w:ascii="宋体" w:hAnsi="宋体"/>
          <w:color w:val="000000" w:themeColor="text1"/>
          <w:sz w:val="48"/>
          <w:szCs w:val="48"/>
          <w:highlight w:val="none"/>
          <w:u w:val="single"/>
          <w14:textFill>
            <w14:solidFill>
              <w14:schemeClr w14:val="tx1"/>
            </w14:solidFill>
          </w14:textFill>
        </w:rPr>
      </w:pPr>
    </w:p>
    <w:p>
      <w:pPr>
        <w:jc w:val="center"/>
        <w:outlineLvl w:val="0"/>
        <w:rPr>
          <w:rFonts w:ascii="宋体" w:hAnsi="宋体"/>
          <w:color w:val="000000" w:themeColor="text1"/>
          <w:sz w:val="48"/>
          <w:szCs w:val="48"/>
          <w:highlight w:val="none"/>
          <w14:textFill>
            <w14:solidFill>
              <w14:schemeClr w14:val="tx1"/>
            </w14:solidFill>
          </w14:textFill>
        </w:rPr>
      </w:pPr>
      <w:bookmarkStart w:id="2107" w:name="_Toc32100"/>
      <w:bookmarkStart w:id="2108" w:name="_Toc2657"/>
      <w:bookmarkStart w:id="2109" w:name="_Toc525"/>
      <w:bookmarkStart w:id="2110" w:name="_Toc17887"/>
      <w:bookmarkStart w:id="2111" w:name="_Toc5600"/>
      <w:bookmarkStart w:id="2112" w:name="_Toc20078"/>
      <w:bookmarkStart w:id="2113" w:name="_Toc2490"/>
      <w:bookmarkStart w:id="2114" w:name="_Toc28230"/>
      <w:bookmarkStart w:id="2115" w:name="_Toc21309"/>
      <w:bookmarkStart w:id="2116" w:name="_Toc19519"/>
      <w:bookmarkStart w:id="2117" w:name="_Toc27307"/>
      <w:r>
        <w:rPr>
          <w:rFonts w:hint="eastAsia" w:ascii="宋体" w:hAnsi="宋体"/>
          <w:color w:val="000000" w:themeColor="text1"/>
          <w:sz w:val="48"/>
          <w:szCs w:val="48"/>
          <w:highlight w:val="none"/>
          <w14:textFill>
            <w14:solidFill>
              <w14:schemeClr w14:val="tx1"/>
            </w14:solidFill>
          </w14:textFill>
        </w:rPr>
        <w:t>项目比选申请文件</w:t>
      </w:r>
      <w:bookmarkEnd w:id="2107"/>
      <w:bookmarkEnd w:id="2108"/>
      <w:bookmarkEnd w:id="2109"/>
      <w:bookmarkEnd w:id="2110"/>
      <w:bookmarkEnd w:id="2111"/>
      <w:bookmarkEnd w:id="2112"/>
      <w:bookmarkEnd w:id="2113"/>
      <w:bookmarkEnd w:id="2114"/>
      <w:bookmarkEnd w:id="2115"/>
      <w:bookmarkEnd w:id="2116"/>
      <w:bookmarkEnd w:id="2117"/>
    </w:p>
    <w:p>
      <w:pPr>
        <w:autoSpaceDE w:val="0"/>
        <w:autoSpaceDN w:val="0"/>
        <w:adjustRightInd w:val="0"/>
        <w:jc w:val="center"/>
        <w:outlineLvl w:val="0"/>
        <w:rPr>
          <w:rFonts w:ascii="宋体" w:hAnsi="宋体"/>
          <w:color w:val="000000" w:themeColor="text1"/>
          <w:sz w:val="48"/>
          <w:szCs w:val="48"/>
          <w:highlight w:val="none"/>
          <w14:textFill>
            <w14:solidFill>
              <w14:schemeClr w14:val="tx1"/>
            </w14:solidFill>
          </w14:textFill>
        </w:rPr>
      </w:pPr>
      <w:bookmarkStart w:id="2118" w:name="_Toc19531"/>
      <w:bookmarkStart w:id="2119" w:name="_Toc10205"/>
      <w:bookmarkStart w:id="2120" w:name="_Toc2222"/>
      <w:bookmarkStart w:id="2121" w:name="_Toc27519"/>
      <w:bookmarkStart w:id="2122" w:name="_Toc20178"/>
      <w:bookmarkStart w:id="2123" w:name="_Toc29667"/>
      <w:bookmarkStart w:id="2124" w:name="_Toc16434"/>
      <w:bookmarkStart w:id="2125" w:name="_Toc24624"/>
      <w:bookmarkStart w:id="2126" w:name="_Toc7565"/>
      <w:bookmarkStart w:id="2127" w:name="_Toc6157"/>
      <w:bookmarkStart w:id="2128" w:name="_Toc14395"/>
      <w:r>
        <w:rPr>
          <w:rFonts w:hint="eastAsia" w:ascii="宋体" w:hAnsi="宋体"/>
          <w:color w:val="000000" w:themeColor="text1"/>
          <w:sz w:val="48"/>
          <w:szCs w:val="48"/>
          <w:highlight w:val="none"/>
          <w14:textFill>
            <w14:solidFill>
              <w14:schemeClr w14:val="tx1"/>
            </w14:solidFill>
          </w14:textFill>
        </w:rPr>
        <w:t>价格文件</w:t>
      </w:r>
      <w:bookmarkEnd w:id="2118"/>
      <w:bookmarkEnd w:id="2119"/>
      <w:bookmarkEnd w:id="2120"/>
      <w:bookmarkEnd w:id="2121"/>
      <w:bookmarkEnd w:id="2122"/>
      <w:bookmarkEnd w:id="2123"/>
      <w:bookmarkEnd w:id="2124"/>
      <w:bookmarkEnd w:id="2125"/>
      <w:bookmarkEnd w:id="2126"/>
      <w:bookmarkEnd w:id="2127"/>
      <w:bookmarkEnd w:id="2128"/>
    </w:p>
    <w:p>
      <w:pPr>
        <w:autoSpaceDE w:val="0"/>
        <w:autoSpaceDN w:val="0"/>
        <w:adjustRightInd w:val="0"/>
        <w:jc w:val="center"/>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jc w:val="righ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年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月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p>
    <w:p>
      <w:pPr>
        <w:spacing w:before="0" w:after="0" w:afterAutospacing="0"/>
        <w:ind w:left="0" w:right="0" w:firstLine="422" w:firstLineChars="20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B价格文件格式</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（1）比选申请函（格式见B1）；</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（2）比选申请报价一览表（格式见B2）；</w:t>
      </w:r>
    </w:p>
    <w:p>
      <w:pPr>
        <w:spacing w:before="0" w:after="0" w:afterAutospacing="0" w:line="276" w:lineRule="auto"/>
        <w:ind w:left="0" w:right="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）比选申请报价明细表（格式见B3）；</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pStyle w:val="5"/>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2129" w:name="_Toc24487"/>
      <w:bookmarkStart w:id="2130" w:name="_Toc414290526"/>
      <w:bookmarkStart w:id="2131" w:name="_Toc9560"/>
      <w:bookmarkStart w:id="2132" w:name="_Toc25419"/>
      <w:bookmarkStart w:id="2133" w:name="_Toc7004"/>
      <w:bookmarkStart w:id="2134" w:name="_Toc12983552"/>
      <w:bookmarkStart w:id="2135" w:name="_Toc12951"/>
      <w:bookmarkStart w:id="2136" w:name="_Toc24326"/>
      <w:bookmarkStart w:id="2137" w:name="_Toc492478808"/>
      <w:bookmarkStart w:id="2138" w:name="_Toc13980"/>
      <w:bookmarkStart w:id="2139" w:name="_Toc29231"/>
      <w:bookmarkStart w:id="2140" w:name="_Toc27610"/>
      <w:bookmarkStart w:id="2141" w:name="_Toc41492244"/>
      <w:bookmarkStart w:id="2142" w:name="_Toc9861"/>
      <w:bookmarkStart w:id="2143" w:name="_Toc23615"/>
      <w:bookmarkStart w:id="2144" w:name="_Toc16489"/>
      <w:bookmarkStart w:id="2145" w:name="_Toc1158"/>
      <w:bookmarkStart w:id="2146" w:name="_Toc25750680"/>
      <w:bookmarkStart w:id="2147" w:name="_Toc6992"/>
      <w:bookmarkStart w:id="2148" w:name="_Toc18340"/>
      <w:bookmarkStart w:id="2149" w:name="_Toc10991"/>
      <w:bookmarkStart w:id="2150" w:name="_Toc375564355"/>
      <w:bookmarkStart w:id="2151" w:name="_Toc29688"/>
      <w:bookmarkStart w:id="2152" w:name="_Toc12984812"/>
      <w:bookmarkStart w:id="2153" w:name="_Toc18516"/>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1</w:t>
      </w:r>
      <w:r>
        <w:rPr>
          <w:rFonts w:ascii="宋体" w:hAnsi="宋体"/>
          <w:color w:val="000000" w:themeColor="text1"/>
          <w:sz w:val="21"/>
          <w:szCs w:val="21"/>
          <w:highlight w:val="none"/>
          <w14:textFill>
            <w14:solidFill>
              <w14:schemeClr w14:val="tx1"/>
            </w14:solidFill>
          </w14:textFill>
        </w:rPr>
        <w:t>比选申请函格式</w:t>
      </w:r>
    </w:p>
    <w:p>
      <w:pPr>
        <w:spacing w:before="0" w:after="0" w:afterAutospacing="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比选申请函</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根据贵方为</w:t>
      </w:r>
      <w:r>
        <w:rPr>
          <w:rFonts w:hint="eastAsia" w:ascii="宋体" w:hAnsi="宋体"/>
          <w:color w:val="000000" w:themeColor="text1"/>
          <w:highlight w:val="none"/>
          <w14:textFill>
            <w14:solidFill>
              <w14:schemeClr w14:val="tx1"/>
            </w14:solidFill>
          </w14:textFill>
        </w:rPr>
        <w:t>采购项目比选</w:t>
      </w:r>
      <w:r>
        <w:rPr>
          <w:rFonts w:ascii="宋体" w:hAnsi="宋体"/>
          <w:color w:val="000000" w:themeColor="text1"/>
          <w:highlight w:val="none"/>
          <w14:textFill>
            <w14:solidFill>
              <w14:schemeClr w14:val="tx1"/>
            </w14:solidFill>
          </w14:textFill>
        </w:rPr>
        <w:t>采购服务的比选申请邀请(项目编号：</w:t>
      </w:r>
      <w:r>
        <w:rPr>
          <w:rFonts w:hint="eastAsia" w:ascii="宋体" w:hAnsi="宋体"/>
          <w:color w:val="000000" w:themeColor="text1"/>
          <w:highlight w:val="none"/>
          <w:lang w:val="en-US" w:eastAsia="zh-CN"/>
          <w14:textFill>
            <w14:solidFill>
              <w14:schemeClr w14:val="tx1"/>
            </w14:solidFill>
          </w14:textFill>
        </w:rPr>
        <w:t xml:space="preserve">   </w:t>
      </w:r>
      <w:r>
        <w:rPr>
          <w:rFonts w:hint="default" w:ascii="宋体" w:hAnsi="宋体"/>
          <w:color w:val="auto"/>
          <w:highlight w:val="none"/>
          <w:lang w:val="en-US"/>
        </w:rPr>
        <w:t>202208090001</w:t>
      </w:r>
      <w:r>
        <w:rPr>
          <w:rFonts w:hint="eastAsia" w:ascii="宋体" w:hAnsi="宋体"/>
          <w:color w:val="auto"/>
          <w:highlight w:val="none"/>
          <w:lang w:val="en-US" w:eastAsia="zh-CN"/>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)，签字人</w:t>
      </w:r>
      <w:r>
        <w:rPr>
          <w:rFonts w:ascii="宋体" w:hAnsi="宋体"/>
          <w:color w:val="000000" w:themeColor="text1"/>
          <w:highlight w:val="none"/>
          <w:u w:val="single"/>
          <w14:textFill>
            <w14:solidFill>
              <w14:schemeClr w14:val="tx1"/>
            </w14:solidFill>
          </w14:textFill>
        </w:rPr>
        <w:t>(全名、职务)</w:t>
      </w:r>
      <w:r>
        <w:rPr>
          <w:rFonts w:ascii="宋体" w:hAnsi="宋体"/>
          <w:color w:val="000000" w:themeColor="text1"/>
          <w:highlight w:val="none"/>
          <w14:textFill>
            <w14:solidFill>
              <w14:schemeClr w14:val="tx1"/>
            </w14:solidFill>
          </w14:textFill>
        </w:rPr>
        <w:t>经正式授权并代表比选申请人</w:t>
      </w:r>
      <w:r>
        <w:rPr>
          <w:rFonts w:ascii="宋体" w:hAnsi="宋体"/>
          <w:color w:val="000000" w:themeColor="text1"/>
          <w:highlight w:val="none"/>
          <w:u w:val="single"/>
          <w14:textFill>
            <w14:solidFill>
              <w14:schemeClr w14:val="tx1"/>
            </w14:solidFill>
          </w14:textFill>
        </w:rPr>
        <w:t>（比选申请人名称、地址）</w:t>
      </w:r>
      <w:r>
        <w:rPr>
          <w:rFonts w:ascii="宋体" w:hAnsi="宋体"/>
          <w:color w:val="000000" w:themeColor="text1"/>
          <w:highlight w:val="none"/>
          <w14:textFill>
            <w14:solidFill>
              <w14:schemeClr w14:val="tx1"/>
            </w14:solidFill>
          </w14:textFill>
        </w:rPr>
        <w:t>提交</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正本</w:t>
      </w:r>
      <w:r>
        <w:rPr>
          <w:rFonts w:ascii="宋体" w:hAnsi="宋体"/>
          <w:color w:val="000000" w:themeColor="text1"/>
          <w:highlight w:val="none"/>
          <w:u w:val="single"/>
          <w14:textFill>
            <w14:solidFill>
              <w14:schemeClr w14:val="tx1"/>
            </w14:solidFill>
          </w14:textFill>
        </w:rPr>
        <w:t>1</w:t>
      </w:r>
      <w:r>
        <w:rPr>
          <w:rFonts w:ascii="宋体" w:hAnsi="宋体"/>
          <w:color w:val="000000" w:themeColor="text1"/>
          <w:highlight w:val="none"/>
          <w14:textFill>
            <w14:solidFill>
              <w14:schemeClr w14:val="tx1"/>
            </w14:solidFill>
          </w14:textFill>
        </w:rPr>
        <w:t>份、副本</w:t>
      </w:r>
      <w:r>
        <w:rPr>
          <w:rFonts w:ascii="宋体" w:hAnsi="宋体"/>
          <w:color w:val="000000" w:themeColor="text1"/>
          <w:highlight w:val="none"/>
          <w:u w:val="single"/>
          <w14:textFill>
            <w14:solidFill>
              <w14:schemeClr w14:val="tx1"/>
            </w14:solidFill>
          </w14:textFill>
        </w:rPr>
        <w:t xml:space="preserve"> 4</w:t>
      </w:r>
      <w:r>
        <w:rPr>
          <w:rFonts w:ascii="宋体" w:hAnsi="宋体"/>
          <w:color w:val="000000" w:themeColor="text1"/>
          <w:highlight w:val="none"/>
          <w14:textFill>
            <w14:solidFill>
              <w14:schemeClr w14:val="tx1"/>
            </w14:solidFill>
          </w14:textFill>
        </w:rPr>
        <w:t>份及电子文件</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份（U盘）。</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据此，签字人宣布同意如下：</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 按比选文件要求规定的应提交和交付的服务并履行全部合同义务的比选申请总价如本比选申请文件</w:t>
      </w:r>
      <w:r>
        <w:rPr>
          <w:rFonts w:hint="eastAsia" w:ascii="宋体" w:hAnsi="宋体"/>
          <w:color w:val="000000" w:themeColor="text1"/>
          <w:highlight w:val="none"/>
          <w14:textFill>
            <w14:solidFill>
              <w14:schemeClr w14:val="tx1"/>
            </w14:solidFill>
          </w14:textFill>
        </w:rPr>
        <w:t>价格文件</w:t>
      </w:r>
      <w:r>
        <w:rPr>
          <w:rFonts w:ascii="宋体" w:hAnsi="宋体"/>
          <w:color w:val="000000" w:themeColor="text1"/>
          <w:highlight w:val="none"/>
          <w14:textFill>
            <w14:solidFill>
              <w14:schemeClr w14:val="tx1"/>
            </w14:solidFill>
          </w14:textFill>
        </w:rPr>
        <w:t>“比选申请报价一览表”中“比选申请报价”一栏所述。</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.按比选文件的规定履行合同责任和义务。</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.本比选申请有效期为比选申请截止日起</w:t>
      </w:r>
      <w:r>
        <w:rPr>
          <w:rFonts w:hint="eastAsia" w:ascii="宋体" w:hAnsi="宋体"/>
          <w:color w:val="000000" w:themeColor="text1"/>
          <w:highlight w:val="none"/>
          <w14:textFill>
            <w14:solidFill>
              <w14:schemeClr w14:val="tx1"/>
            </w14:solidFill>
          </w14:textFill>
        </w:rPr>
        <w:t>90</w:t>
      </w:r>
      <w:r>
        <w:rPr>
          <w:rFonts w:ascii="宋体" w:hAnsi="宋体"/>
          <w:color w:val="000000" w:themeColor="text1"/>
          <w:highlight w:val="none"/>
          <w14:textFill>
            <w14:solidFill>
              <w14:schemeClr w14:val="tx1"/>
            </w14:solidFill>
          </w14:textFill>
        </w:rPr>
        <w:t>日历天内。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.如果在规定的</w:t>
      </w:r>
      <w:r>
        <w:rPr>
          <w:rFonts w:hint="eastAsia" w:ascii="宋体" w:hAnsi="宋体"/>
          <w:color w:val="000000" w:themeColor="text1"/>
          <w:highlight w:val="none"/>
          <w14:textFill>
            <w14:solidFill>
              <w14:schemeClr w14:val="tx1"/>
            </w14:solidFill>
          </w14:textFill>
        </w:rPr>
        <w:t>比选文件递交</w:t>
      </w:r>
      <w:r>
        <w:rPr>
          <w:rFonts w:ascii="宋体" w:hAnsi="宋体"/>
          <w:color w:val="000000" w:themeColor="text1"/>
          <w:highlight w:val="none"/>
          <w14:textFill>
            <w14:solidFill>
              <w14:schemeClr w14:val="tx1"/>
            </w14:solidFill>
          </w14:textFill>
        </w:rPr>
        <w:t>时间后，</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在比选申请有效期内撤销比选申请，</w:t>
      </w:r>
      <w:r>
        <w:rPr>
          <w:rFonts w:hint="eastAsia" w:ascii="宋体" w:hAnsi="宋体"/>
          <w:color w:val="000000" w:themeColor="text1"/>
          <w:highlight w:val="none"/>
          <w14:textFill>
            <w14:solidFill>
              <w14:schemeClr w14:val="tx1"/>
            </w14:solidFill>
          </w14:textFill>
        </w:rPr>
        <w:t>所造成的损失我公司承担</w:t>
      </w:r>
      <w:r>
        <w:rPr>
          <w:rFonts w:ascii="宋体" w:hAnsi="宋体"/>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r>
        <w:rPr>
          <w:rFonts w:ascii="宋体" w:hAnsi="宋体"/>
          <w:color w:val="000000" w:themeColor="text1"/>
          <w:highlight w:val="none"/>
          <w14:textFill>
            <w14:solidFill>
              <w14:schemeClr w14:val="tx1"/>
            </w14:solidFill>
          </w14:textFill>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r>
        <w:rPr>
          <w:rFonts w:ascii="宋体" w:hAnsi="宋体"/>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本项目采用不含税报价</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在签订本项目合同时，</w:t>
      </w:r>
      <w:r>
        <w:rPr>
          <w:rFonts w:hint="eastAsia" w:ascii="宋体" w:hAnsi="宋体"/>
          <w:b/>
          <w:color w:val="000000" w:themeColor="text1"/>
          <w:highlight w:val="none"/>
          <w14:textFill>
            <w14:solidFill>
              <w14:schemeClr w14:val="tx1"/>
            </w14:solidFill>
          </w14:textFill>
        </w:rPr>
        <w:t>遵循国家现行税法的相关规定</w:t>
      </w:r>
      <w:r>
        <w:rPr>
          <w:rFonts w:ascii="宋体" w:hAnsi="宋体"/>
          <w:b/>
          <w:color w:val="000000" w:themeColor="text1"/>
          <w:highlight w:val="none"/>
          <w14:textFill>
            <w14:solidFill>
              <w14:schemeClr w14:val="tx1"/>
            </w14:solidFill>
          </w14:textFill>
        </w:rPr>
        <w:t>在中选人不含税</w:t>
      </w:r>
      <w:r>
        <w:rPr>
          <w:rFonts w:hint="eastAsia" w:ascii="宋体" w:hAnsi="宋体"/>
          <w:b/>
          <w:color w:val="000000" w:themeColor="text1"/>
          <w:highlight w:val="none"/>
          <w14:textFill>
            <w14:solidFill>
              <w14:schemeClr w14:val="tx1"/>
            </w14:solidFill>
          </w14:textFill>
        </w:rPr>
        <w:t>单</w:t>
      </w:r>
      <w:r>
        <w:rPr>
          <w:rFonts w:ascii="宋体" w:hAnsi="宋体"/>
          <w:b/>
          <w:color w:val="000000" w:themeColor="text1"/>
          <w:highlight w:val="none"/>
          <w14:textFill>
            <w14:solidFill>
              <w14:schemeClr w14:val="tx1"/>
            </w14:solidFill>
          </w14:textFill>
        </w:rPr>
        <w:t>价</w:t>
      </w:r>
      <w:r>
        <w:rPr>
          <w:rFonts w:hint="eastAsia" w:ascii="宋体" w:hAnsi="宋体"/>
          <w:b/>
          <w:color w:val="000000" w:themeColor="text1"/>
          <w:highlight w:val="none"/>
          <w14:textFill>
            <w14:solidFill>
              <w14:schemeClr w14:val="tx1"/>
            </w14:solidFill>
          </w14:textFill>
        </w:rPr>
        <w:t>和合价</w:t>
      </w:r>
      <w:r>
        <w:rPr>
          <w:rFonts w:ascii="宋体" w:hAnsi="宋体"/>
          <w:b/>
          <w:color w:val="000000" w:themeColor="text1"/>
          <w:highlight w:val="none"/>
          <w14:textFill>
            <w14:solidFill>
              <w14:schemeClr w14:val="tx1"/>
            </w14:solidFill>
          </w14:textFill>
        </w:rPr>
        <w:t>的基础上</w:t>
      </w:r>
      <w:r>
        <w:rPr>
          <w:rFonts w:hint="eastAsia" w:ascii="宋体" w:hAnsi="宋体"/>
          <w:b/>
          <w:color w:val="000000" w:themeColor="text1"/>
          <w:highlight w:val="none"/>
          <w14:textFill>
            <w14:solidFill>
              <w14:schemeClr w14:val="tx1"/>
            </w14:solidFill>
          </w14:textFill>
        </w:rPr>
        <w:t>逐项</w:t>
      </w:r>
      <w:r>
        <w:rPr>
          <w:rFonts w:ascii="宋体" w:hAnsi="宋体"/>
          <w:b/>
          <w:color w:val="000000" w:themeColor="text1"/>
          <w:highlight w:val="none"/>
          <w14:textFill>
            <w14:solidFill>
              <w14:schemeClr w14:val="tx1"/>
            </w14:solidFill>
          </w14:textFill>
        </w:rPr>
        <w:t>增加</w:t>
      </w:r>
      <w:r>
        <w:rPr>
          <w:rFonts w:hint="eastAsia" w:ascii="宋体" w:hAnsi="宋体"/>
          <w:b/>
          <w:color w:val="000000" w:themeColor="text1"/>
          <w:highlight w:val="none"/>
          <w14:textFill>
            <w14:solidFill>
              <w14:schemeClr w14:val="tx1"/>
            </w14:solidFill>
          </w14:textFill>
        </w:rPr>
        <w:t>含税单价</w:t>
      </w:r>
      <w:r>
        <w:rPr>
          <w:rFonts w:ascii="宋体" w:hAnsi="宋体"/>
          <w:b/>
          <w:color w:val="000000" w:themeColor="text1"/>
          <w:highlight w:val="none"/>
          <w14:textFill>
            <w14:solidFill>
              <w14:schemeClr w14:val="tx1"/>
            </w14:solidFill>
          </w14:textFill>
        </w:rPr>
        <w:t>和</w:t>
      </w:r>
      <w:r>
        <w:rPr>
          <w:rFonts w:hint="eastAsia" w:ascii="宋体" w:hAnsi="宋体"/>
          <w:b/>
          <w:color w:val="000000" w:themeColor="text1"/>
          <w:highlight w:val="none"/>
          <w14:textFill>
            <w14:solidFill>
              <w14:schemeClr w14:val="tx1"/>
            </w14:solidFill>
          </w14:textFill>
        </w:rPr>
        <w:t>合价，并</w:t>
      </w:r>
      <w:r>
        <w:rPr>
          <w:rFonts w:ascii="宋体" w:hAnsi="宋体"/>
          <w:b/>
          <w:color w:val="000000" w:themeColor="text1"/>
          <w:highlight w:val="none"/>
          <w14:textFill>
            <w14:solidFill>
              <w14:schemeClr w14:val="tx1"/>
            </w14:solidFill>
          </w14:textFill>
        </w:rPr>
        <w:t>明确相应税率和税金。</w:t>
      </w:r>
      <w:r>
        <w:rPr>
          <w:rFonts w:hint="eastAsia" w:ascii="宋体" w:hAnsi="宋体"/>
          <w:b/>
          <w:color w:val="000000" w:themeColor="text1"/>
          <w:highlight w:val="none"/>
          <w14:textFill>
            <w14:solidFill>
              <w14:schemeClr w14:val="tx1"/>
            </w14:solidFill>
          </w14:textFill>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r>
        <w:rPr>
          <w:rFonts w:ascii="宋体" w:hAnsi="宋体"/>
          <w:color w:val="000000" w:themeColor="text1"/>
          <w:highlight w:val="none"/>
          <w14:textFill>
            <w14:solidFill>
              <w14:schemeClr w14:val="tx1"/>
            </w14:solidFill>
          </w14:textFill>
        </w:rPr>
        <w:t>.与本比选申请有关的一切正式往来通讯请发往：</w:t>
      </w:r>
      <w:r>
        <w:rPr>
          <w:rFonts w:ascii="宋体" w:hAnsi="宋体"/>
          <w:color w:val="000000" w:themeColor="text1"/>
          <w:highlight w:val="none"/>
          <w14:textFill>
            <w14:solidFill>
              <w14:schemeClr w14:val="tx1"/>
            </w14:solidFill>
          </w14:textFill>
        </w:rPr>
        <w:tab/>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邮编：传真：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电话：电子邮件：</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比选申请人名称：</w:t>
      </w:r>
      <w:r>
        <w:rPr>
          <w:rFonts w:ascii="宋体" w:hAnsi="宋体"/>
          <w:color w:val="000000" w:themeColor="text1"/>
          <w:highlight w:val="none"/>
          <w:u w:val="single"/>
          <w14:textFill>
            <w14:solidFill>
              <w14:schemeClr w14:val="tx1"/>
            </w14:solidFill>
          </w14:textFill>
        </w:rPr>
        <w:t>（全称并加盖公章）</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比选申请人法定代表人（或其委托代理人）签字</w:t>
      </w:r>
      <w:r>
        <w:rPr>
          <w:rFonts w:hint="eastAsia" w:ascii="宋体" w:hAnsi="宋体"/>
          <w:color w:val="000000" w:themeColor="text1"/>
          <w:highlight w:val="none"/>
          <w14:textFill>
            <w14:solidFill>
              <w14:schemeClr w14:val="tx1"/>
            </w14:solidFill>
          </w14:textFill>
        </w:rPr>
        <w:t>或盖章</w:t>
      </w:r>
      <w:r>
        <w:rPr>
          <w:rFonts w:hint="eastAsia" w:ascii="宋体" w:hAnsi="宋体" w:cs="Arial"/>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rPr>
          <w:rFonts w:ascii="宋体" w:hAnsi="宋体"/>
          <w:color w:val="000000" w:themeColor="text1"/>
          <w:highlight w:val="none"/>
          <w14:textFill>
            <w14:solidFill>
              <w14:schemeClr w14:val="tx1"/>
            </w14:solidFill>
          </w14:textFill>
        </w:rPr>
      </w:pPr>
    </w:p>
    <w:p>
      <w:pPr>
        <w:ind w:left="0" w:firstLine="0"/>
        <w:rPr>
          <w:rFonts w:ascii="宋体" w:hAnsi="宋体"/>
          <w:color w:val="000000" w:themeColor="text1"/>
          <w:highlight w:val="none"/>
          <w14:textFill>
            <w14:solidFill>
              <w14:schemeClr w14:val="tx1"/>
            </w14:solidFill>
          </w14:textFill>
        </w:rPr>
        <w:sectPr>
          <w:headerReference r:id="rId9" w:type="first"/>
          <w:headerReference r:id="rId8" w:type="default"/>
          <w:pgSz w:w="11905" w:h="16838"/>
          <w:pgMar w:top="1418" w:right="1418" w:bottom="1304" w:left="1418" w:header="454" w:footer="567" w:gutter="0"/>
          <w:cols w:space="720" w:num="1"/>
          <w:docGrid w:linePitch="312" w:charSpace="0"/>
        </w:sectPr>
      </w:pPr>
      <w:r>
        <w:rPr>
          <w:rFonts w:ascii="宋体" w:hAnsi="宋体"/>
          <w:color w:val="000000" w:themeColor="text1"/>
          <w:highlight w:val="none"/>
          <w14:textFill>
            <w14:solidFill>
              <w14:schemeClr w14:val="tx1"/>
            </w14:solidFill>
          </w14:textFill>
        </w:rPr>
        <w:br w:type="page"/>
      </w:r>
    </w:p>
    <w:p>
      <w:pPr>
        <w:pStyle w:val="5"/>
        <w:spacing w:line="320" w:lineRule="exact"/>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比选申请报价一览表</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snapToGrid w:val="0"/>
        <w:spacing w:after="50" w:line="340" w:lineRule="exact"/>
        <w:ind w:right="-57"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比选申请报价一览表</w:t>
      </w:r>
    </w:p>
    <w:p>
      <w:pPr>
        <w:snapToGrid/>
        <w:spacing w:before="0" w:after="0" w:afterAutospacing="0" w:line="240" w:lineRule="auto"/>
        <w:ind w:left="0" w:right="0" w:firstLine="420" w:firstLineChars="200"/>
        <w:jc w:val="left"/>
        <w:rPr>
          <w:rFonts w:hint="eastAsia" w:ascii="宋体" w:hAnsi="宋体"/>
          <w:color w:val="auto"/>
          <w:kern w:val="2"/>
          <w:highlight w:val="none"/>
        </w:rPr>
      </w:pPr>
      <w:r>
        <w:rPr>
          <w:rFonts w:hint="eastAsia" w:ascii="宋体" w:hAnsi="宋体"/>
          <w:color w:val="000000" w:themeColor="text1"/>
          <w:kern w:val="2"/>
          <w:highlight w:val="none"/>
          <w14:textFill>
            <w14:solidFill>
              <w14:schemeClr w14:val="tx1"/>
            </w14:solidFill>
          </w14:textFill>
        </w:rPr>
        <w:t>项目名称：</w:t>
      </w:r>
      <w:r>
        <w:rPr>
          <w:rFonts w:hint="eastAsia" w:ascii="宋体" w:hAnsi="宋体"/>
          <w:color w:val="000000" w:themeColor="text1"/>
          <w:highlight w:val="none"/>
          <w:lang w:val="en-US" w:eastAsia="zh-CN"/>
          <w14:textFill>
            <w14:solidFill>
              <w14:schemeClr w14:val="tx1"/>
            </w14:solidFill>
          </w14:textFill>
        </w:rPr>
        <w:t>南宁轨道交通</w:t>
      </w:r>
      <w:r>
        <w:rPr>
          <w:rFonts w:hint="eastAsia" w:ascii="宋体" w:hAnsi="宋体" w:cs="宋体"/>
          <w:color w:val="auto"/>
          <w:sz w:val="21"/>
          <w:szCs w:val="21"/>
          <w:highlight w:val="none"/>
          <w:u w:val="single"/>
          <w:lang w:val="en-US" w:eastAsia="zh-CN"/>
        </w:rPr>
        <w:t>运营有限公司线上培训课程与培训管理信息技术服务项目（2022年-2023年）</w:t>
      </w:r>
      <w:r>
        <w:rPr>
          <w:rFonts w:hint="eastAsia" w:ascii="宋体" w:hAnsi="宋体"/>
          <w:color w:val="auto"/>
          <w:highlight w:val="none"/>
        </w:rPr>
        <w:t>。</w:t>
      </w:r>
    </w:p>
    <w:p>
      <w:pPr>
        <w:spacing w:before="0" w:after="0" w:afterAutospacing="0" w:line="480" w:lineRule="auto"/>
        <w:ind w:left="0" w:right="0" w:firstLine="420" w:firstLineChars="200"/>
        <w:rPr>
          <w:rFonts w:hint="eastAsia" w:ascii="宋体" w:hAnsi="宋体" w:eastAsia="宋体"/>
          <w:color w:val="auto"/>
          <w:kern w:val="2"/>
          <w:highlight w:val="none"/>
          <w:lang w:val="en-US" w:eastAsia="zh-CN"/>
        </w:rPr>
      </w:pPr>
      <w:r>
        <w:rPr>
          <w:rFonts w:hint="eastAsia" w:ascii="宋体" w:hAnsi="宋体"/>
          <w:color w:val="auto"/>
          <w:kern w:val="2"/>
          <w:highlight w:val="none"/>
        </w:rPr>
        <w:t>项目编号：</w:t>
      </w:r>
      <w:r>
        <w:rPr>
          <w:rFonts w:hint="default" w:ascii="宋体" w:hAnsi="宋体"/>
          <w:color w:val="auto"/>
          <w:highlight w:val="none"/>
          <w:lang w:val="en-US"/>
        </w:rPr>
        <w:t>202208090001</w:t>
      </w:r>
    </w:p>
    <w:p>
      <w:pPr>
        <w:widowControl w:val="0"/>
        <w:snapToGrid w:val="0"/>
        <w:spacing w:before="0" w:after="0" w:afterAutospacing="0" w:line="340" w:lineRule="exact"/>
        <w:ind w:right="-57" w:rightChars="-27"/>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比选申请人名称：                                                      单位：元（人民币）</w:t>
      </w:r>
    </w:p>
    <w:tbl>
      <w:tblPr>
        <w:tblStyle w:val="27"/>
        <w:tblW w:w="13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7214"/>
        <w:gridCol w:w="3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9660" w:type="dxa"/>
            <w:gridSpan w:val="2"/>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u w:val="singl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比选申请报价</w:t>
            </w:r>
          </w:p>
        </w:tc>
        <w:tc>
          <w:tcPr>
            <w:tcW w:w="3622"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比选申请总报价</w:t>
            </w:r>
          </w:p>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 xml:space="preserve"> (</w:t>
            </w:r>
            <w:r>
              <w:rPr>
                <w:rFonts w:hint="eastAsia" w:ascii="宋体" w:hAnsi="宋体"/>
                <w:b/>
                <w:bCs/>
                <w:color w:val="000000" w:themeColor="text1"/>
                <w:kern w:val="2"/>
                <w:highlight w:val="none"/>
                <w:lang w:val="en-US" w:eastAsia="zh-CN"/>
                <w14:textFill>
                  <w14:solidFill>
                    <w14:schemeClr w14:val="tx1"/>
                  </w14:solidFill>
                </w14:textFill>
              </w:rPr>
              <w:t>不</w:t>
            </w:r>
            <w:r>
              <w:rPr>
                <w:rFonts w:hint="eastAsia" w:ascii="宋体" w:hAnsi="宋体"/>
                <w:b/>
                <w:bCs/>
                <w:color w:val="000000" w:themeColor="text1"/>
                <w:kern w:val="2"/>
                <w:highlight w:val="none"/>
                <w14:textFill>
                  <w14:solidFill>
                    <w14:schemeClr w14:val="tx1"/>
                  </w14:solidFill>
                </w14:textFill>
              </w:rPr>
              <w:t>含税）</w:t>
            </w:r>
          </w:p>
        </w:tc>
        <w:tc>
          <w:tcPr>
            <w:tcW w:w="7214"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color w:val="000000" w:themeColor="text1"/>
                <w:kern w:val="2"/>
                <w:highlight w:val="none"/>
                <w:u w:val="singl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小写：</w:t>
            </w:r>
          </w:p>
          <w:p>
            <w:pPr>
              <w:widowControl w:val="0"/>
              <w:snapToGrid w:val="0"/>
              <w:spacing w:before="0" w:after="0" w:afterAutospacing="0" w:line="340" w:lineRule="exact"/>
              <w:ind w:left="0" w:right="-57" w:rightChars="-27" w:firstLine="0"/>
              <w:jc w:val="left"/>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大写：</w:t>
            </w: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ascii="宋体" w:hAnsi="宋体"/>
                <w:b/>
                <w:bCs/>
                <w:color w:val="000000" w:themeColor="text1"/>
                <w:kern w:val="2"/>
                <w:highlight w:val="none"/>
                <w14:textFill>
                  <w14:solidFill>
                    <w14:schemeClr w14:val="tx1"/>
                  </w14:solidFill>
                </w14:textFill>
              </w:rPr>
              <w:t>税率</w:t>
            </w:r>
          </w:p>
        </w:tc>
        <w:tc>
          <w:tcPr>
            <w:tcW w:w="7214" w:type="dxa"/>
            <w:tcBorders>
              <w:bottom w:val="single" w:color="auto" w:sz="4" w:space="0"/>
            </w:tcBorders>
            <w:vAlign w:val="center"/>
          </w:tcPr>
          <w:p>
            <w:pPr>
              <w:widowControl w:val="0"/>
              <w:snapToGrid w:val="0"/>
              <w:spacing w:before="0" w:after="0" w:afterAutospacing="0" w:line="340" w:lineRule="exact"/>
              <w:ind w:left="0" w:right="-57" w:rightChars="-27" w:firstLine="0"/>
              <w:jc w:val="left"/>
              <w:rPr>
                <w:rFonts w:ascii="宋体" w:hAnsi="宋体"/>
                <w:b/>
                <w:color w:val="000000" w:themeColor="text1"/>
                <w:kern w:val="2"/>
                <w:highlight w:val="none"/>
                <w14:textFill>
                  <w14:solidFill>
                    <w14:schemeClr w14:val="tx1"/>
                  </w14:solidFill>
                </w14:textFill>
              </w:rPr>
            </w:pP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446" w:type="dxa"/>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服务期</w:t>
            </w:r>
          </w:p>
        </w:tc>
        <w:tc>
          <w:tcPr>
            <w:tcW w:w="10836" w:type="dxa"/>
            <w:gridSpan w:val="2"/>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bl>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ascii="宋体" w:hAnsi="宋体"/>
          <w:color w:val="000000" w:themeColor="text1"/>
          <w:highlight w:val="none"/>
          <w14:textFill>
            <w14:solidFill>
              <w14:schemeClr w14:val="tx1"/>
            </w14:solidFill>
          </w14:textFill>
        </w:rPr>
        <w:t>:</w:t>
      </w:r>
    </w:p>
    <w:p>
      <w:pPr>
        <w:widowControl w:val="0"/>
        <w:numPr>
          <w:ilvl w:val="255"/>
          <w:numId w:val="0"/>
        </w:numPr>
        <w:spacing w:beforeLines="50" w:after="120" w:afterLines="50" w:afterAutospacing="0" w:line="340" w:lineRule="exact"/>
        <w:ind w:right="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（1）此报价已包含</w:t>
      </w:r>
      <w:r>
        <w:rPr>
          <w:rFonts w:hint="eastAsia" w:ascii="宋体" w:hAnsi="宋体"/>
          <w:color w:val="000000" w:themeColor="text1"/>
          <w:highlight w:val="none"/>
          <w:lang w:val="en-US" w:eastAsia="zh-CN"/>
          <w14:textFill>
            <w14:solidFill>
              <w14:schemeClr w14:val="tx1"/>
            </w14:solidFill>
          </w14:textFill>
        </w:rPr>
        <w:t>线上课程采购费用、线上平台使用费用、平台操作培训费、</w:t>
      </w:r>
      <w:r>
        <w:rPr>
          <w:rFonts w:hint="eastAsia" w:ascii="宋体" w:hAnsi="宋体"/>
          <w:color w:val="000000" w:themeColor="text1"/>
          <w:highlight w:val="none"/>
          <w14:textFill>
            <w14:solidFill>
              <w14:schemeClr w14:val="tx1"/>
            </w14:solidFill>
          </w14:textFill>
        </w:rPr>
        <w:t>税金、邮寄费等所有</w:t>
      </w:r>
      <w:r>
        <w:rPr>
          <w:rFonts w:hint="eastAsia" w:ascii="宋体" w:hAnsi="宋体"/>
          <w:color w:val="000000" w:themeColor="text1"/>
          <w:highlight w:val="none"/>
          <w:lang w:eastAsia="zh-CN"/>
          <w14:textFill>
            <w14:solidFill>
              <w14:schemeClr w14:val="tx1"/>
            </w14:solidFill>
          </w14:textFill>
        </w:rPr>
        <w:t>不含增值税的</w:t>
      </w:r>
      <w:r>
        <w:rPr>
          <w:rFonts w:hint="eastAsia" w:ascii="宋体" w:hAnsi="宋体"/>
          <w:color w:val="000000" w:themeColor="text1"/>
          <w:highlight w:val="none"/>
          <w14:textFill>
            <w14:solidFill>
              <w14:schemeClr w14:val="tx1"/>
            </w14:solidFill>
          </w14:textFill>
        </w:rPr>
        <w:t>费用，为最终报价，不接受价格调整；</w:t>
      </w:r>
    </w:p>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340" w:lineRule="exact"/>
        <w:ind w:left="955" w:right="-817" w:firstLine="4725" w:firstLineChars="225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340" w:lineRule="exact"/>
        <w:ind w:left="630" w:leftChars="300" w:right="-817" w:firstLine="4410" w:firstLineChars="21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法定代表人或被授权人（签字）：</w:t>
      </w:r>
    </w:p>
    <w:p>
      <w:pPr>
        <w:snapToGrid w:val="0"/>
        <w:spacing w:after="50" w:line="340" w:lineRule="exact"/>
        <w:ind w:left="630" w:leftChars="300" w:right="-817" w:firstLine="6720" w:firstLineChars="3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 期 ：    年  月   日</w:t>
      </w:r>
    </w:p>
    <w:p>
      <w:pPr>
        <w:pStyle w:val="5"/>
        <w:spacing w:after="0" w:afterAutospacing="0"/>
        <w:ind w:left="0" w:right="0" w:firstLine="0"/>
        <w:jc w:val="left"/>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2154" w:name="_Toc15276"/>
      <w:bookmarkStart w:id="2155" w:name="_Toc41492246"/>
      <w:bookmarkStart w:id="2156" w:name="_Toc17092"/>
      <w:bookmarkStart w:id="2157" w:name="_Toc13611"/>
      <w:bookmarkStart w:id="2158" w:name="_Toc8101"/>
      <w:bookmarkStart w:id="2159" w:name="_Toc14478"/>
      <w:bookmarkStart w:id="2160" w:name="_Toc12983554"/>
      <w:bookmarkStart w:id="2161" w:name="_Toc28944"/>
      <w:bookmarkStart w:id="2162" w:name="_Toc3968"/>
      <w:bookmarkStart w:id="2163" w:name="_Toc23071"/>
      <w:bookmarkStart w:id="2164" w:name="_Toc14488"/>
      <w:bookmarkStart w:id="2165" w:name="_Toc20116"/>
      <w:bookmarkStart w:id="2166" w:name="_Toc12984814"/>
      <w:bookmarkStart w:id="2167" w:name="_Toc414290528"/>
      <w:bookmarkStart w:id="2168" w:name="_Toc24000"/>
      <w:bookmarkStart w:id="2169" w:name="_Toc25750682"/>
      <w:bookmarkStart w:id="2170" w:name="_Toc6910"/>
      <w:bookmarkStart w:id="2171" w:name="_Toc4583"/>
      <w:bookmarkStart w:id="2172" w:name="_Toc27284"/>
      <w:bookmarkStart w:id="2173" w:name="_Toc26731"/>
      <w:bookmarkStart w:id="2174" w:name="_Toc492478810"/>
      <w:bookmarkStart w:id="2175" w:name="_Toc27821"/>
      <w:bookmarkStart w:id="2176" w:name="_Toc30121"/>
      <w:bookmarkStart w:id="2177" w:name="_Toc15469"/>
      <w:r>
        <w:rPr>
          <w:rFonts w:ascii="宋体" w:hAnsi="宋体"/>
          <w:color w:val="auto"/>
          <w:sz w:val="21"/>
          <w:szCs w:val="21"/>
          <w:highlight w:val="none"/>
        </w:rPr>
        <w:t>B3比选申请报价</w:t>
      </w:r>
      <w:r>
        <w:rPr>
          <w:rFonts w:hint="eastAsia" w:ascii="宋体" w:hAnsi="宋体"/>
          <w:color w:val="auto"/>
          <w:sz w:val="21"/>
          <w:szCs w:val="21"/>
          <w:highlight w:val="none"/>
        </w:rPr>
        <w:t>明细表</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tbl>
      <w:tblPr>
        <w:tblStyle w:val="55"/>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105"/>
        <w:gridCol w:w="5631"/>
        <w:gridCol w:w="570"/>
        <w:gridCol w:w="949"/>
        <w:gridCol w:w="1108"/>
        <w:gridCol w:w="1133"/>
        <w:gridCol w:w="22"/>
        <w:gridCol w:w="84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60" w:type="dxa"/>
            <w:gridSpan w:val="10"/>
            <w:noWrap/>
            <w:vAlign w:val="center"/>
          </w:tcPr>
          <w:p>
            <w:pPr>
              <w:widowControl/>
              <w:spacing w:before="0" w:after="0" w:afterAutospacing="0" w:line="240" w:lineRule="auto"/>
              <w:ind w:left="0" w:right="0" w:firstLine="420" w:firstLineChars="200"/>
              <w:jc w:val="left"/>
              <w:rPr>
                <w:rFonts w:hint="default" w:ascii="Calibri" w:hAnsi="Calibri"/>
                <w:b/>
                <w:bCs/>
                <w:kern w:val="2"/>
                <w:szCs w:val="22"/>
                <w:highlight w:val="none"/>
                <w:lang w:val="en-US" w:eastAsia="zh-CN"/>
              </w:rPr>
            </w:pPr>
            <w:r>
              <w:rPr>
                <w:rFonts w:hint="eastAsia" w:ascii="宋体" w:hAnsi="宋体"/>
                <w:color w:val="000000" w:themeColor="text1"/>
                <w:kern w:val="2"/>
                <w:highlight w:val="none"/>
                <w:lang w:val="en-US" w:eastAsia="zh-CN"/>
                <w14:textFill>
                  <w14:solidFill>
                    <w14:schemeClr w14:val="tx1"/>
                  </w14:solidFill>
                </w14:textFill>
              </w:rPr>
              <w:t>南宁轨道交通</w:t>
            </w:r>
            <w:r>
              <w:rPr>
                <w:rFonts w:hint="eastAsia" w:ascii="宋体" w:hAnsi="宋体" w:cs="宋体"/>
                <w:color w:val="auto"/>
                <w:kern w:val="2"/>
                <w:sz w:val="21"/>
                <w:szCs w:val="21"/>
                <w:highlight w:val="none"/>
                <w:u w:val="single"/>
                <w:lang w:val="en-US" w:eastAsia="zh-CN"/>
              </w:rPr>
              <w:t>运营有限公司线上培训课程与培训管理信息技术服务项目（2022年-2023年）</w:t>
            </w:r>
            <w:r>
              <w:rPr>
                <w:rFonts w:hint="eastAsia" w:ascii="Calibri" w:hAnsi="Calibri"/>
                <w:b/>
                <w:bCs/>
                <w:kern w:val="2"/>
                <w:szCs w:val="22"/>
                <w:highlight w:val="none"/>
                <w:lang w:val="en-US" w:eastAsia="zh-CN"/>
              </w:rPr>
              <w:t>比选申请报价明细表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5"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2105"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名称</w:t>
            </w:r>
          </w:p>
        </w:tc>
        <w:tc>
          <w:tcPr>
            <w:tcW w:w="5631"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技术参数</w:t>
            </w:r>
          </w:p>
        </w:tc>
        <w:tc>
          <w:tcPr>
            <w:tcW w:w="57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949"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数量</w:t>
            </w:r>
          </w:p>
        </w:tc>
        <w:tc>
          <w:tcPr>
            <w:tcW w:w="1108"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含税单价（元）</w:t>
            </w:r>
          </w:p>
        </w:tc>
        <w:tc>
          <w:tcPr>
            <w:tcW w:w="1133"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含税合价（元）</w:t>
            </w:r>
          </w:p>
        </w:tc>
        <w:tc>
          <w:tcPr>
            <w:tcW w:w="868" w:type="dxa"/>
            <w:gridSpan w:val="2"/>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税率</w:t>
            </w:r>
          </w:p>
        </w:tc>
        <w:tc>
          <w:tcPr>
            <w:tcW w:w="981"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p>
        </w:tc>
        <w:tc>
          <w:tcPr>
            <w:tcW w:w="2105" w:type="dxa"/>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1"/>
                <w:szCs w:val="21"/>
                <w:highlight w:val="none"/>
              </w:rPr>
            </w:pPr>
            <w:r>
              <w:rPr>
                <w:rFonts w:hint="eastAsia" w:ascii="Calibri" w:hAnsi="Calibri" w:eastAsiaTheme="minorEastAsia"/>
                <w:kern w:val="2"/>
                <w:szCs w:val="22"/>
                <w:highlight w:val="none"/>
                <w:lang w:val="en-US" w:eastAsia="zh-CN"/>
              </w:rPr>
              <w:t>课程资源</w:t>
            </w:r>
          </w:p>
        </w:tc>
        <w:tc>
          <w:tcPr>
            <w:tcW w:w="5631" w:type="dxa"/>
            <w:vAlign w:val="center"/>
          </w:tcPr>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1.数量要求：提供至少1000门课程（每门课程不少于10分钟），或总课时不少于225课时（1课时=45分钟）。</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内容要求：应包含但不限于：个人发展类、领导力类、人力资源管理类、生产管理类、市场运营类、研发管理类、职业化管理类、综合管理类、党政管理类、健康管理类、办公软件技能类等。且各类培训不得少于30门/每类或7课时/每类。</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3.能够在基于钉钉的培训学习平台学习，能够植入运营公司的培训课程。</w:t>
            </w:r>
          </w:p>
        </w:tc>
        <w:tc>
          <w:tcPr>
            <w:tcW w:w="570"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套</w:t>
            </w:r>
          </w:p>
        </w:tc>
        <w:tc>
          <w:tcPr>
            <w:tcW w:w="949"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1</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133"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868" w:type="dxa"/>
            <w:gridSpan w:val="2"/>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2</w:t>
            </w:r>
          </w:p>
        </w:tc>
        <w:tc>
          <w:tcPr>
            <w:tcW w:w="2105"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rPr>
            </w:pPr>
            <w:r>
              <w:rPr>
                <w:rFonts w:hint="eastAsia" w:ascii="Calibri" w:hAnsi="Calibri" w:eastAsiaTheme="minorEastAsia"/>
                <w:kern w:val="2"/>
                <w:szCs w:val="22"/>
                <w:highlight w:val="none"/>
                <w:lang w:val="en-US" w:eastAsia="zh-CN"/>
              </w:rPr>
              <w:t>培训平台</w:t>
            </w:r>
          </w:p>
        </w:tc>
        <w:tc>
          <w:tcPr>
            <w:tcW w:w="5631" w:type="dxa"/>
            <w:vAlign w:val="center"/>
          </w:tcPr>
          <w:p>
            <w:pPr>
              <w:widowControl w:val="0"/>
              <w:spacing w:before="0" w:after="0" w:afterAutospacing="0" w:line="240" w:lineRule="auto"/>
              <w:ind w:left="0" w:leftChars="0" w:right="0" w:rightChars="0" w:firstLine="0" w:firstLineChars="0"/>
              <w:jc w:val="left"/>
              <w:rPr>
                <w:rFonts w:hint="eastAsia" w:ascii="宋体" w:hAnsi="宋体" w:cs="宋体"/>
                <w:color w:val="auto"/>
                <w:kern w:val="2"/>
                <w:sz w:val="21"/>
                <w:szCs w:val="21"/>
                <w:highlight w:val="none"/>
              </w:rPr>
            </w:pPr>
            <w:r>
              <w:rPr>
                <w:rFonts w:hint="default" w:ascii="宋体" w:hAnsi="宋体" w:cs="宋体"/>
                <w:color w:val="auto"/>
                <w:kern w:val="2"/>
                <w:sz w:val="21"/>
                <w:szCs w:val="21"/>
                <w:highlight w:val="none"/>
                <w:lang w:val="en-US" w:eastAsia="zh-CN" w:bidi="ar-SA"/>
              </w:rPr>
              <w:t>具体</w:t>
            </w:r>
            <w:r>
              <w:rPr>
                <w:rFonts w:hint="eastAsia" w:ascii="宋体" w:hAnsi="宋体" w:cs="宋体"/>
                <w:color w:val="auto"/>
                <w:kern w:val="2"/>
                <w:sz w:val="21"/>
                <w:szCs w:val="21"/>
                <w:highlight w:val="none"/>
                <w:lang w:val="en-US" w:eastAsia="zh-CN" w:bidi="ar-SA"/>
              </w:rPr>
              <w:t>技术参数</w:t>
            </w:r>
            <w:r>
              <w:rPr>
                <w:rFonts w:hint="default" w:ascii="宋体" w:hAnsi="宋体" w:cs="宋体"/>
                <w:color w:val="auto"/>
                <w:kern w:val="2"/>
                <w:sz w:val="21"/>
                <w:szCs w:val="21"/>
                <w:highlight w:val="none"/>
                <w:lang w:val="en-US" w:eastAsia="zh-CN" w:bidi="ar-SA"/>
              </w:rPr>
              <w:t>详见</w:t>
            </w:r>
            <w:r>
              <w:rPr>
                <w:rFonts w:hint="eastAsia" w:ascii="宋体" w:hAnsi="宋体" w:cs="宋体"/>
                <w:color w:val="auto"/>
                <w:kern w:val="2"/>
                <w:sz w:val="21"/>
                <w:szCs w:val="21"/>
                <w:highlight w:val="none"/>
                <w:lang w:val="en-US" w:eastAsia="zh-CN" w:bidi="ar-SA"/>
              </w:rPr>
              <w:t>第五章</w:t>
            </w:r>
            <w:r>
              <w:rPr>
                <w:rFonts w:hint="default" w:ascii="宋体" w:hAnsi="宋体" w:cs="宋体"/>
                <w:color w:val="auto"/>
                <w:kern w:val="2"/>
                <w:sz w:val="21"/>
                <w:szCs w:val="21"/>
                <w:highlight w:val="none"/>
                <w:lang w:val="en-US" w:eastAsia="zh-CN" w:bidi="ar-SA"/>
              </w:rPr>
              <w:t>《</w:t>
            </w:r>
            <w:r>
              <w:rPr>
                <w:rFonts w:hint="default" w:ascii="宋体" w:hAnsi="宋体" w:cs="宋体"/>
                <w:b w:val="0"/>
                <w:bCs w:val="0"/>
                <w:color w:val="auto"/>
                <w:kern w:val="2"/>
                <w:sz w:val="21"/>
                <w:szCs w:val="21"/>
                <w:highlight w:val="none"/>
                <w:lang w:val="en-US" w:eastAsia="zh-CN"/>
              </w:rPr>
              <w:t>附件1：功能需求表》</w:t>
            </w:r>
          </w:p>
        </w:tc>
        <w:tc>
          <w:tcPr>
            <w:tcW w:w="570" w:type="dxa"/>
            <w:vAlign w:val="center"/>
          </w:tcPr>
          <w:p>
            <w:pPr>
              <w:widowControl w:val="0"/>
              <w:spacing w:before="0" w:after="0" w:afterAutospacing="0" w:line="240" w:lineRule="auto"/>
              <w:ind w:left="0" w:right="0" w:firstLine="0"/>
              <w:jc w:val="center"/>
              <w:rPr>
                <w:rFonts w:hint="eastAsia"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项</w:t>
            </w:r>
          </w:p>
        </w:tc>
        <w:tc>
          <w:tcPr>
            <w:tcW w:w="949"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1</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133"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868" w:type="dxa"/>
            <w:gridSpan w:val="2"/>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left"/>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如有项目功能需要进行二次开发，周期不得超过45个工作日。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178" w:type="dxa"/>
            <w:gridSpan w:val="6"/>
            <w:vAlign w:val="center"/>
          </w:tcPr>
          <w:p>
            <w:pPr>
              <w:widowControl w:val="0"/>
              <w:tabs>
                <w:tab w:val="left" w:pos="6542"/>
              </w:tabs>
              <w:spacing w:before="0" w:after="0" w:afterAutospacing="0" w:line="240" w:lineRule="auto"/>
              <w:ind w:left="0" w:right="0" w:firstLine="0"/>
              <w:jc w:val="left"/>
              <w:rPr>
                <w:rFonts w:hint="default" w:ascii="Calibri" w:hAnsi="Calibri" w:eastAsia="宋体"/>
                <w:kern w:val="2"/>
                <w:szCs w:val="22"/>
                <w:highlight w:val="none"/>
                <w:lang w:val="en-US" w:eastAsia="zh-CN"/>
              </w:rPr>
            </w:pPr>
            <w:r>
              <w:rPr>
                <w:rFonts w:hint="eastAsia" w:ascii="Calibri" w:hAnsi="Calibri"/>
                <w:kern w:val="2"/>
                <w:szCs w:val="22"/>
                <w:highlight w:val="none"/>
                <w:lang w:eastAsia="zh-CN"/>
              </w:rPr>
              <w:tab/>
            </w:r>
            <w:r>
              <w:rPr>
                <w:rFonts w:hint="eastAsia" w:ascii="Calibri" w:hAnsi="Calibri"/>
                <w:kern w:val="2"/>
                <w:szCs w:val="22"/>
                <w:highlight w:val="none"/>
                <w:lang w:val="en-US" w:eastAsia="zh-CN"/>
              </w:rPr>
              <w:t>合计</w:t>
            </w:r>
          </w:p>
        </w:tc>
        <w:tc>
          <w:tcPr>
            <w:tcW w:w="1155" w:type="dxa"/>
            <w:gridSpan w:val="2"/>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84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eastAsia" w:ascii="Calibri" w:hAnsi="Calibri"/>
                <w:kern w:val="2"/>
                <w:szCs w:val="22"/>
                <w:highlight w:val="none"/>
                <w:lang w:val="en-US" w:eastAsia="zh-CN"/>
              </w:rPr>
            </w:pPr>
          </w:p>
        </w:tc>
      </w:tr>
    </w:tbl>
    <w:p>
      <w:pPr>
        <w:spacing w:after="0" w:afterAutospacing="0"/>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公司名称（盖章）：</w:t>
      </w:r>
    </w:p>
    <w:p>
      <w:pPr>
        <w:snapToGrid w:val="0"/>
        <w:spacing w:after="0" w:afterAutospacing="0"/>
        <w:ind w:right="-816"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签名：</w:t>
      </w:r>
    </w:p>
    <w:p>
      <w:pPr>
        <w:snapToGrid w:val="0"/>
        <w:spacing w:after="0" w:afterAutospacing="0"/>
        <w:ind w:right="-816"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日期：  年   月</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w:t>
      </w:r>
    </w:p>
    <w:p>
      <w:pPr>
        <w:spacing w:after="0" w:afterAutospacing="0"/>
        <w:ind w:left="0" w:right="0" w:firstLine="0"/>
        <w:jc w:val="left"/>
        <w:rPr>
          <w:rFonts w:ascii="宋体" w:hAnsi="宋体"/>
          <w:color w:val="000000" w:themeColor="text1"/>
          <w:highlight w:val="none"/>
          <w14:textFill>
            <w14:solidFill>
              <w14:schemeClr w14:val="tx1"/>
            </w14:solidFill>
          </w14:textFill>
        </w:rPr>
        <w:sectPr>
          <w:headerReference r:id="rId10" w:type="default"/>
          <w:pgSz w:w="16838" w:h="11905" w:orient="landscape"/>
          <w:pgMar w:top="1418" w:right="1418" w:bottom="1418" w:left="1304" w:header="454" w:footer="567" w:gutter="0"/>
          <w:cols w:space="720" w:num="1"/>
          <w:docGrid w:linePitch="312" w:charSpace="0"/>
        </w:sectPr>
      </w:pPr>
    </w:p>
    <w:p>
      <w:pPr>
        <w:pStyle w:val="3"/>
        <w:spacing w:after="100"/>
        <w:ind w:left="0" w:right="-57" w:firstLine="0"/>
        <w:rPr>
          <w:rFonts w:hAnsi="宋体"/>
          <w:b w:val="0"/>
          <w:color w:val="000000" w:themeColor="text1"/>
          <w:sz w:val="24"/>
          <w:szCs w:val="24"/>
          <w:highlight w:val="none"/>
          <w14:textFill>
            <w14:solidFill>
              <w14:schemeClr w14:val="tx1"/>
            </w14:solidFill>
          </w14:textFill>
        </w:rPr>
      </w:pPr>
      <w:bookmarkStart w:id="2178" w:name="_Toc492478827"/>
      <w:bookmarkStart w:id="2179" w:name="_Toc19107"/>
      <w:bookmarkStart w:id="2180" w:name="_Toc414290562"/>
      <w:bookmarkStart w:id="2181" w:name="_Toc8528"/>
      <w:bookmarkStart w:id="2182" w:name="_Toc13220"/>
      <w:bookmarkStart w:id="2183" w:name="_Toc2327"/>
      <w:bookmarkStart w:id="2184" w:name="_Toc19413"/>
      <w:bookmarkStart w:id="2185" w:name="_Toc8994"/>
      <w:bookmarkStart w:id="2186" w:name="_Toc25220"/>
      <w:bookmarkStart w:id="2187" w:name="_Toc8563"/>
      <w:bookmarkStart w:id="2188" w:name="_Toc30812"/>
      <w:bookmarkStart w:id="2189" w:name="_Toc3158"/>
      <w:bookmarkStart w:id="2190" w:name="_Toc15239"/>
      <w:bookmarkStart w:id="2191" w:name="_Toc25635"/>
      <w:bookmarkStart w:id="2192" w:name="_Toc174"/>
      <w:bookmarkStart w:id="2193" w:name="_Toc15974"/>
      <w:bookmarkStart w:id="2194" w:name="_Toc13870"/>
      <w:bookmarkStart w:id="2195" w:name="_Toc18062"/>
      <w:bookmarkStart w:id="2196" w:name="_Toc3307"/>
      <w:bookmarkStart w:id="2197" w:name="_Toc17179"/>
      <w:bookmarkStart w:id="2198" w:name="_Toc23075"/>
      <w:bookmarkStart w:id="2199" w:name="_Toc6034"/>
      <w:bookmarkStart w:id="2200" w:name="_Toc32381"/>
      <w:bookmarkStart w:id="2201" w:name="_Toc9876"/>
      <w:bookmarkStart w:id="2202" w:name="_Toc15451"/>
      <w:bookmarkStart w:id="2203" w:name="_Toc22423"/>
      <w:bookmarkStart w:id="2204" w:name="_Toc14091"/>
      <w:bookmarkStart w:id="2205" w:name="_Toc24843"/>
      <w:bookmarkStart w:id="2206" w:name="_Toc17664"/>
      <w:bookmarkStart w:id="2207" w:name="_Toc29577"/>
      <w:r>
        <w:rPr>
          <w:rFonts w:hint="eastAsia"/>
          <w:color w:val="000000" w:themeColor="text1"/>
          <w:sz w:val="24"/>
          <w:szCs w:val="24"/>
          <w:highlight w:val="none"/>
          <w14:textFill>
            <w14:solidFill>
              <w14:schemeClr w14:val="tx1"/>
            </w14:solidFill>
          </w14:textFill>
        </w:rPr>
        <w:t>C</w:t>
      </w:r>
      <w:r>
        <w:rPr>
          <w:rFonts w:hAnsi="宋体"/>
          <w:color w:val="000000" w:themeColor="text1"/>
          <w:sz w:val="24"/>
          <w:szCs w:val="24"/>
          <w:highlight w:val="none"/>
          <w14:textFill>
            <w14:solidFill>
              <w14:schemeClr w14:val="tx1"/>
            </w14:solidFill>
          </w14:textFill>
        </w:rPr>
        <w:t>技术</w:t>
      </w:r>
      <w:bookmarkEnd w:id="2178"/>
      <w:bookmarkEnd w:id="2179"/>
      <w:bookmarkEnd w:id="2180"/>
      <w:bookmarkStart w:id="2208" w:name="_Toc99697927"/>
      <w:bookmarkStart w:id="2209" w:name="_Toc17887241"/>
      <w:bookmarkStart w:id="2210" w:name="_Toc74938308"/>
      <w:bookmarkStart w:id="2211" w:name="_Toc224010320"/>
      <w:bookmarkStart w:id="2212" w:name="_Toc18770050"/>
      <w:r>
        <w:rPr>
          <w:rFonts w:hint="eastAsia" w:hAnsi="宋体"/>
          <w:color w:val="000000" w:themeColor="text1"/>
          <w:sz w:val="24"/>
          <w:szCs w:val="24"/>
          <w:highlight w:val="none"/>
          <w14:textFill>
            <w14:solidFill>
              <w14:schemeClr w14:val="tx1"/>
            </w14:solidFill>
          </w14:textFill>
        </w:rPr>
        <w:t>文件</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ind w:left="0" w:firstLine="0"/>
        <w:rPr>
          <w:rFonts w:ascii="宋体" w:hAnsi="宋体"/>
          <w:color w:val="000000" w:themeColor="text1"/>
          <w:sz w:val="48"/>
          <w:szCs w:val="48"/>
          <w:highlight w:val="none"/>
          <w:u w:val="single"/>
          <w14:textFill>
            <w14:solidFill>
              <w14:schemeClr w14:val="tx1"/>
            </w14:solidFill>
          </w14:textFill>
        </w:rPr>
      </w:pPr>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2213" w:name="_Toc18417"/>
      <w:bookmarkStart w:id="2214" w:name="_Toc17201"/>
      <w:bookmarkStart w:id="2215" w:name="_Toc1902"/>
      <w:bookmarkStart w:id="2216" w:name="_Toc21721"/>
      <w:bookmarkStart w:id="2217" w:name="_Toc19705"/>
      <w:bookmarkStart w:id="2218" w:name="_Toc27902"/>
      <w:bookmarkStart w:id="2219" w:name="_Toc219"/>
      <w:bookmarkStart w:id="2220" w:name="_Toc16016"/>
      <w:bookmarkStart w:id="2221" w:name="_Toc22259"/>
      <w:bookmarkStart w:id="2222" w:name="_Toc19304"/>
      <w:bookmarkStart w:id="2223" w:name="_Toc478"/>
      <w:r>
        <w:rPr>
          <w:rFonts w:hint="eastAsia" w:ascii="华文中宋" w:eastAsia="华文中宋"/>
          <w:color w:val="000000" w:themeColor="text1"/>
          <w:sz w:val="48"/>
          <w:szCs w:val="48"/>
          <w:highlight w:val="none"/>
          <w14:textFill>
            <w14:solidFill>
              <w14:schemeClr w14:val="tx1"/>
            </w14:solidFill>
          </w14:textFill>
        </w:rPr>
        <w:t>项目比选申请文件</w:t>
      </w:r>
      <w:bookmarkEnd w:id="2213"/>
      <w:bookmarkEnd w:id="2214"/>
      <w:bookmarkEnd w:id="2215"/>
      <w:bookmarkEnd w:id="2216"/>
      <w:bookmarkEnd w:id="2217"/>
      <w:bookmarkEnd w:id="2218"/>
      <w:bookmarkEnd w:id="2219"/>
      <w:bookmarkEnd w:id="2220"/>
      <w:bookmarkEnd w:id="2221"/>
      <w:bookmarkEnd w:id="2222"/>
      <w:bookmarkEnd w:id="2223"/>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2224" w:name="_Toc11398"/>
      <w:bookmarkStart w:id="2225" w:name="_Toc27936"/>
      <w:bookmarkStart w:id="2226" w:name="_Toc20583"/>
      <w:bookmarkStart w:id="2227" w:name="_Toc6977"/>
      <w:bookmarkStart w:id="2228" w:name="_Toc25768"/>
      <w:bookmarkStart w:id="2229" w:name="_Toc14893"/>
      <w:bookmarkStart w:id="2230" w:name="_Toc22410"/>
      <w:bookmarkStart w:id="2231" w:name="_Toc22590"/>
      <w:bookmarkStart w:id="2232" w:name="_Toc18691"/>
      <w:bookmarkStart w:id="2233" w:name="_Toc8610"/>
      <w:bookmarkStart w:id="2234" w:name="_Toc16079"/>
      <w:r>
        <w:rPr>
          <w:rFonts w:hint="eastAsia" w:ascii="华文中宋" w:eastAsia="华文中宋"/>
          <w:color w:val="000000" w:themeColor="text1"/>
          <w:sz w:val="48"/>
          <w:szCs w:val="48"/>
          <w:highlight w:val="none"/>
          <w14:textFill>
            <w14:solidFill>
              <w14:schemeClr w14:val="tx1"/>
            </w14:solidFill>
          </w14:textFill>
        </w:rPr>
        <w:t>技术文件</w:t>
      </w:r>
      <w:bookmarkEnd w:id="2224"/>
      <w:bookmarkEnd w:id="2225"/>
      <w:bookmarkEnd w:id="2226"/>
      <w:bookmarkEnd w:id="2227"/>
      <w:bookmarkEnd w:id="2228"/>
      <w:bookmarkEnd w:id="2229"/>
      <w:bookmarkEnd w:id="2230"/>
      <w:bookmarkEnd w:id="2231"/>
      <w:bookmarkEnd w:id="2232"/>
      <w:bookmarkEnd w:id="2233"/>
      <w:bookmarkEnd w:id="2234"/>
    </w:p>
    <w:p>
      <w:pPr>
        <w:autoSpaceDE w:val="0"/>
        <w:autoSpaceDN w:val="0"/>
        <w:adjustRightInd w:val="0"/>
        <w:jc w:val="center"/>
        <w:rPr>
          <w:rFonts w:ascii="宋体" w:hAnsi="宋体"/>
          <w:color w:val="000000" w:themeColor="text1"/>
          <w:sz w:val="44"/>
          <w:szCs w:val="44"/>
          <w:highlight w:val="none"/>
          <w14:textFill>
            <w14:solidFill>
              <w14:schemeClr w14:val="tx1"/>
            </w14:solidFill>
          </w14:textFill>
        </w:rPr>
      </w:pPr>
      <w:r>
        <w:rPr>
          <w:rFonts w:hint="eastAsia" w:ascii="宋体" w:hAnsi="宋体"/>
          <w:color w:val="000000" w:themeColor="text1"/>
          <w:sz w:val="44"/>
          <w:szCs w:val="44"/>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firstLine="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年    月     日</w:t>
      </w: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sz w:val="44"/>
          <w:szCs w:val="44"/>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技术文件格式</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技术响应表（格式见C1）</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课程资源清单表及其他要求（格式见C2）</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r>
        <w:rPr>
          <w:rFonts w:hint="eastAsia"/>
          <w:b w:val="0"/>
          <w:bCs w:val="0"/>
          <w:snapToGrid w:val="0"/>
          <w:highlight w:val="none"/>
          <w:lang w:val="en-US" w:eastAsia="zh-CN"/>
        </w:rPr>
        <w:t>功能需求适配情况表（格式见C3）</w:t>
      </w:r>
    </w:p>
    <w:p>
      <w:pPr>
        <w:numPr>
          <w:ilvl w:val="0"/>
          <w:numId w:val="1"/>
        </w:numPr>
        <w:spacing w:before="0" w:after="0" w:afterAutospacing="0"/>
        <w:ind w:left="315" w:right="0" w:firstLine="315" w:firstLineChars="0"/>
        <w:rPr>
          <w:color w:val="000000" w:themeColor="text1"/>
          <w:highlight w:val="none"/>
          <w14:textFill>
            <w14:solidFill>
              <w14:schemeClr w14:val="tx1"/>
            </w14:solidFill>
          </w14:textFill>
        </w:rPr>
      </w:pPr>
      <w:bookmarkStart w:id="2382" w:name="_GoBack"/>
      <w:r>
        <w:rPr>
          <w:rFonts w:hint="eastAsia"/>
          <w:color w:val="000000" w:themeColor="text1"/>
          <w:highlight w:val="none"/>
          <w14:textFill>
            <w14:solidFill>
              <w14:schemeClr w14:val="tx1"/>
            </w14:solidFill>
          </w14:textFill>
        </w:rPr>
        <w:t>商务响应表（格式见C</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p>
    <w:p>
      <w:pPr>
        <w:numPr>
          <w:ilvl w:val="0"/>
          <w:numId w:val="1"/>
        </w:numPr>
        <w:spacing w:before="0" w:after="0" w:afterAutospacing="0"/>
        <w:ind w:left="315" w:right="0" w:firstLine="315" w:firstLineChars="0"/>
        <w:rPr>
          <w:rFonts w:hint="default"/>
          <w:lang w:val="en-US"/>
        </w:rPr>
      </w:pPr>
      <w:r>
        <w:rPr>
          <w:rFonts w:hint="eastAsia"/>
          <w:color w:val="000000" w:themeColor="text1"/>
          <w:highlight w:val="none"/>
          <w:lang w:val="en-US" w:eastAsia="zh-CN"/>
          <w14:textFill>
            <w14:solidFill>
              <w14:schemeClr w14:val="tx1"/>
            </w14:solidFill>
          </w14:textFill>
        </w:rPr>
        <w:t>服务方案（格式自拟）</w:t>
      </w:r>
      <w:bookmarkEnd w:id="2382"/>
    </w:p>
    <w:bookmarkEnd w:id="2208"/>
    <w:bookmarkEnd w:id="2209"/>
    <w:bookmarkEnd w:id="2210"/>
    <w:bookmarkEnd w:id="2211"/>
    <w:bookmarkEnd w:id="2212"/>
    <w:p>
      <w:pPr>
        <w:numPr>
          <w:ilvl w:val="0"/>
          <w:numId w:val="1"/>
        </w:numPr>
        <w:spacing w:before="0" w:after="0" w:afterAutospacing="0"/>
        <w:ind w:left="315" w:right="0" w:firstLine="315"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比选申请人认为应提交的其他比选申请资料（如有）。</w:t>
      </w:r>
    </w:p>
    <w:p>
      <w:pPr>
        <w:numPr>
          <w:ilvl w:val="-1"/>
          <w:numId w:val="0"/>
        </w:numPr>
        <w:spacing w:before="0" w:after="0" w:afterAutospacing="0"/>
        <w:ind w:left="315" w:leftChars="150" w:right="0" w:firstLine="0" w:firstLineChars="0"/>
        <w:rPr>
          <w:color w:val="000000" w:themeColor="text1"/>
          <w:highlight w:val="none"/>
          <w14:textFill>
            <w14:solidFill>
              <w14:schemeClr w14:val="tx1"/>
            </w14:solidFill>
          </w14:textFill>
        </w:rPr>
      </w:pPr>
    </w:p>
    <w:p>
      <w:pPr>
        <w:snapToGrid w:val="0"/>
        <w:ind w:right="-57" w:firstLine="0"/>
        <w:jc w:val="left"/>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5" w:h="16838"/>
          <w:pgMar w:top="1418" w:right="1418" w:bottom="1304" w:left="1418" w:header="454" w:footer="567" w:gutter="0"/>
          <w:cols w:space="720" w:num="1"/>
          <w:docGrid w:linePitch="312" w:charSpace="0"/>
        </w:sectPr>
      </w:pPr>
    </w:p>
    <w:p>
      <w:pPr>
        <w:pStyle w:val="5"/>
        <w:rPr>
          <w:rFonts w:ascii="宋体" w:hAnsi="宋体"/>
          <w:color w:val="auto"/>
          <w:highlight w:val="none"/>
        </w:rPr>
      </w:pPr>
      <w:r>
        <w:rPr>
          <w:rFonts w:hint="eastAsia" w:ascii="宋体" w:hAnsi="宋体"/>
          <w:color w:val="auto"/>
          <w:sz w:val="21"/>
          <w:szCs w:val="21"/>
          <w:highlight w:val="none"/>
        </w:rPr>
        <w:t>C</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技术响应表</w:t>
      </w:r>
    </w:p>
    <w:tbl>
      <w:tblPr>
        <w:tblStyle w:val="55"/>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117"/>
        <w:gridCol w:w="4292"/>
        <w:gridCol w:w="112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9"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1117"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名称</w:t>
            </w:r>
          </w:p>
        </w:tc>
        <w:tc>
          <w:tcPr>
            <w:tcW w:w="4292"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eastAsia="宋体"/>
                <w:b/>
                <w:bCs/>
                <w:kern w:val="2"/>
                <w:szCs w:val="22"/>
                <w:highlight w:val="none"/>
                <w:lang w:val="en-US" w:eastAsia="zh-CN"/>
              </w:rPr>
              <w:t>技术参数</w:t>
            </w:r>
          </w:p>
        </w:tc>
        <w:tc>
          <w:tcPr>
            <w:tcW w:w="112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ascii="Calibri" w:hAnsi="Calibri"/>
                <w:b/>
                <w:bCs/>
                <w:kern w:val="2"/>
                <w:szCs w:val="22"/>
                <w:highlight w:val="none"/>
              </w:rPr>
              <w:t>偏离情况</w:t>
            </w:r>
          </w:p>
        </w:tc>
        <w:tc>
          <w:tcPr>
            <w:tcW w:w="1060"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919" w:type="dxa"/>
            <w:vAlign w:val="center"/>
          </w:tcPr>
          <w:p>
            <w:pPr>
              <w:widowControl w:val="0"/>
              <w:numPr>
                <w:ilvl w:val="0"/>
                <w:numId w:val="0"/>
              </w:numPr>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1</w:t>
            </w:r>
          </w:p>
        </w:tc>
        <w:tc>
          <w:tcPr>
            <w:tcW w:w="1117" w:type="dxa"/>
            <w:vAlign w:val="center"/>
          </w:tcPr>
          <w:p>
            <w:pPr>
              <w:widowControl/>
              <w:numPr>
                <w:ilvl w:val="-1"/>
                <w:numId w:val="0"/>
              </w:numPr>
              <w:spacing w:before="0" w:after="0" w:afterAutospacing="0" w:line="240" w:lineRule="auto"/>
              <w:ind w:left="0" w:leftChars="0" w:right="0" w:rightChars="0" w:firstLine="0" w:firstLineChars="0"/>
              <w:rPr>
                <w:rFonts w:hint="eastAsia" w:ascii="Calibri" w:hAnsi="Calibri"/>
                <w:b/>
                <w:bCs/>
                <w:kern w:val="2"/>
                <w:szCs w:val="22"/>
                <w:highlight w:val="none"/>
                <w:lang w:val="en-US" w:eastAsia="zh-CN"/>
              </w:rPr>
            </w:pPr>
            <w:r>
              <w:rPr>
                <w:rFonts w:hint="eastAsia" w:ascii="Calibri" w:hAnsi="Calibri" w:eastAsiaTheme="minorEastAsia"/>
                <w:kern w:val="2"/>
                <w:szCs w:val="22"/>
                <w:highlight w:val="none"/>
                <w:lang w:val="en-US" w:eastAsia="zh-CN"/>
              </w:rPr>
              <w:t>课程资源</w:t>
            </w:r>
          </w:p>
        </w:tc>
        <w:tc>
          <w:tcPr>
            <w:tcW w:w="4292" w:type="dxa"/>
            <w:vAlign w:val="center"/>
          </w:tcPr>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1.数量要求：提供至少1000门课程（每门课程不少于10分钟），或总课时不少于225课时（1课时=45分钟）。</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内容要求：应包含但不限于：个人发展类、领导力类、人力资源管理类、生产管理类、市场运营类、研发管理类、职业化管理类、综合管理类、党政管理类、健康管理类、办公软件技能类等。且各类培训不得少于30门/每类或7课时/每类。</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3.能够在基于钉钉的培训学习平台学习，能够植入运营公司的培训课程。</w:t>
            </w:r>
          </w:p>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p>
        </w:tc>
        <w:tc>
          <w:tcPr>
            <w:tcW w:w="11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19"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1117"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培训平台</w:t>
            </w:r>
          </w:p>
        </w:tc>
        <w:tc>
          <w:tcPr>
            <w:tcW w:w="4292" w:type="dxa"/>
            <w:vAlign w:val="center"/>
          </w:tcPr>
          <w:p>
            <w:pPr>
              <w:widowControl w:val="0"/>
              <w:spacing w:before="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default" w:ascii="宋体" w:hAnsi="宋体" w:cs="宋体"/>
                <w:color w:val="auto"/>
                <w:kern w:val="2"/>
                <w:sz w:val="21"/>
                <w:szCs w:val="21"/>
                <w:highlight w:val="none"/>
                <w:lang w:val="en-US" w:eastAsia="zh-CN" w:bidi="ar-SA"/>
              </w:rPr>
              <w:t>具体</w:t>
            </w:r>
            <w:r>
              <w:rPr>
                <w:rFonts w:hint="eastAsia" w:ascii="宋体" w:hAnsi="宋体" w:cs="宋体"/>
                <w:color w:val="auto"/>
                <w:kern w:val="2"/>
                <w:sz w:val="21"/>
                <w:szCs w:val="21"/>
                <w:highlight w:val="none"/>
                <w:lang w:val="en-US" w:eastAsia="zh-CN" w:bidi="ar-SA"/>
              </w:rPr>
              <w:t>技术参数</w:t>
            </w:r>
            <w:r>
              <w:rPr>
                <w:rFonts w:hint="default" w:ascii="宋体" w:hAnsi="宋体" w:cs="宋体"/>
                <w:color w:val="auto"/>
                <w:kern w:val="2"/>
                <w:sz w:val="21"/>
                <w:szCs w:val="21"/>
                <w:highlight w:val="none"/>
                <w:lang w:val="en-US" w:eastAsia="zh-CN" w:bidi="ar-SA"/>
              </w:rPr>
              <w:t>详见</w:t>
            </w:r>
            <w:r>
              <w:rPr>
                <w:rFonts w:hint="eastAsia" w:ascii="宋体" w:hAnsi="宋体" w:cs="宋体"/>
                <w:color w:val="auto"/>
                <w:kern w:val="2"/>
                <w:sz w:val="21"/>
                <w:szCs w:val="21"/>
                <w:highlight w:val="none"/>
                <w:lang w:val="en-US" w:eastAsia="zh-CN" w:bidi="ar-SA"/>
              </w:rPr>
              <w:t>第五章</w:t>
            </w:r>
            <w:r>
              <w:rPr>
                <w:rFonts w:hint="default" w:ascii="宋体" w:hAnsi="宋体" w:cs="宋体"/>
                <w:color w:val="auto"/>
                <w:kern w:val="2"/>
                <w:sz w:val="21"/>
                <w:szCs w:val="21"/>
                <w:highlight w:val="none"/>
                <w:lang w:val="en-US" w:eastAsia="zh-CN" w:bidi="ar-SA"/>
              </w:rPr>
              <w:t>《</w:t>
            </w:r>
            <w:r>
              <w:rPr>
                <w:rFonts w:hint="default" w:ascii="宋体" w:hAnsi="宋体" w:cs="宋体"/>
                <w:b w:val="0"/>
                <w:bCs w:val="0"/>
                <w:color w:val="auto"/>
                <w:kern w:val="2"/>
                <w:sz w:val="21"/>
                <w:szCs w:val="21"/>
                <w:highlight w:val="none"/>
                <w:lang w:val="en-US" w:eastAsia="zh-CN"/>
              </w:rPr>
              <w:t>附件1：功能需求表》</w:t>
            </w:r>
          </w:p>
        </w:tc>
        <w:tc>
          <w:tcPr>
            <w:tcW w:w="11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60" w:type="dxa"/>
            <w:vAlign w:val="center"/>
          </w:tcPr>
          <w:p>
            <w:pPr>
              <w:widowControl w:val="0"/>
              <w:spacing w:before="0" w:after="0" w:afterAutospacing="0" w:line="240" w:lineRule="auto"/>
              <w:ind w:left="0" w:leftChars="0" w:right="0" w:rightChars="0" w:firstLine="0" w:firstLineChars="0"/>
              <w:jc w:val="left"/>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需要二开请备注</w:t>
            </w:r>
          </w:p>
        </w:tc>
      </w:tr>
    </w:tbl>
    <w:p>
      <w:pPr>
        <w:spacing w:before="0" w:after="0" w:afterAutospacing="0"/>
        <w:ind w:left="0" w:right="0" w:firstLine="0"/>
        <w:rPr>
          <w:rFonts w:ascii="宋体" w:hAnsi="宋体"/>
          <w:b/>
          <w:highlight w:val="none"/>
        </w:rPr>
      </w:pPr>
      <w:r>
        <w:rPr>
          <w:rFonts w:ascii="宋体" w:hAnsi="宋体"/>
          <w:b/>
          <w:highlight w:val="none"/>
        </w:rPr>
        <w:t>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比选申请人必须对应根据比选文件的</w:t>
      </w:r>
      <w:r>
        <w:rPr>
          <w:rFonts w:hint="eastAsia" w:ascii="宋体" w:hAnsi="宋体"/>
          <w:highlight w:val="none"/>
          <w:lang w:val="en-US" w:eastAsia="zh-CN"/>
        </w:rPr>
        <w:t>技术需求及数量表</w:t>
      </w:r>
      <w:r>
        <w:rPr>
          <w:rFonts w:ascii="宋体" w:hAnsi="宋体"/>
          <w:highlight w:val="none"/>
        </w:rPr>
        <w:t>条款逐条应答并按要求填写下表。</w:t>
      </w:r>
    </w:p>
    <w:p>
      <w:pPr>
        <w:pStyle w:val="35"/>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 xml:space="preserve">。 </w:t>
      </w:r>
    </w:p>
    <w:p>
      <w:pPr>
        <w:ind w:left="0" w:leftChars="0" w:firstLine="422" w:firstLineChars="200"/>
        <w:rPr>
          <w:rFonts w:ascii="宋体" w:hAnsi="宋体"/>
          <w:highlight w:val="none"/>
        </w:rPr>
        <w:sectPr>
          <w:pgSz w:w="11905" w:h="16838"/>
          <w:pgMar w:top="1418" w:right="1418" w:bottom="1304" w:left="1418" w:header="454" w:footer="567" w:gutter="0"/>
          <w:cols w:space="720" w:num="1"/>
          <w:docGrid w:linePitch="312" w:charSpace="0"/>
        </w:sectPr>
      </w:pPr>
      <w:r>
        <w:rPr>
          <w:rFonts w:hint="eastAsia" w:ascii="宋体" w:hAnsi="宋体"/>
          <w:b/>
          <w:highlight w:val="none"/>
        </w:rPr>
        <w:t>6.如有任意一项负偏离，比选申请人将不能通过初步</w:t>
      </w:r>
      <w:r>
        <w:rPr>
          <w:rFonts w:hint="eastAsia" w:ascii="宋体" w:hAnsi="宋体"/>
          <w:b/>
          <w:color w:val="auto"/>
          <w:highlight w:val="none"/>
        </w:rPr>
        <w:t>符合性评审。</w:t>
      </w:r>
    </w:p>
    <w:p>
      <w:pPr>
        <w:ind w:left="0" w:firstLine="0"/>
        <w:rPr>
          <w:rFonts w:hint="eastAsia"/>
          <w:color w:val="000000" w:themeColor="text1"/>
          <w:highlight w:val="none"/>
          <w:lang w:val="en-US" w:eastAsia="zh-CN"/>
          <w14:textFill>
            <w14:solidFill>
              <w14:schemeClr w14:val="tx1"/>
            </w14:solidFill>
          </w14:textFill>
        </w:rPr>
      </w:pPr>
      <w:bookmarkStart w:id="2235" w:name="_Toc25750687"/>
      <w:bookmarkStart w:id="2236" w:name="_Toc41492250"/>
      <w:r>
        <w:rPr>
          <w:rFonts w:hint="eastAsia" w:ascii="宋体" w:hAnsi="宋体"/>
          <w:b/>
          <w:bCs/>
          <w:color w:val="auto"/>
          <w:lang w:val="en-US" w:eastAsia="zh-CN"/>
        </w:rPr>
        <w:t xml:space="preserve">C2 </w:t>
      </w:r>
      <w:r>
        <w:rPr>
          <w:rFonts w:hint="eastAsia"/>
          <w:color w:val="000000" w:themeColor="text1"/>
          <w:highlight w:val="none"/>
          <w:lang w:val="en-US" w:eastAsia="zh-CN"/>
          <w14:textFill>
            <w14:solidFill>
              <w14:schemeClr w14:val="tx1"/>
            </w14:solidFill>
          </w14:textFill>
        </w:rPr>
        <w:t>课程资源清单表及其他要求</w:t>
      </w:r>
    </w:p>
    <w:p>
      <w:pPr>
        <w:pStyle w:val="2"/>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一、课程资源清单</w:t>
      </w:r>
    </w:p>
    <w:tbl>
      <w:tblPr>
        <w:tblStyle w:val="27"/>
        <w:tblW w:w="91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8"/>
        <w:gridCol w:w="1555"/>
        <w:gridCol w:w="3240"/>
        <w:gridCol w:w="1185"/>
        <w:gridCol w:w="1200"/>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课程大类</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授课讲师</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课程时长</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bl>
    <w:p>
      <w:pPr>
        <w:pStyle w:val="7"/>
        <w:numPr>
          <w:ilvl w:val="0"/>
          <w:numId w:val="16"/>
        </w:numPr>
        <w:adjustRightInd/>
        <w:snapToGrid w:val="0"/>
        <w:spacing w:line="440" w:lineRule="exact"/>
        <w:ind w:leftChars="0" w:firstLine="422" w:firstLineChars="200"/>
        <w:rPr>
          <w:rFonts w:hint="eastAsia" w:hAnsi="宋体"/>
          <w:b/>
          <w:bCs/>
          <w:color w:val="auto"/>
          <w:kern w:val="2"/>
          <w:sz w:val="21"/>
          <w:szCs w:val="21"/>
          <w:highlight w:val="none"/>
          <w:lang w:val="en-US" w:eastAsia="zh-CN"/>
        </w:rPr>
      </w:pPr>
      <w:r>
        <w:rPr>
          <w:rFonts w:hint="eastAsia" w:hAnsi="宋体"/>
          <w:b/>
          <w:bCs/>
          <w:color w:val="auto"/>
          <w:kern w:val="2"/>
          <w:sz w:val="21"/>
          <w:szCs w:val="21"/>
          <w:highlight w:val="none"/>
          <w:lang w:val="en-US" w:eastAsia="zh-CN"/>
        </w:rPr>
        <w:t>其他要求</w:t>
      </w:r>
    </w:p>
    <w:p>
      <w:pPr>
        <w:pStyle w:val="7"/>
        <w:numPr>
          <w:ilvl w:val="0"/>
          <w:numId w:val="17"/>
        </w:numPr>
        <w:adjustRightInd/>
        <w:snapToGrid w:val="0"/>
        <w:spacing w:line="440" w:lineRule="exact"/>
        <w:ind w:leftChars="200" w:firstLine="0" w:firstLineChars="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比选申请人提供不少于10个课程视频由评审委员会现场进行审查观看。</w:t>
      </w:r>
    </w:p>
    <w:p>
      <w:pPr>
        <w:pStyle w:val="7"/>
        <w:numPr>
          <w:ilvl w:val="0"/>
          <w:numId w:val="17"/>
        </w:numPr>
        <w:adjustRightInd/>
        <w:snapToGrid w:val="0"/>
        <w:spacing w:line="440" w:lineRule="exact"/>
        <w:ind w:leftChars="200" w:right="0" w:rightChars="0" w:firstLine="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除功能需求表上项目，如有具有特色功能、创新功能的项目，对平台辅助明显的功能，比选申请人另附说明。</w:t>
      </w:r>
    </w:p>
    <w:p>
      <w:pPr>
        <w:pStyle w:val="7"/>
        <w:numPr>
          <w:ilvl w:val="0"/>
          <w:numId w:val="17"/>
        </w:numPr>
        <w:adjustRightInd/>
        <w:snapToGrid w:val="0"/>
        <w:spacing w:line="440" w:lineRule="exact"/>
        <w:ind w:leftChars="200" w:right="0" w:rightChars="0" w:firstLine="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比选申请人提供平台服务链接，并配置不少于5个管理员账号（如下表），由评审委员会现场进行实操体验。</w:t>
      </w:r>
    </w:p>
    <w:p>
      <w:pPr>
        <w:pStyle w:val="7"/>
        <w:numPr>
          <w:ilvl w:val="-1"/>
          <w:numId w:val="0"/>
        </w:numPr>
        <w:adjustRightInd/>
        <w:snapToGrid w:val="0"/>
        <w:spacing w:line="440" w:lineRule="exact"/>
        <w:ind w:leftChars="200" w:right="0" w:rightChars="0" w:firstLine="0"/>
        <w:rPr>
          <w:rFonts w:hint="default" w:hAnsi="宋体"/>
          <w:color w:val="auto"/>
          <w:kern w:val="2"/>
          <w:sz w:val="21"/>
          <w:szCs w:val="21"/>
          <w:highlight w:val="none"/>
          <w:lang w:val="en-US" w:eastAsia="zh-CN"/>
        </w:rPr>
      </w:pPr>
    </w:p>
    <w:tbl>
      <w:tblPr>
        <w:tblStyle w:val="27"/>
        <w:tblW w:w="7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6"/>
        <w:gridCol w:w="3676"/>
        <w:gridCol w:w="2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账户</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ind w:firstLine="0"/>
        <w:rPr>
          <w:rFonts w:hint="default"/>
          <w:color w:val="000000" w:themeColor="text1"/>
          <w:highlight w:val="none"/>
          <w:lang w:val="en-US" w:eastAsia="zh-CN"/>
          <w14:textFill>
            <w14:solidFill>
              <w14:schemeClr w14:val="tx1"/>
            </w14:solidFill>
          </w14:textFill>
        </w:rPr>
        <w:sectPr>
          <w:pgSz w:w="11905" w:h="16838"/>
          <w:pgMar w:top="1418" w:right="1418" w:bottom="1418" w:left="1418" w:header="454" w:footer="567" w:gutter="0"/>
          <w:pgNumType w:fmt="decimal"/>
          <w:cols w:space="720" w:num="1"/>
          <w:docGrid w:linePitch="319" w:charSpace="0"/>
        </w:sectPr>
      </w:pPr>
    </w:p>
    <w:p>
      <w:pPr>
        <w:ind w:left="0" w:firstLine="0"/>
        <w:rPr>
          <w:rFonts w:hint="eastAsia"/>
          <w:b/>
          <w:bCs/>
          <w:snapToGrid w:val="0"/>
          <w:highlight w:val="none"/>
          <w:lang w:val="en-US" w:eastAsia="zh-CN"/>
        </w:rPr>
      </w:pPr>
      <w:r>
        <w:rPr>
          <w:rFonts w:hint="eastAsia" w:ascii="宋体" w:hAnsi="宋体"/>
          <w:b/>
          <w:bCs/>
          <w:color w:val="auto"/>
          <w:lang w:val="en-US" w:eastAsia="zh-CN"/>
        </w:rPr>
        <w:t xml:space="preserve">C3 </w:t>
      </w:r>
      <w:r>
        <w:rPr>
          <w:rFonts w:hint="eastAsia"/>
          <w:b/>
          <w:bCs/>
          <w:snapToGrid w:val="0"/>
          <w:highlight w:val="none"/>
          <w:lang w:val="en-US" w:eastAsia="zh-CN"/>
        </w:rPr>
        <w:t>功能需求适配情况表</w:t>
      </w:r>
    </w:p>
    <w:p>
      <w:pPr>
        <w:ind w:left="0" w:firstLine="0"/>
        <w:jc w:val="left"/>
        <w:rPr>
          <w:rFonts w:hint="default"/>
          <w:snapToGrid w:val="0"/>
          <w:highlight w:val="none"/>
          <w:lang w:val="en-US" w:eastAsia="zh-CN"/>
        </w:rPr>
      </w:pPr>
      <w:r>
        <w:rPr>
          <w:rFonts w:hint="eastAsia"/>
          <w:snapToGrid w:val="0"/>
          <w:highlight w:val="none"/>
          <w:lang w:val="en-US" w:eastAsia="zh-CN"/>
        </w:rPr>
        <w:t>注：比选申请人根据表格内需求内容逐项进行适配，填写适配情况（满足需求或需二次开发），并另附相应需求项目的截图。</w:t>
      </w:r>
    </w:p>
    <w:tbl>
      <w:tblPr>
        <w:tblStyle w:val="27"/>
        <w:tblW w:w="9855" w:type="dxa"/>
        <w:tblInd w:w="-414"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990"/>
        <w:gridCol w:w="1650"/>
        <w:gridCol w:w="5610"/>
        <w:gridCol w:w="160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90" w:type="dxa"/>
            <w:tcBorders>
              <w:bottom w:val="single" w:color="000000" w:sz="4" w:space="0"/>
              <w:right w:val="single" w:color="auto" w:sz="4" w:space="0"/>
            </w:tcBorders>
            <w:shd w:val="clear" w:color="000000" w:fill="FFFFFF"/>
            <w:noWrap/>
            <w:vAlign w:val="center"/>
          </w:tcPr>
          <w:p>
            <w:pPr>
              <w:spacing w:line="28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7260" w:type="dxa"/>
            <w:gridSpan w:val="2"/>
            <w:tcBorders>
              <w:left w:val="nil"/>
              <w:bottom w:val="single" w:color="auto" w:sz="4" w:space="0"/>
            </w:tcBorders>
            <w:shd w:val="clear" w:color="000000" w:fill="FFFFFF"/>
            <w:vAlign w:val="center"/>
          </w:tcPr>
          <w:p>
            <w:pPr>
              <w:spacing w:line="280" w:lineRule="exact"/>
              <w:jc w:val="center"/>
              <w:rPr>
                <w:rFonts w:hint="eastAsia" w:ascii="宋体" w:hAnsi="宋体" w:eastAsia="宋体" w:cs="宋体"/>
                <w:b/>
                <w:bCs/>
                <w:sz w:val="21"/>
                <w:szCs w:val="21"/>
              </w:rPr>
            </w:pPr>
            <w:r>
              <w:rPr>
                <w:rFonts w:hint="eastAsia" w:ascii="宋体" w:hAnsi="宋体" w:eastAsia="宋体" w:cs="宋体"/>
                <w:b/>
                <w:bCs/>
                <w:sz w:val="21"/>
                <w:szCs w:val="21"/>
              </w:rPr>
              <w:t>需求明细</w:t>
            </w:r>
          </w:p>
        </w:tc>
        <w:tc>
          <w:tcPr>
            <w:tcW w:w="1605" w:type="dxa"/>
            <w:tcBorders>
              <w:left w:val="nil"/>
              <w:bottom w:val="single" w:color="auto" w:sz="4" w:space="0"/>
            </w:tcBorders>
            <w:shd w:val="clear" w:color="000000" w:fill="FFFFFF"/>
            <w:vAlign w:val="center"/>
          </w:tcPr>
          <w:p>
            <w:pPr>
              <w:spacing w:line="28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适配情况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47" w:hRule="atLeast"/>
        </w:trPr>
        <w:tc>
          <w:tcPr>
            <w:tcW w:w="990" w:type="dxa"/>
            <w:tcBorders>
              <w:top w:val="nil"/>
              <w:bottom w:val="single" w:color="000000" w:sz="4" w:space="0"/>
              <w:right w:val="single" w:color="auto" w:sz="4" w:space="0"/>
            </w:tcBorders>
            <w:shd w:val="clear" w:color="000000" w:fill="FFFFFF"/>
            <w:noWrap/>
            <w:vAlign w:val="center"/>
          </w:tcPr>
          <w:p>
            <w:pPr>
              <w:spacing w:line="280" w:lineRule="exact"/>
              <w:ind w:left="0" w:firstLine="0"/>
              <w:rPr>
                <w:rFonts w:hint="default" w:ascii="仿宋" w:hAnsi="仿宋" w:eastAsia="宋体"/>
                <w:sz w:val="21"/>
                <w:szCs w:val="21"/>
                <w:lang w:val="en-US" w:eastAsia="zh-CN"/>
              </w:rPr>
            </w:pPr>
            <w:r>
              <w:rPr>
                <w:rFonts w:hint="eastAsia" w:ascii="宋体" w:hAnsi="宋体" w:cs="宋体"/>
                <w:b/>
                <w:bCs/>
                <w:color w:val="000000"/>
                <w:kern w:val="0"/>
                <w:sz w:val="21"/>
                <w:szCs w:val="21"/>
                <w:lang w:val="en-US" w:eastAsia="zh-CN"/>
              </w:rPr>
              <w:t>用户数量及服务年限</w:t>
            </w:r>
          </w:p>
        </w:tc>
        <w:tc>
          <w:tcPr>
            <w:tcW w:w="7260" w:type="dxa"/>
            <w:gridSpan w:val="2"/>
            <w:tcBorders>
              <w:top w:val="nil"/>
              <w:left w:val="nil"/>
              <w:bottom w:val="single" w:color="auto" w:sz="4" w:space="0"/>
            </w:tcBorders>
            <w:shd w:val="clear" w:color="000000" w:fill="FFFFFF"/>
            <w:vAlign w:val="center"/>
          </w:tcPr>
          <w:p>
            <w:pPr>
              <w:widowControl w:val="0"/>
              <w:spacing w:before="0" w:after="0" w:afterAutospacing="0" w:line="240" w:lineRule="auto"/>
              <w:ind w:left="0" w:leftChars="0" w:right="0" w:rightChars="0" w:firstLine="0" w:firstLineChars="0"/>
              <w:jc w:val="left"/>
              <w:rPr>
                <w:rFonts w:hint="eastAsia" w:ascii="宋体" w:hAnsi="宋体" w:cs="宋体"/>
                <w:color w:val="auto"/>
                <w:kern w:val="2"/>
                <w:sz w:val="21"/>
                <w:szCs w:val="21"/>
                <w:highlight w:val="none"/>
                <w:lang w:val="en-US" w:eastAsia="zh-CN"/>
              </w:rPr>
            </w:pPr>
            <w:r>
              <w:rPr>
                <w:rFonts w:hint="eastAsia" w:ascii="宋体" w:hAnsi="宋体"/>
                <w:sz w:val="21"/>
                <w:szCs w:val="21"/>
                <w:lang w:val="en-US" w:eastAsia="zh-CN"/>
              </w:rPr>
              <w:t>1.</w:t>
            </w:r>
            <w:r>
              <w:rPr>
                <w:rFonts w:hint="eastAsia" w:ascii="宋体" w:hAnsi="宋体" w:cs="宋体"/>
                <w:color w:val="auto"/>
                <w:kern w:val="2"/>
                <w:sz w:val="21"/>
                <w:szCs w:val="21"/>
                <w:highlight w:val="none"/>
                <w:lang w:val="en-US" w:eastAsia="zh-CN"/>
              </w:rPr>
              <w:t>提供至少7500个平台账户；</w:t>
            </w:r>
          </w:p>
          <w:p>
            <w:pPr>
              <w:widowControl w:val="0"/>
              <w:spacing w:before="0" w:after="0" w:afterAutospacing="0" w:line="240" w:lineRule="auto"/>
              <w:ind w:left="0" w:right="0" w:firstLine="0"/>
              <w:jc w:val="left"/>
              <w:rPr>
                <w:rFonts w:hint="default" w:ascii="宋体" w:hAnsi="宋体" w:eastAsia="宋体"/>
                <w:sz w:val="21"/>
                <w:szCs w:val="21"/>
                <w:lang w:val="en-US" w:eastAsia="zh-CN"/>
              </w:rPr>
            </w:pPr>
            <w:r>
              <w:rPr>
                <w:rFonts w:hint="eastAsia" w:ascii="宋体" w:hAnsi="宋体" w:cs="宋体"/>
                <w:color w:val="auto"/>
                <w:kern w:val="2"/>
                <w:sz w:val="21"/>
                <w:szCs w:val="21"/>
                <w:highlight w:val="none"/>
                <w:lang w:val="en-US" w:eastAsia="zh-CN"/>
              </w:rPr>
              <w:t>2.服务年限：至少2年平台及课程服务；</w:t>
            </w:r>
          </w:p>
        </w:tc>
        <w:tc>
          <w:tcPr>
            <w:tcW w:w="1605" w:type="dxa"/>
            <w:tcBorders>
              <w:top w:val="nil"/>
              <w:left w:val="nil"/>
              <w:bottom w:val="single" w:color="auto" w:sz="4" w:space="0"/>
            </w:tcBorders>
            <w:shd w:val="clear" w:color="000000" w:fill="FFFFFF"/>
            <w:vAlign w:val="center"/>
          </w:tcPr>
          <w:p>
            <w:pPr>
              <w:spacing w:line="360" w:lineRule="auto"/>
              <w:jc w:val="left"/>
              <w:rPr>
                <w:rFonts w:hint="default" w:ascii="宋体" w:hAnsi="宋体" w:eastAsia="宋体"/>
                <w:sz w:val="21"/>
                <w:szCs w:val="21"/>
                <w:lang w:val="en-US" w:eastAsia="zh-CN"/>
              </w:rPr>
            </w:pPr>
            <w:r>
              <w:rPr>
                <w:rFonts w:hint="eastAsia" w:ascii="宋体" w:hAnsi="宋体"/>
                <w:sz w:val="21"/>
                <w:szCs w:val="21"/>
                <w:lang w:val="en-US" w:eastAsia="zh-CN"/>
              </w:rPr>
              <w:t>例：满足需求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0" w:hRule="atLeast"/>
        </w:trPr>
        <w:tc>
          <w:tcPr>
            <w:tcW w:w="990" w:type="dxa"/>
            <w:vMerge w:val="restart"/>
            <w:tcBorders>
              <w:top w:val="nil"/>
              <w:bottom w:val="single" w:color="000000" w:sz="4" w:space="0"/>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一、学习统计</w:t>
            </w:r>
          </w:p>
        </w:tc>
        <w:tc>
          <w:tcPr>
            <w:tcW w:w="7260" w:type="dxa"/>
            <w:gridSpan w:val="2"/>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展示运营公司内多维度数据(概览、部门、课程、培训、考试等），</w:t>
            </w:r>
            <w:r>
              <w:rPr>
                <w:rFonts w:hint="eastAsia" w:ascii="宋体" w:hAnsi="宋体"/>
                <w:sz w:val="21"/>
                <w:szCs w:val="21"/>
              </w:rPr>
              <w:t>帮助管理员了解企业内在线学习运营基本情况。</w:t>
            </w:r>
          </w:p>
        </w:tc>
        <w:tc>
          <w:tcPr>
            <w:tcW w:w="1605" w:type="dxa"/>
            <w:tcBorders>
              <w:top w:val="nil"/>
              <w:left w:val="nil"/>
              <w:bottom w:val="single" w:color="auto" w:sz="4" w:space="0"/>
            </w:tcBorders>
            <w:shd w:val="clear" w:color="000000" w:fill="FFFFFF"/>
            <w:vAlign w:val="center"/>
          </w:tcPr>
          <w:p>
            <w:pPr>
              <w:spacing w:line="360" w:lineRule="auto"/>
              <w:jc w:val="left"/>
              <w:rPr>
                <w:rFonts w:hint="default"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4" w:hRule="atLeast"/>
        </w:trPr>
        <w:tc>
          <w:tcPr>
            <w:tcW w:w="990" w:type="dxa"/>
            <w:vMerge w:val="continue"/>
            <w:tcBorders>
              <w:top w:val="nil"/>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rPr>
              <w:t>支持按部门</w:t>
            </w:r>
            <w:r>
              <w:rPr>
                <w:rFonts w:hint="eastAsia" w:ascii="宋体" w:hAnsi="宋体"/>
                <w:sz w:val="21"/>
                <w:szCs w:val="21"/>
                <w:lang w:val="en-US" w:eastAsia="zh-CN"/>
              </w:rPr>
              <w:t>学习统计、学员学习统计、学员学时统计等报表，并能支持报表定制化服务，运营公司的报表维度及字段输出个性化的报表内容。</w:t>
            </w:r>
          </w:p>
        </w:tc>
        <w:tc>
          <w:tcPr>
            <w:tcW w:w="1605"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例：需二次开发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6" w:hRule="atLeast"/>
        </w:trPr>
        <w:tc>
          <w:tcPr>
            <w:tcW w:w="990" w:type="dxa"/>
            <w:vMerge w:val="restart"/>
            <w:tcBorders>
              <w:top w:val="nil"/>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二、</w:t>
            </w:r>
            <w:r>
              <w:rPr>
                <w:rFonts w:hint="eastAsia" w:ascii="宋体" w:hAnsi="宋体" w:cs="宋体"/>
                <w:b/>
                <w:bCs/>
                <w:color w:val="000000"/>
                <w:kern w:val="0"/>
                <w:sz w:val="21"/>
                <w:szCs w:val="21"/>
                <w:lang w:val="en-US" w:eastAsia="zh-CN"/>
              </w:rPr>
              <w:t>培训</w:t>
            </w:r>
            <w:r>
              <w:rPr>
                <w:rFonts w:hint="eastAsia" w:ascii="宋体" w:hAnsi="宋体" w:cs="宋体"/>
                <w:b/>
                <w:bCs/>
                <w:color w:val="000000"/>
                <w:kern w:val="0"/>
                <w:sz w:val="21"/>
                <w:szCs w:val="21"/>
              </w:rPr>
              <w:t>管理</w:t>
            </w:r>
          </w:p>
        </w:tc>
        <w:tc>
          <w:tcPr>
            <w:tcW w:w="1650" w:type="dxa"/>
            <w:tcBorders>
              <w:top w:val="nil"/>
              <w:left w:val="single" w:color="auto" w:sz="4" w:space="0"/>
              <w:bottom w:val="single" w:color="000000" w:sz="4" w:space="0"/>
              <w:right w:val="single" w:color="auto" w:sz="4" w:space="0"/>
            </w:tcBorders>
            <w:shd w:val="clear" w:color="000000" w:fill="FFFFFF"/>
            <w:noWrap/>
            <w:vAlign w:val="center"/>
          </w:tcPr>
          <w:p>
            <w:pPr>
              <w:spacing w:line="360" w:lineRule="auto"/>
              <w:ind w:left="9" w:hanging="9"/>
              <w:jc w:val="left"/>
              <w:rPr>
                <w:rFonts w:ascii="宋体" w:hAnsi="宋体"/>
                <w:sz w:val="21"/>
                <w:szCs w:val="21"/>
              </w:rPr>
            </w:pPr>
            <w:r>
              <w:rPr>
                <w:rFonts w:hint="eastAsia" w:ascii="宋体" w:hAnsi="宋体"/>
                <w:sz w:val="21"/>
                <w:szCs w:val="21"/>
              </w:rPr>
              <w:t>培训计划管理</w:t>
            </w:r>
          </w:p>
        </w:tc>
        <w:tc>
          <w:tcPr>
            <w:tcW w:w="5610"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支持制定、实施培训计划，根据培训计划和课程体系组织创建各类学习活动；支持创建培训、编辑培训；支持培训进度跟踪、过程跟踪等，支持自定义学时、学分等。</w:t>
            </w:r>
          </w:p>
        </w:tc>
        <w:tc>
          <w:tcPr>
            <w:tcW w:w="1605" w:type="dxa"/>
            <w:tcBorders>
              <w:top w:val="nil"/>
              <w:left w:val="nil"/>
              <w:bottom w:val="single" w:color="auto" w:sz="4" w:space="0"/>
            </w:tcBorders>
            <w:shd w:val="clear" w:color="000000" w:fill="FFFFFF"/>
            <w:vAlign w:val="center"/>
          </w:tcPr>
          <w:p>
            <w:pPr>
              <w:spacing w:line="360" w:lineRule="auto"/>
              <w:jc w:val="left"/>
              <w:rPr>
                <w:rFonts w:hint="default"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90" w:type="dxa"/>
            <w:vMerge w:val="continue"/>
            <w:tcBorders>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650" w:type="dxa"/>
            <w:tcBorders>
              <w:top w:val="nil"/>
              <w:left w:val="single" w:color="auto" w:sz="4" w:space="0"/>
              <w:right w:val="single" w:color="auto" w:sz="4" w:space="0"/>
            </w:tcBorders>
            <w:shd w:val="clear" w:color="auto" w:fill="auto"/>
            <w:vAlign w:val="center"/>
          </w:tcPr>
          <w:p>
            <w:pPr>
              <w:spacing w:line="360" w:lineRule="auto"/>
              <w:ind w:left="9" w:hanging="9"/>
              <w:jc w:val="left"/>
              <w:rPr>
                <w:rFonts w:ascii="宋体" w:hAnsi="宋体"/>
                <w:sz w:val="21"/>
                <w:szCs w:val="21"/>
              </w:rPr>
            </w:pPr>
            <w:r>
              <w:rPr>
                <w:rFonts w:hint="eastAsia" w:ascii="宋体" w:hAnsi="宋体"/>
                <w:sz w:val="21"/>
                <w:szCs w:val="21"/>
              </w:rPr>
              <w:t>学习地图管理</w:t>
            </w:r>
          </w:p>
        </w:tc>
        <w:tc>
          <w:tcPr>
            <w:tcW w:w="5610" w:type="dxa"/>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eastAsia="宋体"/>
                <w:sz w:val="21"/>
                <w:szCs w:val="21"/>
                <w:lang w:eastAsia="zh-CN"/>
              </w:rPr>
            </w:pPr>
            <w:r>
              <w:rPr>
                <w:rFonts w:hint="eastAsia" w:ascii="宋体" w:hAnsi="宋体"/>
                <w:sz w:val="21"/>
                <w:szCs w:val="21"/>
              </w:rPr>
              <w:t>支持创建多阶段学习地图，可以按照岗位或职级等要求，对课程学习进行学习内容、学习顺序的设置</w:t>
            </w:r>
            <w:r>
              <w:rPr>
                <w:rFonts w:hint="eastAsia" w:ascii="宋体" w:hAnsi="宋体"/>
                <w:sz w:val="21"/>
                <w:szCs w:val="21"/>
                <w:lang w:eastAsia="zh-CN"/>
              </w:rPr>
              <w:t>，</w:t>
            </w:r>
            <w:r>
              <w:rPr>
                <w:rFonts w:hint="eastAsia" w:ascii="宋体" w:hAnsi="宋体"/>
                <w:sz w:val="21"/>
                <w:szCs w:val="21"/>
                <w:lang w:val="en-US" w:eastAsia="zh-CN"/>
              </w:rPr>
              <w:t>可</w:t>
            </w:r>
            <w:r>
              <w:rPr>
                <w:rFonts w:hint="eastAsia" w:ascii="宋体" w:hAnsi="宋体"/>
                <w:sz w:val="21"/>
                <w:szCs w:val="21"/>
              </w:rPr>
              <w:t>跟踪学员的学习完成情况</w:t>
            </w:r>
            <w:r>
              <w:rPr>
                <w:rFonts w:hint="eastAsia" w:ascii="宋体" w:hAnsi="宋体"/>
                <w:sz w:val="21"/>
                <w:szCs w:val="21"/>
                <w:lang w:eastAsia="zh-CN"/>
              </w:rPr>
              <w:t>。</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90" w:type="dxa"/>
            <w:vMerge w:val="continue"/>
            <w:tcBorders>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650" w:type="dxa"/>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ascii="宋体" w:hAnsi="宋体"/>
                <w:sz w:val="21"/>
                <w:szCs w:val="21"/>
              </w:rPr>
            </w:pPr>
            <w:r>
              <w:rPr>
                <w:rFonts w:hint="eastAsia" w:ascii="宋体" w:hAnsi="宋体"/>
                <w:sz w:val="21"/>
                <w:szCs w:val="21"/>
              </w:rPr>
              <w:t>课程</w:t>
            </w:r>
          </w:p>
          <w:p>
            <w:pPr>
              <w:spacing w:line="360" w:lineRule="auto"/>
              <w:jc w:val="left"/>
              <w:rPr>
                <w:rFonts w:ascii="宋体" w:hAnsi="宋体"/>
                <w:sz w:val="21"/>
                <w:szCs w:val="21"/>
              </w:rPr>
            </w:pPr>
            <w:r>
              <w:rPr>
                <w:rFonts w:hint="eastAsia" w:ascii="宋体" w:hAnsi="宋体"/>
                <w:sz w:val="21"/>
                <w:szCs w:val="21"/>
              </w:rPr>
              <w:t>管理</w:t>
            </w:r>
          </w:p>
        </w:tc>
        <w:tc>
          <w:tcPr>
            <w:tcW w:w="5610" w:type="dxa"/>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eastAsia="宋体"/>
                <w:sz w:val="21"/>
                <w:szCs w:val="21"/>
                <w:lang w:eastAsia="zh-CN"/>
              </w:rPr>
            </w:pPr>
            <w:r>
              <w:rPr>
                <w:rFonts w:hint="eastAsia" w:ascii="宋体" w:hAnsi="宋体"/>
                <w:sz w:val="21"/>
                <w:szCs w:val="21"/>
                <w:lang w:val="en-US" w:eastAsia="zh-CN"/>
              </w:rPr>
              <w:t>支持</w:t>
            </w:r>
            <w:r>
              <w:rPr>
                <w:rFonts w:hint="eastAsia" w:ascii="宋体" w:hAnsi="宋体"/>
                <w:sz w:val="21"/>
                <w:szCs w:val="21"/>
              </w:rPr>
              <w:t>根据不同的培训需求</w:t>
            </w:r>
            <w:r>
              <w:rPr>
                <w:rFonts w:hint="eastAsia" w:ascii="宋体" w:hAnsi="宋体"/>
                <w:sz w:val="21"/>
                <w:szCs w:val="21"/>
                <w:lang w:eastAsia="zh-CN"/>
              </w:rPr>
              <w:t>、</w:t>
            </w:r>
            <w:r>
              <w:rPr>
                <w:rFonts w:hint="eastAsia" w:ascii="宋体" w:hAnsi="宋体"/>
                <w:sz w:val="21"/>
                <w:szCs w:val="21"/>
                <w:lang w:val="en-US" w:eastAsia="zh-CN"/>
              </w:rPr>
              <w:t>不同岗位、不同部门或群组等，</w:t>
            </w:r>
            <w:r>
              <w:rPr>
                <w:rFonts w:hint="eastAsia" w:ascii="宋体" w:hAnsi="宋体"/>
                <w:sz w:val="21"/>
                <w:szCs w:val="21"/>
              </w:rPr>
              <w:t>为学员定制课程学习计划</w:t>
            </w:r>
            <w:r>
              <w:rPr>
                <w:rFonts w:hint="eastAsia" w:ascii="宋体" w:hAnsi="宋体"/>
                <w:sz w:val="21"/>
                <w:szCs w:val="21"/>
                <w:lang w:eastAsia="zh-CN"/>
              </w:rPr>
              <w:t>；支持文本、Office文档、多媒体（</w:t>
            </w:r>
            <w:r>
              <w:rPr>
                <w:rFonts w:hint="eastAsia" w:ascii="宋体" w:hAnsi="宋体"/>
                <w:sz w:val="21"/>
                <w:szCs w:val="21"/>
                <w:lang w:val="en-US" w:eastAsia="zh-CN"/>
              </w:rPr>
              <w:t>主流格式</w:t>
            </w:r>
            <w:r>
              <w:rPr>
                <w:rFonts w:hint="eastAsia" w:ascii="宋体" w:hAnsi="宋体"/>
                <w:sz w:val="21"/>
                <w:szCs w:val="21"/>
                <w:lang w:eastAsia="zh-CN"/>
              </w:rPr>
              <w:t>）等多种格式的电子课件，支持</w:t>
            </w:r>
            <w:r>
              <w:rPr>
                <w:rFonts w:hint="eastAsia" w:ascii="宋体" w:hAnsi="宋体"/>
                <w:sz w:val="21"/>
                <w:szCs w:val="21"/>
                <w:lang w:val="en-US" w:eastAsia="zh-CN"/>
              </w:rPr>
              <w:t>课件上传，单个大小至少可以达到</w:t>
            </w:r>
            <w:r>
              <w:rPr>
                <w:rFonts w:hint="eastAsia" w:ascii="宋体" w:hAnsi="宋体"/>
                <w:color w:val="auto"/>
                <w:sz w:val="21"/>
                <w:szCs w:val="21"/>
                <w:lang w:val="en-US" w:eastAsia="zh-CN"/>
              </w:rPr>
              <w:t>2G</w:t>
            </w:r>
            <w:r>
              <w:rPr>
                <w:rFonts w:hint="eastAsia" w:ascii="宋体" w:hAnsi="宋体"/>
                <w:sz w:val="21"/>
                <w:szCs w:val="21"/>
                <w:lang w:eastAsia="zh-CN"/>
              </w:rPr>
              <w:t>；</w:t>
            </w:r>
            <w:r>
              <w:rPr>
                <w:rFonts w:hint="eastAsia" w:ascii="宋体" w:hAnsi="宋体"/>
                <w:sz w:val="21"/>
                <w:szCs w:val="21"/>
                <w:lang w:val="en-US" w:eastAsia="zh-CN"/>
              </w:rPr>
              <w:t>能查询学员学习的所有课程和学习进度。能统计分析出课程学习的各项数据报表。</w:t>
            </w:r>
          </w:p>
        </w:tc>
        <w:tc>
          <w:tcPr>
            <w:tcW w:w="1605"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0" w:hRule="atLeast"/>
        </w:trPr>
        <w:tc>
          <w:tcPr>
            <w:tcW w:w="990" w:type="dxa"/>
            <w:vMerge w:val="continue"/>
            <w:tcBorders>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650" w:type="dxa"/>
            <w:tcBorders>
              <w:top w:val="nil"/>
              <w:left w:val="single" w:color="auto" w:sz="4" w:space="0"/>
              <w:bottom w:val="single" w:color="000000" w:sz="4" w:space="0"/>
              <w:right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线下培训管理</w:t>
            </w:r>
          </w:p>
        </w:tc>
        <w:tc>
          <w:tcPr>
            <w:tcW w:w="5610"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sz w:val="21"/>
                <w:szCs w:val="21"/>
                <w:lang w:val="en-US" w:eastAsia="zh-CN"/>
              </w:rPr>
            </w:pPr>
            <w:r>
              <w:rPr>
                <w:rFonts w:hint="eastAsia" w:ascii="宋体" w:hAnsi="宋体"/>
                <w:sz w:val="21"/>
                <w:szCs w:val="21"/>
                <w:lang w:val="en-US" w:eastAsia="zh-CN"/>
              </w:rPr>
              <w:t>支持线下培训项目补录，包含线下报名、实施、评估管理；支持线下/面授培训的数据导入和录入系统，统一管理线上线下培训。</w:t>
            </w:r>
          </w:p>
        </w:tc>
        <w:tc>
          <w:tcPr>
            <w:tcW w:w="1605"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367" w:hRule="atLeast"/>
        </w:trPr>
        <w:tc>
          <w:tcPr>
            <w:tcW w:w="990" w:type="dxa"/>
            <w:tcBorders>
              <w:top w:val="nil"/>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三、直播管理</w:t>
            </w:r>
          </w:p>
        </w:tc>
        <w:tc>
          <w:tcPr>
            <w:tcW w:w="7260" w:type="dxa"/>
            <w:gridSpan w:val="2"/>
            <w:tcBorders>
              <w:top w:val="nil"/>
              <w:left w:val="nil"/>
              <w:bottom w:val="single" w:color="auto" w:sz="4" w:space="0"/>
            </w:tcBorders>
            <w:shd w:val="clear" w:color="000000" w:fill="FFFFFF"/>
            <w:noWrap/>
            <w:vAlign w:val="center"/>
          </w:tcPr>
          <w:p>
            <w:pPr>
              <w:spacing w:line="360" w:lineRule="auto"/>
              <w:jc w:val="left"/>
              <w:rPr>
                <w:rFonts w:hint="eastAsia" w:ascii="宋体" w:hAnsi="宋体" w:eastAsia="宋体"/>
                <w:sz w:val="21"/>
                <w:szCs w:val="21"/>
                <w:lang w:eastAsia="zh-CN"/>
              </w:rPr>
            </w:pPr>
            <w:r>
              <w:rPr>
                <w:rFonts w:hint="eastAsia" w:ascii="宋体" w:hAnsi="宋体"/>
                <w:sz w:val="21"/>
                <w:szCs w:val="21"/>
              </w:rPr>
              <w:t>支持手机端直播和PC端分享屏幕直播两种模式</w:t>
            </w:r>
            <w:r>
              <w:rPr>
                <w:rFonts w:hint="eastAsia" w:ascii="宋体" w:hAnsi="宋体"/>
                <w:sz w:val="21"/>
                <w:szCs w:val="21"/>
                <w:lang w:eastAsia="zh-CN"/>
              </w:rPr>
              <w:t>；</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951" w:hRule="atLeast"/>
        </w:trPr>
        <w:tc>
          <w:tcPr>
            <w:tcW w:w="990"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四、师徒带教</w:t>
            </w: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实现由</w:t>
            </w:r>
            <w:r>
              <w:rPr>
                <w:rFonts w:hint="eastAsia" w:ascii="宋体" w:hAnsi="宋体"/>
                <w:sz w:val="21"/>
                <w:szCs w:val="21"/>
                <w:lang w:val="en-US" w:eastAsia="zh-CN"/>
              </w:rPr>
              <w:t>相关</w:t>
            </w:r>
            <w:r>
              <w:rPr>
                <w:rFonts w:hint="eastAsia" w:ascii="宋体" w:hAnsi="宋体"/>
                <w:sz w:val="21"/>
                <w:szCs w:val="21"/>
              </w:rPr>
              <w:t>管理部门设置员工的导师，导师拥有指派所带教员工的线上学习任务、线上考试任务。</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038" w:hRule="atLeast"/>
        </w:trPr>
        <w:tc>
          <w:tcPr>
            <w:tcW w:w="990" w:type="dxa"/>
            <w:vMerge w:val="continue"/>
            <w:tcBorders>
              <w:bottom w:val="single" w:color="000000" w:sz="4" w:space="0"/>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总部管理员可以查看单个/所有导师的带教记录。实现公司管控下的导师带教功能。</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8" w:hRule="atLeast"/>
        </w:trPr>
        <w:tc>
          <w:tcPr>
            <w:tcW w:w="990"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五</w:t>
            </w:r>
            <w:r>
              <w:rPr>
                <w:rFonts w:hint="eastAsia" w:ascii="宋体" w:hAnsi="宋体" w:cs="宋体"/>
                <w:b/>
                <w:bCs/>
                <w:color w:val="000000"/>
                <w:kern w:val="0"/>
                <w:sz w:val="21"/>
                <w:szCs w:val="21"/>
              </w:rPr>
              <w:t>、</w:t>
            </w:r>
            <w:r>
              <w:rPr>
                <w:rFonts w:hint="eastAsia" w:ascii="宋体" w:hAnsi="宋体" w:cs="宋体"/>
                <w:b/>
                <w:bCs/>
                <w:color w:val="000000"/>
                <w:kern w:val="0"/>
                <w:sz w:val="21"/>
                <w:szCs w:val="21"/>
                <w:lang w:val="en-US" w:eastAsia="zh-CN"/>
              </w:rPr>
              <w:t>评估</w:t>
            </w:r>
            <w:r>
              <w:rPr>
                <w:rFonts w:hint="eastAsia" w:ascii="宋体" w:hAnsi="宋体" w:cs="宋体"/>
                <w:b/>
                <w:bCs/>
                <w:color w:val="000000"/>
                <w:kern w:val="0"/>
                <w:sz w:val="21"/>
                <w:szCs w:val="21"/>
              </w:rPr>
              <w:t>管理</w:t>
            </w: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系统内置培训需求调研，培训满意度评估两个调研问卷模板，管理员可以在模板的基础上增加、删除、修改题目创建个性化问卷，也可以按空白模板创建个性化调研问卷。</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946" w:hRule="atLeast"/>
        </w:trPr>
        <w:tc>
          <w:tcPr>
            <w:tcW w:w="990"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对回收的问卷进行及时分析，支持总体问卷回收情况分析和每个调研题目作答情况分析。</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623" w:hRule="atLeast"/>
        </w:trPr>
        <w:tc>
          <w:tcPr>
            <w:tcW w:w="990"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六</w:t>
            </w:r>
            <w:r>
              <w:rPr>
                <w:rFonts w:hint="eastAsia" w:ascii="宋体" w:hAnsi="宋体" w:cs="宋体"/>
                <w:b/>
                <w:bCs/>
                <w:color w:val="000000"/>
                <w:kern w:val="0"/>
                <w:sz w:val="21"/>
                <w:szCs w:val="21"/>
              </w:rPr>
              <w:t>、证书管理</w:t>
            </w:r>
          </w:p>
        </w:tc>
        <w:tc>
          <w:tcPr>
            <w:tcW w:w="7260" w:type="dxa"/>
            <w:gridSpan w:val="2"/>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支持</w:t>
            </w:r>
            <w:r>
              <w:rPr>
                <w:rFonts w:hint="eastAsia" w:ascii="宋体" w:hAnsi="宋体"/>
                <w:sz w:val="21"/>
                <w:szCs w:val="21"/>
              </w:rPr>
              <w:t>设置证书名称、编号、有效期、使用场景等基础属性</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31" w:hRule="atLeast"/>
        </w:trPr>
        <w:tc>
          <w:tcPr>
            <w:tcW w:w="990"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学员参加</w:t>
            </w:r>
            <w:r>
              <w:rPr>
                <w:rFonts w:hint="eastAsia" w:ascii="宋体" w:hAnsi="宋体"/>
                <w:b/>
                <w:bCs/>
                <w:sz w:val="21"/>
                <w:szCs w:val="21"/>
                <w:lang w:val="en-US" w:eastAsia="zh-CN"/>
              </w:rPr>
              <w:t>外部培训</w:t>
            </w:r>
            <w:r>
              <w:rPr>
                <w:rFonts w:hint="eastAsia" w:ascii="宋体" w:hAnsi="宋体"/>
                <w:sz w:val="21"/>
                <w:szCs w:val="21"/>
                <w:lang w:val="en-US" w:eastAsia="zh-CN"/>
              </w:rPr>
              <w:t>获得的相关认证证书可通过平台申请提报，支持上传获得的证书照片，管理员审核通过后进行存档。</w:t>
            </w:r>
          </w:p>
        </w:tc>
        <w:tc>
          <w:tcPr>
            <w:tcW w:w="1605" w:type="dxa"/>
            <w:tcBorders>
              <w:top w:val="nil"/>
              <w:left w:val="nil"/>
              <w:bottom w:val="single" w:color="auto" w:sz="4" w:space="0"/>
            </w:tcBorders>
            <w:shd w:val="clear" w:color="000000" w:fill="FFFFFF"/>
            <w:noWrap/>
            <w:vAlign w:val="center"/>
          </w:tcPr>
          <w:p>
            <w:pPr>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31" w:hRule="atLeast"/>
        </w:trPr>
        <w:tc>
          <w:tcPr>
            <w:tcW w:w="990"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lang w:val="en-US" w:eastAsia="zh-CN"/>
              </w:rPr>
            </w:pPr>
            <w:r>
              <w:rPr>
                <w:rFonts w:hint="eastAsia" w:ascii="宋体" w:hAnsi="宋体"/>
                <w:sz w:val="21"/>
                <w:szCs w:val="21"/>
                <w:lang w:val="en-US" w:eastAsia="zh-CN"/>
              </w:rPr>
              <w:t>支持对存档证书设置自定义有效期，支持到期提醒功能。</w:t>
            </w:r>
          </w:p>
        </w:tc>
        <w:tc>
          <w:tcPr>
            <w:tcW w:w="1605" w:type="dxa"/>
            <w:tcBorders>
              <w:top w:val="nil"/>
              <w:left w:val="nil"/>
              <w:bottom w:val="single" w:color="auto" w:sz="4" w:space="0"/>
            </w:tcBorders>
            <w:shd w:val="clear" w:color="000000" w:fill="FFFFFF"/>
            <w:noWrap/>
            <w:vAlign w:val="center"/>
          </w:tcPr>
          <w:p>
            <w:pPr>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605" w:hRule="atLeast"/>
        </w:trPr>
        <w:tc>
          <w:tcPr>
            <w:tcW w:w="990" w:type="dxa"/>
            <w:vMerge w:val="restart"/>
            <w:tcBorders>
              <w:right w:val="single" w:color="auto" w:sz="4" w:space="0"/>
            </w:tcBorders>
            <w:shd w:val="clear" w:color="auto" w:fill="auto"/>
            <w:textDirection w:val="tbRlV"/>
            <w:vAlign w:val="center"/>
          </w:tcPr>
          <w:p>
            <w:pPr>
              <w:widowControl/>
              <w:ind w:left="113" w:right="113"/>
              <w:jc w:val="center"/>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七、考试管理</w:t>
            </w: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default" w:ascii="宋体" w:hAnsi="宋体"/>
                <w:sz w:val="21"/>
                <w:szCs w:val="21"/>
                <w:lang w:val="en-US" w:eastAsia="zh-CN"/>
              </w:rPr>
            </w:pPr>
            <w:r>
              <w:rPr>
                <w:rFonts w:hint="eastAsia" w:ascii="宋体" w:hAnsi="宋体"/>
                <w:sz w:val="21"/>
                <w:szCs w:val="21"/>
                <w:lang w:val="en-US" w:eastAsia="zh-CN"/>
              </w:rPr>
              <w:t>支持批量导入、导出试题，试题库支持各种题型，能允许上传图片等作为附件;根据试题类型分类。通过设置题库范围、考题的题量、难度范围等，快速生成相应系数的试卷</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default"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540" w:hRule="atLeast"/>
        </w:trPr>
        <w:tc>
          <w:tcPr>
            <w:tcW w:w="990" w:type="dxa"/>
            <w:vMerge w:val="continue"/>
            <w:tcBorders>
              <w:right w:val="single" w:color="auto" w:sz="4" w:space="0"/>
            </w:tcBorders>
            <w:shd w:val="clear" w:color="auto" w:fill="auto"/>
            <w:textDirection w:val="tbRlV"/>
            <w:vAlign w:val="center"/>
          </w:tcPr>
          <w:p>
            <w:pPr>
              <w:widowControl/>
              <w:ind w:left="113" w:right="113"/>
              <w:jc w:val="center"/>
              <w:rPr>
                <w:rFonts w:hint="eastAsia" w:ascii="宋体" w:hAnsi="宋体" w:cs="宋体"/>
                <w:b/>
                <w:bCs/>
                <w:color w:val="000000"/>
                <w:kern w:val="0"/>
                <w:sz w:val="21"/>
                <w:szCs w:val="21"/>
                <w:lang w:val="en-US" w:eastAsia="zh-CN"/>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lang w:val="en-US" w:eastAsia="zh-CN"/>
              </w:rPr>
            </w:pPr>
            <w:r>
              <w:rPr>
                <w:rFonts w:hint="eastAsia" w:ascii="宋体" w:hAnsi="宋体"/>
                <w:sz w:val="21"/>
                <w:szCs w:val="21"/>
                <w:lang w:val="en-US" w:eastAsia="zh-CN"/>
              </w:rPr>
              <w:t>支持各类组卷策略（固定、随机、自定义等）和组卷模式（相同、乱序、差异等），具备灵活的试题导入导出功能。灵活的能实现安排考生、安排手工阅卷员、复制试卷、成绩保密、答卷保密等权限的设置。</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default"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480" w:hRule="atLeast"/>
        </w:trPr>
        <w:tc>
          <w:tcPr>
            <w:tcW w:w="990" w:type="dxa"/>
            <w:vMerge w:val="continue"/>
            <w:tcBorders>
              <w:bottom w:val="single" w:color="000000" w:sz="4" w:space="0"/>
              <w:right w:val="single" w:color="auto" w:sz="4" w:space="0"/>
            </w:tcBorders>
            <w:shd w:val="clear" w:color="auto" w:fill="auto"/>
            <w:textDirection w:val="tbRlV"/>
            <w:vAlign w:val="center"/>
          </w:tcPr>
          <w:p>
            <w:pPr>
              <w:widowControl/>
              <w:ind w:left="113" w:right="113"/>
              <w:jc w:val="center"/>
              <w:rPr>
                <w:rFonts w:hint="eastAsia" w:ascii="宋体" w:hAnsi="宋体" w:cs="宋体"/>
                <w:b/>
                <w:bCs/>
                <w:color w:val="000000"/>
                <w:kern w:val="0"/>
                <w:sz w:val="21"/>
                <w:szCs w:val="21"/>
                <w:lang w:val="en-US" w:eastAsia="zh-CN"/>
              </w:rPr>
            </w:pPr>
          </w:p>
        </w:tc>
        <w:tc>
          <w:tcPr>
            <w:tcW w:w="7260" w:type="dxa"/>
            <w:gridSpan w:val="2"/>
            <w:tcBorders>
              <w:top w:val="nil"/>
              <w:left w:val="nil"/>
              <w:bottom w:val="single" w:color="auto" w:sz="4" w:space="0"/>
            </w:tcBorders>
            <w:shd w:val="clear" w:color="000000" w:fill="FFFFFF"/>
            <w:noWrap/>
            <w:vAlign w:val="center"/>
          </w:tcPr>
          <w:p>
            <w:pPr>
              <w:pStyle w:val="35"/>
              <w:numPr>
                <w:ilvl w:val="0"/>
                <w:numId w:val="0"/>
              </w:numPr>
              <w:spacing w:line="360" w:lineRule="auto"/>
              <w:rPr>
                <w:rFonts w:hint="eastAsia" w:ascii="宋体" w:hAnsi="宋体"/>
                <w:sz w:val="21"/>
                <w:szCs w:val="21"/>
                <w:lang w:val="en-US" w:eastAsia="zh-CN"/>
              </w:rPr>
            </w:pPr>
            <w:r>
              <w:rPr>
                <w:rFonts w:hint="eastAsia" w:ascii="宋体" w:hAnsi="宋体" w:eastAsia="宋体" w:cs="Times New Roman"/>
                <w:kern w:val="2"/>
                <w:sz w:val="21"/>
                <w:szCs w:val="21"/>
                <w:lang w:val="en-US" w:eastAsia="zh-CN" w:bidi="ar-SA"/>
              </w:rPr>
              <w:t>有考试自动倒计时、到时自动交卷</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防切屏等基本功能。能随机试题显示顺序、随机设置选择题候选项显示顺序等措施</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需确保考试过程中电脑死机、网络故障等状况下的答卷保存问题。</w:t>
            </w:r>
          </w:p>
        </w:tc>
        <w:tc>
          <w:tcPr>
            <w:tcW w:w="1605" w:type="dxa"/>
            <w:tcBorders>
              <w:top w:val="nil"/>
              <w:left w:val="nil"/>
              <w:bottom w:val="single" w:color="auto" w:sz="4" w:space="0"/>
            </w:tcBorders>
            <w:shd w:val="clear" w:color="000000" w:fill="FFFFFF"/>
            <w:noWrap/>
            <w:vAlign w:val="center"/>
          </w:tcPr>
          <w:p>
            <w:pPr>
              <w:pStyle w:val="35"/>
              <w:numPr>
                <w:ilvl w:val="0"/>
                <w:numId w:val="0"/>
              </w:numPr>
              <w:spacing w:line="360" w:lineRule="auto"/>
              <w:rPr>
                <w:rFonts w:hint="default"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atLeast"/>
        </w:trPr>
        <w:tc>
          <w:tcPr>
            <w:tcW w:w="990" w:type="dxa"/>
            <w:vMerge w:val="restart"/>
            <w:tcBorders>
              <w:top w:val="nil"/>
              <w:bottom w:val="single" w:color="000000" w:sz="4" w:space="0"/>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八</w:t>
            </w:r>
            <w:r>
              <w:rPr>
                <w:rFonts w:hint="eastAsia" w:ascii="宋体" w:hAnsi="宋体" w:cs="宋体"/>
                <w:b/>
                <w:bCs/>
                <w:color w:val="000000"/>
                <w:kern w:val="0"/>
                <w:sz w:val="21"/>
                <w:szCs w:val="21"/>
              </w:rPr>
              <w:t>、组织管理</w:t>
            </w:r>
          </w:p>
        </w:tc>
        <w:tc>
          <w:tcPr>
            <w:tcW w:w="7260" w:type="dxa"/>
            <w:gridSpan w:val="2"/>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具备与钉钉生态系统深度对接的经验和成熟接口（例如：待办、群、消息，组织结构同步）；</w:t>
            </w:r>
            <w:r>
              <w:rPr>
                <w:rFonts w:hint="eastAsia" w:ascii="宋体" w:hAnsi="宋体"/>
                <w:sz w:val="21"/>
                <w:szCs w:val="21"/>
              </w:rPr>
              <w:t>支持树状组织结构管理，钉钉主</w:t>
            </w:r>
            <w:r>
              <w:rPr>
                <w:rFonts w:hint="eastAsia" w:ascii="宋体" w:hAnsi="宋体"/>
                <w:sz w:val="21"/>
                <w:szCs w:val="21"/>
                <w:lang w:eastAsia="zh-CN"/>
              </w:rPr>
              <w:t>、</w:t>
            </w:r>
            <w:r>
              <w:rPr>
                <w:rFonts w:hint="eastAsia" w:ascii="宋体" w:hAnsi="宋体"/>
                <w:sz w:val="21"/>
                <w:szCs w:val="21"/>
              </w:rPr>
              <w:t>子管理员可以根据</w:t>
            </w:r>
            <w:r>
              <w:rPr>
                <w:rFonts w:hint="eastAsia" w:ascii="宋体" w:hAnsi="宋体"/>
                <w:sz w:val="21"/>
                <w:szCs w:val="21"/>
                <w:lang w:val="en-US" w:eastAsia="zh-CN"/>
              </w:rPr>
              <w:t>公司</w:t>
            </w:r>
            <w:r>
              <w:rPr>
                <w:rFonts w:hint="eastAsia" w:ascii="宋体" w:hAnsi="宋体"/>
                <w:sz w:val="21"/>
                <w:szCs w:val="21"/>
              </w:rPr>
              <w:t>内部组织架构在钉钉后台建立匹配组织架构，支持手动录入和模板导入两种方式。</w:t>
            </w:r>
          </w:p>
        </w:tc>
        <w:tc>
          <w:tcPr>
            <w:tcW w:w="1605"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9" w:hRule="atLeast"/>
        </w:trPr>
        <w:tc>
          <w:tcPr>
            <w:tcW w:w="990" w:type="dxa"/>
            <w:vMerge w:val="continue"/>
            <w:tcBorders>
              <w:top w:val="nil"/>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7260"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钉钉主</w:t>
            </w:r>
            <w:r>
              <w:rPr>
                <w:rFonts w:hint="eastAsia" w:ascii="宋体" w:hAnsi="宋体"/>
                <w:sz w:val="21"/>
                <w:szCs w:val="21"/>
                <w:lang w:eastAsia="zh-CN"/>
              </w:rPr>
              <w:t>、</w:t>
            </w:r>
            <w:r>
              <w:rPr>
                <w:rFonts w:hint="eastAsia" w:ascii="宋体" w:hAnsi="宋体"/>
                <w:sz w:val="21"/>
                <w:szCs w:val="21"/>
              </w:rPr>
              <w:t>子管理员可以在钉钉后台设置个性化岗位角色，设置完成后可以在后台进行角色匹配的考试和培训管理。</w:t>
            </w:r>
          </w:p>
        </w:tc>
        <w:tc>
          <w:tcPr>
            <w:tcW w:w="1605"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p>
        </w:tc>
      </w:tr>
    </w:tbl>
    <w:p>
      <w:pPr>
        <w:pStyle w:val="5"/>
        <w:rPr>
          <w:rFonts w:hint="eastAsia" w:ascii="宋体" w:hAnsi="宋体"/>
          <w:color w:val="000000" w:themeColor="text1"/>
          <w:sz w:val="21"/>
          <w:szCs w:val="21"/>
          <w:highlight w:val="none"/>
          <w14:textFill>
            <w14:solidFill>
              <w14:schemeClr w14:val="tx1"/>
            </w14:solidFill>
          </w14:textFill>
        </w:rPr>
        <w:sectPr>
          <w:pgSz w:w="11905" w:h="16838"/>
          <w:pgMar w:top="1418" w:right="1418" w:bottom="1418" w:left="1418" w:header="454" w:footer="567" w:gutter="0"/>
          <w:pgNumType w:fmt="decimal"/>
          <w:cols w:space="720" w:num="1"/>
          <w:docGrid w:linePitch="319" w:charSpace="0"/>
        </w:sectPr>
      </w:pPr>
    </w:p>
    <w:p>
      <w:pPr>
        <w:pStyle w:val="5"/>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C</w:t>
      </w:r>
      <w:r>
        <w:rPr>
          <w:rFonts w:hint="eastAsia" w:ascii="宋体" w:hAnsi="宋体"/>
          <w:color w:val="000000" w:themeColor="text1"/>
          <w:sz w:val="21"/>
          <w:szCs w:val="21"/>
          <w:highlight w:val="none"/>
          <w:lang w:val="en-US" w:eastAsia="zh-CN"/>
          <w14:textFill>
            <w14:solidFill>
              <w14:schemeClr w14:val="tx1"/>
            </w14:solidFill>
          </w14:textFill>
        </w:rPr>
        <w:t>4</w:t>
      </w:r>
      <w:r>
        <w:rPr>
          <w:rFonts w:hint="eastAsia" w:ascii="宋体" w:hAnsi="宋体"/>
          <w:color w:val="000000" w:themeColor="text1"/>
          <w:sz w:val="21"/>
          <w:szCs w:val="21"/>
          <w:highlight w:val="none"/>
          <w14:textFill>
            <w14:solidFill>
              <w14:schemeClr w14:val="tx1"/>
            </w14:solidFill>
          </w14:textFill>
        </w:rPr>
        <w:t>商务响应表</w:t>
      </w:r>
      <w:r>
        <w:rPr>
          <w:rFonts w:ascii="宋体" w:hAnsi="宋体"/>
          <w:color w:val="000000" w:themeColor="text1"/>
          <w:sz w:val="21"/>
          <w:szCs w:val="21"/>
          <w:highlight w:val="none"/>
          <w14:textFill>
            <w14:solidFill>
              <w14:schemeClr w14:val="tx1"/>
            </w14:solidFill>
          </w14:textFill>
        </w:rPr>
        <w:t>格式</w:t>
      </w:r>
      <w:bookmarkEnd w:id="2235"/>
      <w:bookmarkEnd w:id="2236"/>
    </w:p>
    <w:p>
      <w:pPr>
        <w:ind w:right="-57"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商务响应表</w:t>
      </w:r>
    </w:p>
    <w:p>
      <w:pPr>
        <w:spacing w:before="0" w:after="0" w:afterAutospacing="0"/>
        <w:ind w:right="-57"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第二章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bl>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注：上述响应要求必须全部为“完全响应”，否则，比选申请人将不能通过符合性评审。</w:t>
      </w:r>
    </w:p>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p>
    <w:p>
      <w:pPr>
        <w:snapToGrid w:val="0"/>
        <w:spacing w:after="50" w:line="280" w:lineRule="exact"/>
        <w:ind w:left="953" w:right="-817" w:firstLine="1443"/>
        <w:rPr>
          <w:rFonts w:ascii="宋体" w:hAnsi="宋体"/>
          <w:color w:val="000000" w:themeColor="text1"/>
          <w:sz w:val="24"/>
          <w:szCs w:val="24"/>
          <w:highlight w:val="none"/>
          <w14:textFill>
            <w14:solidFill>
              <w14:schemeClr w14:val="tx1"/>
            </w14:solidFill>
          </w14:textFill>
        </w:rPr>
      </w:pPr>
    </w:p>
    <w:p>
      <w:pPr>
        <w:snapToGrid w:val="0"/>
        <w:spacing w:after="50" w:line="280" w:lineRule="exact"/>
        <w:ind w:left="955" w:right="-817" w:firstLine="2835" w:firstLineChars="135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280" w:lineRule="exact"/>
        <w:ind w:left="707" w:right="-817" w:firstLine="0"/>
        <w:jc w:val="center"/>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法定代表人或被授权人（签字）：</w:t>
      </w:r>
    </w:p>
    <w:p>
      <w:pPr>
        <w:snapToGrid w:val="0"/>
        <w:spacing w:before="0" w:after="50" w:line="280" w:lineRule="exact"/>
        <w:ind w:left="707" w:leftChars="0" w:right="-817" w:firstLine="0" w:firstLineChars="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日期：     年     月      日</w:t>
      </w:r>
    </w:p>
    <w:p>
      <w:pPr>
        <w:ind w:left="0" w:firstLine="0"/>
        <w:rPr>
          <w:rFonts w:ascii="宋体" w:hAnsi="宋体"/>
          <w:b/>
          <w:color w:val="000000" w:themeColor="text1"/>
          <w:kern w:val="58"/>
          <w:sz w:val="24"/>
          <w:highlight w:val="none"/>
          <w14:textFill>
            <w14:solidFill>
              <w14:schemeClr w14:val="tx1"/>
            </w14:solidFill>
          </w14:textFill>
        </w:rPr>
      </w:pPr>
    </w:p>
    <w:p>
      <w:pPr>
        <w:ind w:left="0" w:firstLine="0"/>
        <w:rPr>
          <w:rFonts w:ascii="宋体" w:hAnsi="宋体"/>
          <w:b/>
          <w:color w:val="000000" w:themeColor="text1"/>
          <w:kern w:val="58"/>
          <w:sz w:val="24"/>
          <w:highlight w:val="none"/>
          <w14:textFill>
            <w14:solidFill>
              <w14:schemeClr w14:val="tx1"/>
            </w14:solidFill>
          </w14:textFill>
        </w:rPr>
      </w:pPr>
    </w:p>
    <w:p>
      <w:pPr>
        <w:pStyle w:val="13"/>
        <w:pageBreakBefore w:val="0"/>
        <w:ind w:left="0"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2237" w:name="_Toc28521"/>
      <w:bookmarkStart w:id="2238" w:name="_Toc9377"/>
      <w:bookmarkStart w:id="2239" w:name="_Toc12652"/>
      <w:bookmarkStart w:id="2240" w:name="_Toc30227"/>
      <w:bookmarkStart w:id="2241" w:name="_Toc9968"/>
      <w:bookmarkStart w:id="2242" w:name="_Toc12148"/>
      <w:bookmarkStart w:id="2243" w:name="_Toc5266"/>
      <w:bookmarkStart w:id="2244" w:name="_Toc32287"/>
      <w:bookmarkStart w:id="2245" w:name="_Toc7045"/>
      <w:bookmarkStart w:id="2246" w:name="_Toc30652"/>
      <w:bookmarkStart w:id="2247" w:name="_Toc13905"/>
      <w:bookmarkStart w:id="2248" w:name="_Toc493594336"/>
      <w:r>
        <w:rPr>
          <w:rStyle w:val="40"/>
          <w:rFonts w:hint="eastAsia" w:ascii="宋体" w:hAnsi="宋体" w:eastAsia="宋体"/>
          <w:color w:val="000000" w:themeColor="text1"/>
          <w:highlight w:val="none"/>
          <w14:textFill>
            <w14:solidFill>
              <w14:schemeClr w14:val="tx1"/>
            </w14:solidFill>
          </w14:textFill>
        </w:rPr>
        <w:t>第五章技术需求及数量表</w:t>
      </w:r>
      <w:bookmarkEnd w:id="2237"/>
      <w:bookmarkEnd w:id="2238"/>
      <w:bookmarkEnd w:id="2239"/>
      <w:bookmarkEnd w:id="2240"/>
      <w:bookmarkEnd w:id="2241"/>
      <w:bookmarkEnd w:id="2242"/>
      <w:bookmarkEnd w:id="2243"/>
      <w:bookmarkEnd w:id="2244"/>
      <w:bookmarkEnd w:id="2245"/>
      <w:bookmarkEnd w:id="2246"/>
      <w:bookmarkEnd w:id="2247"/>
    </w:p>
    <w:p>
      <w:pPr>
        <w:numPr>
          <w:ilvl w:val="0"/>
          <w:numId w:val="18"/>
        </w:numPr>
        <w:ind w:left="482" w:hanging="482" w:hangingChars="200"/>
        <w:jc w:val="left"/>
        <w:outlineLvl w:val="1"/>
        <w:rPr>
          <w:rFonts w:ascii="宋体" w:hAnsi="宋体"/>
          <w:b/>
          <w:color w:val="000000" w:themeColor="text1"/>
          <w:kern w:val="58"/>
          <w:sz w:val="24"/>
          <w:highlight w:val="none"/>
          <w14:textFill>
            <w14:solidFill>
              <w14:schemeClr w14:val="tx1"/>
            </w14:solidFill>
          </w14:textFill>
        </w:rPr>
      </w:pPr>
      <w:bookmarkStart w:id="2249" w:name="_Toc25778"/>
      <w:bookmarkStart w:id="2250" w:name="_Toc2273"/>
      <w:bookmarkStart w:id="2251" w:name="_Toc7119"/>
      <w:bookmarkStart w:id="2252" w:name="_Toc26885"/>
      <w:bookmarkStart w:id="2253" w:name="_Toc13324"/>
      <w:bookmarkStart w:id="2254" w:name="_Toc17580"/>
      <w:bookmarkStart w:id="2255" w:name="_Toc13724"/>
      <w:bookmarkStart w:id="2256" w:name="_Toc6966"/>
      <w:bookmarkStart w:id="2257" w:name="_Toc21241"/>
      <w:bookmarkStart w:id="2258" w:name="_Toc29491"/>
      <w:bookmarkStart w:id="2259" w:name="_Toc22525"/>
      <w:r>
        <w:rPr>
          <w:rFonts w:hint="eastAsia" w:ascii="宋体" w:hAnsi="宋体"/>
          <w:b/>
          <w:color w:val="000000" w:themeColor="text1"/>
          <w:kern w:val="58"/>
          <w:sz w:val="24"/>
          <w:highlight w:val="none"/>
          <w14:textFill>
            <w14:solidFill>
              <w14:schemeClr w14:val="tx1"/>
            </w14:solidFill>
          </w14:textFill>
        </w:rPr>
        <w:t>技术需求及数量表</w:t>
      </w:r>
      <w:bookmarkEnd w:id="2249"/>
      <w:bookmarkEnd w:id="2250"/>
      <w:bookmarkEnd w:id="2251"/>
      <w:bookmarkEnd w:id="2252"/>
      <w:bookmarkEnd w:id="2253"/>
      <w:bookmarkEnd w:id="2254"/>
      <w:bookmarkEnd w:id="2255"/>
      <w:bookmarkEnd w:id="2256"/>
      <w:bookmarkEnd w:id="2257"/>
      <w:bookmarkEnd w:id="2258"/>
      <w:bookmarkEnd w:id="2259"/>
    </w:p>
    <w:tbl>
      <w:tblPr>
        <w:tblStyle w:val="27"/>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17"/>
        <w:gridCol w:w="4027"/>
        <w:gridCol w:w="721"/>
        <w:gridCol w:w="118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9"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1117"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名称</w:t>
            </w:r>
          </w:p>
        </w:tc>
        <w:tc>
          <w:tcPr>
            <w:tcW w:w="4027"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技术参数</w:t>
            </w:r>
          </w:p>
        </w:tc>
        <w:tc>
          <w:tcPr>
            <w:tcW w:w="721"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1184"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数量</w:t>
            </w:r>
          </w:p>
        </w:tc>
        <w:tc>
          <w:tcPr>
            <w:tcW w:w="1180"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9" w:type="dxa"/>
            <w:vAlign w:val="center"/>
          </w:tcPr>
          <w:p>
            <w:pPr>
              <w:widowControl w:val="0"/>
              <w:numPr>
                <w:ilvl w:val="0"/>
                <w:numId w:val="0"/>
              </w:numPr>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1</w:t>
            </w:r>
          </w:p>
        </w:tc>
        <w:tc>
          <w:tcPr>
            <w:tcW w:w="1117" w:type="dxa"/>
            <w:vAlign w:val="center"/>
          </w:tcPr>
          <w:p>
            <w:pPr>
              <w:widowControl/>
              <w:numPr>
                <w:ilvl w:val="-1"/>
                <w:numId w:val="0"/>
              </w:numPr>
              <w:spacing w:before="0" w:after="0" w:afterAutospacing="0" w:line="240" w:lineRule="auto"/>
              <w:ind w:left="0" w:leftChars="0" w:right="0" w:rightChars="0" w:firstLine="0" w:firstLineChars="0"/>
              <w:jc w:val="left"/>
              <w:rPr>
                <w:rFonts w:hint="default" w:ascii="Calibri" w:hAnsi="Calibri"/>
                <w:b/>
                <w:bCs/>
                <w:kern w:val="2"/>
                <w:szCs w:val="22"/>
                <w:highlight w:val="none"/>
                <w:lang w:val="en-US" w:eastAsia="zh-CN"/>
              </w:rPr>
            </w:pPr>
            <w:r>
              <w:rPr>
                <w:rFonts w:hint="eastAsia" w:ascii="Calibri" w:hAnsi="Calibri" w:eastAsiaTheme="minorEastAsia"/>
                <w:kern w:val="2"/>
                <w:szCs w:val="22"/>
                <w:highlight w:val="none"/>
                <w:lang w:val="en-US" w:eastAsia="zh-CN"/>
              </w:rPr>
              <w:t>课程资源</w:t>
            </w:r>
          </w:p>
        </w:tc>
        <w:tc>
          <w:tcPr>
            <w:tcW w:w="4027" w:type="dxa"/>
            <w:vAlign w:val="center"/>
          </w:tcPr>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1.数量要求：提供至少1000门课程（每门课程不少于10分钟），或总课时不少于225课时（1课时=45分钟）。</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内容要求：应包含但不限于：个人发展类、领导力类、人力资源管理类、生产管理类、市场运营类、研发管理类、职业化管理类、综合管理类、党政管理类、健康管理类、办公软件技能类等。且各类培训不得少于30门/每类或7课时/每类。</w:t>
            </w:r>
          </w:p>
          <w:p>
            <w:pPr>
              <w:widowControl w:val="0"/>
              <w:spacing w:before="0" w:after="0" w:afterAutospacing="0" w:line="24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3.能够在基于钉钉的培训学习平台学习，能够植入运营公司的培训课程。</w:t>
            </w:r>
          </w:p>
          <w:p>
            <w:pPr>
              <w:widowControl w:val="0"/>
              <w:spacing w:before="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p>
        </w:tc>
        <w:tc>
          <w:tcPr>
            <w:tcW w:w="721" w:type="dxa"/>
            <w:vAlign w:val="center"/>
          </w:tcPr>
          <w:p>
            <w:pPr>
              <w:widowControl w:val="0"/>
              <w:spacing w:before="0" w:after="0" w:afterAutospacing="0" w:line="240" w:lineRule="auto"/>
              <w:ind w:left="0" w:leftChars="0" w:right="0" w:rightChars="0" w:firstLine="0" w:firstLineChars="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套</w:t>
            </w:r>
          </w:p>
        </w:tc>
        <w:tc>
          <w:tcPr>
            <w:tcW w:w="1184"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kern w:val="2"/>
                <w:szCs w:val="22"/>
                <w:highlight w:val="none"/>
                <w:lang w:val="en-US" w:eastAsia="zh-CN"/>
              </w:rPr>
            </w:pPr>
            <w:r>
              <w:rPr>
                <w:rFonts w:hint="eastAsia" w:ascii="宋体" w:hAnsi="宋体" w:cs="宋体"/>
                <w:kern w:val="2"/>
                <w:szCs w:val="22"/>
                <w:highlight w:val="none"/>
                <w:lang w:val="en-US" w:eastAsia="zh-CN"/>
              </w:rPr>
              <w:t>1</w:t>
            </w:r>
          </w:p>
        </w:tc>
        <w:tc>
          <w:tcPr>
            <w:tcW w:w="118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879"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1117"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培训平台</w:t>
            </w:r>
          </w:p>
        </w:tc>
        <w:tc>
          <w:tcPr>
            <w:tcW w:w="4027" w:type="dxa"/>
            <w:vAlign w:val="center"/>
          </w:tcPr>
          <w:p>
            <w:pPr>
              <w:widowControl/>
              <w:spacing w:before="0" w:after="0" w:afterAutospacing="0" w:line="360" w:lineRule="auto"/>
              <w:ind w:left="0" w:leftChars="0" w:right="0" w:rightChars="0" w:firstLine="0" w:firstLineChars="0"/>
              <w:jc w:val="left"/>
              <w:rPr>
                <w:rFonts w:hint="default" w:ascii="宋体" w:hAnsi="宋体" w:eastAsia="宋体" w:cs="宋体"/>
                <w:color w:val="auto"/>
                <w:kern w:val="2"/>
                <w:sz w:val="21"/>
                <w:szCs w:val="21"/>
                <w:highlight w:val="none"/>
                <w:lang w:val="en-US" w:eastAsia="zh-CN" w:bidi="ar-SA"/>
              </w:rPr>
            </w:pPr>
            <w:r>
              <w:rPr>
                <w:rFonts w:hint="default" w:ascii="宋体" w:hAnsi="宋体" w:cs="宋体"/>
                <w:color w:val="auto"/>
                <w:kern w:val="2"/>
                <w:sz w:val="21"/>
                <w:szCs w:val="21"/>
                <w:highlight w:val="none"/>
                <w:lang w:val="en-US" w:eastAsia="zh-CN" w:bidi="ar-SA"/>
              </w:rPr>
              <w:t>具体</w:t>
            </w:r>
            <w:r>
              <w:rPr>
                <w:rFonts w:hint="eastAsia" w:ascii="宋体" w:hAnsi="宋体" w:cs="宋体"/>
                <w:color w:val="auto"/>
                <w:kern w:val="2"/>
                <w:sz w:val="21"/>
                <w:szCs w:val="21"/>
                <w:highlight w:val="none"/>
                <w:lang w:val="en-US" w:eastAsia="zh-CN" w:bidi="ar-SA"/>
              </w:rPr>
              <w:t>技术参数</w:t>
            </w:r>
            <w:r>
              <w:rPr>
                <w:rFonts w:hint="default" w:ascii="宋体" w:hAnsi="宋体" w:cs="宋体"/>
                <w:color w:val="auto"/>
                <w:kern w:val="2"/>
                <w:sz w:val="21"/>
                <w:szCs w:val="21"/>
                <w:highlight w:val="none"/>
                <w:lang w:val="en-US" w:eastAsia="zh-CN" w:bidi="ar-SA"/>
              </w:rPr>
              <w:t>详见《</w:t>
            </w:r>
            <w:r>
              <w:rPr>
                <w:rFonts w:hint="default" w:ascii="宋体" w:hAnsi="宋体" w:cs="宋体"/>
                <w:b w:val="0"/>
                <w:bCs w:val="0"/>
                <w:color w:val="auto"/>
                <w:kern w:val="2"/>
                <w:sz w:val="21"/>
                <w:szCs w:val="21"/>
                <w:highlight w:val="none"/>
                <w:lang w:val="en-US" w:eastAsia="zh-CN"/>
              </w:rPr>
              <w:t>附件1：功能需求表》</w:t>
            </w:r>
          </w:p>
        </w:tc>
        <w:tc>
          <w:tcPr>
            <w:tcW w:w="721" w:type="dxa"/>
            <w:vAlign w:val="center"/>
          </w:tcPr>
          <w:p>
            <w:pPr>
              <w:widowControl w:val="0"/>
              <w:spacing w:before="0" w:after="0" w:afterAutospacing="0" w:line="240" w:lineRule="auto"/>
              <w:ind w:left="0" w:leftChars="0" w:right="0" w:rightChars="0" w:firstLine="0" w:firstLineChars="0"/>
              <w:jc w:val="center"/>
              <w:rPr>
                <w:rFonts w:hint="eastAsia" w:ascii="Calibri" w:hAnsi="Calibri" w:cs="Times New Roman" w:eastAsiaTheme="minorEastAsia"/>
                <w:kern w:val="2"/>
                <w:sz w:val="21"/>
                <w:szCs w:val="22"/>
                <w:highlight w:val="none"/>
                <w:lang w:val="en-US" w:eastAsia="zh-CN" w:bidi="ar-SA"/>
              </w:rPr>
            </w:pPr>
            <w:r>
              <w:rPr>
                <w:rFonts w:hint="eastAsia" w:ascii="Calibri" w:hAnsi="Calibri" w:eastAsiaTheme="minorEastAsia"/>
                <w:kern w:val="2"/>
                <w:szCs w:val="22"/>
                <w:highlight w:val="none"/>
                <w:lang w:val="en-US" w:eastAsia="zh-CN"/>
              </w:rPr>
              <w:t>项</w:t>
            </w:r>
          </w:p>
        </w:tc>
        <w:tc>
          <w:tcPr>
            <w:tcW w:w="1184"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1</w:t>
            </w:r>
          </w:p>
        </w:tc>
        <w:tc>
          <w:tcPr>
            <w:tcW w:w="1180" w:type="dxa"/>
            <w:vAlign w:val="center"/>
          </w:tcPr>
          <w:p>
            <w:pPr>
              <w:widowControl w:val="0"/>
              <w:spacing w:before="0" w:after="0" w:afterAutospacing="0" w:line="240" w:lineRule="auto"/>
              <w:ind w:left="0" w:leftChars="0" w:right="0" w:rightChars="0" w:firstLine="0" w:firstLineChars="0"/>
              <w:jc w:val="left"/>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如有项目功能需要进行二次开发，周期不得超过45个工作日。</w:t>
            </w:r>
          </w:p>
        </w:tc>
      </w:tr>
    </w:tbl>
    <w:p>
      <w:pPr>
        <w:numPr>
          <w:ilvl w:val="-1"/>
          <w:numId w:val="0"/>
        </w:numPr>
        <w:ind w:left="0" w:leftChars="0" w:firstLine="0" w:firstLineChars="0"/>
        <w:jc w:val="left"/>
        <w:outlineLvl w:val="1"/>
        <w:rPr>
          <w:rFonts w:hint="eastAsia" w:ascii="宋体" w:hAnsi="宋体"/>
          <w:b/>
          <w:color w:val="000000" w:themeColor="text1"/>
          <w:kern w:val="58"/>
          <w:sz w:val="21"/>
          <w:highlight w:val="none"/>
          <w:lang w:val="en-US" w:eastAsia="zh-CN"/>
          <w14:textFill>
            <w14:solidFill>
              <w14:schemeClr w14:val="tx1"/>
            </w14:solidFill>
          </w14:textFill>
        </w:rPr>
      </w:pPr>
      <w:bookmarkStart w:id="2260" w:name="_Toc17637"/>
      <w:bookmarkStart w:id="2261" w:name="_Toc24359"/>
      <w:bookmarkStart w:id="2262" w:name="_Toc16662"/>
      <w:bookmarkStart w:id="2263" w:name="_Toc28905"/>
      <w:bookmarkStart w:id="2264" w:name="_Toc9108"/>
      <w:bookmarkStart w:id="2265" w:name="_Toc9187"/>
      <w:bookmarkStart w:id="2266" w:name="_Toc17905"/>
      <w:bookmarkStart w:id="2267" w:name="_Toc697"/>
      <w:bookmarkStart w:id="2268" w:name="_Toc12232"/>
      <w:bookmarkStart w:id="2269" w:name="_Toc26773"/>
    </w:p>
    <w:p>
      <w:pPr>
        <w:pStyle w:val="7"/>
        <w:adjustRightInd/>
        <w:snapToGrid w:val="0"/>
        <w:spacing w:line="440" w:lineRule="exact"/>
        <w:ind w:firstLine="422" w:firstLineChars="200"/>
        <w:rPr>
          <w:rFonts w:hint="eastAsia" w:hAnsi="宋体"/>
          <w:color w:val="000000" w:themeColor="text1"/>
          <w:kern w:val="2"/>
          <w:sz w:val="21"/>
          <w:szCs w:val="21"/>
          <w:highlight w:val="none"/>
          <w14:textFill>
            <w14:solidFill>
              <w14:schemeClr w14:val="tx1"/>
            </w14:solidFill>
          </w14:textFill>
        </w:rPr>
      </w:pPr>
      <w:r>
        <w:rPr>
          <w:rFonts w:hint="eastAsia" w:ascii="宋体" w:hAnsi="宋体"/>
          <w:b/>
          <w:color w:val="000000" w:themeColor="text1"/>
          <w:kern w:val="58"/>
          <w:sz w:val="21"/>
          <w:highlight w:val="none"/>
          <w:lang w:val="en-US" w:eastAsia="zh-CN"/>
          <w14:textFill>
            <w14:solidFill>
              <w14:schemeClr w14:val="tx1"/>
            </w14:solidFill>
          </w14:textFill>
        </w:rPr>
        <w:t>二、</w:t>
      </w:r>
      <w:r>
        <w:rPr>
          <w:rFonts w:hint="eastAsia" w:ascii="宋体" w:hAnsi="宋体"/>
          <w:b/>
          <w:color w:val="000000" w:themeColor="text1"/>
          <w:kern w:val="58"/>
          <w:sz w:val="21"/>
          <w:highlight w:val="none"/>
          <w14:textFill>
            <w14:solidFill>
              <w14:schemeClr w14:val="tx1"/>
            </w14:solidFill>
          </w14:textFill>
        </w:rPr>
        <w:t>时间节点及</w:t>
      </w:r>
      <w:r>
        <w:rPr>
          <w:rFonts w:hint="eastAsia" w:ascii="宋体" w:hAnsi="宋体"/>
          <w:b/>
          <w:color w:val="000000" w:themeColor="text1"/>
          <w:kern w:val="58"/>
          <w:sz w:val="21"/>
          <w:highlight w:val="none"/>
          <w:lang w:eastAsia="zh-CN"/>
          <w14:textFill>
            <w14:solidFill>
              <w14:schemeClr w14:val="tx1"/>
            </w14:solidFill>
          </w14:textFill>
        </w:rPr>
        <w:t>服务</w:t>
      </w:r>
      <w:r>
        <w:rPr>
          <w:rFonts w:hint="eastAsia" w:ascii="宋体" w:hAnsi="宋体"/>
          <w:b/>
          <w:color w:val="000000" w:themeColor="text1"/>
          <w:kern w:val="58"/>
          <w:sz w:val="21"/>
          <w:highlight w:val="none"/>
          <w14:textFill>
            <w14:solidFill>
              <w14:schemeClr w14:val="tx1"/>
            </w14:solidFill>
          </w14:textFill>
        </w:rPr>
        <w:t>要求</w:t>
      </w:r>
      <w:bookmarkEnd w:id="2260"/>
      <w:bookmarkEnd w:id="2261"/>
      <w:bookmarkEnd w:id="2262"/>
      <w:bookmarkEnd w:id="2263"/>
      <w:bookmarkEnd w:id="2264"/>
      <w:bookmarkEnd w:id="2265"/>
      <w:bookmarkEnd w:id="2266"/>
      <w:bookmarkEnd w:id="2267"/>
      <w:bookmarkEnd w:id="2268"/>
      <w:bookmarkEnd w:id="2269"/>
      <w:r>
        <w:rPr>
          <w:rFonts w:hint="eastAsia" w:ascii="宋体" w:hAnsi="宋体"/>
          <w:color w:val="000000" w:themeColor="text1"/>
          <w:kern w:val="58"/>
          <w:sz w:val="21"/>
          <w:highlight w:val="none"/>
          <w14:textFill>
            <w14:solidFill>
              <w14:schemeClr w14:val="tx1"/>
            </w14:solidFill>
          </w14:textFill>
        </w:rPr>
        <w:tab/>
      </w:r>
      <w:bookmarkEnd w:id="2248"/>
      <w:bookmarkStart w:id="2270" w:name="_Toc493594337"/>
    </w:p>
    <w:p>
      <w:pPr>
        <w:pStyle w:val="7"/>
        <w:snapToGrid w:val="0"/>
        <w:spacing w:line="440" w:lineRule="exact"/>
        <w:ind w:firstLine="420" w:firstLineChars="200"/>
        <w:rPr>
          <w:rFonts w:hAnsi="宋体"/>
          <w:color w:val="auto"/>
          <w:kern w:val="2"/>
          <w:sz w:val="21"/>
          <w:szCs w:val="21"/>
          <w:highlight w:val="none"/>
        </w:rPr>
      </w:pPr>
      <w:r>
        <w:rPr>
          <w:rFonts w:hint="eastAsia" w:hAnsi="宋体"/>
          <w:color w:val="000000" w:themeColor="text1"/>
          <w:kern w:val="2"/>
          <w:sz w:val="21"/>
          <w:szCs w:val="21"/>
          <w:highlight w:val="none"/>
          <w:lang w:eastAsia="zh-CN"/>
          <w14:textFill>
            <w14:solidFill>
              <w14:schemeClr w14:val="tx1"/>
            </w14:solidFill>
          </w14:textFill>
        </w:rPr>
        <w:t>1</w:t>
      </w:r>
      <w:r>
        <w:rPr>
          <w:rFonts w:hint="eastAsia" w:hAnsi="宋体"/>
          <w:color w:val="000000" w:themeColor="text1"/>
          <w:kern w:val="2"/>
          <w:sz w:val="21"/>
          <w:szCs w:val="21"/>
          <w:highlight w:val="none"/>
          <w14:textFill>
            <w14:solidFill>
              <w14:schemeClr w14:val="tx1"/>
            </w14:solidFill>
          </w14:textFill>
        </w:rPr>
        <w:t>．</w:t>
      </w:r>
      <w:r>
        <w:rPr>
          <w:rFonts w:hint="eastAsia" w:hAnsi="宋体" w:cs="Times New Roman"/>
          <w:color w:val="auto"/>
          <w:kern w:val="2"/>
          <w:sz w:val="21"/>
          <w:szCs w:val="21"/>
          <w:highlight w:val="none"/>
          <w:lang w:val="en-US" w:eastAsia="zh-CN"/>
        </w:rPr>
        <w:t>乙方应在签订合同之日起20日内完成线上课程交付，并完成平台基础功能部署上线</w:t>
      </w:r>
      <w:r>
        <w:rPr>
          <w:rFonts w:hint="eastAsia" w:ascii="Times New Roman" w:hAnsi="宋体" w:cs="Times New Roman"/>
          <w:color w:val="auto"/>
          <w:kern w:val="2"/>
          <w:sz w:val="21"/>
          <w:szCs w:val="21"/>
          <w:highlight w:val="none"/>
        </w:rPr>
        <w:t>。</w:t>
      </w:r>
    </w:p>
    <w:p>
      <w:pPr>
        <w:pStyle w:val="7"/>
        <w:adjustRightInd/>
        <w:snapToGrid w:val="0"/>
        <w:spacing w:line="440" w:lineRule="exact"/>
        <w:ind w:firstLine="420" w:firstLineChars="200"/>
        <w:rPr>
          <w:rFonts w:hint="eastAsia"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lang w:val="en-US" w:eastAsia="zh-CN"/>
          <w14:textFill>
            <w14:solidFill>
              <w14:schemeClr w14:val="tx1"/>
            </w14:solidFill>
          </w14:textFill>
        </w:rPr>
        <w:t>2</w:t>
      </w:r>
      <w:r>
        <w:rPr>
          <w:rFonts w:hint="eastAsia" w:hAnsi="宋体"/>
          <w:color w:val="000000" w:themeColor="text1"/>
          <w:kern w:val="2"/>
          <w:sz w:val="21"/>
          <w:szCs w:val="21"/>
          <w:highlight w:val="none"/>
          <w14:textFill>
            <w14:solidFill>
              <w14:schemeClr w14:val="tx1"/>
            </w14:solidFill>
          </w14:textFill>
        </w:rPr>
        <w:t>．</w:t>
      </w:r>
      <w:r>
        <w:rPr>
          <w:rFonts w:hint="eastAsia" w:hAnsi="宋体" w:cs="Times New Roman"/>
          <w:color w:val="auto"/>
          <w:kern w:val="2"/>
          <w:sz w:val="21"/>
          <w:szCs w:val="21"/>
          <w:highlight w:val="none"/>
          <w:lang w:val="en-US" w:eastAsia="zh-CN"/>
        </w:rPr>
        <w:t>对于需要进行二次开发的项目功能，乙方需在合同签订之日起45个工作日内完成全部功能开发并上线使用</w:t>
      </w:r>
      <w:r>
        <w:rPr>
          <w:rFonts w:hint="eastAsia" w:ascii="Times New Roman" w:hAnsi="宋体" w:cs="Times New Roman"/>
          <w:color w:val="auto"/>
          <w:kern w:val="2"/>
          <w:sz w:val="21"/>
          <w:szCs w:val="21"/>
          <w:highlight w:val="none"/>
        </w:rPr>
        <w:t>。</w:t>
      </w:r>
    </w:p>
    <w:p>
      <w:pPr>
        <w:pStyle w:val="7"/>
        <w:adjustRightInd/>
        <w:snapToGrid w:val="0"/>
        <w:spacing w:line="440" w:lineRule="exact"/>
        <w:ind w:firstLine="420" w:firstLineChars="200"/>
        <w:rPr>
          <w:rFonts w:hint="default" w:hAnsi="宋体" w:eastAsia="宋体"/>
          <w:color w:val="auto"/>
          <w:kern w:val="2"/>
          <w:sz w:val="21"/>
          <w:szCs w:val="21"/>
          <w:highlight w:val="none"/>
          <w:lang w:val="en-US" w:eastAsia="zh-CN"/>
        </w:rPr>
      </w:pPr>
      <w:r>
        <w:rPr>
          <w:rFonts w:hint="eastAsia" w:hAnsi="宋体"/>
          <w:color w:val="000000" w:themeColor="text1"/>
          <w:kern w:val="2"/>
          <w:sz w:val="21"/>
          <w:szCs w:val="21"/>
          <w:highlight w:val="none"/>
          <w:lang w:val="en-US" w:eastAsia="zh-CN"/>
          <w14:textFill>
            <w14:solidFill>
              <w14:schemeClr w14:val="tx1"/>
            </w14:solidFill>
          </w14:textFill>
        </w:rPr>
        <w:t>3</w:t>
      </w:r>
      <w:r>
        <w:rPr>
          <w:rFonts w:hint="eastAsia" w:hAnsi="宋体"/>
          <w:color w:val="000000" w:themeColor="text1"/>
          <w:kern w:val="2"/>
          <w:sz w:val="21"/>
          <w:szCs w:val="21"/>
          <w:highlight w:val="none"/>
          <w14:textFill>
            <w14:solidFill>
              <w14:schemeClr w14:val="tx1"/>
            </w14:solidFill>
          </w14:textFill>
        </w:rPr>
        <w:t>．</w:t>
      </w:r>
      <w:r>
        <w:rPr>
          <w:rFonts w:hint="eastAsia" w:hAnsi="宋体"/>
          <w:color w:val="auto"/>
          <w:kern w:val="2"/>
          <w:sz w:val="21"/>
          <w:szCs w:val="21"/>
          <w:highlight w:val="none"/>
          <w:lang w:val="en-US" w:eastAsia="zh-CN"/>
        </w:rPr>
        <w:t>乙方需对甲方单位相关人员进行平台操作的培训，保证甲方平台管理人员完成掌握相关操作，培训次数不少于2次，具体培训时间由双方商定后执行。</w:t>
      </w:r>
    </w:p>
    <w:p>
      <w:pPr>
        <w:ind w:left="1129" w:leftChars="200"/>
        <w:jc w:val="left"/>
        <w:outlineLvl w:val="1"/>
        <w:rPr>
          <w:rFonts w:ascii="宋体" w:hAnsi="宋体"/>
          <w:b/>
          <w:color w:val="000000" w:themeColor="text1"/>
          <w:kern w:val="58"/>
          <w:sz w:val="21"/>
          <w:highlight w:val="none"/>
          <w14:textFill>
            <w14:solidFill>
              <w14:schemeClr w14:val="tx1"/>
            </w14:solidFill>
          </w14:textFill>
        </w:rPr>
      </w:pPr>
      <w:bookmarkStart w:id="2271" w:name="_Toc30018"/>
      <w:bookmarkStart w:id="2272" w:name="_Toc17537"/>
      <w:bookmarkStart w:id="2273" w:name="_Toc19494"/>
      <w:bookmarkStart w:id="2274" w:name="_Toc5021"/>
      <w:bookmarkStart w:id="2275" w:name="_Toc6780"/>
      <w:bookmarkStart w:id="2276" w:name="_Toc15384"/>
      <w:bookmarkStart w:id="2277" w:name="_Toc13482"/>
      <w:bookmarkStart w:id="2278" w:name="_Toc10030"/>
      <w:bookmarkStart w:id="2279" w:name="_Toc10893"/>
      <w:bookmarkStart w:id="2280" w:name="_Toc14997"/>
      <w:bookmarkStart w:id="2281" w:name="_Toc22518"/>
      <w:r>
        <w:rPr>
          <w:rFonts w:hint="eastAsia" w:ascii="宋体" w:hAnsi="宋体"/>
          <w:b/>
          <w:color w:val="000000" w:themeColor="text1"/>
          <w:kern w:val="58"/>
          <w:sz w:val="21"/>
          <w:highlight w:val="none"/>
          <w14:textFill>
            <w14:solidFill>
              <w14:schemeClr w14:val="tx1"/>
            </w14:solidFill>
          </w14:textFill>
        </w:rPr>
        <w:t>三、</w:t>
      </w:r>
      <w:bookmarkEnd w:id="2270"/>
      <w:r>
        <w:rPr>
          <w:rFonts w:hint="eastAsia" w:ascii="宋体" w:hAnsi="宋体"/>
          <w:b/>
          <w:color w:val="000000" w:themeColor="text1"/>
          <w:kern w:val="58"/>
          <w:sz w:val="21"/>
          <w:highlight w:val="none"/>
          <w14:textFill>
            <w14:solidFill>
              <w14:schemeClr w14:val="tx1"/>
            </w14:solidFill>
          </w14:textFill>
        </w:rPr>
        <w:t>其他要求</w:t>
      </w:r>
      <w:bookmarkEnd w:id="2271"/>
      <w:bookmarkEnd w:id="2272"/>
      <w:bookmarkEnd w:id="2273"/>
      <w:bookmarkEnd w:id="2274"/>
      <w:bookmarkEnd w:id="2275"/>
      <w:bookmarkEnd w:id="2276"/>
      <w:bookmarkEnd w:id="2277"/>
      <w:bookmarkEnd w:id="2278"/>
      <w:bookmarkEnd w:id="2279"/>
      <w:bookmarkEnd w:id="2280"/>
      <w:bookmarkEnd w:id="2281"/>
    </w:p>
    <w:p>
      <w:pPr>
        <w:pStyle w:val="7"/>
        <w:adjustRightInd/>
        <w:snapToGrid w:val="0"/>
        <w:spacing w:line="440" w:lineRule="exact"/>
        <w:ind w:firstLine="420" w:firstLineChars="200"/>
        <w:rPr>
          <w:rFonts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1．本项目涉及的</w:t>
      </w:r>
      <w:r>
        <w:rPr>
          <w:rFonts w:hint="eastAsia" w:hAnsi="宋体"/>
          <w:color w:val="000000" w:themeColor="text1"/>
          <w:kern w:val="2"/>
          <w:sz w:val="21"/>
          <w:szCs w:val="21"/>
          <w:highlight w:val="none"/>
          <w:lang w:val="en-US" w:eastAsia="zh-CN"/>
          <w14:textFill>
            <w14:solidFill>
              <w14:schemeClr w14:val="tx1"/>
            </w14:solidFill>
          </w14:textFill>
        </w:rPr>
        <w:t>线上培训课程内容</w:t>
      </w:r>
      <w:r>
        <w:rPr>
          <w:rFonts w:hint="eastAsia" w:hAnsi="宋体"/>
          <w:color w:val="000000" w:themeColor="text1"/>
          <w:kern w:val="2"/>
          <w:sz w:val="21"/>
          <w:szCs w:val="21"/>
          <w:highlight w:val="none"/>
          <w14:textFill>
            <w14:solidFill>
              <w14:schemeClr w14:val="tx1"/>
            </w14:solidFill>
          </w14:textFill>
        </w:rPr>
        <w:t>，必须符合中华人民共和国国家标准和相关行业标准及规定；。</w:t>
      </w:r>
    </w:p>
    <w:p>
      <w:pPr>
        <w:pStyle w:val="7"/>
        <w:adjustRightInd/>
        <w:snapToGrid w:val="0"/>
        <w:spacing w:line="440" w:lineRule="exact"/>
        <w:ind w:firstLine="420" w:firstLineChars="200"/>
        <w:rPr>
          <w:rFonts w:hAnsi="宋体"/>
          <w:color w:val="000000" w:themeColor="text1"/>
          <w:kern w:val="2"/>
          <w:sz w:val="21"/>
          <w:szCs w:val="21"/>
          <w:highlight w:val="none"/>
          <w14:textFill>
            <w14:solidFill>
              <w14:schemeClr w14:val="tx1"/>
            </w14:solidFill>
          </w14:textFill>
        </w:rPr>
      </w:pPr>
      <w:r>
        <w:rPr>
          <w:rFonts w:hAnsi="宋体"/>
          <w:color w:val="000000" w:themeColor="text1"/>
          <w:kern w:val="2"/>
          <w:sz w:val="21"/>
          <w:szCs w:val="21"/>
          <w:highlight w:val="none"/>
          <w14:textFill>
            <w14:solidFill>
              <w14:schemeClr w14:val="tx1"/>
            </w14:solidFill>
          </w14:textFill>
        </w:rPr>
        <w:t>2.</w:t>
      </w:r>
      <w:r>
        <w:rPr>
          <w:rFonts w:hint="eastAsia" w:hAnsi="宋体"/>
          <w:color w:val="000000" w:themeColor="text1"/>
          <w:kern w:val="2"/>
          <w:sz w:val="21"/>
          <w:szCs w:val="21"/>
          <w:highlight w:val="none"/>
          <w14:textFill>
            <w14:solidFill>
              <w14:schemeClr w14:val="tx1"/>
            </w14:solidFill>
          </w14:textFill>
        </w:rPr>
        <w:t>本比选文件并未充分引用有关条文和标准规范，提出的是最基本的技术要求，比选申请人应提供符合本项目规格参数需求的优质的成熟服务及产品，以满足操作规范、效果显著的要求。</w:t>
      </w:r>
    </w:p>
    <w:p>
      <w:pPr>
        <w:pStyle w:val="7"/>
        <w:adjustRightInd/>
        <w:snapToGrid w:val="0"/>
        <w:spacing w:line="440" w:lineRule="exact"/>
        <w:ind w:firstLine="420" w:firstLineChars="200"/>
        <w:rPr>
          <w:rFonts w:hAnsi="宋体"/>
          <w:color w:val="000000" w:themeColor="text1"/>
          <w:kern w:val="2"/>
          <w:sz w:val="21"/>
          <w:szCs w:val="21"/>
          <w:highlight w:val="none"/>
          <w14:textFill>
            <w14:solidFill>
              <w14:schemeClr w14:val="tx1"/>
            </w14:solidFill>
          </w14:textFill>
        </w:rPr>
      </w:pPr>
      <w:r>
        <w:rPr>
          <w:rFonts w:hAnsi="宋体"/>
          <w:color w:val="000000" w:themeColor="text1"/>
          <w:kern w:val="2"/>
          <w:sz w:val="21"/>
          <w:szCs w:val="21"/>
          <w:highlight w:val="none"/>
          <w14:textFill>
            <w14:solidFill>
              <w14:schemeClr w14:val="tx1"/>
            </w14:solidFill>
          </w14:textFill>
        </w:rPr>
        <w:t>3.</w:t>
      </w:r>
      <w:r>
        <w:rPr>
          <w:rFonts w:hint="eastAsia" w:hAnsi="宋体"/>
          <w:color w:val="000000" w:themeColor="text1"/>
          <w:kern w:val="2"/>
          <w:sz w:val="21"/>
          <w:szCs w:val="21"/>
          <w:highlight w:val="none"/>
          <w14:textFill>
            <w14:solidFill>
              <w14:schemeClr w14:val="tx1"/>
            </w14:solidFill>
          </w14:textFill>
        </w:rPr>
        <w:t>比选申请人所报服务的</w:t>
      </w:r>
      <w:r>
        <w:rPr>
          <w:rFonts w:hint="eastAsia" w:hAnsi="宋体"/>
          <w:color w:val="000000" w:themeColor="text1"/>
          <w:kern w:val="2"/>
          <w:sz w:val="21"/>
          <w:szCs w:val="21"/>
          <w:highlight w:val="none"/>
          <w:lang w:val="en-US" w:eastAsia="zh-CN"/>
          <w14:textFill>
            <w14:solidFill>
              <w14:schemeClr w14:val="tx1"/>
            </w14:solidFill>
          </w14:textFill>
        </w:rPr>
        <w:t>量表、服务质量</w:t>
      </w:r>
      <w:r>
        <w:rPr>
          <w:rFonts w:hint="eastAsia" w:hAnsi="宋体"/>
          <w:color w:val="000000" w:themeColor="text1"/>
          <w:kern w:val="2"/>
          <w:sz w:val="21"/>
          <w:szCs w:val="21"/>
          <w:highlight w:val="none"/>
          <w14:textFill>
            <w14:solidFill>
              <w14:schemeClr w14:val="tx1"/>
            </w14:solidFill>
          </w14:textFill>
        </w:rPr>
        <w:t>参数需与“技术需求及数量表”中的要求相符。如不相符，所报服务、货品指标须优于参考指标，并经比选评审小组评审通过认可其产品及资料。</w:t>
      </w:r>
    </w:p>
    <w:p>
      <w:pPr>
        <w:pStyle w:val="7"/>
        <w:adjustRightInd/>
        <w:snapToGrid w:val="0"/>
        <w:spacing w:line="440" w:lineRule="exact"/>
        <w:ind w:firstLine="420" w:firstLineChars="200"/>
        <w:rPr>
          <w:rFonts w:hint="eastAsia" w:hAnsi="宋体"/>
          <w:color w:val="000000" w:themeColor="text1"/>
          <w:kern w:val="2"/>
          <w:sz w:val="21"/>
          <w:szCs w:val="21"/>
          <w:highlight w:val="none"/>
          <w14:textFill>
            <w14:solidFill>
              <w14:schemeClr w14:val="tx1"/>
            </w14:solidFill>
          </w14:textFill>
        </w:rPr>
      </w:pPr>
      <w:r>
        <w:rPr>
          <w:rFonts w:hAnsi="宋体"/>
          <w:color w:val="000000" w:themeColor="text1"/>
          <w:kern w:val="2"/>
          <w:sz w:val="21"/>
          <w:szCs w:val="21"/>
          <w:highlight w:val="none"/>
          <w14:textFill>
            <w14:solidFill>
              <w14:schemeClr w14:val="tx1"/>
            </w14:solidFill>
          </w14:textFill>
        </w:rPr>
        <w:t>4.</w:t>
      </w:r>
      <w:r>
        <w:rPr>
          <w:rFonts w:hint="eastAsia" w:hAnsi="宋体"/>
          <w:color w:val="000000" w:themeColor="text1"/>
          <w:kern w:val="2"/>
          <w:sz w:val="21"/>
          <w:szCs w:val="21"/>
          <w:highlight w:val="none"/>
          <w14:textFill>
            <w14:solidFill>
              <w14:schemeClr w14:val="tx1"/>
            </w14:solidFill>
          </w14:textFill>
        </w:rPr>
        <w:t>本比选文件所使用的标准如与比选申请人所执行的标准发生矛盾时，按照较高标准执行，同时比选申请人应在比选申请文件中加以注明，并附上引用标准和高标准造成成本及报价差异说明。</w:t>
      </w: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420" w:firstLineChars="200"/>
        <w:rPr>
          <w:rFonts w:hint="eastAsia" w:ascii="Times New Roman" w:hAnsi="宋体"/>
          <w:color w:val="000000" w:themeColor="text1"/>
          <w:kern w:val="2"/>
          <w:sz w:val="21"/>
          <w:szCs w:val="21"/>
          <w:highlight w:val="none"/>
          <w14:textFill>
            <w14:solidFill>
              <w14:schemeClr w14:val="tx1"/>
            </w14:solidFill>
          </w14:textFill>
        </w:rPr>
      </w:pPr>
    </w:p>
    <w:p>
      <w:pPr>
        <w:pStyle w:val="7"/>
        <w:adjustRightInd/>
        <w:snapToGrid w:val="0"/>
        <w:spacing w:line="440" w:lineRule="exact"/>
        <w:ind w:firstLine="0" w:firstLineChars="0"/>
        <w:rPr>
          <w:rFonts w:hint="eastAsia" w:ascii="Times New Roman" w:hAnsi="宋体"/>
          <w:color w:val="000000" w:themeColor="text1"/>
          <w:kern w:val="2"/>
          <w:sz w:val="21"/>
          <w:szCs w:val="21"/>
          <w:highlight w:val="none"/>
          <w14:textFill>
            <w14:solidFill>
              <w14:schemeClr w14:val="tx1"/>
            </w14:solidFill>
          </w14:textFill>
        </w:rPr>
      </w:pPr>
    </w:p>
    <w:p>
      <w:pPr>
        <w:spacing w:line="360" w:lineRule="auto"/>
        <w:ind w:firstLine="0" w:firstLineChars="0"/>
        <w:jc w:val="left"/>
        <w:rPr>
          <w:rFonts w:hint="default" w:ascii="宋体" w:hAnsi="宋体"/>
          <w:b/>
          <w:sz w:val="21"/>
          <w:szCs w:val="21"/>
          <w:lang w:val="en-US" w:eastAsia="zh-CN"/>
        </w:rPr>
      </w:pPr>
      <w:r>
        <w:rPr>
          <w:rFonts w:hint="eastAsia" w:ascii="宋体" w:hAnsi="宋体"/>
          <w:b w:val="0"/>
          <w:bCs/>
          <w:sz w:val="21"/>
          <w:szCs w:val="21"/>
          <w:lang w:val="en-US" w:eastAsia="zh-CN"/>
        </w:rPr>
        <w:t>附件1：功能需求表</w:t>
      </w:r>
    </w:p>
    <w:p>
      <w:pPr>
        <w:spacing w:line="360" w:lineRule="auto"/>
        <w:ind w:firstLine="422" w:firstLineChars="200"/>
        <w:jc w:val="center"/>
        <w:rPr>
          <w:rFonts w:hint="eastAsia" w:ascii="宋体" w:hAnsi="宋体" w:eastAsia="宋体"/>
          <w:b/>
          <w:sz w:val="21"/>
          <w:szCs w:val="21"/>
          <w:lang w:val="en-US" w:eastAsia="zh-CN"/>
        </w:rPr>
      </w:pPr>
      <w:r>
        <w:rPr>
          <w:rFonts w:hint="eastAsia" w:ascii="宋体" w:hAnsi="宋体"/>
          <w:b/>
          <w:sz w:val="21"/>
          <w:szCs w:val="21"/>
          <w:lang w:val="en-US" w:eastAsia="zh-CN"/>
        </w:rPr>
        <w:t>一、平台</w:t>
      </w:r>
      <w:r>
        <w:rPr>
          <w:rFonts w:hint="eastAsia" w:ascii="宋体" w:hAnsi="宋体"/>
          <w:b/>
          <w:sz w:val="21"/>
          <w:szCs w:val="21"/>
        </w:rPr>
        <w:t>功能需求</w:t>
      </w:r>
      <w:r>
        <w:rPr>
          <w:rFonts w:hint="eastAsia" w:ascii="宋体" w:hAnsi="宋体"/>
          <w:b/>
          <w:sz w:val="21"/>
          <w:szCs w:val="21"/>
          <w:lang w:val="en-US" w:eastAsia="zh-CN"/>
        </w:rPr>
        <w:t>表</w:t>
      </w:r>
    </w:p>
    <w:tbl>
      <w:tblPr>
        <w:tblStyle w:val="27"/>
        <w:tblW w:w="9441"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988"/>
        <w:gridCol w:w="1238"/>
        <w:gridCol w:w="5895"/>
        <w:gridCol w:w="13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88" w:type="dxa"/>
            <w:tcBorders>
              <w:bottom w:val="single" w:color="000000" w:sz="4" w:space="0"/>
              <w:right w:val="single" w:color="auto" w:sz="4" w:space="0"/>
            </w:tcBorders>
            <w:shd w:val="clear" w:color="000000" w:fill="FFFFFF"/>
            <w:noWrap/>
            <w:vAlign w:val="center"/>
          </w:tcPr>
          <w:p>
            <w:pPr>
              <w:spacing w:line="2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类型</w:t>
            </w:r>
          </w:p>
        </w:tc>
        <w:tc>
          <w:tcPr>
            <w:tcW w:w="7133" w:type="dxa"/>
            <w:gridSpan w:val="2"/>
            <w:tcBorders>
              <w:left w:val="nil"/>
              <w:bottom w:val="single" w:color="auto" w:sz="4" w:space="0"/>
            </w:tcBorders>
            <w:shd w:val="clear" w:color="000000" w:fill="FFFFFF"/>
            <w:vAlign w:val="center"/>
          </w:tcPr>
          <w:p>
            <w:pPr>
              <w:spacing w:line="28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需求明细</w:t>
            </w:r>
          </w:p>
        </w:tc>
        <w:tc>
          <w:tcPr>
            <w:tcW w:w="1320" w:type="dxa"/>
            <w:tcBorders>
              <w:left w:val="nil"/>
              <w:bottom w:val="single" w:color="auto" w:sz="4" w:space="0"/>
            </w:tcBorders>
            <w:shd w:val="clear" w:color="000000" w:fill="FFFFFF"/>
            <w:vAlign w:val="center"/>
          </w:tcPr>
          <w:p>
            <w:pPr>
              <w:spacing w:line="280" w:lineRule="exact"/>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47" w:hRule="atLeast"/>
        </w:trPr>
        <w:tc>
          <w:tcPr>
            <w:tcW w:w="988" w:type="dxa"/>
            <w:tcBorders>
              <w:top w:val="nil"/>
              <w:bottom w:val="single" w:color="000000" w:sz="4" w:space="0"/>
              <w:right w:val="single" w:color="auto" w:sz="4" w:space="0"/>
            </w:tcBorders>
            <w:shd w:val="clear" w:color="000000" w:fill="FFFFFF"/>
            <w:noWrap/>
            <w:vAlign w:val="center"/>
          </w:tcPr>
          <w:p>
            <w:pPr>
              <w:spacing w:line="280" w:lineRule="exact"/>
              <w:ind w:left="0" w:firstLine="0"/>
              <w:rPr>
                <w:rFonts w:hint="default" w:ascii="仿宋" w:hAnsi="仿宋" w:eastAsia="宋体"/>
                <w:sz w:val="21"/>
                <w:szCs w:val="21"/>
                <w:lang w:val="en-US" w:eastAsia="zh-CN"/>
              </w:rPr>
            </w:pPr>
            <w:r>
              <w:rPr>
                <w:rFonts w:hint="eastAsia" w:ascii="宋体" w:hAnsi="宋体" w:cs="宋体"/>
                <w:b/>
                <w:bCs/>
                <w:color w:val="000000"/>
                <w:kern w:val="0"/>
                <w:sz w:val="21"/>
                <w:szCs w:val="21"/>
                <w:lang w:val="en-US" w:eastAsia="zh-CN"/>
              </w:rPr>
              <w:t>用户数量及服务年限</w:t>
            </w:r>
          </w:p>
        </w:tc>
        <w:tc>
          <w:tcPr>
            <w:tcW w:w="7133" w:type="dxa"/>
            <w:gridSpan w:val="2"/>
            <w:tcBorders>
              <w:top w:val="nil"/>
              <w:left w:val="nil"/>
              <w:bottom w:val="single" w:color="auto" w:sz="4" w:space="0"/>
            </w:tcBorders>
            <w:shd w:val="clear" w:color="000000" w:fill="FFFFFF"/>
            <w:vAlign w:val="center"/>
          </w:tcPr>
          <w:p>
            <w:pPr>
              <w:widowControl w:val="0"/>
              <w:spacing w:before="0" w:after="0" w:afterAutospacing="0" w:line="240" w:lineRule="auto"/>
              <w:ind w:left="0" w:leftChars="0" w:right="0" w:rightChars="0" w:firstLine="0" w:firstLineChars="0"/>
              <w:jc w:val="left"/>
              <w:rPr>
                <w:rFonts w:hint="eastAsia" w:ascii="宋体" w:hAnsi="宋体" w:cs="宋体"/>
                <w:color w:val="auto"/>
                <w:kern w:val="2"/>
                <w:sz w:val="21"/>
                <w:szCs w:val="21"/>
                <w:highlight w:val="none"/>
                <w:lang w:val="en-US" w:eastAsia="zh-CN"/>
              </w:rPr>
            </w:pPr>
            <w:r>
              <w:rPr>
                <w:rFonts w:hint="eastAsia" w:ascii="宋体" w:hAnsi="宋体"/>
                <w:sz w:val="21"/>
                <w:szCs w:val="21"/>
                <w:lang w:val="en-US" w:eastAsia="zh-CN"/>
              </w:rPr>
              <w:t>1.</w:t>
            </w:r>
            <w:r>
              <w:rPr>
                <w:rFonts w:hint="eastAsia" w:ascii="宋体" w:hAnsi="宋体" w:cs="宋体"/>
                <w:color w:val="auto"/>
                <w:kern w:val="2"/>
                <w:sz w:val="21"/>
                <w:szCs w:val="21"/>
                <w:highlight w:val="none"/>
                <w:lang w:val="en-US" w:eastAsia="zh-CN"/>
              </w:rPr>
              <w:t>提供至少7500个平台账户；</w:t>
            </w:r>
          </w:p>
          <w:p>
            <w:pPr>
              <w:widowControl w:val="0"/>
              <w:spacing w:before="0" w:after="0" w:afterAutospacing="0" w:line="240" w:lineRule="auto"/>
              <w:ind w:left="0" w:right="0" w:firstLine="0"/>
              <w:jc w:val="left"/>
              <w:rPr>
                <w:rFonts w:hint="default" w:ascii="宋体" w:hAnsi="宋体" w:eastAsia="宋体"/>
                <w:sz w:val="21"/>
                <w:szCs w:val="21"/>
                <w:lang w:val="en-US" w:eastAsia="zh-CN"/>
              </w:rPr>
            </w:pPr>
            <w:r>
              <w:rPr>
                <w:rFonts w:hint="eastAsia" w:ascii="宋体" w:hAnsi="宋体" w:cs="宋体"/>
                <w:color w:val="auto"/>
                <w:kern w:val="2"/>
                <w:sz w:val="21"/>
                <w:szCs w:val="21"/>
                <w:highlight w:val="none"/>
                <w:lang w:val="en-US" w:eastAsia="zh-CN"/>
              </w:rPr>
              <w:t>2.服务年限：至少2年平台及课程服务；</w:t>
            </w:r>
          </w:p>
        </w:tc>
        <w:tc>
          <w:tcPr>
            <w:tcW w:w="1320" w:type="dxa"/>
            <w:tcBorders>
              <w:top w:val="nil"/>
              <w:left w:val="nil"/>
              <w:bottom w:val="single" w:color="auto" w:sz="4" w:space="0"/>
            </w:tcBorders>
            <w:shd w:val="clear" w:color="000000" w:fill="FFFFFF"/>
            <w:vAlign w:val="center"/>
          </w:tcPr>
          <w:p>
            <w:pPr>
              <w:spacing w:line="360" w:lineRule="auto"/>
              <w:jc w:val="left"/>
              <w:rPr>
                <w:rFonts w:hint="default" w:ascii="宋体" w:hAnsi="宋体" w:eastAsia="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0" w:hRule="atLeast"/>
        </w:trPr>
        <w:tc>
          <w:tcPr>
            <w:tcW w:w="988" w:type="dxa"/>
            <w:vMerge w:val="restart"/>
            <w:tcBorders>
              <w:top w:val="nil"/>
              <w:bottom w:val="single" w:color="000000" w:sz="4" w:space="0"/>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一、学习统计</w:t>
            </w:r>
          </w:p>
        </w:tc>
        <w:tc>
          <w:tcPr>
            <w:tcW w:w="7133" w:type="dxa"/>
            <w:gridSpan w:val="2"/>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展示运营公司内多维度数据(概览、部门、课程、培训、考试等），</w:t>
            </w:r>
            <w:r>
              <w:rPr>
                <w:rFonts w:hint="eastAsia" w:ascii="宋体" w:hAnsi="宋体"/>
                <w:sz w:val="21"/>
                <w:szCs w:val="21"/>
              </w:rPr>
              <w:t>帮助管理员了解企业内在线学习运营基本情况。</w:t>
            </w:r>
          </w:p>
        </w:tc>
        <w:tc>
          <w:tcPr>
            <w:tcW w:w="1320" w:type="dxa"/>
            <w:tcBorders>
              <w:top w:val="nil"/>
              <w:left w:val="nil"/>
              <w:bottom w:val="single" w:color="auto" w:sz="4" w:space="0"/>
            </w:tcBorders>
            <w:shd w:val="clear" w:color="000000" w:fill="FFFFFF"/>
            <w:vAlign w:val="center"/>
          </w:tcPr>
          <w:p>
            <w:pPr>
              <w:spacing w:line="360" w:lineRule="auto"/>
              <w:jc w:val="left"/>
              <w:rPr>
                <w:rFonts w:hint="default"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4" w:hRule="atLeast"/>
        </w:trPr>
        <w:tc>
          <w:tcPr>
            <w:tcW w:w="988" w:type="dxa"/>
            <w:vMerge w:val="continue"/>
            <w:tcBorders>
              <w:top w:val="nil"/>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rPr>
              <w:t>支持按部门</w:t>
            </w:r>
            <w:r>
              <w:rPr>
                <w:rFonts w:hint="eastAsia" w:ascii="宋体" w:hAnsi="宋体"/>
                <w:sz w:val="21"/>
                <w:szCs w:val="21"/>
                <w:lang w:val="en-US" w:eastAsia="zh-CN"/>
              </w:rPr>
              <w:t>学习统计、学员学习统计、学员学时统计等报表，并能支持报表定制化服务，运营公司的报表维度及字段输出个性化的报表内容。</w:t>
            </w:r>
          </w:p>
        </w:tc>
        <w:tc>
          <w:tcPr>
            <w:tcW w:w="1320"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定制化功能，可二次开发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6" w:hRule="atLeast"/>
        </w:trPr>
        <w:tc>
          <w:tcPr>
            <w:tcW w:w="988" w:type="dxa"/>
            <w:vMerge w:val="restart"/>
            <w:tcBorders>
              <w:top w:val="nil"/>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二、</w:t>
            </w:r>
            <w:r>
              <w:rPr>
                <w:rFonts w:hint="eastAsia" w:ascii="宋体" w:hAnsi="宋体" w:cs="宋体"/>
                <w:b/>
                <w:bCs/>
                <w:color w:val="000000"/>
                <w:kern w:val="0"/>
                <w:sz w:val="21"/>
                <w:szCs w:val="21"/>
                <w:lang w:val="en-US" w:eastAsia="zh-CN"/>
              </w:rPr>
              <w:t>培训</w:t>
            </w:r>
            <w:r>
              <w:rPr>
                <w:rFonts w:hint="eastAsia" w:ascii="宋体" w:hAnsi="宋体" w:cs="宋体"/>
                <w:b/>
                <w:bCs/>
                <w:color w:val="000000"/>
                <w:kern w:val="0"/>
                <w:sz w:val="21"/>
                <w:szCs w:val="21"/>
              </w:rPr>
              <w:t>管理</w:t>
            </w:r>
          </w:p>
        </w:tc>
        <w:tc>
          <w:tcPr>
            <w:tcW w:w="1238" w:type="dxa"/>
            <w:tcBorders>
              <w:top w:val="nil"/>
              <w:left w:val="single" w:color="auto" w:sz="4" w:space="0"/>
              <w:bottom w:val="single" w:color="000000" w:sz="4" w:space="0"/>
              <w:right w:val="single" w:color="auto" w:sz="4" w:space="0"/>
            </w:tcBorders>
            <w:shd w:val="clear" w:color="000000" w:fill="FFFFFF"/>
            <w:noWrap/>
            <w:vAlign w:val="center"/>
          </w:tcPr>
          <w:p>
            <w:pPr>
              <w:spacing w:line="360" w:lineRule="auto"/>
              <w:ind w:left="9" w:hanging="9"/>
              <w:jc w:val="left"/>
              <w:rPr>
                <w:rFonts w:ascii="宋体" w:hAnsi="宋体"/>
                <w:sz w:val="21"/>
                <w:szCs w:val="21"/>
              </w:rPr>
            </w:pPr>
            <w:r>
              <w:rPr>
                <w:rFonts w:hint="eastAsia" w:ascii="宋体" w:hAnsi="宋体"/>
                <w:sz w:val="21"/>
                <w:szCs w:val="21"/>
              </w:rPr>
              <w:t>培训计划管理</w:t>
            </w:r>
          </w:p>
        </w:tc>
        <w:tc>
          <w:tcPr>
            <w:tcW w:w="5895"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支持制定、实施培训计划，根据培训计划和课程体系组织创建各类学习活动；支持创建培训、编辑培训；支持培训进度跟踪、过程跟踪等，支持自定义学时、学分等。</w:t>
            </w:r>
          </w:p>
        </w:tc>
        <w:tc>
          <w:tcPr>
            <w:tcW w:w="1320" w:type="dxa"/>
            <w:tcBorders>
              <w:top w:val="nil"/>
              <w:left w:val="nil"/>
              <w:bottom w:val="single" w:color="auto" w:sz="4" w:space="0"/>
            </w:tcBorders>
            <w:shd w:val="clear" w:color="000000" w:fill="FFFFFF"/>
            <w:vAlign w:val="center"/>
          </w:tcPr>
          <w:p>
            <w:pPr>
              <w:spacing w:line="360" w:lineRule="auto"/>
              <w:jc w:val="left"/>
              <w:rPr>
                <w:rFonts w:hint="default"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88" w:type="dxa"/>
            <w:vMerge w:val="continue"/>
            <w:tcBorders>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238" w:type="dxa"/>
            <w:tcBorders>
              <w:top w:val="nil"/>
              <w:left w:val="single" w:color="auto" w:sz="4" w:space="0"/>
              <w:right w:val="single" w:color="auto" w:sz="4" w:space="0"/>
            </w:tcBorders>
            <w:shd w:val="clear" w:color="auto" w:fill="auto"/>
            <w:vAlign w:val="center"/>
          </w:tcPr>
          <w:p>
            <w:pPr>
              <w:spacing w:line="360" w:lineRule="auto"/>
              <w:ind w:left="9" w:hanging="9"/>
              <w:jc w:val="left"/>
              <w:rPr>
                <w:rFonts w:ascii="宋体" w:hAnsi="宋体"/>
                <w:sz w:val="21"/>
                <w:szCs w:val="21"/>
              </w:rPr>
            </w:pPr>
            <w:r>
              <w:rPr>
                <w:rFonts w:hint="eastAsia" w:ascii="宋体" w:hAnsi="宋体"/>
                <w:sz w:val="21"/>
                <w:szCs w:val="21"/>
              </w:rPr>
              <w:t>学习地图管理</w:t>
            </w:r>
          </w:p>
        </w:tc>
        <w:tc>
          <w:tcPr>
            <w:tcW w:w="5895" w:type="dxa"/>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eastAsia="宋体"/>
                <w:sz w:val="21"/>
                <w:szCs w:val="21"/>
                <w:lang w:eastAsia="zh-CN"/>
              </w:rPr>
            </w:pPr>
            <w:r>
              <w:rPr>
                <w:rFonts w:hint="eastAsia" w:ascii="宋体" w:hAnsi="宋体"/>
                <w:sz w:val="21"/>
                <w:szCs w:val="21"/>
              </w:rPr>
              <w:t>支持创建多阶段学习地图，可以按照岗位或职级等要求，对课程学习进行学习内容、学习顺序的设置</w:t>
            </w:r>
            <w:r>
              <w:rPr>
                <w:rFonts w:hint="eastAsia" w:ascii="宋体" w:hAnsi="宋体"/>
                <w:sz w:val="21"/>
                <w:szCs w:val="21"/>
                <w:lang w:eastAsia="zh-CN"/>
              </w:rPr>
              <w:t>，</w:t>
            </w:r>
            <w:r>
              <w:rPr>
                <w:rFonts w:hint="eastAsia" w:ascii="宋体" w:hAnsi="宋体"/>
                <w:sz w:val="21"/>
                <w:szCs w:val="21"/>
                <w:lang w:val="en-US" w:eastAsia="zh-CN"/>
              </w:rPr>
              <w:t>可</w:t>
            </w:r>
            <w:r>
              <w:rPr>
                <w:rFonts w:hint="eastAsia" w:ascii="宋体" w:hAnsi="宋体"/>
                <w:sz w:val="21"/>
                <w:szCs w:val="21"/>
              </w:rPr>
              <w:t>跟踪学员的学习完成情况</w:t>
            </w:r>
            <w:r>
              <w:rPr>
                <w:rFonts w:hint="eastAsia" w:ascii="宋体" w:hAnsi="宋体"/>
                <w:sz w:val="21"/>
                <w:szCs w:val="21"/>
                <w:lang w:eastAsia="zh-CN"/>
              </w:rPr>
              <w:t>。</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988" w:type="dxa"/>
            <w:vMerge w:val="continue"/>
            <w:tcBorders>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238" w:type="dxa"/>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ascii="宋体" w:hAnsi="宋体"/>
                <w:sz w:val="21"/>
                <w:szCs w:val="21"/>
              </w:rPr>
            </w:pPr>
            <w:r>
              <w:rPr>
                <w:rFonts w:hint="eastAsia" w:ascii="宋体" w:hAnsi="宋体"/>
                <w:sz w:val="21"/>
                <w:szCs w:val="21"/>
              </w:rPr>
              <w:t>课程</w:t>
            </w:r>
          </w:p>
          <w:p>
            <w:pPr>
              <w:spacing w:line="360" w:lineRule="auto"/>
              <w:jc w:val="left"/>
              <w:rPr>
                <w:rFonts w:ascii="宋体" w:hAnsi="宋体"/>
                <w:sz w:val="21"/>
                <w:szCs w:val="21"/>
              </w:rPr>
            </w:pPr>
            <w:r>
              <w:rPr>
                <w:rFonts w:hint="eastAsia" w:ascii="宋体" w:hAnsi="宋体"/>
                <w:sz w:val="21"/>
                <w:szCs w:val="21"/>
              </w:rPr>
              <w:t>管理</w:t>
            </w:r>
          </w:p>
        </w:tc>
        <w:tc>
          <w:tcPr>
            <w:tcW w:w="5895" w:type="dxa"/>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eastAsia="宋体"/>
                <w:sz w:val="21"/>
                <w:szCs w:val="21"/>
                <w:lang w:eastAsia="zh-CN"/>
              </w:rPr>
            </w:pPr>
            <w:r>
              <w:rPr>
                <w:rFonts w:hint="eastAsia" w:ascii="宋体" w:hAnsi="宋体"/>
                <w:sz w:val="21"/>
                <w:szCs w:val="21"/>
                <w:lang w:val="en-US" w:eastAsia="zh-CN"/>
              </w:rPr>
              <w:t>支持</w:t>
            </w:r>
            <w:r>
              <w:rPr>
                <w:rFonts w:hint="eastAsia" w:ascii="宋体" w:hAnsi="宋体"/>
                <w:sz w:val="21"/>
                <w:szCs w:val="21"/>
              </w:rPr>
              <w:t>根据不同的培训需求</w:t>
            </w:r>
            <w:r>
              <w:rPr>
                <w:rFonts w:hint="eastAsia" w:ascii="宋体" w:hAnsi="宋体"/>
                <w:sz w:val="21"/>
                <w:szCs w:val="21"/>
                <w:lang w:eastAsia="zh-CN"/>
              </w:rPr>
              <w:t>、</w:t>
            </w:r>
            <w:r>
              <w:rPr>
                <w:rFonts w:hint="eastAsia" w:ascii="宋体" w:hAnsi="宋体"/>
                <w:sz w:val="21"/>
                <w:szCs w:val="21"/>
                <w:lang w:val="en-US" w:eastAsia="zh-CN"/>
              </w:rPr>
              <w:t>不同岗位、不同部门或群组等，</w:t>
            </w:r>
            <w:r>
              <w:rPr>
                <w:rFonts w:hint="eastAsia" w:ascii="宋体" w:hAnsi="宋体"/>
                <w:sz w:val="21"/>
                <w:szCs w:val="21"/>
              </w:rPr>
              <w:t>为学员定制课程学习计划</w:t>
            </w:r>
            <w:r>
              <w:rPr>
                <w:rFonts w:hint="eastAsia" w:ascii="宋体" w:hAnsi="宋体"/>
                <w:sz w:val="21"/>
                <w:szCs w:val="21"/>
                <w:lang w:eastAsia="zh-CN"/>
              </w:rPr>
              <w:t>；支持文本、Office文档、多媒体（</w:t>
            </w:r>
            <w:r>
              <w:rPr>
                <w:rFonts w:hint="eastAsia" w:ascii="宋体" w:hAnsi="宋体"/>
                <w:sz w:val="21"/>
                <w:szCs w:val="21"/>
                <w:lang w:val="en-US" w:eastAsia="zh-CN"/>
              </w:rPr>
              <w:t>主流格式</w:t>
            </w:r>
            <w:r>
              <w:rPr>
                <w:rFonts w:hint="eastAsia" w:ascii="宋体" w:hAnsi="宋体"/>
                <w:sz w:val="21"/>
                <w:szCs w:val="21"/>
                <w:lang w:eastAsia="zh-CN"/>
              </w:rPr>
              <w:t>）等多种格式的电子课件，支持</w:t>
            </w:r>
            <w:r>
              <w:rPr>
                <w:rFonts w:hint="eastAsia" w:ascii="宋体" w:hAnsi="宋体"/>
                <w:sz w:val="21"/>
                <w:szCs w:val="21"/>
                <w:lang w:val="en-US" w:eastAsia="zh-CN"/>
              </w:rPr>
              <w:t>课件上传单个大小至少可以达到</w:t>
            </w:r>
            <w:r>
              <w:rPr>
                <w:rFonts w:hint="eastAsia" w:ascii="宋体" w:hAnsi="宋体"/>
                <w:color w:val="auto"/>
                <w:sz w:val="21"/>
                <w:szCs w:val="21"/>
                <w:lang w:val="en-US" w:eastAsia="zh-CN"/>
              </w:rPr>
              <w:t>2G</w:t>
            </w:r>
            <w:r>
              <w:rPr>
                <w:rFonts w:hint="eastAsia" w:ascii="宋体" w:hAnsi="宋体"/>
                <w:sz w:val="21"/>
                <w:szCs w:val="21"/>
                <w:lang w:eastAsia="zh-CN"/>
              </w:rPr>
              <w:t>；</w:t>
            </w:r>
            <w:r>
              <w:rPr>
                <w:rFonts w:hint="eastAsia" w:ascii="宋体" w:hAnsi="宋体"/>
                <w:sz w:val="21"/>
                <w:szCs w:val="21"/>
                <w:lang w:val="en-US" w:eastAsia="zh-CN"/>
              </w:rPr>
              <w:t>能查询学员学习的所有课程和学习进度。能统计分析出课程学习的各项数据报表。</w:t>
            </w:r>
          </w:p>
        </w:tc>
        <w:tc>
          <w:tcPr>
            <w:tcW w:w="1320"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0" w:hRule="atLeast"/>
        </w:trPr>
        <w:tc>
          <w:tcPr>
            <w:tcW w:w="988" w:type="dxa"/>
            <w:vMerge w:val="continue"/>
            <w:tcBorders>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1238" w:type="dxa"/>
            <w:tcBorders>
              <w:top w:val="nil"/>
              <w:left w:val="single" w:color="auto" w:sz="4" w:space="0"/>
              <w:bottom w:val="single" w:color="000000" w:sz="4" w:space="0"/>
              <w:right w:val="single" w:color="auto" w:sz="4" w:space="0"/>
            </w:tcBorders>
            <w:shd w:val="clear" w:color="000000" w:fill="FFFFFF"/>
            <w:vAlign w:val="center"/>
          </w:tcPr>
          <w:p>
            <w:pPr>
              <w:spacing w:line="360" w:lineRule="auto"/>
              <w:ind w:left="9" w:hanging="9"/>
              <w:jc w:val="left"/>
              <w:rPr>
                <w:rFonts w:hint="default" w:ascii="宋体" w:hAnsi="宋体" w:eastAsia="宋体"/>
                <w:sz w:val="21"/>
                <w:szCs w:val="21"/>
                <w:lang w:val="en-US" w:eastAsia="zh-CN"/>
              </w:rPr>
            </w:pPr>
            <w:r>
              <w:rPr>
                <w:rFonts w:hint="eastAsia" w:ascii="宋体" w:hAnsi="宋体"/>
                <w:sz w:val="21"/>
                <w:szCs w:val="21"/>
                <w:lang w:val="en-US" w:eastAsia="zh-CN"/>
              </w:rPr>
              <w:t>线下培训管理</w:t>
            </w:r>
          </w:p>
        </w:tc>
        <w:tc>
          <w:tcPr>
            <w:tcW w:w="5895" w:type="dxa"/>
            <w:tcBorders>
              <w:top w:val="nil"/>
              <w:left w:val="nil"/>
              <w:bottom w:val="single" w:color="auto" w:sz="4" w:space="0"/>
            </w:tcBorders>
            <w:shd w:val="clear" w:color="000000" w:fill="FFFFFF"/>
            <w:vAlign w:val="center"/>
          </w:tcPr>
          <w:p>
            <w:pPr>
              <w:spacing w:line="360" w:lineRule="auto"/>
              <w:ind w:left="9" w:hanging="9"/>
              <w:jc w:val="left"/>
              <w:rPr>
                <w:rFonts w:hint="default" w:ascii="宋体" w:hAnsi="宋体"/>
                <w:sz w:val="21"/>
                <w:szCs w:val="21"/>
                <w:lang w:val="en-US" w:eastAsia="zh-CN"/>
              </w:rPr>
            </w:pPr>
            <w:r>
              <w:rPr>
                <w:rFonts w:hint="eastAsia" w:ascii="宋体" w:hAnsi="宋体"/>
                <w:sz w:val="21"/>
                <w:szCs w:val="21"/>
                <w:lang w:val="en-US" w:eastAsia="zh-CN"/>
              </w:rPr>
              <w:t>支持线下培训项目补录，包含线下报名、实施、评估管理；支持线下/面授培训的数据导入和录入系统，统一管理线上线下培训。</w:t>
            </w:r>
          </w:p>
        </w:tc>
        <w:tc>
          <w:tcPr>
            <w:tcW w:w="1320"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717" w:hRule="atLeast"/>
        </w:trPr>
        <w:tc>
          <w:tcPr>
            <w:tcW w:w="988" w:type="dxa"/>
            <w:tcBorders>
              <w:top w:val="nil"/>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三、直播管理</w:t>
            </w:r>
          </w:p>
        </w:tc>
        <w:tc>
          <w:tcPr>
            <w:tcW w:w="7133" w:type="dxa"/>
            <w:gridSpan w:val="2"/>
            <w:tcBorders>
              <w:top w:val="nil"/>
              <w:left w:val="nil"/>
              <w:bottom w:val="single" w:color="auto" w:sz="4" w:space="0"/>
            </w:tcBorders>
            <w:shd w:val="clear" w:color="000000" w:fill="FFFFFF"/>
            <w:noWrap/>
            <w:vAlign w:val="center"/>
          </w:tcPr>
          <w:p>
            <w:pPr>
              <w:spacing w:line="360" w:lineRule="auto"/>
              <w:jc w:val="left"/>
              <w:rPr>
                <w:rFonts w:hint="eastAsia" w:ascii="宋体" w:hAnsi="宋体" w:eastAsia="宋体"/>
                <w:sz w:val="21"/>
                <w:szCs w:val="21"/>
                <w:lang w:eastAsia="zh-CN"/>
              </w:rPr>
            </w:pPr>
            <w:r>
              <w:rPr>
                <w:rFonts w:hint="eastAsia" w:ascii="宋体" w:hAnsi="宋体"/>
                <w:sz w:val="21"/>
                <w:szCs w:val="21"/>
              </w:rPr>
              <w:t>支持手机端直播和PC端分享屏幕直播两种模式</w:t>
            </w:r>
            <w:r>
              <w:rPr>
                <w:rFonts w:hint="eastAsia" w:ascii="宋体" w:hAnsi="宋体"/>
                <w:sz w:val="21"/>
                <w:szCs w:val="21"/>
                <w:lang w:eastAsia="zh-CN"/>
              </w:rPr>
              <w:t>；</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951" w:hRule="atLeast"/>
        </w:trPr>
        <w:tc>
          <w:tcPr>
            <w:tcW w:w="988"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rPr>
              <w:t>四、师徒带教</w:t>
            </w: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实现由</w:t>
            </w:r>
            <w:r>
              <w:rPr>
                <w:rFonts w:hint="eastAsia" w:ascii="宋体" w:hAnsi="宋体"/>
                <w:sz w:val="21"/>
                <w:szCs w:val="21"/>
                <w:lang w:val="en-US" w:eastAsia="zh-CN"/>
              </w:rPr>
              <w:t>相关</w:t>
            </w:r>
            <w:r>
              <w:rPr>
                <w:rFonts w:hint="eastAsia" w:ascii="宋体" w:hAnsi="宋体"/>
                <w:sz w:val="21"/>
                <w:szCs w:val="21"/>
              </w:rPr>
              <w:t>管理部门设置员工的导师，导师拥有指派所带教员工的线上学习任务、线上考试任务。</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038" w:hRule="atLeast"/>
        </w:trPr>
        <w:tc>
          <w:tcPr>
            <w:tcW w:w="988" w:type="dxa"/>
            <w:vMerge w:val="continue"/>
            <w:tcBorders>
              <w:bottom w:val="single" w:color="000000" w:sz="4" w:space="0"/>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总部管理员可以查看单个/所有导师的带教记录。实现公司管控下的导师带教功能。</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8" w:hRule="atLeast"/>
        </w:trPr>
        <w:tc>
          <w:tcPr>
            <w:tcW w:w="988"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五</w:t>
            </w:r>
            <w:r>
              <w:rPr>
                <w:rFonts w:hint="eastAsia" w:ascii="宋体" w:hAnsi="宋体" w:cs="宋体"/>
                <w:b/>
                <w:bCs/>
                <w:color w:val="000000"/>
                <w:kern w:val="0"/>
                <w:sz w:val="21"/>
                <w:szCs w:val="21"/>
              </w:rPr>
              <w:t>、</w:t>
            </w:r>
            <w:r>
              <w:rPr>
                <w:rFonts w:hint="eastAsia" w:ascii="宋体" w:hAnsi="宋体" w:cs="宋体"/>
                <w:b/>
                <w:bCs/>
                <w:color w:val="000000"/>
                <w:kern w:val="0"/>
                <w:sz w:val="21"/>
                <w:szCs w:val="21"/>
                <w:lang w:val="en-US" w:eastAsia="zh-CN"/>
              </w:rPr>
              <w:t>评估</w:t>
            </w:r>
            <w:r>
              <w:rPr>
                <w:rFonts w:hint="eastAsia" w:ascii="宋体" w:hAnsi="宋体" w:cs="宋体"/>
                <w:b/>
                <w:bCs/>
                <w:color w:val="000000"/>
                <w:kern w:val="0"/>
                <w:sz w:val="21"/>
                <w:szCs w:val="21"/>
              </w:rPr>
              <w:t>管理</w:t>
            </w: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系统内置培训需求调研，培训满意度评估两个调研问卷模板，管理员可以在模板的基础上增加、删除、修改题目创建个性化问卷，也可以按空白模板创建个性化调研问卷。</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946" w:hRule="atLeast"/>
        </w:trPr>
        <w:tc>
          <w:tcPr>
            <w:tcW w:w="988"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对回收的问卷进行及时分析，支持总体问卷回收情况分析和每个调研题目作答情况分析。</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623" w:hRule="atLeast"/>
        </w:trPr>
        <w:tc>
          <w:tcPr>
            <w:tcW w:w="988" w:type="dxa"/>
            <w:vMerge w:val="restart"/>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六</w:t>
            </w:r>
            <w:r>
              <w:rPr>
                <w:rFonts w:hint="eastAsia" w:ascii="宋体" w:hAnsi="宋体" w:cs="宋体"/>
                <w:b/>
                <w:bCs/>
                <w:color w:val="000000"/>
                <w:kern w:val="0"/>
                <w:sz w:val="21"/>
                <w:szCs w:val="21"/>
              </w:rPr>
              <w:t>、证书管理</w:t>
            </w:r>
          </w:p>
        </w:tc>
        <w:tc>
          <w:tcPr>
            <w:tcW w:w="7133" w:type="dxa"/>
            <w:gridSpan w:val="2"/>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sz w:val="21"/>
                <w:szCs w:val="21"/>
                <w:lang w:val="en-US" w:eastAsia="zh-CN"/>
              </w:rPr>
              <w:t>支持</w:t>
            </w:r>
            <w:r>
              <w:rPr>
                <w:rFonts w:hint="eastAsia" w:ascii="宋体" w:hAnsi="宋体"/>
                <w:sz w:val="21"/>
                <w:szCs w:val="21"/>
              </w:rPr>
              <w:t>设置证书名称、编号、有效期、使用场景等基础属性</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31" w:hRule="atLeast"/>
        </w:trPr>
        <w:tc>
          <w:tcPr>
            <w:tcW w:w="988"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学员参加外训获得的相关认证证书可通过平台申请提报，支持上传获得的证书照片，管理员审核通过后进行存档。</w:t>
            </w:r>
          </w:p>
        </w:tc>
        <w:tc>
          <w:tcPr>
            <w:tcW w:w="1320" w:type="dxa"/>
            <w:tcBorders>
              <w:top w:val="nil"/>
              <w:left w:val="nil"/>
              <w:bottom w:val="single" w:color="auto" w:sz="4" w:space="0"/>
            </w:tcBorders>
            <w:shd w:val="clear" w:color="000000" w:fill="FFFFFF"/>
            <w:noWrap/>
            <w:vAlign w:val="center"/>
          </w:tcPr>
          <w:p>
            <w:pPr>
              <w:jc w:val="center"/>
              <w:rPr>
                <w:rFonts w:hint="default"/>
                <w:lang w:val="en-US" w:eastAsia="zh-CN"/>
              </w:rPr>
            </w:pPr>
            <w:r>
              <w:rPr>
                <w:rFonts w:hint="eastAsia"/>
                <w:lang w:val="en-US" w:eastAsia="zh-CN"/>
              </w:rPr>
              <w:t>可二次开发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31" w:hRule="atLeast"/>
        </w:trPr>
        <w:tc>
          <w:tcPr>
            <w:tcW w:w="988" w:type="dxa"/>
            <w:vMerge w:val="continue"/>
            <w:tcBorders>
              <w:right w:val="single" w:color="auto" w:sz="4" w:space="0"/>
            </w:tcBorders>
            <w:shd w:val="clear" w:color="auto" w:fill="auto"/>
            <w:textDirection w:val="tbRlV"/>
            <w:vAlign w:val="center"/>
          </w:tcPr>
          <w:p>
            <w:pPr>
              <w:widowControl/>
              <w:ind w:left="113" w:right="113"/>
              <w:jc w:val="center"/>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lang w:val="en-US" w:eastAsia="zh-CN"/>
              </w:rPr>
            </w:pPr>
            <w:r>
              <w:rPr>
                <w:rFonts w:hint="eastAsia" w:ascii="宋体" w:hAnsi="宋体"/>
                <w:sz w:val="21"/>
                <w:szCs w:val="21"/>
                <w:lang w:val="en-US" w:eastAsia="zh-CN"/>
              </w:rPr>
              <w:t>支持对存档证书设置自定义有效期，支持到期提醒功能。</w:t>
            </w:r>
          </w:p>
        </w:tc>
        <w:tc>
          <w:tcPr>
            <w:tcW w:w="1320" w:type="dxa"/>
            <w:tcBorders>
              <w:top w:val="nil"/>
              <w:left w:val="nil"/>
              <w:bottom w:val="single" w:color="auto" w:sz="4" w:space="0"/>
            </w:tcBorders>
            <w:shd w:val="clear" w:color="000000" w:fill="FFFFFF"/>
            <w:noWrap/>
            <w:vAlign w:val="center"/>
          </w:tcPr>
          <w:p>
            <w:pPr>
              <w:jc w:val="center"/>
              <w:rPr>
                <w:rFonts w:hint="default"/>
                <w:lang w:val="en-US" w:eastAsia="zh-CN"/>
              </w:rPr>
            </w:pPr>
            <w:r>
              <w:rPr>
                <w:rFonts w:hint="eastAsia"/>
                <w:lang w:val="en-US" w:eastAsia="zh-CN"/>
              </w:rPr>
              <w:t>可二次开发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405" w:hRule="atLeast"/>
        </w:trPr>
        <w:tc>
          <w:tcPr>
            <w:tcW w:w="988" w:type="dxa"/>
            <w:vMerge w:val="restart"/>
            <w:tcBorders>
              <w:right w:val="single" w:color="auto" w:sz="4" w:space="0"/>
            </w:tcBorders>
            <w:shd w:val="clear" w:color="auto" w:fill="auto"/>
            <w:textDirection w:val="tbRlV"/>
            <w:vAlign w:val="center"/>
          </w:tcPr>
          <w:p>
            <w:pPr>
              <w:widowControl/>
              <w:ind w:left="113" w:right="113"/>
              <w:jc w:val="center"/>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七、考试管理</w:t>
            </w: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default" w:ascii="宋体" w:hAnsi="宋体"/>
                <w:sz w:val="21"/>
                <w:szCs w:val="21"/>
                <w:lang w:val="en-US" w:eastAsia="zh-CN"/>
              </w:rPr>
            </w:pPr>
            <w:r>
              <w:rPr>
                <w:rFonts w:hint="eastAsia" w:ascii="宋体" w:hAnsi="宋体"/>
                <w:sz w:val="21"/>
                <w:szCs w:val="21"/>
                <w:lang w:val="en-US" w:eastAsia="zh-CN"/>
              </w:rPr>
              <w:t>支持批量导入、导出试题，试题库支持各种题型，能允许上传图片等作为附件;根据试题类型分类。通过设置题库范围、考题的题量、难度范围等，快速生成相应系数的试卷</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default"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400" w:hRule="atLeast"/>
        </w:trPr>
        <w:tc>
          <w:tcPr>
            <w:tcW w:w="988" w:type="dxa"/>
            <w:vMerge w:val="continue"/>
            <w:tcBorders>
              <w:right w:val="single" w:color="auto" w:sz="4" w:space="0"/>
            </w:tcBorders>
            <w:shd w:val="clear" w:color="auto" w:fill="auto"/>
            <w:textDirection w:val="tbRlV"/>
            <w:vAlign w:val="center"/>
          </w:tcPr>
          <w:p>
            <w:pPr>
              <w:widowControl/>
              <w:ind w:left="113" w:right="113"/>
              <w:jc w:val="center"/>
              <w:rPr>
                <w:rFonts w:hint="eastAsia" w:ascii="宋体" w:hAnsi="宋体" w:cs="宋体"/>
                <w:b/>
                <w:bCs/>
                <w:color w:val="000000"/>
                <w:kern w:val="0"/>
                <w:sz w:val="21"/>
                <w:szCs w:val="21"/>
                <w:lang w:val="en-US" w:eastAsia="zh-CN"/>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lang w:val="en-US" w:eastAsia="zh-CN"/>
              </w:rPr>
            </w:pPr>
            <w:r>
              <w:rPr>
                <w:rFonts w:hint="eastAsia" w:ascii="宋体" w:hAnsi="宋体"/>
                <w:sz w:val="21"/>
                <w:szCs w:val="21"/>
                <w:lang w:val="en-US" w:eastAsia="zh-CN"/>
              </w:rPr>
              <w:t>支持各类组卷策略（固定、随机、自定义等）和组卷模式（相同、乱序、差异等），具备灵活的试题导入导出功能。灵活的能实现安排考生、安排手工阅卷员、复制试卷、成绩保密、答卷保密等权限的设置。</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default" w:ascii="宋体" w:hAnsi="宋体"/>
                <w:sz w:val="21"/>
                <w:szCs w:val="21"/>
                <w:lang w:val="en-US" w:eastAsia="zh-CN"/>
              </w:rPr>
            </w:pPr>
            <w:r>
              <w:rPr>
                <w:rFonts w:hint="eastAsia" w:ascii="宋体" w:hAnsi="宋体"/>
                <w:sz w:val="21"/>
                <w:szCs w:val="21"/>
                <w:lang w:val="en-US" w:eastAsia="zh-CN"/>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1390" w:hRule="atLeast"/>
        </w:trPr>
        <w:tc>
          <w:tcPr>
            <w:tcW w:w="988" w:type="dxa"/>
            <w:vMerge w:val="continue"/>
            <w:tcBorders>
              <w:bottom w:val="single" w:color="000000" w:sz="4" w:space="0"/>
              <w:right w:val="single" w:color="auto" w:sz="4" w:space="0"/>
            </w:tcBorders>
            <w:shd w:val="clear" w:color="auto" w:fill="auto"/>
            <w:textDirection w:val="tbRlV"/>
            <w:vAlign w:val="center"/>
          </w:tcPr>
          <w:p>
            <w:pPr>
              <w:widowControl/>
              <w:ind w:left="113" w:right="113"/>
              <w:jc w:val="center"/>
              <w:rPr>
                <w:rFonts w:hint="eastAsia" w:ascii="宋体" w:hAnsi="宋体" w:cs="宋体"/>
                <w:b/>
                <w:bCs/>
                <w:color w:val="000000"/>
                <w:kern w:val="0"/>
                <w:sz w:val="21"/>
                <w:szCs w:val="21"/>
                <w:lang w:val="en-US" w:eastAsia="zh-CN"/>
              </w:rPr>
            </w:pPr>
          </w:p>
        </w:tc>
        <w:tc>
          <w:tcPr>
            <w:tcW w:w="7133" w:type="dxa"/>
            <w:gridSpan w:val="2"/>
            <w:tcBorders>
              <w:top w:val="nil"/>
              <w:left w:val="nil"/>
              <w:bottom w:val="single" w:color="auto" w:sz="4" w:space="0"/>
            </w:tcBorders>
            <w:shd w:val="clear" w:color="000000" w:fill="FFFFFF"/>
            <w:noWrap/>
            <w:vAlign w:val="center"/>
          </w:tcPr>
          <w:p>
            <w:pPr>
              <w:pStyle w:val="35"/>
              <w:numPr>
                <w:ilvl w:val="0"/>
                <w:numId w:val="0"/>
              </w:numPr>
              <w:spacing w:line="360" w:lineRule="auto"/>
              <w:rPr>
                <w:rFonts w:hint="eastAsia" w:ascii="宋体" w:hAnsi="宋体"/>
                <w:sz w:val="21"/>
                <w:szCs w:val="21"/>
                <w:lang w:val="en-US" w:eastAsia="zh-CN"/>
              </w:rPr>
            </w:pPr>
            <w:r>
              <w:rPr>
                <w:rFonts w:hint="eastAsia" w:ascii="宋体" w:hAnsi="宋体" w:eastAsia="宋体" w:cs="Times New Roman"/>
                <w:kern w:val="2"/>
                <w:sz w:val="21"/>
                <w:szCs w:val="21"/>
                <w:lang w:val="en-US" w:eastAsia="zh-CN" w:bidi="ar-SA"/>
              </w:rPr>
              <w:t>有考试自动倒计时、到时自动交卷</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防切屏等基本功能。能随机试题显示顺序、随机设置选择题候选项显示顺序等措施;需确保考试过程中电脑死机、网络故障等状况下的答卷保存问题。</w:t>
            </w:r>
          </w:p>
        </w:tc>
        <w:tc>
          <w:tcPr>
            <w:tcW w:w="1320" w:type="dxa"/>
            <w:tcBorders>
              <w:top w:val="nil"/>
              <w:left w:val="nil"/>
              <w:bottom w:val="single" w:color="auto" w:sz="4" w:space="0"/>
            </w:tcBorders>
            <w:shd w:val="clear" w:color="000000" w:fill="FFFFFF"/>
            <w:noWrap/>
            <w:vAlign w:val="center"/>
          </w:tcPr>
          <w:p>
            <w:pPr>
              <w:pStyle w:val="35"/>
              <w:numPr>
                <w:ilvl w:val="0"/>
                <w:numId w:val="0"/>
              </w:numPr>
              <w:spacing w:line="360" w:lineRule="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atLeast"/>
        </w:trPr>
        <w:tc>
          <w:tcPr>
            <w:tcW w:w="988" w:type="dxa"/>
            <w:vMerge w:val="restart"/>
            <w:tcBorders>
              <w:top w:val="nil"/>
              <w:bottom w:val="single" w:color="000000" w:sz="4" w:space="0"/>
              <w:right w:val="single" w:color="auto" w:sz="4" w:space="0"/>
            </w:tcBorders>
            <w:shd w:val="clear" w:color="000000" w:fill="FFFFFF"/>
            <w:noWrap/>
            <w:textDirection w:val="tbRlV"/>
            <w:vAlign w:val="center"/>
          </w:tcPr>
          <w:p>
            <w:pPr>
              <w:widowControl/>
              <w:ind w:left="113" w:right="113"/>
              <w:jc w:val="center"/>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八</w:t>
            </w:r>
            <w:r>
              <w:rPr>
                <w:rFonts w:hint="eastAsia" w:ascii="宋体" w:hAnsi="宋体" w:cs="宋体"/>
                <w:b/>
                <w:bCs/>
                <w:color w:val="000000"/>
                <w:kern w:val="0"/>
                <w:sz w:val="21"/>
                <w:szCs w:val="21"/>
              </w:rPr>
              <w:t>、组织管理</w:t>
            </w:r>
          </w:p>
        </w:tc>
        <w:tc>
          <w:tcPr>
            <w:tcW w:w="7133" w:type="dxa"/>
            <w:gridSpan w:val="2"/>
            <w:tcBorders>
              <w:top w:val="nil"/>
              <w:left w:val="nil"/>
              <w:bottom w:val="single" w:color="auto" w:sz="4" w:space="0"/>
            </w:tcBorders>
            <w:shd w:val="clear" w:color="000000" w:fill="FFFFFF"/>
            <w:vAlign w:val="center"/>
          </w:tcPr>
          <w:p>
            <w:pPr>
              <w:spacing w:line="360" w:lineRule="auto"/>
              <w:ind w:left="9" w:hanging="9"/>
              <w:jc w:val="left"/>
              <w:rPr>
                <w:rFonts w:hint="eastAsia" w:ascii="宋体" w:hAnsi="宋体"/>
                <w:sz w:val="21"/>
                <w:szCs w:val="21"/>
              </w:rPr>
            </w:pPr>
            <w:r>
              <w:rPr>
                <w:rFonts w:hint="eastAsia" w:ascii="宋体" w:hAnsi="宋体"/>
                <w:sz w:val="21"/>
                <w:szCs w:val="21"/>
                <w:lang w:val="en-US" w:eastAsia="zh-CN"/>
              </w:rPr>
              <w:t>具备与钉钉生态系统深度对接的经验和成熟接口（例如：待办、群、消息，组织结构同步）；</w:t>
            </w:r>
            <w:r>
              <w:rPr>
                <w:rFonts w:hint="eastAsia" w:ascii="宋体" w:hAnsi="宋体"/>
                <w:sz w:val="21"/>
                <w:szCs w:val="21"/>
              </w:rPr>
              <w:t>支持树状组织结构管理，钉钉主</w:t>
            </w:r>
            <w:r>
              <w:rPr>
                <w:rFonts w:hint="eastAsia" w:ascii="宋体" w:hAnsi="宋体"/>
                <w:sz w:val="21"/>
                <w:szCs w:val="21"/>
                <w:lang w:eastAsia="zh-CN"/>
              </w:rPr>
              <w:t>、</w:t>
            </w:r>
            <w:r>
              <w:rPr>
                <w:rFonts w:hint="eastAsia" w:ascii="宋体" w:hAnsi="宋体"/>
                <w:sz w:val="21"/>
                <w:szCs w:val="21"/>
              </w:rPr>
              <w:t>子管理员可以根据</w:t>
            </w:r>
            <w:r>
              <w:rPr>
                <w:rFonts w:hint="eastAsia" w:ascii="宋体" w:hAnsi="宋体"/>
                <w:sz w:val="21"/>
                <w:szCs w:val="21"/>
                <w:lang w:val="en-US" w:eastAsia="zh-CN"/>
              </w:rPr>
              <w:t>公司</w:t>
            </w:r>
            <w:r>
              <w:rPr>
                <w:rFonts w:hint="eastAsia" w:ascii="宋体" w:hAnsi="宋体"/>
                <w:sz w:val="21"/>
                <w:szCs w:val="21"/>
              </w:rPr>
              <w:t>内部组织架构在钉钉后台建立匹配组织架构，支持手动录入和模板导入两种方式。</w:t>
            </w:r>
          </w:p>
        </w:tc>
        <w:tc>
          <w:tcPr>
            <w:tcW w:w="1320" w:type="dxa"/>
            <w:tcBorders>
              <w:top w:val="nil"/>
              <w:left w:val="nil"/>
              <w:bottom w:val="single" w:color="auto" w:sz="4" w:space="0"/>
            </w:tcBorders>
            <w:shd w:val="clear" w:color="000000" w:fill="FFFFFF"/>
            <w:vAlign w:val="center"/>
          </w:tcPr>
          <w:p>
            <w:pPr>
              <w:spacing w:line="360" w:lineRule="auto"/>
              <w:jc w:val="left"/>
              <w:rPr>
                <w:rFonts w:hint="eastAsia" w:ascii="宋体" w:hAnsi="宋体"/>
                <w:sz w:val="21"/>
                <w:szCs w:val="21"/>
              </w:rPr>
            </w:pPr>
            <w:r>
              <w:rPr>
                <w:rFonts w:hint="eastAsia" w:ascii="宋体" w:hAnsi="宋体" w:cs="Times New Roman"/>
                <w:kern w:val="2"/>
                <w:sz w:val="21"/>
                <w:szCs w:val="21"/>
                <w:lang w:val="en-US" w:eastAsia="zh-CN" w:bidi="ar-SA"/>
              </w:rPr>
              <w:t>基础功能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9" w:hRule="atLeast"/>
        </w:trPr>
        <w:tc>
          <w:tcPr>
            <w:tcW w:w="988" w:type="dxa"/>
            <w:vMerge w:val="continue"/>
            <w:tcBorders>
              <w:top w:val="nil"/>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1"/>
                <w:szCs w:val="21"/>
              </w:rPr>
            </w:pPr>
          </w:p>
        </w:tc>
        <w:tc>
          <w:tcPr>
            <w:tcW w:w="7133" w:type="dxa"/>
            <w:gridSpan w:val="2"/>
            <w:tcBorders>
              <w:top w:val="nil"/>
              <w:left w:val="nil"/>
              <w:bottom w:val="single" w:color="auto" w:sz="4" w:space="0"/>
            </w:tcBorders>
            <w:shd w:val="clear" w:color="000000" w:fill="FFFFFF"/>
            <w:noWrap/>
            <w:vAlign w:val="center"/>
          </w:tcPr>
          <w:p>
            <w:pPr>
              <w:spacing w:line="360" w:lineRule="auto"/>
              <w:ind w:left="9" w:hanging="9"/>
              <w:jc w:val="left"/>
              <w:rPr>
                <w:rFonts w:hint="eastAsia" w:ascii="宋体" w:hAnsi="宋体"/>
                <w:sz w:val="21"/>
                <w:szCs w:val="21"/>
              </w:rPr>
            </w:pPr>
            <w:r>
              <w:rPr>
                <w:rFonts w:hint="eastAsia" w:ascii="宋体" w:hAnsi="宋体"/>
                <w:sz w:val="21"/>
                <w:szCs w:val="21"/>
              </w:rPr>
              <w:t>钉钉主</w:t>
            </w:r>
            <w:r>
              <w:rPr>
                <w:rFonts w:hint="eastAsia" w:ascii="宋体" w:hAnsi="宋体"/>
                <w:sz w:val="21"/>
                <w:szCs w:val="21"/>
                <w:lang w:eastAsia="zh-CN"/>
              </w:rPr>
              <w:t>、</w:t>
            </w:r>
            <w:r>
              <w:rPr>
                <w:rFonts w:hint="eastAsia" w:ascii="宋体" w:hAnsi="宋体"/>
                <w:sz w:val="21"/>
                <w:szCs w:val="21"/>
              </w:rPr>
              <w:t>子管理员可以在钉钉后台设置个性化岗位角色，设置完成后可以在后台进行角色匹配的考试和培训管理。</w:t>
            </w:r>
          </w:p>
        </w:tc>
        <w:tc>
          <w:tcPr>
            <w:tcW w:w="1320" w:type="dxa"/>
            <w:tcBorders>
              <w:top w:val="nil"/>
              <w:left w:val="nil"/>
              <w:bottom w:val="single" w:color="auto" w:sz="4" w:space="0"/>
            </w:tcBorders>
            <w:shd w:val="clear" w:color="000000" w:fill="FFFFFF"/>
            <w:noWrap/>
            <w:vAlign w:val="center"/>
          </w:tcPr>
          <w:p>
            <w:pPr>
              <w:spacing w:line="360" w:lineRule="auto"/>
              <w:jc w:val="left"/>
              <w:rPr>
                <w:rFonts w:hint="eastAsia" w:ascii="宋体" w:hAnsi="宋体"/>
                <w:sz w:val="21"/>
                <w:szCs w:val="21"/>
              </w:rPr>
            </w:pPr>
            <w:r>
              <w:rPr>
                <w:rFonts w:hint="eastAsia" w:ascii="宋体" w:hAnsi="宋体" w:cs="Times New Roman"/>
                <w:kern w:val="2"/>
                <w:sz w:val="21"/>
                <w:szCs w:val="21"/>
                <w:lang w:val="en-US" w:eastAsia="zh-CN" w:bidi="ar-SA"/>
              </w:rPr>
              <w:t>基础功能</w:t>
            </w:r>
          </w:p>
        </w:tc>
      </w:tr>
    </w:tbl>
    <w:p>
      <w:pPr>
        <w:numPr>
          <w:ilvl w:val="-1"/>
          <w:numId w:val="0"/>
        </w:numPr>
        <w:spacing w:before="0" w:after="0" w:afterAutospacing="0" w:line="480" w:lineRule="exact"/>
        <w:ind w:left="0" w:leftChars="0" w:right="0" w:firstLine="422" w:firstLineChars="200"/>
        <w:rPr>
          <w:rFonts w:hint="default" w:ascii="宋体" w:hAnsi="宋体" w:cs="Arial"/>
          <w:b/>
          <w:bCs/>
          <w:color w:val="auto"/>
          <w:sz w:val="21"/>
          <w:szCs w:val="21"/>
          <w:highlight w:val="none"/>
          <w:lang w:val="en-US" w:eastAsia="zh-CN"/>
        </w:rPr>
      </w:pPr>
      <w:r>
        <w:rPr>
          <w:rFonts w:hint="default" w:ascii="宋体" w:hAnsi="宋体" w:cs="Arial"/>
          <w:b/>
          <w:bCs/>
          <w:color w:val="auto"/>
          <w:sz w:val="21"/>
          <w:szCs w:val="21"/>
          <w:highlight w:val="none"/>
          <w:lang w:val="en-US" w:eastAsia="zh-CN"/>
        </w:rPr>
        <w:t>二、平台技术要求</w:t>
      </w:r>
    </w:p>
    <w:p>
      <w:pPr>
        <w:numPr>
          <w:ilvl w:val="0"/>
          <w:numId w:val="0"/>
        </w:numPr>
        <w:spacing w:before="0" w:after="0" w:afterAutospacing="0" w:line="480" w:lineRule="exact"/>
        <w:ind w:left="0" w:leftChars="0" w:right="0" w:firstLine="420" w:firstLineChars="200"/>
        <w:rPr>
          <w:rFonts w:hint="default" w:ascii="宋体" w:hAnsi="宋体" w:eastAsia="宋体" w:cs="Arial"/>
          <w:color w:val="auto"/>
          <w:kern w:val="0"/>
          <w:sz w:val="21"/>
          <w:szCs w:val="21"/>
          <w:highlight w:val="none"/>
          <w:lang w:val="en-US" w:eastAsia="zh-CN" w:bidi="ar-SA"/>
        </w:rPr>
      </w:pPr>
      <w:r>
        <w:rPr>
          <w:rFonts w:hint="default" w:ascii="宋体" w:hAnsi="宋体" w:cs="Arial"/>
          <w:color w:val="auto"/>
          <w:kern w:val="0"/>
          <w:sz w:val="21"/>
          <w:szCs w:val="21"/>
          <w:highlight w:val="none"/>
          <w:lang w:val="en-US" w:eastAsia="zh-CN" w:bidi="ar-SA"/>
        </w:rPr>
        <w:t>1.</w:t>
      </w:r>
      <w:r>
        <w:rPr>
          <w:rFonts w:hint="default" w:ascii="宋体" w:hAnsi="宋体" w:eastAsia="宋体" w:cs="Arial"/>
          <w:color w:val="auto"/>
          <w:kern w:val="0"/>
          <w:sz w:val="21"/>
          <w:szCs w:val="21"/>
          <w:highlight w:val="none"/>
          <w:lang w:val="en-US" w:eastAsia="zh-CN" w:bidi="ar-SA"/>
        </w:rPr>
        <w:t>文件存储的存储空间符合国家等保安全标准，且中标人不得通过任何方式、未经采购人允许下获取采购人方文件。</w:t>
      </w:r>
    </w:p>
    <w:p>
      <w:pPr>
        <w:numPr>
          <w:ilvl w:val="0"/>
          <w:numId w:val="0"/>
        </w:numPr>
        <w:spacing w:before="0" w:after="0" w:afterAutospacing="0" w:line="480" w:lineRule="exact"/>
        <w:ind w:left="0" w:leftChars="0" w:right="0" w:firstLine="420" w:firstLineChars="200"/>
        <w:rPr>
          <w:rFonts w:hint="default" w:ascii="宋体" w:hAnsi="宋体" w:eastAsia="宋体" w:cs="Arial"/>
          <w:bCs/>
          <w:color w:val="auto"/>
          <w:kern w:val="0"/>
          <w:sz w:val="21"/>
          <w:szCs w:val="21"/>
          <w:highlight w:val="none"/>
          <w:lang w:val="en-US" w:eastAsia="zh-CN" w:bidi="ar-SA"/>
        </w:rPr>
      </w:pPr>
      <w:r>
        <w:rPr>
          <w:rFonts w:hint="default" w:ascii="宋体" w:hAnsi="宋体" w:cs="Arial"/>
          <w:bCs/>
          <w:color w:val="auto"/>
          <w:kern w:val="0"/>
          <w:sz w:val="21"/>
          <w:szCs w:val="21"/>
          <w:highlight w:val="none"/>
          <w:lang w:val="en-US" w:eastAsia="zh-CN" w:bidi="ar-SA"/>
        </w:rPr>
        <w:t>2.</w:t>
      </w:r>
      <w:r>
        <w:rPr>
          <w:rFonts w:hint="default" w:ascii="宋体" w:hAnsi="宋体" w:eastAsia="宋体" w:cs="Arial"/>
          <w:bCs/>
          <w:color w:val="auto"/>
          <w:kern w:val="0"/>
          <w:sz w:val="21"/>
          <w:szCs w:val="21"/>
          <w:highlight w:val="none"/>
          <w:lang w:val="en-US" w:eastAsia="zh-CN" w:bidi="ar-SA"/>
        </w:rPr>
        <w:t>技术架构稳定，采用分布式部署框架，支持1万人同时在线。</w:t>
      </w:r>
    </w:p>
    <w:p>
      <w:pPr>
        <w:numPr>
          <w:ilvl w:val="0"/>
          <w:numId w:val="0"/>
        </w:numPr>
        <w:spacing w:before="0" w:after="0" w:afterAutospacing="0" w:line="480" w:lineRule="exact"/>
        <w:ind w:left="0" w:leftChars="0" w:right="0" w:firstLine="420" w:firstLineChars="200"/>
        <w:rPr>
          <w:rFonts w:hint="default" w:ascii="宋体" w:hAnsi="宋体" w:eastAsia="宋体" w:cs="Arial"/>
          <w:bCs/>
          <w:color w:val="auto"/>
          <w:kern w:val="0"/>
          <w:sz w:val="21"/>
          <w:szCs w:val="21"/>
          <w:highlight w:val="none"/>
          <w:lang w:val="en-US" w:eastAsia="zh-CN" w:bidi="ar-SA"/>
        </w:rPr>
      </w:pPr>
      <w:r>
        <w:rPr>
          <w:rFonts w:hint="default" w:ascii="宋体" w:hAnsi="宋体" w:cs="Arial"/>
          <w:bCs/>
          <w:color w:val="auto"/>
          <w:kern w:val="0"/>
          <w:sz w:val="21"/>
          <w:szCs w:val="21"/>
          <w:highlight w:val="none"/>
          <w:lang w:val="en-US" w:eastAsia="zh-CN" w:bidi="ar-SA"/>
        </w:rPr>
        <w:t>3.</w:t>
      </w:r>
      <w:r>
        <w:rPr>
          <w:rFonts w:hint="default" w:ascii="宋体" w:hAnsi="宋体" w:eastAsia="宋体" w:cs="Arial"/>
          <w:bCs/>
          <w:color w:val="auto"/>
          <w:kern w:val="0"/>
          <w:sz w:val="21"/>
          <w:szCs w:val="21"/>
          <w:highlight w:val="none"/>
          <w:lang w:val="en-US" w:eastAsia="zh-CN" w:bidi="ar-SA"/>
        </w:rPr>
        <w:t>考试不出现白屏、无法加载等基础故障</w:t>
      </w:r>
      <w:r>
        <w:rPr>
          <w:rFonts w:hint="eastAsia" w:ascii="宋体" w:hAnsi="宋体" w:cs="Arial"/>
          <w:bCs/>
          <w:color w:val="auto"/>
          <w:kern w:val="0"/>
          <w:sz w:val="21"/>
          <w:szCs w:val="21"/>
          <w:highlight w:val="none"/>
          <w:lang w:val="en-US" w:eastAsia="zh-CN" w:bidi="ar-SA"/>
        </w:rPr>
        <w:t>。</w:t>
      </w:r>
    </w:p>
    <w:p>
      <w:pPr>
        <w:numPr>
          <w:ilvl w:val="0"/>
          <w:numId w:val="0"/>
        </w:numPr>
        <w:spacing w:before="0" w:after="0" w:afterAutospacing="0" w:line="480" w:lineRule="exact"/>
        <w:ind w:left="0" w:leftChars="0" w:right="0" w:firstLine="420" w:firstLineChars="200"/>
        <w:rPr>
          <w:rFonts w:hint="eastAsia" w:ascii="宋体" w:hAnsi="宋体" w:cs="Arial"/>
          <w:bCs/>
          <w:color w:val="auto"/>
          <w:kern w:val="0"/>
          <w:sz w:val="21"/>
          <w:szCs w:val="21"/>
          <w:highlight w:val="none"/>
          <w:lang w:val="en-US" w:eastAsia="zh-CN" w:bidi="ar-SA"/>
        </w:rPr>
      </w:pPr>
      <w:r>
        <w:rPr>
          <w:rFonts w:hint="default" w:ascii="宋体" w:hAnsi="宋体" w:cs="Arial"/>
          <w:bCs/>
          <w:color w:val="auto"/>
          <w:kern w:val="0"/>
          <w:sz w:val="21"/>
          <w:szCs w:val="21"/>
          <w:highlight w:val="none"/>
          <w:lang w:val="en-US" w:eastAsia="zh-CN" w:bidi="ar-SA"/>
        </w:rPr>
        <w:t>4.</w:t>
      </w:r>
      <w:r>
        <w:rPr>
          <w:rFonts w:hint="default" w:ascii="宋体" w:hAnsi="宋体" w:eastAsia="宋体" w:cs="Arial"/>
          <w:bCs/>
          <w:color w:val="auto"/>
          <w:kern w:val="0"/>
          <w:sz w:val="21"/>
          <w:szCs w:val="21"/>
          <w:highlight w:val="none"/>
          <w:lang w:val="en-US" w:eastAsia="zh-CN" w:bidi="ar-SA"/>
        </w:rPr>
        <w:t>视频学习页面加载不超过</w:t>
      </w:r>
      <w:r>
        <w:rPr>
          <w:rFonts w:hint="default" w:ascii="宋体" w:hAnsi="宋体" w:cs="Arial"/>
          <w:bCs/>
          <w:color w:val="auto"/>
          <w:kern w:val="0"/>
          <w:sz w:val="21"/>
          <w:szCs w:val="21"/>
          <w:highlight w:val="none"/>
          <w:lang w:val="en-US" w:eastAsia="zh-CN" w:bidi="ar-SA"/>
        </w:rPr>
        <w:t>5</w:t>
      </w:r>
      <w:r>
        <w:rPr>
          <w:rFonts w:hint="default" w:ascii="宋体" w:hAnsi="宋体" w:eastAsia="宋体" w:cs="Arial"/>
          <w:bCs/>
          <w:color w:val="auto"/>
          <w:kern w:val="0"/>
          <w:sz w:val="21"/>
          <w:szCs w:val="21"/>
          <w:highlight w:val="none"/>
          <w:lang w:val="en-US" w:eastAsia="zh-CN" w:bidi="ar-SA"/>
        </w:rPr>
        <w:t>秒，确保系统流畅访问</w:t>
      </w:r>
      <w:r>
        <w:rPr>
          <w:rFonts w:hint="eastAsia" w:ascii="宋体" w:hAnsi="宋体" w:cs="Arial"/>
          <w:bCs/>
          <w:color w:val="auto"/>
          <w:kern w:val="0"/>
          <w:sz w:val="21"/>
          <w:szCs w:val="21"/>
          <w:highlight w:val="none"/>
          <w:lang w:val="en-US" w:eastAsia="zh-CN" w:bidi="ar-SA"/>
        </w:rPr>
        <w:t>。</w:t>
      </w:r>
    </w:p>
    <w:p>
      <w:pPr>
        <w:spacing w:before="0" w:after="0" w:afterAutospacing="0" w:line="480" w:lineRule="exact"/>
        <w:ind w:left="0" w:right="0" w:firstLine="422" w:firstLineChars="200"/>
        <w:rPr>
          <w:rFonts w:ascii="宋体" w:hAnsi="宋体" w:cs="Arial"/>
          <w:b/>
          <w:bCs/>
          <w:color w:val="auto"/>
          <w:sz w:val="21"/>
          <w:szCs w:val="21"/>
          <w:highlight w:val="none"/>
        </w:rPr>
      </w:pPr>
      <w:r>
        <w:rPr>
          <w:rFonts w:hint="default" w:ascii="宋体" w:hAnsi="宋体" w:cs="Arial"/>
          <w:b/>
          <w:bCs/>
          <w:color w:val="auto"/>
          <w:kern w:val="0"/>
          <w:sz w:val="21"/>
          <w:szCs w:val="21"/>
          <w:highlight w:val="none"/>
          <w:lang w:val="en-US" w:eastAsia="zh-CN" w:bidi="ar-SA"/>
        </w:rPr>
        <w:t>三、</w:t>
      </w:r>
      <w:r>
        <w:rPr>
          <w:rFonts w:hint="default" w:ascii="宋体" w:hAnsi="宋体" w:cs="Arial"/>
          <w:b/>
          <w:bCs/>
          <w:color w:val="auto"/>
          <w:sz w:val="21"/>
          <w:szCs w:val="21"/>
          <w:highlight w:val="none"/>
          <w:lang w:val="en-US" w:eastAsia="zh-CN"/>
        </w:rPr>
        <w:t>服务支持与保障</w:t>
      </w:r>
    </w:p>
    <w:p>
      <w:pPr>
        <w:spacing w:before="0" w:after="0" w:afterAutospacing="0" w:line="480" w:lineRule="exact"/>
        <w:ind w:left="0" w:right="0" w:firstLine="422" w:firstLineChars="200"/>
        <w:rPr>
          <w:rFonts w:ascii="宋体" w:hAnsi="宋体" w:cs="Arial"/>
          <w:b/>
          <w:bCs/>
          <w:color w:val="auto"/>
          <w:sz w:val="21"/>
          <w:szCs w:val="21"/>
          <w:highlight w:val="none"/>
        </w:rPr>
      </w:pPr>
      <w:r>
        <w:rPr>
          <w:rFonts w:hint="default" w:ascii="宋体" w:hAnsi="宋体" w:cs="Arial"/>
          <w:b/>
          <w:bCs/>
          <w:color w:val="auto"/>
          <w:sz w:val="21"/>
          <w:szCs w:val="21"/>
          <w:highlight w:val="none"/>
        </w:rPr>
        <w:t>（一）服务支持</w:t>
      </w:r>
    </w:p>
    <w:p>
      <w:pPr>
        <w:spacing w:before="0" w:after="0" w:afterAutospacing="0" w:line="480" w:lineRule="exact"/>
        <w:ind w:left="0" w:right="0" w:firstLine="420" w:firstLineChars="200"/>
        <w:rPr>
          <w:rFonts w:ascii="宋体" w:hAnsi="宋体" w:cs="Arial"/>
          <w:color w:val="auto"/>
          <w:sz w:val="21"/>
          <w:szCs w:val="21"/>
          <w:highlight w:val="none"/>
        </w:rPr>
      </w:pPr>
      <w:r>
        <w:rPr>
          <w:rFonts w:hint="default" w:ascii="宋体" w:hAnsi="宋体" w:cs="Arial"/>
          <w:color w:val="auto"/>
          <w:sz w:val="21"/>
          <w:szCs w:val="21"/>
          <w:highlight w:val="none"/>
        </w:rPr>
        <w:t>1.提供平台上线及后续维护的全流程服务方案，有专人对接服务，能在2小时以内响应，在7*</w:t>
      </w:r>
      <w:r>
        <w:rPr>
          <w:rFonts w:hint="default" w:ascii="宋体" w:hAnsi="宋体" w:cs="Arial"/>
          <w:color w:val="auto"/>
          <w:sz w:val="21"/>
          <w:szCs w:val="21"/>
          <w:highlight w:val="none"/>
          <w:lang w:val="en-US" w:eastAsia="zh-CN"/>
        </w:rPr>
        <w:t>1</w:t>
      </w:r>
      <w:r>
        <w:rPr>
          <w:rFonts w:hint="default" w:ascii="宋体" w:hAnsi="宋体" w:cs="Arial"/>
          <w:color w:val="auto"/>
          <w:sz w:val="21"/>
          <w:szCs w:val="21"/>
          <w:highlight w:val="none"/>
        </w:rPr>
        <w:t>4小时内</w:t>
      </w:r>
      <w:r>
        <w:rPr>
          <w:rFonts w:hint="default" w:ascii="宋体" w:hAnsi="宋体" w:cs="Arial"/>
          <w:color w:val="auto"/>
          <w:sz w:val="21"/>
          <w:szCs w:val="21"/>
          <w:highlight w:val="none"/>
          <w:lang w:val="en-US" w:eastAsia="zh-CN"/>
        </w:rPr>
        <w:t>提供技术服务支持</w:t>
      </w:r>
      <w:r>
        <w:rPr>
          <w:rFonts w:hint="default" w:ascii="宋体" w:hAnsi="宋体" w:cs="Arial"/>
          <w:color w:val="auto"/>
          <w:sz w:val="21"/>
          <w:szCs w:val="21"/>
          <w:highlight w:val="none"/>
        </w:rPr>
        <w:t>，能提供电话/在线客服咨询服务。</w:t>
      </w:r>
    </w:p>
    <w:p>
      <w:pPr>
        <w:spacing w:before="0" w:after="0" w:afterAutospacing="0" w:line="480" w:lineRule="exact"/>
        <w:ind w:left="0" w:right="0" w:firstLine="420" w:firstLineChars="200"/>
        <w:rPr>
          <w:rFonts w:hint="default" w:ascii="宋体" w:hAnsi="宋体" w:cs="Arial"/>
          <w:color w:val="auto"/>
          <w:sz w:val="21"/>
          <w:szCs w:val="21"/>
          <w:highlight w:val="none"/>
          <w:lang w:eastAsia="zh-CN"/>
        </w:rPr>
      </w:pPr>
      <w:r>
        <w:rPr>
          <w:rFonts w:hint="default" w:ascii="宋体" w:hAnsi="宋体" w:cs="Arial"/>
          <w:color w:val="auto"/>
          <w:sz w:val="21"/>
          <w:szCs w:val="21"/>
          <w:highlight w:val="none"/>
        </w:rPr>
        <w:t>2.提出满足在线学习系统要求的服务方案、项目管理和风险防范措施。其中</w:t>
      </w:r>
      <w:r>
        <w:rPr>
          <w:rFonts w:hint="default" w:ascii="宋体" w:hAnsi="宋体" w:cs="Arial"/>
          <w:color w:val="auto"/>
          <w:sz w:val="21"/>
          <w:szCs w:val="21"/>
          <w:highlight w:val="none"/>
          <w:lang w:eastAsia="zh-CN"/>
        </w:rPr>
        <w:t>：</w:t>
      </w:r>
    </w:p>
    <w:p>
      <w:pPr>
        <w:spacing w:before="0" w:after="0" w:afterAutospacing="0" w:line="480" w:lineRule="exact"/>
        <w:ind w:left="0" w:right="0" w:firstLine="420" w:firstLineChars="200"/>
        <w:rPr>
          <w:rFonts w:hint="default" w:ascii="宋体" w:hAnsi="宋体" w:cs="Arial"/>
          <w:color w:val="auto"/>
          <w:sz w:val="21"/>
          <w:szCs w:val="21"/>
          <w:highlight w:val="none"/>
        </w:rPr>
      </w:pP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lang w:val="en-US" w:eastAsia="zh-CN"/>
        </w:rPr>
        <w:t>1</w:t>
      </w: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rPr>
        <w:t>服务方案包括平台部署及上线计划、项目进度表等。</w:t>
      </w:r>
    </w:p>
    <w:p>
      <w:pPr>
        <w:spacing w:before="0" w:after="0" w:afterAutospacing="0" w:line="480" w:lineRule="exact"/>
        <w:ind w:left="0" w:right="0" w:firstLine="420" w:firstLineChars="200"/>
        <w:rPr>
          <w:rFonts w:hint="default" w:ascii="宋体" w:hAnsi="宋体" w:cs="Arial"/>
          <w:color w:val="auto"/>
          <w:sz w:val="21"/>
          <w:szCs w:val="21"/>
          <w:highlight w:val="none"/>
          <w:lang w:eastAsia="zh-CN"/>
        </w:rPr>
      </w:pP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lang w:val="en-US" w:eastAsia="zh-CN"/>
        </w:rPr>
        <w:t>2</w:t>
      </w: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rPr>
        <w:t>服务方案包括人员培训、运行维护方面的技术支持、系统升级及功能扩展、对后续工程的支持等方面的承诺，系统维护的响应时间满足2小时要求</w:t>
      </w:r>
      <w:r>
        <w:rPr>
          <w:rFonts w:hint="eastAsia" w:ascii="宋体" w:hAnsi="宋体" w:cs="Arial"/>
          <w:color w:val="auto"/>
          <w:sz w:val="21"/>
          <w:szCs w:val="21"/>
          <w:highlight w:val="none"/>
          <w:lang w:eastAsia="zh-CN"/>
        </w:rPr>
        <w:t>。</w:t>
      </w:r>
    </w:p>
    <w:p>
      <w:pPr>
        <w:spacing w:before="0" w:after="0" w:afterAutospacing="0" w:line="480" w:lineRule="exact"/>
        <w:ind w:left="0" w:right="0" w:firstLine="420" w:firstLineChars="200"/>
        <w:rPr>
          <w:rFonts w:hint="default" w:ascii="宋体" w:hAnsi="宋体" w:cs="Arial"/>
          <w:color w:val="auto"/>
          <w:sz w:val="21"/>
          <w:szCs w:val="21"/>
          <w:highlight w:val="none"/>
        </w:rPr>
      </w:pP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lang w:val="en-US" w:eastAsia="zh-CN"/>
        </w:rPr>
        <w:t>3</w:t>
      </w: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rPr>
        <w:t>项目管理必须具有合理的项目管理策略和较高的项目控制水平；</w:t>
      </w:r>
    </w:p>
    <w:p>
      <w:pPr>
        <w:spacing w:before="0" w:after="0" w:afterAutospacing="0" w:line="480" w:lineRule="exact"/>
        <w:ind w:left="0" w:right="0" w:firstLine="420" w:firstLineChars="200"/>
        <w:rPr>
          <w:rFonts w:ascii="宋体" w:hAnsi="宋体" w:cs="Arial"/>
          <w:color w:val="auto"/>
          <w:sz w:val="21"/>
          <w:szCs w:val="21"/>
          <w:highlight w:val="none"/>
        </w:rPr>
      </w:pP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lang w:val="en-US" w:eastAsia="zh-CN"/>
        </w:rPr>
        <w:t>4</w:t>
      </w:r>
      <w:r>
        <w:rPr>
          <w:rFonts w:hint="default" w:ascii="宋体" w:hAnsi="宋体" w:cs="Arial"/>
          <w:color w:val="auto"/>
          <w:sz w:val="21"/>
          <w:szCs w:val="21"/>
          <w:highlight w:val="none"/>
          <w:lang w:eastAsia="zh-CN"/>
        </w:rPr>
        <w:t>）</w:t>
      </w:r>
      <w:r>
        <w:rPr>
          <w:rFonts w:hint="default" w:ascii="宋体" w:hAnsi="宋体" w:cs="Arial"/>
          <w:color w:val="auto"/>
          <w:sz w:val="21"/>
          <w:szCs w:val="21"/>
          <w:highlight w:val="none"/>
        </w:rPr>
        <w:t>风险防范措施包括风险分析及具体的防范措施。</w:t>
      </w:r>
    </w:p>
    <w:p>
      <w:pPr>
        <w:spacing w:before="0" w:after="0" w:afterAutospacing="0" w:line="480" w:lineRule="exact"/>
        <w:ind w:left="0" w:right="0" w:firstLine="422" w:firstLineChars="200"/>
        <w:rPr>
          <w:rFonts w:ascii="宋体" w:hAnsi="宋体" w:cs="Arial"/>
          <w:b/>
          <w:bCs/>
          <w:color w:val="auto"/>
          <w:sz w:val="21"/>
          <w:szCs w:val="21"/>
          <w:highlight w:val="none"/>
        </w:rPr>
      </w:pPr>
      <w:r>
        <w:rPr>
          <w:rFonts w:hint="default" w:ascii="宋体" w:hAnsi="宋体" w:cs="Arial"/>
          <w:b/>
          <w:bCs/>
          <w:color w:val="auto"/>
          <w:sz w:val="21"/>
          <w:szCs w:val="21"/>
          <w:highlight w:val="none"/>
        </w:rPr>
        <w:t>（二）售后服务</w:t>
      </w:r>
    </w:p>
    <w:p>
      <w:pPr>
        <w:numPr>
          <w:ilvl w:val="0"/>
          <w:numId w:val="0"/>
        </w:numPr>
        <w:spacing w:before="0" w:after="0" w:afterAutospacing="0" w:line="480" w:lineRule="exact"/>
        <w:ind w:left="0" w:leftChars="0" w:right="0" w:firstLine="420" w:firstLineChars="200"/>
        <w:rPr>
          <w:rFonts w:hint="default" w:ascii="宋体" w:hAnsi="宋体" w:cs="Arial"/>
          <w:color w:val="auto"/>
          <w:sz w:val="21"/>
          <w:szCs w:val="21"/>
          <w:highlight w:val="none"/>
        </w:rPr>
      </w:pPr>
      <w:r>
        <w:rPr>
          <w:rFonts w:hint="default" w:ascii="宋体" w:hAnsi="宋体" w:cs="Arial"/>
          <w:color w:val="auto"/>
          <w:sz w:val="21"/>
          <w:szCs w:val="21"/>
          <w:highlight w:val="none"/>
        </w:rPr>
        <w:t>须有售后服务承诺,规定明确的服务范围和内容。提出服务承诺。最终须按照合同规定的时间</w:t>
      </w:r>
      <w:r>
        <w:rPr>
          <w:rFonts w:hint="default" w:ascii="宋体" w:hAnsi="宋体" w:cs="Arial"/>
          <w:color w:val="auto"/>
          <w:sz w:val="21"/>
          <w:szCs w:val="21"/>
          <w:highlight w:val="none"/>
          <w:lang w:val="en-US" w:eastAsia="zh-CN"/>
        </w:rPr>
        <w:t>完成交付</w:t>
      </w:r>
      <w:r>
        <w:rPr>
          <w:rFonts w:hint="default" w:ascii="宋体" w:hAnsi="宋体" w:cs="Arial"/>
          <w:color w:val="auto"/>
          <w:sz w:val="21"/>
          <w:szCs w:val="21"/>
          <w:highlight w:val="none"/>
        </w:rPr>
        <w:t>。</w:t>
      </w:r>
    </w:p>
    <w:p>
      <w:pPr>
        <w:spacing w:before="0" w:after="0" w:afterAutospacing="0" w:line="480" w:lineRule="exact"/>
        <w:ind w:left="0" w:right="0" w:firstLine="420" w:firstLineChars="200"/>
        <w:rPr>
          <w:rFonts w:hint="default" w:ascii="宋体" w:hAnsi="宋体" w:cs="Arial"/>
          <w:color w:val="auto"/>
          <w:sz w:val="21"/>
          <w:szCs w:val="21"/>
          <w:highlight w:val="none"/>
        </w:rPr>
      </w:pP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1</w:t>
      </w:r>
      <w:r>
        <w:rPr>
          <w:rFonts w:hint="eastAsia" w:ascii="宋体" w:hAnsi="宋体" w:cs="Arial"/>
          <w:color w:val="auto"/>
          <w:sz w:val="21"/>
          <w:szCs w:val="21"/>
          <w:highlight w:val="none"/>
          <w:lang w:eastAsia="zh-CN"/>
        </w:rPr>
        <w:t>）</w:t>
      </w:r>
      <w:r>
        <w:rPr>
          <w:rFonts w:hint="default" w:ascii="宋体" w:hAnsi="宋体" w:cs="Arial"/>
          <w:color w:val="auto"/>
          <w:sz w:val="21"/>
          <w:szCs w:val="21"/>
          <w:highlight w:val="none"/>
        </w:rPr>
        <w:t>依据</w:t>
      </w:r>
      <w:r>
        <w:rPr>
          <w:rFonts w:hint="eastAsia" w:ascii="宋体" w:hAnsi="宋体" w:cs="Arial"/>
          <w:color w:val="auto"/>
          <w:sz w:val="21"/>
          <w:szCs w:val="21"/>
          <w:highlight w:val="none"/>
          <w:lang w:val="en-US" w:eastAsia="zh-CN"/>
        </w:rPr>
        <w:t>甲方</w:t>
      </w:r>
      <w:r>
        <w:rPr>
          <w:rFonts w:hint="default" w:ascii="宋体" w:hAnsi="宋体" w:cs="Arial"/>
          <w:color w:val="auto"/>
          <w:sz w:val="21"/>
          <w:szCs w:val="21"/>
          <w:highlight w:val="none"/>
        </w:rPr>
        <w:t>实际情况，制定切实可行的完整培训计划,采用集中培训与专项指导两种方式。</w:t>
      </w:r>
    </w:p>
    <w:p>
      <w:pPr>
        <w:spacing w:before="0" w:after="0" w:afterAutospacing="0" w:line="480" w:lineRule="exact"/>
        <w:ind w:left="0" w:right="0" w:firstLine="420" w:firstLineChars="200"/>
        <w:rPr>
          <w:rFonts w:hint="eastAsia" w:ascii="宋体" w:hAnsi="宋体" w:cs="Arial"/>
          <w:color w:val="auto"/>
          <w:sz w:val="21"/>
          <w:szCs w:val="21"/>
          <w:highlight w:val="none"/>
        </w:rPr>
      </w:pP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2</w:t>
      </w:r>
      <w:r>
        <w:rPr>
          <w:rFonts w:hint="eastAsia" w:ascii="宋体" w:hAnsi="宋体" w:cs="Arial"/>
          <w:color w:val="auto"/>
          <w:sz w:val="21"/>
          <w:szCs w:val="21"/>
          <w:highlight w:val="none"/>
          <w:lang w:eastAsia="zh-CN"/>
        </w:rPr>
        <w:t>）</w:t>
      </w:r>
      <w:r>
        <w:rPr>
          <w:rFonts w:hint="default" w:ascii="宋体" w:hAnsi="宋体" w:cs="Arial"/>
          <w:color w:val="auto"/>
          <w:sz w:val="21"/>
          <w:szCs w:val="21"/>
          <w:highlight w:val="none"/>
        </w:rPr>
        <w:t>指导收集、整理、录入（或导入）系统运行需要的有关基础数据。</w:t>
      </w:r>
    </w:p>
    <w:p>
      <w:pPr>
        <w:numPr>
          <w:ilvl w:val="0"/>
          <w:numId w:val="19"/>
        </w:numPr>
        <w:spacing w:before="0" w:after="0" w:afterAutospacing="0" w:line="480" w:lineRule="exact"/>
        <w:ind w:left="-2" w:leftChars="0" w:right="0" w:firstLine="422" w:firstLineChars="0"/>
        <w:rPr>
          <w:rFonts w:hint="default" w:ascii="宋体" w:hAnsi="宋体" w:cs="Arial"/>
          <w:b/>
          <w:bCs/>
          <w:color w:val="auto"/>
          <w:sz w:val="21"/>
          <w:szCs w:val="21"/>
          <w:highlight w:val="none"/>
        </w:rPr>
      </w:pPr>
      <w:r>
        <w:rPr>
          <w:rFonts w:hint="eastAsia" w:ascii="宋体" w:hAnsi="宋体" w:cs="Arial"/>
          <w:b/>
          <w:bCs/>
          <w:color w:val="auto"/>
          <w:sz w:val="21"/>
          <w:szCs w:val="21"/>
          <w:highlight w:val="none"/>
          <w:lang w:val="en-US" w:eastAsia="zh-CN"/>
        </w:rPr>
        <w:t>赠送</w:t>
      </w:r>
      <w:r>
        <w:rPr>
          <w:rFonts w:hint="default" w:ascii="宋体" w:hAnsi="宋体" w:cs="Arial"/>
          <w:b/>
          <w:bCs/>
          <w:color w:val="auto"/>
          <w:sz w:val="21"/>
          <w:szCs w:val="21"/>
          <w:highlight w:val="none"/>
        </w:rPr>
        <w:t>服务</w:t>
      </w:r>
    </w:p>
    <w:p>
      <w:pPr>
        <w:spacing w:before="0" w:after="0" w:afterAutospacing="0" w:line="480" w:lineRule="exact"/>
        <w:ind w:left="0" w:right="0" w:firstLine="420" w:firstLineChars="200"/>
        <w:rPr>
          <w:rFonts w:hint="eastAsia" w:ascii="宋体" w:hAnsi="宋体" w:cs="Arial"/>
          <w:color w:val="auto"/>
          <w:sz w:val="21"/>
          <w:szCs w:val="21"/>
          <w:highlight w:val="none"/>
          <w:lang w:val="en-US" w:eastAsia="zh-CN"/>
        </w:rPr>
      </w:pPr>
      <w:r>
        <w:rPr>
          <w:rFonts w:hint="eastAsia" w:ascii="宋体" w:hAnsi="宋体" w:cs="Arial"/>
          <w:color w:val="auto"/>
          <w:sz w:val="21"/>
          <w:szCs w:val="21"/>
          <w:highlight w:val="none"/>
          <w:lang w:val="en-US" w:eastAsia="zh-CN"/>
        </w:rPr>
        <w:t>针对两年服务期满后继续合作的意向，乙方可根据自身意愿向甲方提供免费赠送服务。赠送服务将作为评分参考项，具体详见技术评分表。</w:t>
      </w:r>
    </w:p>
    <w:p>
      <w:pPr>
        <w:spacing w:before="0" w:after="0" w:afterAutospacing="0" w:line="480" w:lineRule="exact"/>
        <w:ind w:left="0" w:right="0" w:firstLine="420" w:firstLineChars="200"/>
        <w:rPr>
          <w:rFonts w:hint="eastAsia" w:ascii="宋体" w:hAnsi="宋体" w:cs="Arial"/>
          <w:color w:val="auto"/>
          <w:sz w:val="21"/>
          <w:szCs w:val="21"/>
          <w:highlight w:val="none"/>
          <w:lang w:val="en-US" w:eastAsia="zh-CN"/>
        </w:rPr>
      </w:pPr>
      <w:r>
        <w:rPr>
          <w:rFonts w:hint="eastAsia" w:ascii="宋体" w:hAnsi="宋体" w:cs="Arial"/>
          <w:color w:val="auto"/>
          <w:sz w:val="21"/>
          <w:szCs w:val="21"/>
          <w:highlight w:val="none"/>
          <w:lang w:val="en-US" w:eastAsia="zh-CN"/>
        </w:rPr>
        <w:t>（1）免费赠送的服务包含本项目所有线上课程和平台功能的使用。</w:t>
      </w:r>
    </w:p>
    <w:p>
      <w:pPr>
        <w:spacing w:before="0" w:after="0" w:afterAutospacing="0" w:line="480" w:lineRule="exact"/>
        <w:ind w:left="0" w:right="0" w:firstLine="420" w:firstLineChars="200"/>
        <w:rPr>
          <w:rFonts w:hint="default" w:ascii="宋体" w:hAnsi="宋体" w:cs="Arial"/>
          <w:color w:val="auto"/>
          <w:sz w:val="21"/>
          <w:szCs w:val="21"/>
          <w:highlight w:val="none"/>
          <w:lang w:val="en-US" w:eastAsia="zh-CN"/>
        </w:rPr>
      </w:pPr>
      <w:r>
        <w:rPr>
          <w:rFonts w:hint="eastAsia" w:ascii="宋体" w:hAnsi="宋体" w:cs="Arial"/>
          <w:color w:val="auto"/>
          <w:sz w:val="21"/>
          <w:szCs w:val="21"/>
          <w:highlight w:val="none"/>
          <w:lang w:val="en-US" w:eastAsia="zh-CN"/>
        </w:rPr>
        <w:t>（2）免费赠送服务以年为单位。</w:t>
      </w:r>
    </w:p>
    <w:p>
      <w:pPr>
        <w:pStyle w:val="13"/>
        <w:pageBreakBefore w:val="0"/>
        <w:ind w:left="0" w:right="-57" w:firstLine="0"/>
        <w:jc w:val="center"/>
        <w:outlineLvl w:val="0"/>
        <w:rPr>
          <w:rStyle w:val="40"/>
          <w:rFonts w:hint="eastAsia" w:ascii="宋体" w:hAnsi="宋体" w:eastAsia="宋体"/>
          <w:color w:val="000000" w:themeColor="text1"/>
          <w:highlight w:val="none"/>
          <w14:textFill>
            <w14:solidFill>
              <w14:schemeClr w14:val="tx1"/>
            </w14:solidFill>
          </w14:textFill>
        </w:rPr>
      </w:pPr>
      <w:bookmarkStart w:id="2282" w:name="_Toc19945"/>
      <w:bookmarkStart w:id="2283" w:name="_Toc18018"/>
      <w:bookmarkStart w:id="2284" w:name="_Toc17186"/>
      <w:bookmarkStart w:id="2285" w:name="_Toc14738"/>
      <w:bookmarkStart w:id="2286" w:name="_Toc147"/>
      <w:bookmarkStart w:id="2287" w:name="_Toc1777"/>
      <w:bookmarkStart w:id="2288" w:name="_Toc25908"/>
      <w:bookmarkStart w:id="2289" w:name="_Toc1104"/>
      <w:bookmarkStart w:id="2290" w:name="_Toc3551"/>
      <w:bookmarkStart w:id="2291" w:name="_Toc26286"/>
      <w:bookmarkStart w:id="2292" w:name="_Toc18086"/>
      <w:bookmarkStart w:id="2293" w:name="_Toc4290"/>
      <w:bookmarkStart w:id="2294" w:name="_Toc3174"/>
      <w:bookmarkStart w:id="2295" w:name="_Toc14104"/>
      <w:bookmarkStart w:id="2296" w:name="_Toc6090"/>
      <w:bookmarkStart w:id="2297" w:name="_Toc9322"/>
      <w:bookmarkStart w:id="2298" w:name="_Toc22836"/>
      <w:bookmarkStart w:id="2299" w:name="_Toc29378"/>
      <w:bookmarkStart w:id="2300" w:name="_Toc531"/>
      <w:bookmarkStart w:id="2301" w:name="_Toc9329"/>
      <w:bookmarkStart w:id="2302" w:name="_Toc22547"/>
      <w:bookmarkStart w:id="2303" w:name="_Toc20397"/>
      <w:bookmarkStart w:id="2304" w:name="_Toc22267"/>
      <w:bookmarkStart w:id="2305" w:name="_Toc21231"/>
      <w:bookmarkStart w:id="2306" w:name="_Toc2040"/>
      <w:bookmarkStart w:id="2307" w:name="_Toc18708"/>
      <w:bookmarkStart w:id="2308" w:name="_Toc5008"/>
      <w:bookmarkStart w:id="2309" w:name="_Toc4284"/>
    </w:p>
    <w:p>
      <w:pPr>
        <w:pStyle w:val="13"/>
        <w:pageBreakBefore w:val="0"/>
        <w:ind w:left="0" w:right="-57" w:firstLine="0"/>
        <w:jc w:val="center"/>
        <w:outlineLvl w:val="0"/>
        <w:rPr>
          <w:rStyle w:val="40"/>
          <w:rFonts w:ascii="宋体" w:hAnsi="宋体" w:eastAsia="宋体"/>
          <w:color w:val="000000" w:themeColor="text1"/>
          <w:highlight w:val="none"/>
          <w14:textFill>
            <w14:solidFill>
              <w14:schemeClr w14:val="tx1"/>
            </w14:solidFill>
          </w14:textFill>
        </w:rPr>
      </w:pPr>
      <w:r>
        <w:rPr>
          <w:rStyle w:val="40"/>
          <w:rFonts w:hint="eastAsia" w:ascii="宋体" w:hAnsi="宋体" w:eastAsia="宋体"/>
          <w:color w:val="000000" w:themeColor="text1"/>
          <w:highlight w:val="none"/>
          <w14:textFill>
            <w14:solidFill>
              <w14:schemeClr w14:val="tx1"/>
            </w14:solidFill>
          </w14:textFill>
        </w:rPr>
        <w:t>第六章</w:t>
      </w:r>
      <w:r>
        <w:rPr>
          <w:rStyle w:val="40"/>
          <w:rFonts w:hint="eastAsia" w:ascii="宋体" w:hAnsi="宋体" w:eastAsia="宋体" w:cs="Times New Roman"/>
          <w:color w:val="000000" w:themeColor="text1"/>
          <w:highlight w:val="none"/>
          <w:lang w:val="en-US" w:eastAsia="zh-CN"/>
          <w14:textFill>
            <w14:solidFill>
              <w14:schemeClr w14:val="tx1"/>
            </w14:solidFill>
          </w14:textFill>
        </w:rPr>
        <w:t>评审</w:t>
      </w:r>
      <w:r>
        <w:rPr>
          <w:rStyle w:val="40"/>
          <w:rFonts w:hint="eastAsia" w:ascii="宋体" w:hAnsi="宋体" w:eastAsia="宋体"/>
          <w:color w:val="000000" w:themeColor="text1"/>
          <w:highlight w:val="none"/>
          <w14:textFill>
            <w14:solidFill>
              <w14:schemeClr w14:val="tx1"/>
            </w14:solidFill>
          </w14:textFill>
        </w:rPr>
        <w:t>办法</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spacing w:before="0" w:after="0" w:afterAutospacing="0"/>
        <w:ind w:left="0" w:right="0" w:firstLine="422" w:firstLineChars="200"/>
        <w:outlineLvl w:val="1"/>
        <w:rPr>
          <w:rFonts w:ascii="宋体" w:hAnsi="宋体" w:cs="Arial"/>
          <w:b/>
          <w:bCs/>
          <w:color w:val="auto"/>
          <w:sz w:val="21"/>
          <w:szCs w:val="21"/>
          <w:highlight w:val="none"/>
        </w:rPr>
      </w:pPr>
      <w:bookmarkStart w:id="2310" w:name="_Toc25750692"/>
      <w:bookmarkStart w:id="2311" w:name="_Toc22341"/>
      <w:bookmarkStart w:id="2312" w:name="_Toc9189"/>
      <w:bookmarkStart w:id="2313" w:name="_Toc16364"/>
      <w:bookmarkStart w:id="2314" w:name="_Toc492478849"/>
      <w:bookmarkStart w:id="2315" w:name="_Toc25750694"/>
      <w:bookmarkStart w:id="2316" w:name="_Toc23314"/>
      <w:bookmarkStart w:id="2317" w:name="_Toc31611"/>
      <w:bookmarkStart w:id="2318" w:name="_Toc414290583"/>
      <w:bookmarkStart w:id="2319" w:name="_Toc18096"/>
      <w:bookmarkStart w:id="2320" w:name="_Toc22464"/>
      <w:bookmarkStart w:id="2321" w:name="_Toc29245"/>
      <w:bookmarkStart w:id="2322" w:name="_Toc27271"/>
      <w:bookmarkStart w:id="2323" w:name="_Toc15073"/>
      <w:bookmarkStart w:id="2324" w:name="_Toc19557"/>
      <w:bookmarkStart w:id="2325" w:name="_Toc41492255"/>
      <w:bookmarkStart w:id="2326" w:name="_Toc28404"/>
      <w:bookmarkStart w:id="2327" w:name="_Toc9730"/>
      <w:bookmarkStart w:id="2328" w:name="_Toc10968"/>
      <w:bookmarkStart w:id="2329" w:name="_Toc29923"/>
      <w:bookmarkStart w:id="2330" w:name="_Toc9588"/>
      <w:bookmarkStart w:id="2331" w:name="_Toc434"/>
      <w:bookmarkStart w:id="2332" w:name="_Toc15224"/>
      <w:r>
        <w:rPr>
          <w:rFonts w:hint="eastAsia" w:ascii="宋体" w:hAnsi="宋体" w:cs="Arial"/>
          <w:b/>
          <w:bCs/>
          <w:color w:val="auto"/>
          <w:sz w:val="21"/>
          <w:szCs w:val="21"/>
          <w:highlight w:val="none"/>
        </w:rPr>
        <w:t>一、评审原则</w:t>
      </w:r>
      <w:bookmarkEnd w:id="2310"/>
      <w:bookmarkEnd w:id="2311"/>
    </w:p>
    <w:p>
      <w:pPr>
        <w:spacing w:before="0" w:after="0" w:afterAutospacing="0"/>
        <w:ind w:left="0" w:right="0" w:firstLine="420" w:firstLineChars="200"/>
        <w:rPr>
          <w:rFonts w:ascii="宋体" w:hAnsi="宋体" w:cs="Arial"/>
          <w:color w:val="auto"/>
          <w:sz w:val="21"/>
          <w:szCs w:val="21"/>
          <w:highlight w:val="none"/>
        </w:rPr>
      </w:pPr>
      <w:r>
        <w:rPr>
          <w:rFonts w:ascii="宋体" w:hAnsi="宋体" w:cs="Arial"/>
          <w:color w:val="auto"/>
          <w:sz w:val="21"/>
          <w:szCs w:val="21"/>
          <w:highlight w:val="none"/>
        </w:rPr>
        <w:t>1.1</w:t>
      </w:r>
      <w:r>
        <w:rPr>
          <w:rFonts w:hint="eastAsia" w:ascii="宋体" w:hAnsi="宋体" w:cs="Arial"/>
          <w:bCs/>
          <w:color w:val="auto"/>
          <w:sz w:val="21"/>
          <w:szCs w:val="21"/>
          <w:highlight w:val="none"/>
        </w:rPr>
        <w:t>评审委员会成员构成：本项目由南宁轨道交通</w:t>
      </w:r>
      <w:r>
        <w:rPr>
          <w:rFonts w:hint="eastAsia" w:ascii="宋体" w:hAnsi="宋体" w:cs="Arial"/>
          <w:bCs/>
          <w:color w:val="auto"/>
          <w:sz w:val="21"/>
          <w:szCs w:val="21"/>
          <w:highlight w:val="none"/>
          <w:lang w:val="en-US" w:eastAsia="zh-CN"/>
        </w:rPr>
        <w:t>运营</w:t>
      </w:r>
      <w:r>
        <w:rPr>
          <w:rFonts w:hint="eastAsia" w:ascii="宋体" w:hAnsi="宋体" w:cs="Arial"/>
          <w:bCs/>
          <w:color w:val="auto"/>
          <w:sz w:val="21"/>
          <w:szCs w:val="21"/>
          <w:highlight w:val="none"/>
        </w:rPr>
        <w:t>有限公司5人及以上单数组成评审小组，对比选申请文件按评审标准进行评审；由南宁轨道交通运营有限公司合约法规部人员作为评审会议主持人，纪检监察部门进行监督。</w:t>
      </w:r>
    </w:p>
    <w:p>
      <w:pPr>
        <w:spacing w:before="0" w:after="0" w:afterAutospacing="0"/>
        <w:ind w:left="0" w:right="0" w:firstLine="420" w:firstLineChars="200"/>
        <w:rPr>
          <w:rFonts w:ascii="宋体" w:hAnsi="宋体" w:cs="Arial"/>
          <w:color w:val="auto"/>
          <w:sz w:val="21"/>
          <w:szCs w:val="21"/>
          <w:highlight w:val="none"/>
        </w:rPr>
      </w:pPr>
      <w:r>
        <w:rPr>
          <w:rFonts w:ascii="宋体" w:hAnsi="宋体" w:cs="Arial"/>
          <w:color w:val="auto"/>
          <w:sz w:val="21"/>
          <w:szCs w:val="21"/>
          <w:highlight w:val="none"/>
        </w:rPr>
        <w:t>1.2</w:t>
      </w:r>
      <w:r>
        <w:rPr>
          <w:rFonts w:hint="eastAsia" w:ascii="宋体" w:hAnsi="宋体" w:cs="Arial"/>
          <w:bCs/>
          <w:color w:val="auto"/>
          <w:sz w:val="21"/>
          <w:szCs w:val="21"/>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sz w:val="21"/>
          <w:szCs w:val="21"/>
          <w:highlight w:val="none"/>
        </w:rPr>
      </w:pPr>
      <w:r>
        <w:rPr>
          <w:rFonts w:ascii="宋体" w:hAnsi="宋体" w:cs="Arial"/>
          <w:color w:val="auto"/>
          <w:sz w:val="21"/>
          <w:szCs w:val="21"/>
          <w:highlight w:val="none"/>
        </w:rPr>
        <w:t>1.3</w:t>
      </w:r>
      <w:r>
        <w:rPr>
          <w:rFonts w:hint="eastAsia" w:ascii="宋体" w:hAnsi="宋体" w:cs="Arial"/>
          <w:bCs/>
          <w:color w:val="auto"/>
          <w:sz w:val="21"/>
          <w:szCs w:val="21"/>
          <w:highlight w:val="none"/>
        </w:rPr>
        <w:t>评审方式：以封闭方式进行。</w:t>
      </w:r>
    </w:p>
    <w:p>
      <w:pPr>
        <w:spacing w:before="0" w:after="0" w:afterAutospacing="0"/>
        <w:ind w:left="0" w:right="0" w:firstLine="422" w:firstLineChars="200"/>
        <w:outlineLvl w:val="1"/>
        <w:rPr>
          <w:rFonts w:ascii="宋体" w:hAnsi="宋体" w:cs="Arial"/>
          <w:b/>
          <w:color w:val="auto"/>
          <w:sz w:val="21"/>
          <w:szCs w:val="21"/>
          <w:highlight w:val="none"/>
        </w:rPr>
      </w:pPr>
      <w:bookmarkStart w:id="2333" w:name="_Toc5136"/>
      <w:bookmarkStart w:id="2334" w:name="_Toc15880"/>
      <w:bookmarkStart w:id="2335" w:name="_Toc25750693"/>
      <w:bookmarkStart w:id="2336" w:name="_Toc25576"/>
      <w:bookmarkStart w:id="2337" w:name="_Toc29000"/>
      <w:bookmarkStart w:id="2338" w:name="_Toc11240"/>
      <w:bookmarkStart w:id="2339" w:name="_Toc478566177"/>
      <w:r>
        <w:rPr>
          <w:rFonts w:hint="eastAsia" w:ascii="宋体" w:hAnsi="宋体" w:cs="Arial"/>
          <w:b/>
          <w:bCs/>
          <w:color w:val="auto"/>
          <w:sz w:val="21"/>
          <w:szCs w:val="21"/>
          <w:highlight w:val="none"/>
        </w:rPr>
        <w:t>二、评定方法</w:t>
      </w:r>
      <w:bookmarkEnd w:id="2333"/>
      <w:bookmarkEnd w:id="2334"/>
      <w:bookmarkEnd w:id="2335"/>
      <w:bookmarkEnd w:id="2336"/>
      <w:bookmarkEnd w:id="2337"/>
      <w:bookmarkEnd w:id="2338"/>
      <w:bookmarkEnd w:id="2339"/>
    </w:p>
    <w:p>
      <w:pPr>
        <w:spacing w:before="0" w:after="0" w:afterAutospacing="0"/>
        <w:ind w:left="0" w:right="0" w:firstLine="420" w:firstLineChars="200"/>
        <w:rPr>
          <w:rFonts w:hint="eastAsia" w:ascii="宋体" w:hAnsi="宋体" w:cs="Arial"/>
          <w:bCs/>
          <w:color w:val="auto"/>
          <w:highlight w:val="none"/>
        </w:rPr>
      </w:pPr>
      <w:r>
        <w:rPr>
          <w:rFonts w:hint="eastAsia" w:ascii="宋体" w:hAnsi="宋体" w:cs="Arial"/>
          <w:bCs/>
          <w:color w:val="auto"/>
          <w:highlight w:val="none"/>
        </w:rPr>
        <w:t>2.1对资格性和符合性检查合格的比选申请文件，进入技术、商务评审采用综合评分法进行评审。</w:t>
      </w:r>
    </w:p>
    <w:p>
      <w:pPr>
        <w:spacing w:before="0" w:after="0" w:afterAutospacing="0"/>
        <w:ind w:left="0" w:right="0" w:firstLine="420" w:firstLineChars="200"/>
        <w:rPr>
          <w:rFonts w:hint="eastAsia" w:ascii="宋体" w:hAnsi="宋体" w:cs="Arial"/>
          <w:bCs/>
          <w:color w:val="auto"/>
          <w:highlight w:val="none"/>
        </w:rPr>
      </w:pPr>
      <w:r>
        <w:rPr>
          <w:rFonts w:hint="eastAsia" w:ascii="宋体" w:hAnsi="宋体" w:cs="Arial"/>
          <w:bCs/>
          <w:color w:val="auto"/>
          <w:highlight w:val="none"/>
        </w:rPr>
        <w:t>2.2比选申请人最终得分（总分）=技术评分+商务评分。各项指标的分数计算四舍五入，取小数点后两位。</w:t>
      </w:r>
    </w:p>
    <w:p>
      <w:pPr>
        <w:spacing w:before="0" w:after="0" w:afterAutospacing="0"/>
        <w:ind w:left="0" w:right="0" w:firstLine="420" w:firstLineChars="200"/>
        <w:rPr>
          <w:rFonts w:hint="eastAsia" w:ascii="宋体" w:hAnsi="宋体" w:cs="Arial"/>
          <w:bCs/>
          <w:color w:val="auto"/>
          <w:highlight w:val="none"/>
        </w:rPr>
      </w:pPr>
      <w:r>
        <w:rPr>
          <w:rFonts w:hint="eastAsia" w:ascii="宋体" w:hAnsi="宋体" w:cs="Arial"/>
          <w:bCs/>
          <w:color w:val="auto"/>
          <w:highlight w:val="none"/>
        </w:rPr>
        <w:t>2.3评审委员会将依照本比选文件相关规定对质量和服务均能满足实质性响应要求的比选申请人最终得分由高到低的顺序提出1-3名中选候选人，并编写评审报告。</w:t>
      </w:r>
    </w:p>
    <w:p>
      <w:pPr>
        <w:spacing w:before="0" w:after="0" w:afterAutospacing="0"/>
        <w:ind w:left="0" w:right="0" w:firstLine="420" w:firstLineChars="200"/>
        <w:rPr>
          <w:rFonts w:hint="eastAsia" w:ascii="宋体" w:hAnsi="宋体" w:cs="Arial"/>
          <w:bCs/>
          <w:color w:val="auto"/>
          <w:highlight w:val="none"/>
        </w:rPr>
      </w:pPr>
      <w:r>
        <w:rPr>
          <w:rFonts w:hint="eastAsia" w:ascii="宋体" w:hAnsi="宋体" w:cs="Arial"/>
          <w:bCs/>
          <w:color w:val="auto"/>
          <w:highlight w:val="none"/>
        </w:rPr>
        <w:t>2.4综合得分且报价相同时，按照技术部分得分由高到低顺序排列，若技术部分得分相同，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w:t>
      </w:r>
    </w:p>
    <w:p>
      <w:pPr>
        <w:spacing w:before="0" w:after="0" w:afterAutospacing="0"/>
        <w:ind w:left="0" w:leftChars="0" w:right="0" w:firstLine="422" w:firstLineChars="200"/>
        <w:rPr>
          <w:rFonts w:ascii="宋体" w:hAnsi="宋体" w:cs="Arial"/>
          <w:b/>
          <w:bCs/>
          <w:color w:val="auto"/>
          <w:sz w:val="21"/>
          <w:szCs w:val="21"/>
          <w:highlight w:val="none"/>
        </w:rPr>
      </w:pPr>
      <w:r>
        <w:rPr>
          <w:rFonts w:hint="eastAsia" w:ascii="宋体" w:hAnsi="宋体" w:cs="Arial"/>
          <w:b/>
          <w:bCs/>
          <w:color w:val="auto"/>
          <w:sz w:val="21"/>
          <w:szCs w:val="21"/>
          <w:highlight w:val="none"/>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3.2初步评审</w:t>
      </w:r>
    </w:p>
    <w:p>
      <w:pPr>
        <w:tabs>
          <w:tab w:val="left" w:pos="851"/>
        </w:tabs>
        <w:spacing w:before="0" w:after="0" w:afterAutospacing="0"/>
        <w:ind w:left="0" w:right="0" w:firstLine="420" w:firstLineChars="200"/>
        <w:rPr>
          <w:rFonts w:hAnsi="宋体"/>
          <w:color w:val="auto"/>
        </w:rPr>
      </w:pPr>
      <w:r>
        <w:rPr>
          <w:rFonts w:hint="eastAsia" w:hAnsi="宋体"/>
          <w:color w:val="auto"/>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符合性</w:t>
      </w:r>
      <w:r>
        <w:rPr>
          <w:rFonts w:hAnsi="宋体"/>
          <w:color w:val="auto"/>
        </w:rPr>
        <w:t>评审表》。</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3.3详细评审</w:t>
      </w:r>
    </w:p>
    <w:p>
      <w:pPr>
        <w:tabs>
          <w:tab w:val="left" w:pos="851"/>
        </w:tabs>
        <w:spacing w:before="0" w:after="0" w:afterAutospacing="0"/>
        <w:ind w:left="0" w:right="0" w:firstLine="420" w:firstLineChars="200"/>
        <w:rPr>
          <w:rFonts w:ascii="宋体" w:hAnsi="宋体"/>
          <w:color w:val="auto"/>
        </w:rPr>
      </w:pPr>
      <w:r>
        <w:rPr>
          <w:rFonts w:hAnsi="宋体"/>
          <w:color w:val="auto"/>
        </w:rPr>
        <w:t>3.3.1</w:t>
      </w:r>
      <w:r>
        <w:rPr>
          <w:color w:val="auto"/>
        </w:rPr>
        <w:t>评审委员会</w:t>
      </w:r>
      <w:r>
        <w:rPr>
          <w:rFonts w:hint="eastAsia"/>
          <w:color w:val="auto"/>
        </w:rPr>
        <w:t>对通过初步评审的投标文件的技术文件进行详细评审</w:t>
      </w:r>
      <w:r>
        <w:rPr>
          <w:rFonts w:hint="eastAsia" w:hAnsi="宋体"/>
          <w:color w:val="auto"/>
        </w:rPr>
        <w:t>。</w:t>
      </w:r>
    </w:p>
    <w:p>
      <w:pPr>
        <w:spacing w:before="0" w:after="0" w:afterAutospacing="0"/>
        <w:ind w:left="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color w:val="auto"/>
        </w:rPr>
        <w:t>按照附表三《技术文件评分表》规定的量化因素和分值，对各投标人技术部分评审。各评委对投标人的各评分项评分累加后得出各评委的总得分。投标人技术得分取所有评委总得分的算术平均值（得分出现小数点，保留小数点后二位，第三位小数四舍五入）。</w:t>
      </w:r>
    </w:p>
    <w:p>
      <w:pPr>
        <w:tabs>
          <w:tab w:val="left" w:pos="851"/>
          <w:tab w:val="left" w:pos="1134"/>
        </w:tabs>
        <w:spacing w:before="0" w:after="0" w:afterAutospacing="0"/>
        <w:ind w:left="422" w:right="0" w:firstLine="0"/>
        <w:rPr>
          <w:rFonts w:hAnsi="宋体"/>
          <w:color w:val="auto"/>
        </w:rPr>
      </w:pPr>
      <w:r>
        <w:rPr>
          <w:rFonts w:hAnsi="宋体"/>
          <w:color w:val="auto"/>
        </w:rPr>
        <w:t>3.3.</w:t>
      </w:r>
      <w:r>
        <w:rPr>
          <w:rFonts w:hint="eastAsia" w:hAnsi="宋体"/>
          <w:color w:val="auto"/>
        </w:rPr>
        <w:t>3价格评审</w:t>
      </w:r>
    </w:p>
    <w:p>
      <w:pPr>
        <w:tabs>
          <w:tab w:val="left" w:pos="851"/>
          <w:tab w:val="left" w:pos="1134"/>
        </w:tabs>
        <w:spacing w:before="0" w:after="0" w:afterAutospacing="0"/>
        <w:ind w:left="0" w:right="0" w:firstLine="420" w:firstLineChars="200"/>
        <w:jc w:val="left"/>
        <w:rPr>
          <w:rFonts w:hint="eastAsia"/>
          <w:color w:val="auto"/>
        </w:rPr>
      </w:pPr>
      <w:r>
        <w:rPr>
          <w:rFonts w:hint="eastAsia"/>
          <w:color w:val="auto"/>
        </w:rPr>
        <w:t>3.3.</w:t>
      </w:r>
      <w:r>
        <w:rPr>
          <w:rFonts w:hint="eastAsia"/>
          <w:color w:val="auto"/>
          <w:lang w:val="en-US" w:eastAsia="zh-CN"/>
        </w:rPr>
        <w:t>3</w:t>
      </w:r>
      <w:r>
        <w:rPr>
          <w:rFonts w:hint="eastAsia"/>
          <w:color w:val="auto"/>
        </w:rPr>
        <w:t>.1</w:t>
      </w:r>
      <w:r>
        <w:rPr>
          <w:color w:val="auto"/>
        </w:rPr>
        <w:t>评审委员会</w:t>
      </w:r>
      <w:r>
        <w:rPr>
          <w:rFonts w:hint="eastAsia"/>
          <w:color w:val="auto"/>
        </w:rPr>
        <w:t>对通过初步评审的投标文件的报价文件进行详细评审。</w:t>
      </w:r>
    </w:p>
    <w:p>
      <w:pPr>
        <w:tabs>
          <w:tab w:val="left" w:pos="851"/>
          <w:tab w:val="left" w:pos="1134"/>
        </w:tabs>
        <w:spacing w:before="0" w:after="0" w:afterAutospacing="0"/>
        <w:ind w:left="0" w:right="0" w:firstLine="420" w:firstLineChars="200"/>
        <w:jc w:val="left"/>
        <w:rPr>
          <w:color w:val="auto"/>
        </w:rPr>
      </w:pPr>
      <w:r>
        <w:rPr>
          <w:rFonts w:hint="eastAsia"/>
          <w:color w:val="auto"/>
        </w:rPr>
        <w:t>3.3.</w:t>
      </w:r>
      <w:r>
        <w:rPr>
          <w:rFonts w:hint="eastAsia"/>
          <w:color w:val="auto"/>
          <w:lang w:val="en-US" w:eastAsia="zh-CN"/>
        </w:rPr>
        <w:t>3</w:t>
      </w:r>
      <w:r>
        <w:rPr>
          <w:rFonts w:hint="eastAsia"/>
          <w:color w:val="auto"/>
        </w:rPr>
        <w:t>.2投标报价有算术错误的，评标委员会按以下原则对投标报价进行修正，修正的价格经投标人书面确认后具有约束力。投标人不接受修正价格的，其投标作否决投标处理：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 xml:space="preserve"> (1）比选申请</w:t>
      </w:r>
      <w:r>
        <w:rPr>
          <w:rFonts w:hint="eastAsia" w:cs="宋体"/>
          <w:color w:val="auto"/>
        </w:rPr>
        <w:t>文件中的大写金额与小写金额不一致的，以大写金额为准；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（2）</w:t>
      </w:r>
      <w:r>
        <w:rPr>
          <w:rFonts w:hint="eastAsia" w:cs="宋体"/>
          <w:color w:val="auto"/>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color w:val="auto"/>
        </w:rPr>
      </w:pPr>
      <w:r>
        <w:rPr>
          <w:rFonts w:hint="eastAsia" w:cs="Times New Roman"/>
          <w:color w:val="auto"/>
        </w:rPr>
        <w:t>(3)</w:t>
      </w:r>
      <w:r>
        <w:rPr>
          <w:rFonts w:hint="eastAsia"/>
          <w:color w:val="auto"/>
        </w:rPr>
        <w:t xml:space="preserve"> 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before="0" w:after="0" w:afterAutospacing="0"/>
        <w:ind w:left="0" w:right="0" w:firstLine="420" w:firstLineChars="200"/>
        <w:jc w:val="left"/>
        <w:rPr>
          <w:rFonts w:cs="宋体"/>
          <w:color w:val="auto"/>
        </w:rPr>
      </w:pPr>
      <w:r>
        <w:rPr>
          <w:rFonts w:hint="eastAsia"/>
          <w:color w:val="auto"/>
        </w:rPr>
        <w:t>（4）</w:t>
      </w:r>
      <w:r>
        <w:rPr>
          <w:rFonts w:hint="eastAsia"/>
          <w:bCs/>
          <w:color w:val="auto"/>
        </w:rPr>
        <w:t>修正后的总价若高于</w:t>
      </w:r>
      <w:r>
        <w:rPr>
          <w:rFonts w:hint="eastAsia"/>
          <w:color w:val="auto"/>
        </w:rPr>
        <w:t>比选申请</w:t>
      </w:r>
      <w:r>
        <w:rPr>
          <w:rFonts w:hint="eastAsia"/>
          <w:bCs/>
          <w:color w:val="auto"/>
        </w:rPr>
        <w:t>报价，则中选价以</w:t>
      </w:r>
      <w:r>
        <w:rPr>
          <w:rFonts w:hint="eastAsia"/>
          <w:color w:val="auto"/>
        </w:rPr>
        <w:t>比选申请</w:t>
      </w:r>
      <w:r>
        <w:rPr>
          <w:rFonts w:hint="eastAsia"/>
          <w:bCs/>
          <w:color w:val="auto"/>
        </w:rPr>
        <w:t>报价为准，评标总价以修正后的总价为准；修正后的总价若低于</w:t>
      </w:r>
      <w:r>
        <w:rPr>
          <w:rFonts w:hint="eastAsia"/>
          <w:color w:val="auto"/>
        </w:rPr>
        <w:t>比选申请</w:t>
      </w:r>
      <w:r>
        <w:rPr>
          <w:rFonts w:hint="eastAsia"/>
          <w:bCs/>
          <w:color w:val="auto"/>
        </w:rPr>
        <w:t>报价，则中选价以修正后总价为准，评标总价以</w:t>
      </w:r>
      <w:r>
        <w:rPr>
          <w:rFonts w:hint="eastAsia"/>
          <w:color w:val="auto"/>
        </w:rPr>
        <w:t>比选申请</w:t>
      </w:r>
      <w:r>
        <w:rPr>
          <w:rFonts w:hint="eastAsia"/>
          <w:bCs/>
          <w:color w:val="auto"/>
        </w:rPr>
        <w:t>报价为准</w:t>
      </w:r>
      <w:r>
        <w:rPr>
          <w:rFonts w:hint="eastAsia"/>
          <w:color w:val="auto"/>
        </w:rPr>
        <w:t>。如比选申请人不接受按以上规则确定的评标总价和中选价，则其投标将被拒绝。</w:t>
      </w:r>
    </w:p>
    <w:p>
      <w:pPr>
        <w:tabs>
          <w:tab w:val="left" w:pos="851"/>
          <w:tab w:val="left" w:pos="1134"/>
        </w:tabs>
        <w:spacing w:before="0" w:after="0" w:afterAutospacing="0"/>
        <w:ind w:left="0" w:right="0" w:firstLine="420" w:firstLineChars="200"/>
        <w:jc w:val="left"/>
        <w:rPr>
          <w:rFonts w:cs="宋体"/>
          <w:color w:val="auto"/>
        </w:rPr>
      </w:pPr>
      <w:r>
        <w:rPr>
          <w:rFonts w:hint="eastAsia" w:cs="宋体"/>
          <w:color w:val="auto"/>
        </w:rPr>
        <w:t>3.3.</w:t>
      </w:r>
      <w:r>
        <w:rPr>
          <w:rFonts w:hint="eastAsia" w:cs="宋体"/>
          <w:color w:val="auto"/>
          <w:lang w:val="en-US" w:eastAsia="zh-CN"/>
        </w:rPr>
        <w:t>3</w:t>
      </w:r>
      <w:r>
        <w:rPr>
          <w:rFonts w:hint="eastAsia" w:cs="宋体"/>
          <w:color w:val="auto"/>
        </w:rPr>
        <w:t>.3</w:t>
      </w:r>
      <w:r>
        <w:rPr>
          <w:rFonts w:hint="eastAsia"/>
          <w:color w:val="auto"/>
        </w:rPr>
        <w:t>出现下列情况的比选申请文件将予以否决：</w:t>
      </w:r>
    </w:p>
    <w:p>
      <w:pPr>
        <w:tabs>
          <w:tab w:val="left" w:pos="851"/>
          <w:tab w:val="left" w:pos="1134"/>
        </w:tabs>
        <w:spacing w:before="0" w:after="0" w:afterAutospacing="0"/>
        <w:ind w:left="0" w:right="0" w:firstLine="420" w:firstLineChars="200"/>
        <w:jc w:val="left"/>
        <w:rPr>
          <w:bCs/>
          <w:color w:val="auto"/>
        </w:rPr>
      </w:pPr>
      <w:r>
        <w:rPr>
          <w:rFonts w:hint="eastAsia"/>
          <w:color w:val="auto"/>
        </w:rPr>
        <w:t>（1）</w:t>
      </w:r>
      <w:r>
        <w:rPr>
          <w:color w:val="auto"/>
        </w:rPr>
        <w:t>评审委员会</w:t>
      </w:r>
      <w:r>
        <w:rPr>
          <w:rFonts w:hint="eastAsia"/>
          <w:bCs/>
          <w:color w:val="auto"/>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color w:val="auto"/>
        </w:rPr>
        <w:t>评审</w:t>
      </w:r>
      <w:r>
        <w:rPr>
          <w:rFonts w:hint="eastAsia"/>
          <w:bCs/>
          <w:color w:val="auto"/>
        </w:rPr>
        <w:t>委员会应当认定该比选申请人以低于成本报价投标，否决其投标。</w:t>
      </w:r>
    </w:p>
    <w:p>
      <w:pPr>
        <w:tabs>
          <w:tab w:val="left" w:pos="851"/>
          <w:tab w:val="left" w:pos="1134"/>
        </w:tabs>
        <w:spacing w:before="0" w:after="0" w:afterAutospacing="0"/>
        <w:ind w:left="0" w:right="0" w:firstLine="420" w:firstLineChars="200"/>
        <w:jc w:val="left"/>
        <w:rPr>
          <w:b/>
          <w:bCs/>
          <w:color w:val="auto"/>
        </w:rPr>
      </w:pPr>
      <w:r>
        <w:rPr>
          <w:rFonts w:hint="eastAsia"/>
          <w:bCs/>
          <w:color w:val="auto"/>
        </w:rPr>
        <w:t>（2）</w:t>
      </w:r>
      <w:bookmarkStart w:id="2340" w:name="_Hlk36511445"/>
      <w:r>
        <w:rPr>
          <w:rFonts w:hint="eastAsia"/>
          <w:b/>
          <w:bCs/>
          <w:color w:val="auto"/>
        </w:rPr>
        <w:t>投标报价清单如有漏项的投标文件，将予以否决。</w:t>
      </w:r>
      <w:bookmarkEnd w:id="2340"/>
    </w:p>
    <w:p>
      <w:pPr>
        <w:tabs>
          <w:tab w:val="left" w:pos="851"/>
          <w:tab w:val="left" w:pos="1134"/>
        </w:tabs>
        <w:spacing w:before="0" w:after="0" w:afterAutospacing="0"/>
        <w:ind w:left="0" w:right="0" w:firstLine="420" w:firstLineChars="200"/>
        <w:jc w:val="left"/>
        <w:rPr>
          <w:color w:val="auto"/>
        </w:rPr>
      </w:pPr>
      <w:r>
        <w:rPr>
          <w:rFonts w:hint="eastAsia"/>
          <w:bCs/>
          <w:color w:val="auto"/>
        </w:rPr>
        <w:t>3.3.4.4</w:t>
      </w:r>
      <w:r>
        <w:rPr>
          <w:color w:val="auto"/>
        </w:rPr>
        <w:t>评审委员会</w:t>
      </w:r>
      <w:r>
        <w:rPr>
          <w:rFonts w:hint="eastAsia"/>
          <w:color w:val="auto"/>
        </w:rPr>
        <w:t>按照附表五《比选</w:t>
      </w:r>
      <w:r>
        <w:rPr>
          <w:rFonts w:hint="eastAsia"/>
          <w:color w:val="auto"/>
          <w:lang w:eastAsia="zh-CN"/>
        </w:rPr>
        <w:t>申请价格评审</w:t>
      </w:r>
      <w:r>
        <w:rPr>
          <w:rFonts w:hint="eastAsia"/>
          <w:color w:val="auto"/>
        </w:rPr>
        <w:t>表》规定的量化因素和分值，对各投标人的投标报价评审，并计算出价格得分（得分出现小数点，保留小数点后二位，第三位小数四舍五入）。</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220"/>
          <w:tab w:val="left" w:pos="1134"/>
        </w:tabs>
        <w:spacing w:before="0" w:after="0" w:afterAutospacing="0"/>
        <w:ind w:left="0" w:right="0" w:firstLine="420" w:firstLineChars="200"/>
        <w:rPr>
          <w:rFonts w:ascii="宋体" w:hAnsi="宋体"/>
          <w:color w:val="auto"/>
        </w:rPr>
      </w:pPr>
      <w:r>
        <w:rPr>
          <w:rFonts w:hint="eastAsia" w:ascii="宋体" w:hAnsi="宋体"/>
          <w:color w:val="auto"/>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0" w:firstLine="420" w:firstLineChars="200"/>
        <w:rPr>
          <w:rFonts w:ascii="宋体" w:hAnsi="宋体"/>
          <w:color w:val="auto"/>
        </w:rPr>
      </w:pPr>
      <w:r>
        <w:rPr>
          <w:rFonts w:hint="eastAsia" w:ascii="宋体" w:hAnsi="宋体"/>
          <w:color w:val="auto"/>
        </w:rPr>
        <w:t>3.4.2</w:t>
      </w:r>
      <w:r>
        <w:rPr>
          <w:rFonts w:ascii="宋体" w:hAnsi="宋体"/>
          <w:color w:val="auto"/>
        </w:rPr>
        <w:t>比选申请人须以书面形式提供澄清或补正文件，经评审委员会确认方可作为比选申请文件的组成部分。</w:t>
      </w:r>
    </w:p>
    <w:p>
      <w:pPr>
        <w:tabs>
          <w:tab w:val="left" w:pos="851"/>
          <w:tab w:val="left" w:pos="1134"/>
        </w:tabs>
        <w:spacing w:before="0" w:after="0" w:afterAutospacing="0"/>
        <w:ind w:left="0" w:right="0" w:firstLine="420" w:firstLineChars="20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w:t>
      </w:r>
      <w:r>
        <w:rPr>
          <w:rFonts w:hint="eastAsia" w:cs="宋体"/>
          <w:color w:val="auto"/>
        </w:rPr>
        <w:t>综合评分由高到低顺序推荐中选候选人。综合评分相同时，则技术得分较高的排名靠前；如技术得分也相同，则价格得分较高的排名靠前；如价格得分也相同，</w:t>
      </w:r>
      <w:bookmarkStart w:id="2341" w:name="_Hlk31877730"/>
      <w:r>
        <w:rPr>
          <w:rFonts w:hint="eastAsia" w:cs="宋体"/>
          <w:color w:val="auto"/>
        </w:rPr>
        <w:t>则由评审委员会采用记名投票方式确定</w:t>
      </w:r>
      <w:bookmarkEnd w:id="2341"/>
      <w:r>
        <w:rPr>
          <w:rFonts w:hint="eastAsia" w:ascii="宋体" w:hAnsi="宋体"/>
          <w:color w:val="auto"/>
        </w:rPr>
        <w:t>其排名顺序。</w:t>
      </w:r>
    </w:p>
    <w:p>
      <w:pPr>
        <w:tabs>
          <w:tab w:val="left" w:pos="851"/>
          <w:tab w:val="left" w:pos="993"/>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w:t>
      </w:r>
      <w:r>
        <w:rPr>
          <w:rFonts w:hint="eastAsia" w:ascii="宋体" w:hAnsi="宋体"/>
          <w:b/>
          <w:color w:val="auto"/>
          <w:highlight w:val="none"/>
          <w:lang w:val="en-US" w:eastAsia="zh-CN"/>
        </w:rPr>
        <w:t>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（3）比选申请人总报价大于上限控制价的；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pStyle w:val="5"/>
        <w:rPr>
          <w:rFonts w:hint="eastAsia"/>
          <w:color w:val="000000" w:themeColor="text1"/>
          <w:sz w:val="21"/>
          <w:szCs w:val="21"/>
          <w:highlight w:val="none"/>
          <w14:textFill>
            <w14:solidFill>
              <w14:schemeClr w14:val="tx1"/>
            </w14:solidFill>
          </w14:textFill>
        </w:rPr>
      </w:pPr>
    </w:p>
    <w:p>
      <w:pPr>
        <w:pStyle w:val="2"/>
        <w:ind w:left="0" w:firstLine="0"/>
        <w:rPr>
          <w:rFonts w:hint="eastAsia"/>
        </w:rPr>
      </w:pPr>
    </w:p>
    <w:p>
      <w:pPr>
        <w:pStyle w:val="3"/>
        <w:spacing w:after="0" w:line="360" w:lineRule="auto"/>
        <w:ind w:left="0" w:leftChars="0" w:right="-57" w:firstLine="0" w:firstLineChars="0"/>
        <w:rPr>
          <w:rFonts w:hint="eastAsia"/>
          <w:color w:val="auto"/>
          <w:sz w:val="21"/>
          <w:szCs w:val="21"/>
          <w:highlight w:val="none"/>
        </w:rPr>
      </w:pPr>
      <w:bookmarkStart w:id="2342" w:name="_Toc21610"/>
      <w:r>
        <w:rPr>
          <w:rFonts w:hint="eastAsia"/>
          <w:color w:val="auto"/>
          <w:sz w:val="21"/>
          <w:szCs w:val="21"/>
          <w:highlight w:val="none"/>
        </w:rPr>
        <w:t>附表一：资格审查表</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42"/>
    </w:p>
    <w:p>
      <w:pPr>
        <w:snapToGrid w:val="0"/>
        <w:spacing w:before="0" w:line="360" w:lineRule="exact"/>
        <w:ind w:left="420" w:right="240"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资格审查表</w:t>
      </w:r>
    </w:p>
    <w:tbl>
      <w:tblPr>
        <w:tblStyle w:val="27"/>
        <w:tblW w:w="1016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39"/>
        <w:gridCol w:w="817"/>
        <w:gridCol w:w="3891"/>
        <w:gridCol w:w="1657"/>
        <w:gridCol w:w="1073"/>
        <w:gridCol w:w="23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339"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817"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项目内容</w:t>
            </w:r>
          </w:p>
        </w:tc>
        <w:tc>
          <w:tcPr>
            <w:tcW w:w="3891"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合格条件标准</w:t>
            </w:r>
          </w:p>
        </w:tc>
        <w:tc>
          <w:tcPr>
            <w:tcW w:w="1657"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评审依据</w:t>
            </w:r>
          </w:p>
        </w:tc>
        <w:tc>
          <w:tcPr>
            <w:tcW w:w="1073"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评审结果（合格</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不合格）</w:t>
            </w:r>
          </w:p>
        </w:tc>
        <w:tc>
          <w:tcPr>
            <w:tcW w:w="2385"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07"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身份证明材料</w:t>
            </w:r>
          </w:p>
        </w:tc>
        <w:tc>
          <w:tcPr>
            <w:tcW w:w="3891"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法定代表人授权书及法定代表人资格证明书（如无授权时，只需提供法定代表人资格证明书）、法定代表人及被授权人身份证复印件。</w:t>
            </w:r>
          </w:p>
        </w:tc>
        <w:tc>
          <w:tcPr>
            <w:tcW w:w="165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法定代表人授权书，法定代表人资格证明书和身份证复印件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385"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339"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1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比选申请人资格</w:t>
            </w:r>
          </w:p>
        </w:tc>
        <w:tc>
          <w:tcPr>
            <w:tcW w:w="3891"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比选申请人为中华人民共和国境内依法设立的法人或其他组织（若以分公司名义参与比选申请，必须出具总公司授权参与的证明），经营范围包括</w:t>
            </w:r>
            <w:r>
              <w:rPr>
                <w:rFonts w:hint="eastAsia" w:ascii="宋体" w:hAnsi="宋体"/>
                <w:color w:val="auto"/>
                <w:highlight w:val="none"/>
                <w:lang w:eastAsia="zh-CN"/>
              </w:rPr>
              <w:t>：计算机领域的技术开发、技术转让、技术咨询和技术服务</w:t>
            </w:r>
            <w:r>
              <w:rPr>
                <w:rFonts w:hint="eastAsia" w:ascii="宋体" w:hAnsi="宋体"/>
                <w:color w:val="auto"/>
                <w:highlight w:val="none"/>
                <w:lang w:val="en-US" w:eastAsia="zh-CN"/>
              </w:rPr>
              <w:t>。</w:t>
            </w:r>
          </w:p>
        </w:tc>
        <w:tc>
          <w:tcPr>
            <w:tcW w:w="165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营业执照副本或事业单位法人证书等证明文件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385"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29"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w:t>
            </w:r>
          </w:p>
        </w:tc>
        <w:tc>
          <w:tcPr>
            <w:tcW w:w="3891"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14:textFill>
                  <w14:solidFill>
                    <w14:schemeClr w14:val="tx1"/>
                  </w14:solidFill>
                </w14:textFill>
              </w:rPr>
              <w:t>比选申请人没有处于行政主管部门或业主取消比选申请资格的处罚期内，且没有被责令停业，财产被接管、冻结，破产状态；比选申请截止日前</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年内没有骗取中选、严重违约或重大质量安全责任事故的情况。</w:t>
            </w:r>
          </w:p>
        </w:tc>
        <w:tc>
          <w:tcPr>
            <w:tcW w:w="165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承诺书原件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385"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按规定格式提供承诺书</w:t>
            </w:r>
          </w:p>
        </w:tc>
      </w:tr>
    </w:tbl>
    <w:p>
      <w:pPr>
        <w:snapToGrid w:val="0"/>
        <w:spacing w:before="0" w:after="0" w:afterAutospacing="0" w:line="240" w:lineRule="auto"/>
        <w:ind w:left="0" w:right="0" w:firstLine="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注：1.以上所有证明资料原件备查。</w:t>
      </w:r>
    </w:p>
    <w:p>
      <w:pPr>
        <w:snapToGrid w:val="0"/>
        <w:spacing w:before="0" w:after="0" w:afterAutospacing="0" w:line="24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2.比选申请人如未通过上述资格审查，则作比选申请被否决处理并不得进入下一阶段评审。</w:t>
      </w:r>
    </w:p>
    <w:p>
      <w:pPr>
        <w:pStyle w:val="3"/>
        <w:spacing w:after="0" w:line="360" w:lineRule="auto"/>
        <w:ind w:right="-57" w:firstLine="0"/>
        <w:rPr>
          <w:rFonts w:hint="eastAsia"/>
          <w:color w:val="auto"/>
          <w:sz w:val="21"/>
          <w:szCs w:val="21"/>
          <w:highlight w:val="none"/>
        </w:rPr>
      </w:pPr>
      <w:bookmarkStart w:id="2343" w:name="_Toc41492256"/>
      <w:bookmarkStart w:id="2344" w:name="_Toc25750695"/>
      <w:bookmarkStart w:id="2345" w:name="_Toc7852"/>
      <w:bookmarkStart w:id="2346" w:name="_Toc9343"/>
      <w:bookmarkStart w:id="2347" w:name="_Toc6102"/>
      <w:bookmarkStart w:id="2348" w:name="_Toc12984826"/>
      <w:bookmarkStart w:id="2349" w:name="_Toc1459"/>
      <w:bookmarkStart w:id="2350" w:name="_Toc25123"/>
      <w:bookmarkStart w:id="2351" w:name="_Toc5737"/>
      <w:bookmarkStart w:id="2352" w:name="_Toc12983557"/>
      <w:bookmarkStart w:id="2353" w:name="_Toc3409"/>
      <w:bookmarkStart w:id="2354" w:name="_Toc8945"/>
      <w:bookmarkStart w:id="2355" w:name="_Toc31487"/>
      <w:bookmarkStart w:id="2356" w:name="_Toc22635"/>
      <w:bookmarkStart w:id="2357" w:name="_Toc191"/>
      <w:bookmarkStart w:id="2358" w:name="_Toc5811"/>
      <w:bookmarkStart w:id="2359" w:name="_Toc20215"/>
      <w:bookmarkStart w:id="2360" w:name="_Toc15103"/>
      <w:bookmarkStart w:id="2361" w:name="_Toc19299"/>
      <w:bookmarkStart w:id="2362" w:name="_Toc492478850"/>
      <w:bookmarkStart w:id="2363" w:name="_Toc29670"/>
      <w:bookmarkStart w:id="2364" w:name="_Toc6612"/>
    </w:p>
    <w:p>
      <w:pPr>
        <w:pStyle w:val="3"/>
        <w:spacing w:after="0" w:line="360" w:lineRule="auto"/>
        <w:ind w:right="-57" w:firstLine="0"/>
        <w:rPr>
          <w:rFonts w:hint="eastAsia"/>
          <w:color w:val="auto"/>
          <w:sz w:val="21"/>
          <w:szCs w:val="21"/>
          <w:highlight w:val="none"/>
        </w:rPr>
      </w:pPr>
    </w:p>
    <w:p>
      <w:pPr>
        <w:pStyle w:val="3"/>
        <w:spacing w:after="0" w:line="360" w:lineRule="auto"/>
        <w:ind w:left="0" w:leftChars="0" w:right="-57" w:firstLine="0" w:firstLineChars="0"/>
        <w:rPr>
          <w:rFonts w:hint="eastAsia"/>
          <w:color w:val="auto"/>
          <w:sz w:val="21"/>
          <w:szCs w:val="21"/>
          <w:highlight w:val="none"/>
        </w:rPr>
      </w:pPr>
    </w:p>
    <w:p>
      <w:pPr>
        <w:pStyle w:val="3"/>
        <w:spacing w:after="0" w:line="360" w:lineRule="auto"/>
        <w:ind w:left="0" w:leftChars="0" w:right="-57" w:firstLine="0" w:firstLineChars="0"/>
        <w:rPr>
          <w:rFonts w:hint="eastAsia"/>
          <w:color w:val="auto"/>
          <w:sz w:val="21"/>
          <w:szCs w:val="21"/>
          <w:highlight w:val="none"/>
        </w:rPr>
      </w:pPr>
    </w:p>
    <w:p>
      <w:pPr>
        <w:pStyle w:val="2"/>
        <w:ind w:left="0" w:firstLine="0"/>
        <w:rPr>
          <w:rFonts w:hint="eastAsia"/>
        </w:rPr>
      </w:pPr>
    </w:p>
    <w:p>
      <w:pPr>
        <w:pStyle w:val="3"/>
        <w:spacing w:after="0" w:line="360" w:lineRule="auto"/>
        <w:ind w:left="0" w:leftChars="0" w:right="-57" w:firstLine="0" w:firstLineChars="0"/>
        <w:rPr>
          <w:rFonts w:hint="eastAsia"/>
          <w:color w:val="auto"/>
          <w:sz w:val="21"/>
          <w:szCs w:val="21"/>
          <w:highlight w:val="none"/>
        </w:rPr>
      </w:pPr>
    </w:p>
    <w:p>
      <w:pPr>
        <w:rPr>
          <w:rFonts w:hint="eastAsia"/>
        </w:rPr>
      </w:pPr>
    </w:p>
    <w:p>
      <w:pPr>
        <w:pStyle w:val="3"/>
        <w:spacing w:after="0" w:line="360" w:lineRule="auto"/>
        <w:ind w:left="0" w:leftChars="0" w:right="-57" w:firstLine="0" w:firstLineChars="0"/>
        <w:rPr>
          <w:rFonts w:hint="eastAsia"/>
          <w:color w:val="auto"/>
          <w:sz w:val="21"/>
          <w:szCs w:val="21"/>
          <w:highlight w:val="none"/>
        </w:rPr>
      </w:pPr>
      <w:bookmarkStart w:id="2365" w:name="_Toc12499"/>
      <w:r>
        <w:rPr>
          <w:rFonts w:hint="eastAsia"/>
          <w:color w:val="auto"/>
          <w:sz w:val="21"/>
          <w:szCs w:val="21"/>
          <w:highlight w:val="none"/>
        </w:rPr>
        <w:t>附表二：符合性评审表</w:t>
      </w:r>
      <w:bookmarkEnd w:id="2343"/>
      <w:bookmarkEnd w:id="2344"/>
      <w:bookmarkEnd w:id="2365"/>
    </w:p>
    <w:p>
      <w:pPr>
        <w:spacing w:before="0"/>
        <w:ind w:right="0" w:firstLine="0"/>
        <w:jc w:val="center"/>
        <w:rPr>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符合性</w:t>
      </w:r>
      <w:r>
        <w:rPr>
          <w:rFonts w:hAnsi="宋体"/>
          <w:b/>
          <w:color w:val="000000" w:themeColor="text1"/>
          <w:sz w:val="24"/>
          <w:szCs w:val="24"/>
          <w:highlight w:val="none"/>
          <w14:textFill>
            <w14:solidFill>
              <w14:schemeClr w14:val="tx1"/>
            </w14:solidFill>
          </w14:textFill>
        </w:rPr>
        <w:t>评审表</w:t>
      </w:r>
    </w:p>
    <w:tbl>
      <w:tblPr>
        <w:tblStyle w:val="27"/>
        <w:tblW w:w="1016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37"/>
        <w:gridCol w:w="1259"/>
        <w:gridCol w:w="6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89" w:hRule="atLeast"/>
          <w:tblHeader/>
          <w:jc w:val="center"/>
        </w:trPr>
        <w:tc>
          <w:tcPr>
            <w:tcW w:w="823" w:type="dxa"/>
            <w:tcBorders>
              <w:top w:val="single" w:color="auto" w:sz="12" w:space="0"/>
            </w:tcBorders>
            <w:vAlign w:val="center"/>
          </w:tcPr>
          <w:p>
            <w:pPr>
              <w:ind w:left="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7437" w:type="dxa"/>
            <w:tcBorders>
              <w:top w:val="single" w:color="auto" w:sz="12" w:space="0"/>
            </w:tcBorders>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评审项目</w:t>
            </w:r>
          </w:p>
        </w:tc>
        <w:tc>
          <w:tcPr>
            <w:tcW w:w="1259" w:type="dxa"/>
            <w:tcBorders>
              <w:top w:val="single" w:color="auto" w:sz="12" w:space="0"/>
            </w:tcBorders>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评审结果</w:t>
            </w:r>
          </w:p>
        </w:tc>
        <w:tc>
          <w:tcPr>
            <w:tcW w:w="642" w:type="dxa"/>
            <w:tcBorders>
              <w:top w:val="single" w:color="auto" w:sz="12" w:space="0"/>
            </w:tcBorders>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96"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比选申请文件按要求在规定的位置签字（或盖章）并加盖比选申请人单位公章的</w:t>
            </w:r>
          </w:p>
        </w:tc>
        <w:tc>
          <w:tcPr>
            <w:tcW w:w="1259" w:type="dxa"/>
          </w:tcPr>
          <w:p>
            <w:pPr>
              <w:ind w:left="0" w:firstLine="0"/>
              <w:rPr>
                <w:color w:val="000000" w:themeColor="text1"/>
                <w:highlight w:val="none"/>
                <w14:textFill>
                  <w14:solidFill>
                    <w14:schemeClr w14:val="tx1"/>
                  </w14:solidFill>
                </w14:textFill>
              </w:rPr>
            </w:pPr>
          </w:p>
        </w:tc>
        <w:tc>
          <w:tcPr>
            <w:tcW w:w="642" w:type="dxa"/>
            <w:vMerge w:val="restart"/>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61"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比选申请文件的实质性内容按规定填写、内容齐全的；（按比选文件第四章节规定格式填写的）</w:t>
            </w:r>
          </w:p>
        </w:tc>
        <w:tc>
          <w:tcPr>
            <w:tcW w:w="1259" w:type="dxa"/>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在比选申请文件中无虚假文件和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或资料的</w:t>
            </w:r>
          </w:p>
        </w:tc>
        <w:tc>
          <w:tcPr>
            <w:tcW w:w="1259" w:type="dxa"/>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技术部分响应、偏离情况说明表无任意一项负偏离的</w:t>
            </w:r>
          </w:p>
        </w:tc>
        <w:tc>
          <w:tcPr>
            <w:tcW w:w="1259"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7437"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满足《技术</w:t>
            </w:r>
            <w:r>
              <w:rPr>
                <w:rFonts w:hint="eastAsia"/>
                <w:color w:val="000000" w:themeColor="text1"/>
                <w:highlight w:val="none"/>
                <w:lang w:val="en-US" w:eastAsia="zh-CN"/>
                <w14:textFill>
                  <w14:solidFill>
                    <w14:schemeClr w14:val="tx1"/>
                  </w14:solidFill>
                </w14:textFill>
              </w:rPr>
              <w:t>需求及数量</w:t>
            </w:r>
            <w:r>
              <w:rPr>
                <w:rFonts w:hint="eastAsia"/>
                <w:color w:val="000000" w:themeColor="text1"/>
                <w:highlight w:val="none"/>
                <w14:textFill>
                  <w14:solidFill>
                    <w14:schemeClr w14:val="tx1"/>
                  </w14:solidFill>
                </w14:textFill>
              </w:rPr>
              <w:t>表》中实质性条款。</w:t>
            </w:r>
          </w:p>
        </w:tc>
        <w:tc>
          <w:tcPr>
            <w:tcW w:w="1259"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商务响应表“完全响应”的</w:t>
            </w:r>
          </w:p>
        </w:tc>
        <w:tc>
          <w:tcPr>
            <w:tcW w:w="1259"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无比选文件、法律、法规规定的其他否决比选申请条件</w:t>
            </w:r>
          </w:p>
        </w:tc>
        <w:tc>
          <w:tcPr>
            <w:tcW w:w="1259" w:type="dxa"/>
          </w:tcPr>
          <w:p>
            <w:pPr>
              <w:ind w:left="0" w:firstLine="0"/>
              <w:rPr>
                <w:color w:val="000000" w:themeColor="text1"/>
                <w:highlight w:val="none"/>
                <w14:textFill>
                  <w14:solidFill>
                    <w14:schemeClr w14:val="tx1"/>
                  </w14:solidFill>
                </w14:textFill>
              </w:rPr>
            </w:pPr>
          </w:p>
        </w:tc>
        <w:tc>
          <w:tcPr>
            <w:tcW w:w="642" w:type="dxa"/>
            <w:vMerge w:val="continue"/>
            <w:vAlign w:val="center"/>
          </w:tcPr>
          <w:p>
            <w:pPr>
              <w:ind w:left="0" w:firstLine="0"/>
              <w:rPr>
                <w:color w:val="000000" w:themeColor="text1"/>
                <w:highlight w:val="none"/>
                <w14:textFill>
                  <w14:solidFill>
                    <w14:schemeClr w14:val="tx1"/>
                  </w14:solidFill>
                </w14:textFill>
              </w:rPr>
            </w:pPr>
          </w:p>
        </w:tc>
      </w:tr>
    </w:tbl>
    <w:p>
      <w:pPr>
        <w:spacing w:before="0" w:after="0" w:afterAutospacing="0"/>
        <w:ind w:left="0" w:right="0" w:firstLine="0"/>
        <w:jc w:val="left"/>
        <w:rPr>
          <w:rFonts w:hAnsi="宋体"/>
          <w:color w:val="000000" w:themeColor="text1"/>
          <w:highlight w:val="none"/>
          <w14:textFill>
            <w14:solidFill>
              <w14:schemeClr w14:val="tx1"/>
            </w14:solidFill>
          </w14:textFill>
        </w:rPr>
      </w:pPr>
    </w:p>
    <w:p>
      <w:pPr>
        <w:spacing w:before="0" w:after="0" w:afterAutospacing="0"/>
        <w:ind w:right="0"/>
        <w:jc w:val="left"/>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注：</w:t>
      </w:r>
      <w:r>
        <w:rPr>
          <w:rFonts w:hint="eastAsia" w:hAnsi="宋体"/>
          <w:color w:val="000000" w:themeColor="text1"/>
          <w:highlight w:val="none"/>
          <w14:textFill>
            <w14:solidFill>
              <w14:schemeClr w14:val="tx1"/>
            </w14:solidFill>
          </w14:textFill>
        </w:rPr>
        <w:t>1.</w:t>
      </w:r>
      <w:r>
        <w:rPr>
          <w:rFonts w:hAnsi="宋体"/>
          <w:color w:val="000000" w:themeColor="text1"/>
          <w:highlight w:val="none"/>
          <w14:textFill>
            <w14:solidFill>
              <w14:schemeClr w14:val="tx1"/>
            </w14:solidFill>
          </w14:textFill>
        </w:rPr>
        <w:t>评审结果填写合格打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，不合格打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，凡评审结果有一项不合格者，结论为不通过。</w:t>
      </w: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rPr>
          <w:rFonts w:hAnsi="宋体"/>
          <w:color w:val="000000" w:themeColor="text1"/>
          <w:highlight w:val="none"/>
          <w14:textFill>
            <w14:solidFill>
              <w14:schemeClr w14:val="tx1"/>
            </w14:solidFill>
          </w14:textFill>
        </w:rPr>
      </w:pPr>
    </w:p>
    <w:p>
      <w:pPr>
        <w:pStyle w:val="2"/>
        <w:rPr>
          <w:rFonts w:hAnsi="宋体"/>
          <w:color w:val="000000" w:themeColor="text1"/>
          <w:highlight w:val="none"/>
          <w14:textFill>
            <w14:solidFill>
              <w14:schemeClr w14:val="tx1"/>
            </w14:solidFill>
          </w14:textFill>
        </w:rPr>
      </w:pPr>
    </w:p>
    <w:p>
      <w:pPr>
        <w:pStyle w:val="2"/>
        <w:rPr>
          <w:rFonts w:hAnsi="宋体"/>
          <w:color w:val="000000" w:themeColor="text1"/>
          <w:highlight w:val="none"/>
          <w14:textFill>
            <w14:solidFill>
              <w14:schemeClr w14:val="tx1"/>
            </w14:solidFill>
          </w14:textFill>
        </w:rPr>
      </w:pPr>
    </w:p>
    <w:p>
      <w:pPr>
        <w:pStyle w:val="2"/>
        <w:ind w:left="0" w:firstLine="0"/>
        <w:rPr>
          <w:rFonts w:hAnsi="宋体"/>
          <w:color w:val="000000" w:themeColor="text1"/>
          <w:highlight w:val="none"/>
          <w14:textFill>
            <w14:solidFill>
              <w14:schemeClr w14:val="tx1"/>
            </w14:solidFill>
          </w14:textFill>
        </w:rPr>
        <w:sectPr>
          <w:pgSz w:w="11905" w:h="16838"/>
          <w:pgMar w:top="1418" w:right="1418" w:bottom="1304" w:left="1418" w:header="454" w:footer="567" w:gutter="0"/>
          <w:pgNumType w:fmt="decimal"/>
          <w:cols w:space="720" w:num="1"/>
          <w:docGrid w:linePitch="312" w:charSpace="0"/>
        </w:sectPr>
      </w:pPr>
    </w:p>
    <w:tbl>
      <w:tblPr>
        <w:tblStyle w:val="27"/>
        <w:tblW w:w="0" w:type="auto"/>
        <w:tblInd w:w="-6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110"/>
        <w:gridCol w:w="810"/>
        <w:gridCol w:w="4890"/>
        <w:gridCol w:w="1170"/>
        <w:gridCol w:w="1080"/>
        <w:gridCol w:w="5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5031" w:type="dxa"/>
            <w:gridSpan w:val="7"/>
            <w:tcBorders>
              <w:top w:val="nil"/>
              <w:left w:val="nil"/>
              <w:bottom w:val="nil"/>
              <w:right w:val="nil"/>
            </w:tcBorders>
            <w:shd w:val="clear" w:color="auto" w:fill="auto"/>
            <w:noWrap/>
            <w:vAlign w:val="center"/>
          </w:tcPr>
          <w:p>
            <w:pPr>
              <w:keepNext w:val="0"/>
              <w:keepLines w:val="0"/>
              <w:widowControl/>
              <w:suppressLineNumbers w:val="0"/>
              <w:ind w:left="0" w:firstLine="0"/>
              <w:jc w:val="both"/>
              <w:textAlignment w:val="center"/>
              <w:rPr>
                <w:rFonts w:hint="eastAsia" w:ascii="宋体" w:hAnsi="宋体" w:eastAsia="宋体" w:cs="宋体"/>
                <w:b/>
                <w:bCs/>
                <w:i w:val="0"/>
                <w:iCs w:val="0"/>
                <w:color w:val="000000"/>
                <w:sz w:val="36"/>
                <w:szCs w:val="36"/>
                <w:u w:val="none"/>
              </w:rPr>
            </w:pPr>
            <w:r>
              <w:rPr>
                <w:rFonts w:hint="eastAsia"/>
                <w:b/>
                <w:bCs/>
                <w:color w:val="auto"/>
                <w:sz w:val="21"/>
                <w:szCs w:val="21"/>
                <w:highlight w:val="none"/>
              </w:rPr>
              <w:t>附表</w:t>
            </w:r>
            <w:r>
              <w:rPr>
                <w:rFonts w:hint="eastAsia"/>
                <w:b/>
                <w:bCs/>
                <w:color w:val="auto"/>
                <w:sz w:val="21"/>
                <w:szCs w:val="21"/>
                <w:highlight w:val="none"/>
                <w:lang w:val="en-US" w:eastAsia="zh-CN"/>
              </w:rPr>
              <w:t>三</w:t>
            </w:r>
            <w:r>
              <w:rPr>
                <w:rFonts w:hint="eastAsia"/>
                <w:b/>
                <w:bCs/>
                <w:color w:val="auto"/>
                <w:sz w:val="21"/>
                <w:szCs w:val="21"/>
                <w:highlight w:val="none"/>
              </w:rPr>
              <w:t>：</w:t>
            </w:r>
            <w:r>
              <w:rPr>
                <w:rFonts w:hint="eastAsia"/>
                <w:b/>
                <w:bCs/>
                <w:color w:val="auto"/>
                <w:sz w:val="21"/>
                <w:szCs w:val="21"/>
                <w:highlight w:val="none"/>
                <w:lang w:val="en-US" w:eastAsia="zh-CN"/>
              </w:rPr>
              <w:t>技术文件评分表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评审内容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标准</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评审标准</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评审结果</w:t>
            </w: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课程资源</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（1）1000门≤课程数量＜1500门，或225课时≤总课时＜333课时，得1-3分；</w:t>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（2）1500门≤课程数量＜2000门，或334课时≤总课时＜445课时，得4-6分；</w:t>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（3）课程数量≥2000门，或课时≥445课时，得7-10分；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1≦m≦10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jc w:val="center"/>
              <w:rPr>
                <w:rFonts w:hint="eastAsia" w:ascii="宋体" w:hAnsi="宋体" w:eastAsia="宋体" w:cs="Times New Roman"/>
                <w:i w:val="0"/>
                <w:iCs w:val="0"/>
                <w:color w:val="000000" w:themeColor="text1"/>
                <w:sz w:val="21"/>
                <w:szCs w:val="21"/>
                <w:u w:val="none"/>
                <w14:textFill>
                  <w14:solidFill>
                    <w14:schemeClr w14:val="tx1"/>
                  </w14:solidFill>
                </w14:textFill>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线上课程要求：每门课程≥10分钟，1课时=45分钟；内容要求：应包含但不限于：个人发展类、领导力类、人力资源管理类、生产管理类、市场运营类、研发管理类、职业化管理类、综合管理类、党政管理类、健康管理类、办公软件技能类等，且各类培训不得少于30门/每类或7课时/每类。满足以上要求且课程数量在：（提供课程清单，包含课程分类、名称、时长等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培训平台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分</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全部满足培训平台功能需求表上的项目，且不需要二次开发的，得</w:t>
            </w:r>
            <w:r>
              <w:rPr>
                <w:rFonts w:hint="eastAsia" w:ascii="宋体" w:hAnsi="宋体" w:cs="Times New Roman"/>
                <w:i w:val="0"/>
                <w:iCs w:val="0"/>
                <w:color w:val="000000" w:themeColor="text1"/>
                <w:kern w:val="0"/>
                <w:sz w:val="21"/>
                <w:szCs w:val="21"/>
                <w:u w:val="none"/>
                <w:lang w:val="en-US" w:eastAsia="zh-CN" w:bidi="ar"/>
                <w14:textFill>
                  <w14:solidFill>
                    <w14:schemeClr w14:val="tx1"/>
                  </w14:solidFill>
                </w14:textFill>
              </w:rPr>
              <w:t>10</w:t>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分；如有需要二次开发的项目，每一项扣</w:t>
            </w:r>
            <w:r>
              <w:rPr>
                <w:rFonts w:hint="eastAsia" w:ascii="宋体" w:hAnsi="宋体" w:cs="Times New Roman"/>
                <w:i w:val="0"/>
                <w:iCs w:val="0"/>
                <w:color w:val="000000" w:themeColor="text1"/>
                <w:kern w:val="0"/>
                <w:sz w:val="21"/>
                <w:szCs w:val="21"/>
                <w:u w:val="none"/>
                <w:lang w:val="en-US" w:eastAsia="zh-CN" w:bidi="ar"/>
                <w14:textFill>
                  <w14:solidFill>
                    <w14:schemeClr w14:val="tx1"/>
                  </w14:solidFill>
                </w14:textFill>
              </w:rPr>
              <w:t>2</w:t>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320" w:lineRule="exact"/>
              <w:ind w:left="0" w:right="0" w:firstLine="0"/>
              <w:jc w:val="left"/>
              <w:textAlignment w:val="auto"/>
              <w:rPr>
                <w:rFonts w:hint="default" w:ascii="宋体" w:hAnsi="宋体" w:eastAsia="宋体" w:cs="Times New Roman"/>
                <w:i w:val="0"/>
                <w:iCs w:val="0"/>
                <w:color w:val="000000" w:themeColor="text1"/>
                <w:sz w:val="21"/>
                <w:szCs w:val="21"/>
                <w:u w:val="none"/>
                <w:lang w:val="en-US"/>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0≦m≦</w:t>
            </w:r>
            <w:r>
              <w:rPr>
                <w:rFonts w:hint="eastAsia" w:ascii="宋体" w:hAnsi="宋体" w:cs="Times New Roman"/>
                <w:i w:val="0"/>
                <w:iCs w:val="0"/>
                <w:color w:val="000000" w:themeColor="text1"/>
                <w:kern w:val="0"/>
                <w:sz w:val="21"/>
                <w:szCs w:val="21"/>
                <w:u w:val="none"/>
                <w:lang w:val="en-US" w:eastAsia="zh-CN" w:bidi="ar"/>
                <w14:textFill>
                  <w14:solidFill>
                    <w14:schemeClr w14:val="tx1"/>
                  </w14:solidFill>
                </w14:textFill>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jc w:val="center"/>
              <w:rPr>
                <w:rFonts w:hint="eastAsia" w:ascii="宋体" w:hAnsi="宋体" w:eastAsia="宋体" w:cs="Times New Roman"/>
                <w:i w:val="0"/>
                <w:iCs w:val="0"/>
                <w:color w:val="000000" w:themeColor="text1"/>
                <w:sz w:val="21"/>
                <w:szCs w:val="21"/>
                <w:u w:val="none"/>
                <w14:textFill>
                  <w14:solidFill>
                    <w14:schemeClr w14:val="tx1"/>
                  </w14:solidFill>
                </w14:textFill>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比选申请人根据第五章《附件1：功能需求表》逐项进行适配，并填写第四章《C3：功能需求适配情况表》，所有功能适配必须进行产品或材料截图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系统使用流畅，不卡顿，UI设计美观、人机互动性强、用户体验感良好等，得1-</w:t>
            </w:r>
            <w:r>
              <w:rPr>
                <w:rFonts w:hint="eastAsia" w:ascii="宋体" w:hAnsi="宋体" w:cs="Times New Roman"/>
                <w:i w:val="0"/>
                <w:iCs w:val="0"/>
                <w:color w:val="000000" w:themeColor="text1"/>
                <w:kern w:val="0"/>
                <w:sz w:val="21"/>
                <w:szCs w:val="21"/>
                <w:u w:val="none"/>
                <w:lang w:val="en-US" w:eastAsia="zh-CN" w:bidi="ar"/>
                <w14:textFill>
                  <w14:solidFill>
                    <w14:schemeClr w14:val="tx1"/>
                  </w14:solidFill>
                </w14:textFill>
              </w:rPr>
              <w:t>22</w:t>
            </w: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1≦m≦</w:t>
            </w:r>
            <w:r>
              <w:rPr>
                <w:rFonts w:hint="eastAsia" w:ascii="宋体" w:hAnsi="宋体" w:cs="宋体"/>
                <w:i w:val="0"/>
                <w:iCs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ind w:left="9" w:leftChars="0" w:hanging="9" w:firstLineChars="0"/>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根据比选申请人提供的系统账户进行现场体验后进行评分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rPr>
            </w:pPr>
            <w:r>
              <w:rPr>
                <w:rFonts w:hint="eastAsia"/>
                <w:lang w:val="en-US" w:eastAsia="zh-CN"/>
              </w:rPr>
              <w:t>除功能需求表上项目，具有特色功能、创新功能的项目，对平台辅助功能明显的，每项得1分，最高2分。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0≦m≦</w:t>
            </w:r>
            <w:r>
              <w:rPr>
                <w:rFonts w:hint="eastAsia" w:ascii="宋体" w:hAnsi="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p>
            <w:pPr>
              <w:spacing w:line="48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11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服务方案</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分</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服务支持与售后服务基本达到需求，与实际工作匹配度一般。</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0≦m≦</w:t>
            </w:r>
            <w:r>
              <w:rPr>
                <w:rFonts w:hint="eastAsia" w:ascii="宋体" w:hAnsi="宋体" w:cs="宋体"/>
                <w:i w:val="0"/>
                <w:iCs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69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111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服务支持与售后服务符合需求，较为符合实际工作。</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9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111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eastAsia" w:ascii="宋体" w:hAnsi="宋体" w:eastAsia="宋体" w:cs="Times New Roman"/>
                <w:i w:val="0"/>
                <w:iCs w:val="0"/>
                <w:color w:val="000000" w:themeColor="text1"/>
                <w:sz w:val="21"/>
                <w:szCs w:val="21"/>
                <w:u w:val="none"/>
                <w14:textFill>
                  <w14:solidFill>
                    <w14:schemeClr w14:val="tx1"/>
                  </w14:solidFill>
                </w14:textFill>
              </w:rPr>
            </w:pPr>
            <w:r>
              <w:rPr>
                <w:rFonts w:hint="eastAsia" w:ascii="宋体" w:hAnsi="宋体" w:eastAsia="宋体" w:cs="Times New Roman"/>
                <w:i w:val="0"/>
                <w:iCs w:val="0"/>
                <w:color w:val="000000" w:themeColor="text1"/>
                <w:kern w:val="0"/>
                <w:sz w:val="21"/>
                <w:szCs w:val="21"/>
                <w:u w:val="none"/>
                <w:lang w:val="en-US" w:eastAsia="zh-CN" w:bidi="ar"/>
                <w14:textFill>
                  <w14:solidFill>
                    <w14:schemeClr w14:val="tx1"/>
                  </w14:solidFill>
                </w14:textFill>
              </w:rPr>
              <w:t>服务支持与售后服务高度契合需求，可以很好的运用到实际工作中。</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u w:val="none"/>
                <w:lang w:val="en-US" w:eastAsia="zh-CN"/>
              </w:rPr>
            </w:pPr>
          </w:p>
        </w:tc>
        <w:tc>
          <w:tcPr>
            <w:tcW w:w="1110" w:type="dxa"/>
            <w:vMerge w:val="continue"/>
            <w:tcBorders>
              <w:left w:val="single" w:color="000000" w:sz="4" w:space="0"/>
              <w:right w:val="single" w:color="000000" w:sz="4" w:space="0"/>
            </w:tcBorders>
            <w:shd w:val="clear" w:color="auto" w:fill="auto"/>
            <w:noWrap/>
            <w:vAlign w:val="center"/>
          </w:tcPr>
          <w:p>
            <w:pPr>
              <w:spacing w:line="480" w:lineRule="exact"/>
              <w:jc w:val="center"/>
              <w:rPr>
                <w:rFonts w:hint="default" w:ascii="宋体" w:hAnsi="宋体" w:eastAsia="宋体" w:cs="宋体"/>
                <w:i w:val="0"/>
                <w:iCs w:val="0"/>
                <w:color w:val="000000"/>
                <w:sz w:val="22"/>
                <w:szCs w:val="22"/>
                <w:highlight w:val="yellow"/>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cs="宋体"/>
                <w:i w:val="0"/>
                <w:iCs w:val="0"/>
                <w:color w:val="000000"/>
                <w:sz w:val="22"/>
                <w:szCs w:val="22"/>
                <w:highlight w:val="none"/>
                <w:u w:val="none"/>
                <w:lang w:val="en-US" w:eastAsia="zh-CN"/>
              </w:rPr>
              <w:t>10</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320" w:lineRule="exact"/>
              <w:ind w:left="0" w:right="0" w:firstLine="0"/>
              <w:jc w:val="left"/>
              <w:textAlignment w:val="auto"/>
              <w:rPr>
                <w:rFonts w:hint="default"/>
                <w:highlight w:val="none"/>
                <w:lang w:val="en-US" w:eastAsia="zh-CN"/>
              </w:rPr>
            </w:pPr>
            <w:r>
              <w:rPr>
                <w:rFonts w:hint="eastAsia"/>
                <w:highlight w:val="none"/>
                <w:lang w:val="en-US" w:eastAsia="zh-CN"/>
              </w:rPr>
              <w:t>免费赠送服务1年得2分，赠送2年得5分，赠送3年以上得10分。满分为10分。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w:t>
            </w:r>
            <w:r>
              <w:rPr>
                <w:rFonts w:hint="eastAsia" w:ascii="宋体" w:hAnsi="宋体" w:eastAsia="宋体" w:cs="宋体"/>
                <w:i w:val="0"/>
                <w:iCs w:val="0"/>
                <w:color w:val="000000"/>
                <w:kern w:val="0"/>
                <w:sz w:val="22"/>
                <w:szCs w:val="22"/>
                <w:highlight w:val="none"/>
                <w:u w:val="none"/>
                <w:lang w:val="en-US" w:eastAsia="zh-CN" w:bidi="ar"/>
              </w:rPr>
              <w:t>≦m≦</w:t>
            </w:r>
            <w:r>
              <w:rPr>
                <w:rFonts w:hint="eastAsia" w:ascii="宋体" w:hAnsi="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i w:val="0"/>
                <w:iCs w:val="0"/>
                <w:color w:val="000000"/>
                <w:sz w:val="22"/>
                <w:szCs w:val="22"/>
                <w:highlight w:val="yellow"/>
                <w:u w:val="none"/>
              </w:rPr>
            </w:pPr>
          </w:p>
        </w:tc>
        <w:tc>
          <w:tcPr>
            <w:tcW w:w="5281" w:type="dxa"/>
            <w:tcBorders>
              <w:top w:val="single" w:color="000000" w:sz="4" w:space="0"/>
              <w:left w:val="single" w:color="000000" w:sz="4" w:space="0"/>
              <w:right w:val="single" w:color="000000" w:sz="4" w:space="0"/>
            </w:tcBorders>
            <w:shd w:val="clear" w:color="auto" w:fill="auto"/>
            <w:noWrap/>
            <w:vAlign w:val="center"/>
          </w:tcPr>
          <w:p>
            <w:pPr>
              <w:spacing w:line="480" w:lineRule="exact"/>
              <w:ind w:left="9" w:leftChars="0" w:hanging="9" w:firstLineChars="0"/>
              <w:jc w:val="left"/>
              <w:rPr>
                <w:rFonts w:hint="default" w:ascii="宋体" w:hAnsi="宋体" w:eastAsia="宋体" w:cs="宋体"/>
                <w:i w:val="0"/>
                <w:iCs w:val="0"/>
                <w:color w:val="000000"/>
                <w:sz w:val="22"/>
                <w:szCs w:val="22"/>
                <w:highlight w:val="yellow"/>
                <w:u w:val="none"/>
                <w:lang w:val="en-US" w:eastAsia="zh-CN"/>
              </w:rPr>
            </w:pPr>
            <w:r>
              <w:rPr>
                <w:rFonts w:hint="eastAsia" w:ascii="宋体" w:hAnsi="宋体" w:cs="Arial"/>
                <w:color w:val="auto"/>
                <w:sz w:val="21"/>
                <w:szCs w:val="21"/>
                <w:highlight w:val="none"/>
                <w:lang w:val="en-US" w:eastAsia="zh-CN"/>
              </w:rPr>
              <w:t>免费赠送的服务包含本项目所有线上课程和平台功能的使用，以年为单位。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6</w:t>
            </w:r>
            <w:r>
              <w:rPr>
                <w:rFonts w:hint="eastAsia" w:ascii="宋体" w:hAnsi="宋体" w:eastAsia="宋体" w:cs="宋体"/>
                <w:b/>
                <w:bCs/>
                <w:i w:val="0"/>
                <w:iCs w:val="0"/>
                <w:color w:val="000000"/>
                <w:kern w:val="0"/>
                <w:sz w:val="22"/>
                <w:szCs w:val="22"/>
                <w:u w:val="none"/>
                <w:lang w:val="en-US" w:eastAsia="zh-CN" w:bidi="ar"/>
              </w:rPr>
              <w:t>0分</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b/>
                <w:bCs/>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b/>
                <w:bCs/>
                <w:i w:val="0"/>
                <w:iCs w:val="0"/>
                <w:color w:val="000000"/>
                <w:sz w:val="22"/>
                <w:szCs w:val="22"/>
                <w:u w:val="none"/>
              </w:rPr>
            </w:pPr>
          </w:p>
        </w:tc>
      </w:tr>
    </w:tbl>
    <w:p>
      <w:pPr>
        <w:pStyle w:val="2"/>
        <w:ind w:left="0" w:firstLine="0"/>
        <w:rPr>
          <w:rFonts w:hAnsi="宋体"/>
          <w:color w:val="000000" w:themeColor="text1"/>
          <w:highlight w:val="none"/>
          <w14:textFill>
            <w14:solidFill>
              <w14:schemeClr w14:val="tx1"/>
            </w14:solidFill>
          </w14:textFill>
        </w:rPr>
        <w:sectPr>
          <w:pgSz w:w="16838" w:h="11905" w:orient="landscape"/>
          <w:pgMar w:top="1418" w:right="1418" w:bottom="1418" w:left="1304" w:header="454" w:footer="567" w:gutter="0"/>
          <w:pgNumType w:fmt="decimal"/>
          <w:cols w:space="720" w:num="1"/>
          <w:docGrid w:linePitch="312" w:charSpace="0"/>
        </w:sectPr>
      </w:pPr>
    </w:p>
    <w:p>
      <w:pPr>
        <w:spacing w:after="0" w:afterAutospacing="0" w:line="276" w:lineRule="auto"/>
        <w:ind w:left="0" w:right="0" w:firstLine="0"/>
        <w:rPr>
          <w:b/>
          <w:bCs/>
          <w:color w:val="auto"/>
          <w:sz w:val="21"/>
          <w:szCs w:val="21"/>
        </w:rPr>
      </w:pPr>
      <w:bookmarkStart w:id="2366" w:name="_Toc4784"/>
      <w:bookmarkStart w:id="2367" w:name="_Toc27338"/>
      <w:bookmarkStart w:id="2368" w:name="_Toc29579"/>
      <w:bookmarkStart w:id="2369" w:name="_Toc18103"/>
      <w:r>
        <w:rPr>
          <w:rFonts w:hint="eastAsia"/>
          <w:b/>
          <w:bCs/>
          <w:color w:val="auto"/>
          <w:sz w:val="21"/>
          <w:szCs w:val="21"/>
        </w:rPr>
        <w:t>附表</w:t>
      </w:r>
      <w:r>
        <w:rPr>
          <w:rFonts w:hint="eastAsia"/>
          <w:b/>
          <w:bCs/>
          <w:color w:val="auto"/>
          <w:sz w:val="21"/>
          <w:szCs w:val="21"/>
          <w:lang w:val="en-US" w:eastAsia="zh-CN"/>
        </w:rPr>
        <w:t>四</w:t>
      </w:r>
      <w:r>
        <w:rPr>
          <w:rFonts w:hint="eastAsia"/>
          <w:b/>
          <w:bCs/>
          <w:color w:val="auto"/>
          <w:sz w:val="21"/>
          <w:szCs w:val="21"/>
        </w:rPr>
        <w:t xml:space="preserve"> </w:t>
      </w:r>
      <w:bookmarkEnd w:id="2366"/>
      <w:r>
        <w:rPr>
          <w:rFonts w:hint="eastAsia"/>
          <w:b/>
          <w:bCs/>
          <w:color w:val="auto"/>
          <w:sz w:val="21"/>
          <w:szCs w:val="21"/>
        </w:rPr>
        <w:t>商务评</w:t>
      </w:r>
      <w:r>
        <w:rPr>
          <w:rFonts w:hint="eastAsia"/>
          <w:b/>
          <w:bCs/>
          <w:color w:val="auto"/>
          <w:sz w:val="21"/>
          <w:szCs w:val="21"/>
          <w:lang w:eastAsia="zh-CN"/>
        </w:rPr>
        <w:t>分</w:t>
      </w:r>
      <w:r>
        <w:rPr>
          <w:rFonts w:hint="eastAsia"/>
          <w:b/>
          <w:bCs/>
          <w:color w:val="auto"/>
          <w:sz w:val="21"/>
          <w:szCs w:val="21"/>
        </w:rPr>
        <w:t>表</w:t>
      </w:r>
      <w:bookmarkEnd w:id="2367"/>
      <w:bookmarkEnd w:id="2368"/>
      <w:bookmarkEnd w:id="2369"/>
    </w:p>
    <w:p>
      <w:pPr>
        <w:spacing w:before="0"/>
        <w:ind w:right="0" w:firstLine="0"/>
        <w:jc w:val="center"/>
        <w:rPr>
          <w:rFonts w:hAnsi="宋体"/>
          <w:b/>
          <w:color w:val="auto"/>
          <w:sz w:val="24"/>
          <w:szCs w:val="24"/>
        </w:rPr>
      </w:pPr>
      <w:r>
        <w:rPr>
          <w:rFonts w:hint="eastAsia" w:hAnsi="宋体"/>
          <w:b/>
          <w:color w:val="auto"/>
          <w:sz w:val="24"/>
          <w:szCs w:val="24"/>
        </w:rPr>
        <w:t>商务评</w:t>
      </w:r>
      <w:r>
        <w:rPr>
          <w:rFonts w:hint="eastAsia" w:hAnsi="宋体"/>
          <w:b/>
          <w:color w:val="auto"/>
          <w:sz w:val="24"/>
          <w:szCs w:val="24"/>
          <w:lang w:eastAsia="zh-CN"/>
        </w:rPr>
        <w:t>分</w:t>
      </w:r>
      <w:r>
        <w:rPr>
          <w:rFonts w:hint="eastAsia" w:hAnsi="宋体"/>
          <w:b/>
          <w:color w:val="auto"/>
          <w:sz w:val="24"/>
          <w:szCs w:val="24"/>
        </w:rPr>
        <w:t>表</w:t>
      </w:r>
    </w:p>
    <w:tbl>
      <w:tblPr>
        <w:tblStyle w:val="27"/>
        <w:tblW w:w="11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207"/>
        <w:gridCol w:w="713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1416" w:type="dxa"/>
            <w:vAlign w:val="center"/>
          </w:tcPr>
          <w:p>
            <w:pPr>
              <w:pStyle w:val="20"/>
              <w:jc w:val="center"/>
              <w:rPr>
                <w:rFonts w:ascii="宋体" w:hAnsi="宋体"/>
                <w:bCs/>
                <w:color w:val="auto"/>
                <w:sz w:val="21"/>
                <w:szCs w:val="21"/>
              </w:rPr>
            </w:pPr>
            <w:r>
              <w:rPr>
                <w:rFonts w:hint="eastAsia" w:ascii="宋体" w:hAnsi="宋体"/>
                <w:bCs/>
                <w:color w:val="auto"/>
                <w:sz w:val="21"/>
                <w:szCs w:val="21"/>
              </w:rPr>
              <w:t>评审内容</w:t>
            </w:r>
          </w:p>
        </w:tc>
        <w:tc>
          <w:tcPr>
            <w:tcW w:w="1207" w:type="dxa"/>
            <w:vAlign w:val="center"/>
          </w:tcPr>
          <w:p>
            <w:pPr>
              <w:pStyle w:val="20"/>
              <w:jc w:val="center"/>
              <w:rPr>
                <w:rFonts w:ascii="宋体" w:hAnsi="宋体"/>
                <w:bCs/>
                <w:color w:val="auto"/>
                <w:sz w:val="21"/>
                <w:szCs w:val="21"/>
              </w:rPr>
            </w:pPr>
            <w:r>
              <w:rPr>
                <w:rFonts w:hint="eastAsia" w:ascii="宋体" w:hAnsi="宋体"/>
                <w:bCs/>
                <w:color w:val="auto"/>
                <w:sz w:val="21"/>
                <w:szCs w:val="21"/>
              </w:rPr>
              <w:t>标准分</w:t>
            </w:r>
          </w:p>
        </w:tc>
        <w:tc>
          <w:tcPr>
            <w:tcW w:w="7132" w:type="dxa"/>
            <w:vAlign w:val="center"/>
          </w:tcPr>
          <w:p>
            <w:pPr>
              <w:pStyle w:val="20"/>
              <w:jc w:val="center"/>
              <w:rPr>
                <w:rFonts w:ascii="宋体" w:hAnsi="宋体"/>
                <w:bCs/>
                <w:color w:val="auto"/>
                <w:sz w:val="21"/>
                <w:szCs w:val="21"/>
              </w:rPr>
            </w:pPr>
            <w:r>
              <w:rPr>
                <w:rFonts w:hint="eastAsia" w:ascii="宋体" w:hAnsi="宋体"/>
                <w:bCs/>
                <w:color w:val="auto"/>
                <w:sz w:val="21"/>
                <w:szCs w:val="21"/>
              </w:rPr>
              <w:t>评审标准</w:t>
            </w:r>
          </w:p>
        </w:tc>
        <w:tc>
          <w:tcPr>
            <w:tcW w:w="1995" w:type="dxa"/>
            <w:vAlign w:val="center"/>
          </w:tcPr>
          <w:p>
            <w:pPr>
              <w:pStyle w:val="20"/>
              <w:jc w:val="center"/>
              <w:rPr>
                <w:rFonts w:ascii="宋体" w:hAnsi="宋体"/>
                <w:bCs/>
                <w:color w:val="auto"/>
                <w:sz w:val="21"/>
                <w:szCs w:val="21"/>
              </w:rPr>
            </w:pPr>
            <w:r>
              <w:rPr>
                <w:rFonts w:hint="eastAsia" w:ascii="宋体" w:hAnsi="宋体"/>
                <w:bCs/>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1416" w:type="dxa"/>
            <w:vAlign w:val="center"/>
          </w:tcPr>
          <w:p>
            <w:pPr>
              <w:pStyle w:val="20"/>
              <w:jc w:val="center"/>
              <w:rPr>
                <w:rFonts w:ascii="宋体" w:hAnsi="宋体"/>
                <w:bCs/>
                <w:color w:val="auto"/>
                <w:sz w:val="21"/>
                <w:szCs w:val="21"/>
              </w:rPr>
            </w:pPr>
            <w:r>
              <w:rPr>
                <w:rFonts w:hint="eastAsia" w:ascii="宋体" w:hAnsi="宋体"/>
                <w:bCs/>
                <w:color w:val="auto"/>
                <w:sz w:val="21"/>
                <w:szCs w:val="21"/>
              </w:rPr>
              <w:t>价格</w:t>
            </w:r>
          </w:p>
        </w:tc>
        <w:tc>
          <w:tcPr>
            <w:tcW w:w="1207" w:type="dxa"/>
            <w:vAlign w:val="center"/>
          </w:tcPr>
          <w:p>
            <w:pPr>
              <w:pStyle w:val="20"/>
              <w:jc w:val="center"/>
              <w:rPr>
                <w:rFonts w:ascii="宋体" w:hAnsi="宋体"/>
                <w:bCs/>
                <w:color w:val="auto"/>
                <w:sz w:val="21"/>
                <w:szCs w:val="21"/>
              </w:rPr>
            </w:pPr>
            <w:r>
              <w:rPr>
                <w:rFonts w:hint="eastAsia" w:ascii="宋体" w:hAnsi="宋体"/>
                <w:bCs/>
                <w:color w:val="auto"/>
                <w:sz w:val="21"/>
                <w:szCs w:val="21"/>
                <w:lang w:val="en-US" w:eastAsia="zh-CN"/>
              </w:rPr>
              <w:t>40</w:t>
            </w:r>
            <w:r>
              <w:rPr>
                <w:rFonts w:hint="eastAsia" w:ascii="宋体" w:hAnsi="宋体"/>
                <w:bCs/>
                <w:color w:val="auto"/>
                <w:sz w:val="21"/>
                <w:szCs w:val="21"/>
              </w:rPr>
              <w:t>分</w:t>
            </w:r>
          </w:p>
        </w:tc>
        <w:tc>
          <w:tcPr>
            <w:tcW w:w="7132" w:type="dxa"/>
          </w:tcPr>
          <w:p>
            <w:pPr>
              <w:spacing w:before="0" w:after="0" w:afterAutospacing="0" w:line="240" w:lineRule="auto"/>
              <w:ind w:left="0" w:right="0" w:firstLine="0"/>
              <w:rPr>
                <w:rFonts w:ascii="宋体" w:hAnsi="宋体"/>
                <w:bCs/>
                <w:color w:val="auto"/>
              </w:rPr>
            </w:pPr>
          </w:p>
          <w:p>
            <w:pPr>
              <w:spacing w:before="0" w:after="0" w:afterAutospacing="0" w:line="240" w:lineRule="auto"/>
              <w:ind w:left="0" w:right="0" w:firstLine="0"/>
              <w:rPr>
                <w:rFonts w:ascii="宋体" w:hAnsi="宋体"/>
                <w:bCs/>
                <w:color w:val="auto"/>
              </w:rPr>
            </w:pPr>
            <w:r>
              <w:rPr>
                <w:rFonts w:hint="eastAsia" w:ascii="宋体" w:hAnsi="宋体"/>
                <w:bCs/>
                <w:color w:val="auto"/>
              </w:rPr>
              <w:t>比选申请人总报价大于上限控制价时，比选申请文件作无效处理。</w:t>
            </w:r>
          </w:p>
          <w:p>
            <w:pPr>
              <w:spacing w:before="0" w:after="0" w:afterAutospacing="0" w:line="240" w:lineRule="auto"/>
              <w:ind w:left="0" w:right="0" w:firstLine="0"/>
              <w:rPr>
                <w:rFonts w:ascii="宋体" w:hAnsi="宋体"/>
                <w:bCs/>
                <w:color w:val="auto"/>
              </w:rPr>
            </w:pPr>
            <w:r>
              <w:rPr>
                <w:rFonts w:hint="eastAsia" w:ascii="宋体" w:hAnsi="宋体"/>
                <w:bCs/>
                <w:color w:val="auto"/>
              </w:rPr>
              <w:t>计算方法：某比选申请人价格分=</w:t>
            </w:r>
            <w:r>
              <w:rPr>
                <w:rFonts w:hint="eastAsia" w:ascii="宋体" w:hAnsi="宋体"/>
                <w:bCs/>
                <w:color w:val="auto"/>
                <w:lang w:eastAsia="zh-CN"/>
              </w:rPr>
              <w:t>（</w:t>
            </w:r>
            <w:r>
              <w:rPr>
                <w:rFonts w:hint="eastAsia" w:ascii="宋体" w:hAnsi="宋体"/>
                <w:bCs/>
                <w:color w:val="auto"/>
              </w:rPr>
              <w:t>有效比选人中最低报价/某比选申请人报价</w:t>
            </w:r>
            <w:r>
              <w:rPr>
                <w:rFonts w:hint="eastAsia" w:ascii="宋体" w:hAnsi="宋体"/>
                <w:bCs/>
                <w:color w:val="auto"/>
                <w:lang w:eastAsia="zh-CN"/>
              </w:rPr>
              <w:t>）</w:t>
            </w:r>
            <w:r>
              <w:rPr>
                <w:rFonts w:hint="eastAsia" w:ascii="宋体" w:hAnsi="宋体"/>
                <w:bCs/>
                <w:color w:val="auto"/>
              </w:rPr>
              <w:t>*</w:t>
            </w:r>
            <w:r>
              <w:rPr>
                <w:rFonts w:hint="eastAsia" w:ascii="宋体" w:hAnsi="宋体"/>
                <w:bCs/>
                <w:color w:val="auto"/>
                <w:lang w:val="en-US" w:eastAsia="zh-CN"/>
              </w:rPr>
              <w:t>40</w:t>
            </w:r>
            <w:r>
              <w:rPr>
                <w:rFonts w:hint="eastAsia" w:ascii="宋体" w:hAnsi="宋体"/>
                <w:bCs/>
                <w:color w:val="auto"/>
              </w:rPr>
              <w:t>。</w:t>
            </w:r>
          </w:p>
          <w:p>
            <w:pPr>
              <w:spacing w:before="0" w:after="0" w:afterAutospacing="0" w:line="240" w:lineRule="auto"/>
              <w:ind w:left="0" w:right="0" w:firstLine="0"/>
              <w:rPr>
                <w:rFonts w:ascii="宋体" w:hAnsi="宋体"/>
                <w:bCs/>
                <w:color w:val="auto"/>
              </w:rPr>
            </w:pPr>
            <w:r>
              <w:rPr>
                <w:rFonts w:hint="eastAsia" w:ascii="宋体" w:hAnsi="宋体"/>
                <w:bCs/>
                <w:color w:val="auto"/>
              </w:rPr>
              <w:t>备注：</w:t>
            </w:r>
          </w:p>
          <w:p>
            <w:pPr>
              <w:spacing w:before="0" w:after="0" w:afterAutospacing="0" w:line="240" w:lineRule="auto"/>
              <w:ind w:left="0" w:right="0" w:firstLine="0"/>
              <w:rPr>
                <w:rFonts w:ascii="宋体" w:hAnsi="宋体"/>
                <w:bCs/>
                <w:color w:val="auto"/>
              </w:rPr>
            </w:pPr>
            <w:r>
              <w:rPr>
                <w:rFonts w:ascii="宋体" w:hAnsi="宋体"/>
                <w:bCs/>
                <w:color w:val="auto"/>
              </w:rPr>
              <w:t>1、价格以不含税价格作为计算依据</w:t>
            </w:r>
            <w:r>
              <w:rPr>
                <w:rFonts w:hint="eastAsia" w:ascii="宋体" w:hAnsi="宋体"/>
                <w:bCs/>
                <w:color w:val="auto"/>
              </w:rPr>
              <w:t>。</w:t>
            </w:r>
          </w:p>
          <w:p>
            <w:pPr>
              <w:spacing w:before="0" w:after="0" w:afterAutospacing="0" w:line="240" w:lineRule="auto"/>
              <w:ind w:left="0" w:right="0" w:firstLine="0"/>
              <w:rPr>
                <w:rFonts w:ascii="宋体" w:hAnsi="宋体"/>
                <w:bCs/>
                <w:color w:val="auto"/>
              </w:rPr>
            </w:pPr>
            <w:r>
              <w:rPr>
                <w:rFonts w:ascii="宋体" w:hAnsi="宋体"/>
                <w:bCs/>
                <w:color w:val="auto"/>
              </w:rPr>
              <w:t>2、价格分计算保留小数点后</w:t>
            </w:r>
            <w:r>
              <w:rPr>
                <w:rFonts w:hint="eastAsia" w:ascii="宋体" w:hAnsi="宋体"/>
                <w:bCs/>
                <w:color w:val="auto"/>
              </w:rPr>
              <w:t>两</w:t>
            </w:r>
            <w:r>
              <w:rPr>
                <w:rFonts w:ascii="宋体" w:hAnsi="宋体"/>
                <w:bCs/>
                <w:color w:val="auto"/>
              </w:rPr>
              <w:t>位</w:t>
            </w:r>
            <w:r>
              <w:rPr>
                <w:rFonts w:hint="eastAsia" w:ascii="宋体" w:hAnsi="宋体"/>
                <w:bCs/>
                <w:color w:val="auto"/>
              </w:rPr>
              <w:t>。</w:t>
            </w:r>
          </w:p>
        </w:tc>
        <w:tc>
          <w:tcPr>
            <w:tcW w:w="1995" w:type="dxa"/>
            <w:vAlign w:val="center"/>
          </w:tcPr>
          <w:p>
            <w:pPr>
              <w:pStyle w:val="20"/>
              <w:jc w:val="center"/>
              <w:rPr>
                <w:rFonts w:ascii="宋体" w:hAnsi="宋体"/>
                <w:bCs/>
                <w:color w:val="auto"/>
                <w:sz w:val="21"/>
                <w:szCs w:val="21"/>
              </w:rPr>
            </w:pPr>
          </w:p>
        </w:tc>
      </w:tr>
    </w:tbl>
    <w:p>
      <w:pPr>
        <w:rPr>
          <w:rFonts w:ascii="宋体" w:hAnsi="宋体"/>
          <w:color w:val="auto"/>
        </w:rPr>
        <w:sectPr>
          <w:headerReference r:id="rId11" w:type="default"/>
          <w:footerReference r:id="rId12" w:type="default"/>
          <w:pgSz w:w="16838" w:h="11905" w:orient="landscape"/>
          <w:pgMar w:top="1418" w:right="1418" w:bottom="1418" w:left="1304" w:header="454" w:footer="567" w:gutter="0"/>
          <w:cols w:space="720" w:num="1"/>
          <w:docGrid w:linePitch="312" w:charSpace="0"/>
        </w:sectPr>
      </w:pPr>
    </w:p>
    <w:p>
      <w:pPr>
        <w:pStyle w:val="3"/>
        <w:spacing w:after="0" w:line="360" w:lineRule="auto"/>
        <w:ind w:right="-57"/>
        <w:rPr>
          <w:rFonts w:hint="eastAsia"/>
          <w:color w:val="auto"/>
          <w:sz w:val="21"/>
          <w:szCs w:val="21"/>
          <w:highlight w:val="none"/>
        </w:rPr>
      </w:pPr>
      <w:bookmarkStart w:id="2370" w:name="_Toc9290"/>
      <w:bookmarkStart w:id="2371" w:name="_Toc3314"/>
      <w:bookmarkStart w:id="2372" w:name="_Toc32313"/>
      <w:bookmarkStart w:id="2373" w:name="_Toc15961"/>
      <w:bookmarkStart w:id="2374" w:name="_Toc8319"/>
      <w:bookmarkStart w:id="2375" w:name="_Toc8965"/>
      <w:r>
        <w:rPr>
          <w:rFonts w:hint="eastAsia"/>
          <w:color w:val="auto"/>
          <w:sz w:val="21"/>
          <w:szCs w:val="21"/>
          <w:highlight w:val="none"/>
        </w:rPr>
        <w:t>附表五 比选申请价格评审表</w:t>
      </w:r>
      <w:bookmarkEnd w:id="2370"/>
      <w:bookmarkEnd w:id="2371"/>
      <w:bookmarkEnd w:id="2372"/>
      <w:bookmarkEnd w:id="2373"/>
      <w:bookmarkEnd w:id="2374"/>
      <w:bookmarkEnd w:id="2375"/>
    </w:p>
    <w:p>
      <w:pPr>
        <w:spacing w:before="0" w:line="240" w:lineRule="auto"/>
        <w:ind w:right="0" w:firstLine="0"/>
        <w:jc w:val="center"/>
        <w:rPr>
          <w:rFonts w:hint="eastAsia" w:ascii="Times New Roman" w:hAnsi="宋体"/>
          <w:b/>
          <w:color w:val="auto"/>
          <w:sz w:val="24"/>
          <w:szCs w:val="24"/>
          <w:highlight w:val="none"/>
        </w:rPr>
      </w:pPr>
      <w:r>
        <w:rPr>
          <w:rFonts w:hint="eastAsia" w:ascii="Times New Roman" w:hAnsi="宋体"/>
          <w:b/>
          <w:color w:val="auto"/>
          <w:sz w:val="24"/>
          <w:szCs w:val="24"/>
          <w:highlight w:val="none"/>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noWrap w:val="0"/>
            <w:vAlign w:val="center"/>
          </w:tcPr>
          <w:p>
            <w:pPr>
              <w:rPr>
                <w:rFonts w:ascii="宋体" w:hAnsi="宋体"/>
                <w:color w:val="auto"/>
                <w:highlight w:val="none"/>
              </w:rPr>
            </w:pPr>
          </w:p>
        </w:tc>
        <w:tc>
          <w:tcPr>
            <w:tcW w:w="4536" w:type="dxa"/>
            <w:tcBorders>
              <w:left w:val="single" w:color="auto" w:sz="4" w:space="0"/>
              <w:right w:val="single" w:color="auto" w:sz="4" w:space="0"/>
            </w:tcBorders>
            <w:noWrap w:val="0"/>
            <w:vAlign w:val="center"/>
          </w:tcPr>
          <w:p>
            <w:pPr>
              <w:rPr>
                <w:rFonts w:ascii="宋体" w:hAnsi="宋体"/>
                <w:color w:val="auto"/>
                <w:highlight w:val="none"/>
              </w:rPr>
            </w:pPr>
          </w:p>
        </w:tc>
        <w:tc>
          <w:tcPr>
            <w:tcW w:w="2268" w:type="dxa"/>
            <w:tcBorders>
              <w:left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highlight w:val="none"/>
              </w:rPr>
            </w:pPr>
          </w:p>
        </w:tc>
      </w:tr>
    </w:tbl>
    <w:p>
      <w:pPr>
        <w:spacing w:line="240" w:lineRule="atLeast"/>
        <w:jc w:val="left"/>
        <w:rPr>
          <w:rFonts w:ascii="宋体" w:hAnsi="宋体"/>
          <w:color w:val="auto"/>
          <w:highlight w:val="none"/>
        </w:rPr>
      </w:pPr>
      <w:r>
        <w:rPr>
          <w:rFonts w:hint="eastAsia" w:ascii="宋体" w:hAnsi="宋体"/>
          <w:color w:val="auto"/>
          <w:highlight w:val="none"/>
        </w:rPr>
        <w:t>注：</w:t>
      </w:r>
    </w:p>
    <w:p>
      <w:pPr>
        <w:spacing w:line="240" w:lineRule="atLeast"/>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pStyle w:val="2"/>
        <w:ind w:left="0" w:firstLine="0"/>
        <w:rPr>
          <w:rFonts w:ascii="宋体" w:hAnsi="宋体"/>
          <w:color w:val="auto"/>
        </w:rPr>
      </w:pPr>
      <w:r>
        <w:rPr>
          <w:rFonts w:hint="eastAsia" w:ascii="宋体" w:hAnsi="宋体"/>
          <w:color w:val="auto"/>
          <w:highlight w:val="none"/>
        </w:rPr>
        <w:t>2.评标价格及中标价均以修正后价格为准。如投标人不接受按以上规则确定的评标总价和中标价，则其投标将被拒绝。</w:t>
      </w:r>
    </w:p>
    <w:p>
      <w:pPr>
        <w:pStyle w:val="2"/>
        <w:ind w:left="0" w:firstLine="0"/>
        <w:rPr>
          <w:rFonts w:ascii="宋体" w:hAnsi="宋体"/>
          <w:color w:val="auto"/>
        </w:rPr>
      </w:pPr>
    </w:p>
    <w:p>
      <w:pPr>
        <w:pStyle w:val="2"/>
        <w:ind w:left="0" w:firstLine="0"/>
        <w:rPr>
          <w:rFonts w:ascii="宋体" w:hAnsi="宋体"/>
          <w:color w:val="auto"/>
        </w:rPr>
      </w:pPr>
    </w:p>
    <w:p>
      <w:pPr>
        <w:pStyle w:val="2"/>
        <w:ind w:left="0" w:firstLine="0"/>
        <w:rPr>
          <w:rFonts w:ascii="宋体" w:hAnsi="宋体"/>
          <w:color w:val="auto"/>
        </w:rPr>
      </w:pPr>
    </w:p>
    <w:p>
      <w:pPr>
        <w:pStyle w:val="3"/>
        <w:spacing w:after="0" w:line="360" w:lineRule="auto"/>
        <w:ind w:right="-57"/>
        <w:rPr>
          <w:color w:val="auto"/>
          <w:sz w:val="21"/>
          <w:szCs w:val="21"/>
        </w:rPr>
      </w:pPr>
      <w:bookmarkStart w:id="2376" w:name="_Toc26843"/>
      <w:bookmarkStart w:id="2377" w:name="_Toc1673"/>
      <w:bookmarkStart w:id="2378" w:name="_Toc16964"/>
      <w:bookmarkStart w:id="2379" w:name="_Toc9326"/>
      <w:bookmarkStart w:id="2380" w:name="_Toc19188"/>
      <w:bookmarkStart w:id="2381" w:name="_Toc28926"/>
      <w:r>
        <w:rPr>
          <w:rFonts w:hint="eastAsia"/>
          <w:color w:val="auto"/>
          <w:sz w:val="21"/>
          <w:szCs w:val="21"/>
        </w:rPr>
        <w:t>附表</w:t>
      </w:r>
      <w:r>
        <w:rPr>
          <w:rFonts w:hint="eastAsia"/>
          <w:color w:val="auto"/>
          <w:sz w:val="21"/>
          <w:szCs w:val="21"/>
          <w:lang w:eastAsia="zh-CN"/>
        </w:rPr>
        <w:t>六</w:t>
      </w:r>
      <w:r>
        <w:rPr>
          <w:rFonts w:hint="eastAsia"/>
          <w:color w:val="auto"/>
          <w:sz w:val="21"/>
          <w:szCs w:val="21"/>
        </w:rPr>
        <w:t xml:space="preserve"> 比选申请报价修正表</w:t>
      </w:r>
      <w:bookmarkEnd w:id="2376"/>
      <w:bookmarkEnd w:id="2377"/>
      <w:bookmarkEnd w:id="2378"/>
      <w:bookmarkEnd w:id="2379"/>
      <w:bookmarkEnd w:id="2380"/>
      <w:bookmarkEnd w:id="2381"/>
    </w:p>
    <w:p>
      <w:pPr>
        <w:spacing w:before="0"/>
        <w:ind w:right="0" w:firstLine="0"/>
        <w:jc w:val="center"/>
        <w:rPr>
          <w:rFonts w:hAnsi="宋体"/>
          <w:b/>
          <w:color w:val="auto"/>
          <w:sz w:val="24"/>
          <w:szCs w:val="24"/>
        </w:rPr>
      </w:pPr>
      <w:r>
        <w:rPr>
          <w:rFonts w:hint="eastAsia" w:hAnsi="宋体"/>
          <w:b/>
          <w:color w:val="auto"/>
          <w:sz w:val="24"/>
          <w:szCs w:val="24"/>
        </w:rPr>
        <w:t>比选申请报价修正表</w:t>
      </w:r>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rPr>
            </w:pPr>
            <w:r>
              <w:rPr>
                <w:rFonts w:hint="eastAsia" w:ascii="宋体" w:hAnsi="宋体"/>
                <w:b/>
                <w:color w:val="auto"/>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color w:val="auto"/>
              </w:rPr>
            </w:pPr>
            <w:r>
              <w:rPr>
                <w:rFonts w:hint="eastAsia" w:ascii="宋体" w:hAnsi="宋体"/>
                <w:b/>
                <w:color w:val="auto"/>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rPr>
            </w:pPr>
            <w:r>
              <w:rPr>
                <w:rFonts w:hint="eastAsia" w:ascii="宋体" w:hAnsi="宋体" w:cs="宋体"/>
                <w:b/>
                <w:color w:val="auto"/>
              </w:rPr>
              <w:t>我单位（</w:t>
            </w:r>
            <w:r>
              <w:rPr>
                <w:rFonts w:ascii="宋体" w:hAnsi="宋体"/>
                <w:b/>
                <w:color w:val="auto"/>
              </w:rPr>
              <w:t>□</w:t>
            </w:r>
            <w:r>
              <w:rPr>
                <w:rFonts w:hint="eastAsia" w:ascii="宋体" w:hAnsi="宋体" w:cs="宋体"/>
                <w:b/>
                <w:color w:val="auto"/>
              </w:rPr>
              <w:t>接受</w:t>
            </w:r>
            <w:r>
              <w:rPr>
                <w:rFonts w:ascii="宋体" w:hAnsi="宋体"/>
                <w:b/>
                <w:color w:val="auto"/>
              </w:rPr>
              <w:t>□不接受</w:t>
            </w:r>
            <w:r>
              <w:rPr>
                <w:rFonts w:hint="eastAsia" w:ascii="宋体" w:hAnsi="宋体"/>
                <w:b/>
                <w:color w:val="auto"/>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rPr>
            </w:pPr>
            <w:r>
              <w:rPr>
                <w:rFonts w:hint="eastAsia" w:ascii="宋体" w:hAnsi="宋体"/>
                <w:b/>
                <w:color w:val="auto"/>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rPr>
            </w:pPr>
          </w:p>
          <w:p>
            <w:pPr>
              <w:spacing w:before="0" w:line="240" w:lineRule="auto"/>
              <w:ind w:right="0" w:firstLine="0"/>
              <w:rPr>
                <w:rFonts w:ascii="宋体" w:hAnsi="宋体" w:cs="宋体"/>
                <w:b/>
                <w:color w:val="auto"/>
              </w:rPr>
            </w:pPr>
            <w:r>
              <w:rPr>
                <w:rFonts w:hint="eastAsia" w:ascii="宋体" w:hAnsi="宋体" w:cs="宋体"/>
                <w:b/>
                <w:color w:val="auto"/>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w:t>
      </w:r>
      <w:r>
        <w:rPr>
          <w:rFonts w:ascii="微软雅黑" w:hAnsi="微软雅黑" w:eastAsia="微软雅黑" w:cs="微软雅黑"/>
          <w:i w:val="0"/>
          <w:iCs w:val="0"/>
          <w:caps w:val="0"/>
          <w:color w:val="auto"/>
          <w:spacing w:val="0"/>
          <w:sz w:val="21"/>
          <w:szCs w:val="21"/>
          <w:shd w:val="clear" w:fill="FFFFFF"/>
        </w:rPr>
        <w:t>评标价格及中标价均以修正后价格为准。如投标人不接受按以上规则确定的评标总价和中标价，则其投标将被拒绝。</w:t>
      </w:r>
    </w:p>
    <w:p>
      <w:pPr>
        <w:rPr>
          <w:color w:val="auto"/>
          <w:highlight w:val="none"/>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Pr>
        <w:spacing w:before="0" w:after="0"/>
        <w:ind w:left="0" w:right="0" w:firstLine="0"/>
        <w:jc w:val="left"/>
        <w:rPr>
          <w:rFonts w:ascii="宋体" w:hAnsi="宋体"/>
          <w:color w:val="000000" w:themeColor="text1"/>
          <w:highlight w:val="none"/>
          <w14:textFill>
            <w14:solidFill>
              <w14:schemeClr w14:val="tx1"/>
            </w14:solidFill>
          </w14:textFill>
        </w:rPr>
      </w:pPr>
    </w:p>
    <w:sectPr>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32"/>
    </w:sdtPr>
    <w:sdtContent>
      <w:p>
        <w:pPr>
          <w:pStyle w:val="16"/>
          <w:jc w:val="center"/>
        </w:pPr>
        <w:r>
          <w:fldChar w:fldCharType="begin"/>
        </w:r>
        <w:r>
          <w:instrText xml:space="preserve">PAGE   \* MERGEFORMAT</w:instrText>
        </w:r>
        <w:r>
          <w:fldChar w:fldCharType="separate"/>
        </w:r>
        <w:r>
          <w:rPr>
            <w:lang w:val="zh-CN"/>
          </w:rPr>
          <w:t>34</w:t>
        </w:r>
        <w:r>
          <w:rPr>
            <w:lang w:val="zh-CN"/>
          </w:rPr>
          <w:fldChar w:fldCharType="end"/>
        </w:r>
      </w:p>
    </w:sdtContent>
  </w:sdt>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
                            <w:fldChar w:fldCharType="begin"/>
                          </w:r>
                          <w:r>
                            <w:instrText xml:space="preserve">PAGE  \* MERGEFORMAT</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64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978A975E"/>
    <w:multiLevelType w:val="singleLevel"/>
    <w:tmpl w:val="978A975E"/>
    <w:lvl w:ilvl="0" w:tentative="0">
      <w:start w:val="1"/>
      <w:numFmt w:val="decimal"/>
      <w:lvlText w:val="%1."/>
      <w:lvlJc w:val="left"/>
      <w:pPr>
        <w:tabs>
          <w:tab w:val="left" w:pos="312"/>
        </w:tabs>
      </w:pPr>
    </w:lvl>
  </w:abstractNum>
  <w:abstractNum w:abstractNumId="2">
    <w:nsid w:val="CE075866"/>
    <w:multiLevelType w:val="singleLevel"/>
    <w:tmpl w:val="CE075866"/>
    <w:lvl w:ilvl="0" w:tentative="0">
      <w:start w:val="1"/>
      <w:numFmt w:val="decimal"/>
      <w:suff w:val="nothing"/>
      <w:lvlText w:val="（%1）"/>
      <w:lvlJc w:val="left"/>
      <w:pPr>
        <w:ind w:left="315"/>
      </w:pPr>
    </w:lvl>
  </w:abstractNum>
  <w:abstractNum w:abstractNumId="3">
    <w:nsid w:val="03C8221A"/>
    <w:multiLevelType w:val="singleLevel"/>
    <w:tmpl w:val="03C8221A"/>
    <w:lvl w:ilvl="0" w:tentative="0">
      <w:start w:val="3"/>
      <w:numFmt w:val="chineseCounting"/>
      <w:suff w:val="nothing"/>
      <w:lvlText w:val="（%1）"/>
      <w:lvlJc w:val="left"/>
      <w:pPr>
        <w:ind w:left="-2"/>
      </w:pPr>
      <w:rPr>
        <w:rFonts w:hint="eastAsia"/>
      </w:rPr>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7">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8">
    <w:nsid w:val="39D84D69"/>
    <w:multiLevelType w:val="singleLevel"/>
    <w:tmpl w:val="39D84D69"/>
    <w:lvl w:ilvl="0" w:tentative="0">
      <w:start w:val="2"/>
      <w:numFmt w:val="chineseCounting"/>
      <w:suff w:val="nothing"/>
      <w:lvlText w:val="%1、"/>
      <w:lvlJc w:val="left"/>
      <w:rPr>
        <w:rFonts w:hint="eastAsia"/>
      </w:rPr>
    </w:lvl>
  </w:abstractNum>
  <w:num w:numId="1">
    <w:abstractNumId w:val="2"/>
  </w:num>
  <w:num w:numId="2">
    <w:abstractNumId w:val="10"/>
  </w:num>
  <w:num w:numId="3">
    <w:abstractNumId w:val="5"/>
  </w:num>
  <w:num w:numId="4">
    <w:abstractNumId w:val="4"/>
  </w:num>
  <w:num w:numId="5">
    <w:abstractNumId w:val="17"/>
  </w:num>
  <w:num w:numId="6">
    <w:abstractNumId w:val="16"/>
  </w:num>
  <w:num w:numId="7">
    <w:abstractNumId w:val="8"/>
  </w:num>
  <w:num w:numId="8">
    <w:abstractNumId w:val="15"/>
  </w:num>
  <w:num w:numId="9">
    <w:abstractNumId w:val="9"/>
  </w:num>
  <w:num w:numId="10">
    <w:abstractNumId w:val="12"/>
  </w:num>
  <w:num w:numId="11">
    <w:abstractNumId w:val="7"/>
  </w:num>
  <w:num w:numId="12">
    <w:abstractNumId w:val="14"/>
  </w:num>
  <w:num w:numId="13">
    <w:abstractNumId w:val="6"/>
  </w:num>
  <w:num w:numId="14">
    <w:abstractNumId w:val="13"/>
  </w:num>
  <w:num w:numId="15">
    <w:abstractNumId w:val="11"/>
  </w:num>
  <w:num w:numId="16">
    <w:abstractNumId w:val="18"/>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YWY4ZWRiZmQ1NWRmNzU5M2Y1YzdmMzFiMjdiZjIifQ=="/>
  </w:docVars>
  <w:rsids>
    <w:rsidRoot w:val="00172A2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7064"/>
    <w:rsid w:val="00092270"/>
    <w:rsid w:val="0009493E"/>
    <w:rsid w:val="00095EF2"/>
    <w:rsid w:val="00096990"/>
    <w:rsid w:val="000A01FC"/>
    <w:rsid w:val="000A0577"/>
    <w:rsid w:val="000A13B5"/>
    <w:rsid w:val="000A1767"/>
    <w:rsid w:val="000A1C58"/>
    <w:rsid w:val="000A30AB"/>
    <w:rsid w:val="000A68DB"/>
    <w:rsid w:val="000B339F"/>
    <w:rsid w:val="000B34C7"/>
    <w:rsid w:val="000B4486"/>
    <w:rsid w:val="000C1668"/>
    <w:rsid w:val="000C1E70"/>
    <w:rsid w:val="000C20C1"/>
    <w:rsid w:val="000C271F"/>
    <w:rsid w:val="000C53FF"/>
    <w:rsid w:val="000C56A1"/>
    <w:rsid w:val="000C68D6"/>
    <w:rsid w:val="000D2B9F"/>
    <w:rsid w:val="000D3045"/>
    <w:rsid w:val="000D4130"/>
    <w:rsid w:val="000D4905"/>
    <w:rsid w:val="000E072A"/>
    <w:rsid w:val="000E0F81"/>
    <w:rsid w:val="000E268B"/>
    <w:rsid w:val="000E2CF2"/>
    <w:rsid w:val="000E3126"/>
    <w:rsid w:val="000E5469"/>
    <w:rsid w:val="000E732D"/>
    <w:rsid w:val="000E7DA5"/>
    <w:rsid w:val="000F251C"/>
    <w:rsid w:val="000F4CFD"/>
    <w:rsid w:val="000F6EB3"/>
    <w:rsid w:val="00102D53"/>
    <w:rsid w:val="001052CE"/>
    <w:rsid w:val="00110B51"/>
    <w:rsid w:val="0011106B"/>
    <w:rsid w:val="0011296C"/>
    <w:rsid w:val="001207B4"/>
    <w:rsid w:val="00121D99"/>
    <w:rsid w:val="001250E7"/>
    <w:rsid w:val="0012593E"/>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24EF"/>
    <w:rsid w:val="00196E63"/>
    <w:rsid w:val="001A0962"/>
    <w:rsid w:val="001A1610"/>
    <w:rsid w:val="001A27E8"/>
    <w:rsid w:val="001A37D3"/>
    <w:rsid w:val="001A3FCA"/>
    <w:rsid w:val="001A5374"/>
    <w:rsid w:val="001A5C7B"/>
    <w:rsid w:val="001A5EC5"/>
    <w:rsid w:val="001B0893"/>
    <w:rsid w:val="001B0CA1"/>
    <w:rsid w:val="001B3A0C"/>
    <w:rsid w:val="001B7F87"/>
    <w:rsid w:val="001C04AD"/>
    <w:rsid w:val="001C0C50"/>
    <w:rsid w:val="001C3628"/>
    <w:rsid w:val="001D5202"/>
    <w:rsid w:val="001E048A"/>
    <w:rsid w:val="001E0D82"/>
    <w:rsid w:val="001E4669"/>
    <w:rsid w:val="001E5985"/>
    <w:rsid w:val="001E5F4A"/>
    <w:rsid w:val="001E7288"/>
    <w:rsid w:val="001F159C"/>
    <w:rsid w:val="001F35BE"/>
    <w:rsid w:val="001F6F6B"/>
    <w:rsid w:val="002041A6"/>
    <w:rsid w:val="00206D2E"/>
    <w:rsid w:val="002118D0"/>
    <w:rsid w:val="00216A84"/>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741B"/>
    <w:rsid w:val="002475FF"/>
    <w:rsid w:val="00254739"/>
    <w:rsid w:val="00254AB8"/>
    <w:rsid w:val="00257452"/>
    <w:rsid w:val="00261C93"/>
    <w:rsid w:val="0026515C"/>
    <w:rsid w:val="00265500"/>
    <w:rsid w:val="00266ED6"/>
    <w:rsid w:val="00270264"/>
    <w:rsid w:val="0027078B"/>
    <w:rsid w:val="002717D3"/>
    <w:rsid w:val="0027197D"/>
    <w:rsid w:val="00272F80"/>
    <w:rsid w:val="00273D5A"/>
    <w:rsid w:val="002749C8"/>
    <w:rsid w:val="0027505C"/>
    <w:rsid w:val="0027764C"/>
    <w:rsid w:val="00285096"/>
    <w:rsid w:val="0029085E"/>
    <w:rsid w:val="0029271B"/>
    <w:rsid w:val="002928FB"/>
    <w:rsid w:val="00293D10"/>
    <w:rsid w:val="00294282"/>
    <w:rsid w:val="00296A75"/>
    <w:rsid w:val="002A3639"/>
    <w:rsid w:val="002A5354"/>
    <w:rsid w:val="002A64B1"/>
    <w:rsid w:val="002B1EE1"/>
    <w:rsid w:val="002B2853"/>
    <w:rsid w:val="002C0675"/>
    <w:rsid w:val="002C0DC1"/>
    <w:rsid w:val="002C556E"/>
    <w:rsid w:val="002C5B0F"/>
    <w:rsid w:val="002D23D9"/>
    <w:rsid w:val="002D2931"/>
    <w:rsid w:val="002D6D0E"/>
    <w:rsid w:val="002E0D2B"/>
    <w:rsid w:val="002E183A"/>
    <w:rsid w:val="002E190D"/>
    <w:rsid w:val="002E7417"/>
    <w:rsid w:val="002F0BAC"/>
    <w:rsid w:val="002F584B"/>
    <w:rsid w:val="002F6FB0"/>
    <w:rsid w:val="00302CB5"/>
    <w:rsid w:val="003062CE"/>
    <w:rsid w:val="00307005"/>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2D17"/>
    <w:rsid w:val="00374B79"/>
    <w:rsid w:val="00375804"/>
    <w:rsid w:val="00376EC9"/>
    <w:rsid w:val="003774CA"/>
    <w:rsid w:val="003812E6"/>
    <w:rsid w:val="003923F1"/>
    <w:rsid w:val="00393ABA"/>
    <w:rsid w:val="00395A23"/>
    <w:rsid w:val="003A0C71"/>
    <w:rsid w:val="003A13FC"/>
    <w:rsid w:val="003A170B"/>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4273"/>
    <w:rsid w:val="003E4F21"/>
    <w:rsid w:val="003E686E"/>
    <w:rsid w:val="003F0384"/>
    <w:rsid w:val="003F1621"/>
    <w:rsid w:val="003F2270"/>
    <w:rsid w:val="003F3490"/>
    <w:rsid w:val="003F391E"/>
    <w:rsid w:val="003F4243"/>
    <w:rsid w:val="003F53AE"/>
    <w:rsid w:val="003F69AC"/>
    <w:rsid w:val="003F70B8"/>
    <w:rsid w:val="003F7DB6"/>
    <w:rsid w:val="00400D5C"/>
    <w:rsid w:val="004043A2"/>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7A0"/>
    <w:rsid w:val="00483945"/>
    <w:rsid w:val="0048612F"/>
    <w:rsid w:val="00494D55"/>
    <w:rsid w:val="004963F9"/>
    <w:rsid w:val="004A0D30"/>
    <w:rsid w:val="004A47B3"/>
    <w:rsid w:val="004A76A3"/>
    <w:rsid w:val="004B1E96"/>
    <w:rsid w:val="004B508D"/>
    <w:rsid w:val="004B5A61"/>
    <w:rsid w:val="004B62C0"/>
    <w:rsid w:val="004B6DCC"/>
    <w:rsid w:val="004B7085"/>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39A4"/>
    <w:rsid w:val="00505261"/>
    <w:rsid w:val="00505BBB"/>
    <w:rsid w:val="00510E4D"/>
    <w:rsid w:val="00512A45"/>
    <w:rsid w:val="00514EBE"/>
    <w:rsid w:val="00522711"/>
    <w:rsid w:val="00524D1C"/>
    <w:rsid w:val="0052634A"/>
    <w:rsid w:val="00531AE9"/>
    <w:rsid w:val="00533D12"/>
    <w:rsid w:val="00541401"/>
    <w:rsid w:val="00541508"/>
    <w:rsid w:val="0054250C"/>
    <w:rsid w:val="0054269C"/>
    <w:rsid w:val="005429ED"/>
    <w:rsid w:val="005430E3"/>
    <w:rsid w:val="00545844"/>
    <w:rsid w:val="00553C6B"/>
    <w:rsid w:val="00556A6A"/>
    <w:rsid w:val="00556CD9"/>
    <w:rsid w:val="00557365"/>
    <w:rsid w:val="00557BD4"/>
    <w:rsid w:val="0056314A"/>
    <w:rsid w:val="0056450E"/>
    <w:rsid w:val="00564C20"/>
    <w:rsid w:val="0056775A"/>
    <w:rsid w:val="00567975"/>
    <w:rsid w:val="005728D0"/>
    <w:rsid w:val="005746F2"/>
    <w:rsid w:val="00574C3B"/>
    <w:rsid w:val="0057690D"/>
    <w:rsid w:val="00576CB2"/>
    <w:rsid w:val="00585C2E"/>
    <w:rsid w:val="00585D85"/>
    <w:rsid w:val="00590C7F"/>
    <w:rsid w:val="0059707C"/>
    <w:rsid w:val="005A2E67"/>
    <w:rsid w:val="005B1E88"/>
    <w:rsid w:val="005B206F"/>
    <w:rsid w:val="005B5BAE"/>
    <w:rsid w:val="005C0795"/>
    <w:rsid w:val="005C1E78"/>
    <w:rsid w:val="005C25A7"/>
    <w:rsid w:val="005C5B0E"/>
    <w:rsid w:val="005C5FBB"/>
    <w:rsid w:val="005C717B"/>
    <w:rsid w:val="005C7ADF"/>
    <w:rsid w:val="005D7E94"/>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6A71"/>
    <w:rsid w:val="006279E7"/>
    <w:rsid w:val="006303CE"/>
    <w:rsid w:val="0063121D"/>
    <w:rsid w:val="006325C8"/>
    <w:rsid w:val="00634596"/>
    <w:rsid w:val="00636152"/>
    <w:rsid w:val="00642815"/>
    <w:rsid w:val="006428C6"/>
    <w:rsid w:val="00642B95"/>
    <w:rsid w:val="0064396B"/>
    <w:rsid w:val="00652F20"/>
    <w:rsid w:val="0065460D"/>
    <w:rsid w:val="00655A01"/>
    <w:rsid w:val="0066001D"/>
    <w:rsid w:val="00663EDE"/>
    <w:rsid w:val="006679DC"/>
    <w:rsid w:val="00670400"/>
    <w:rsid w:val="006724B7"/>
    <w:rsid w:val="00677925"/>
    <w:rsid w:val="00677A8A"/>
    <w:rsid w:val="00680106"/>
    <w:rsid w:val="00681212"/>
    <w:rsid w:val="00691486"/>
    <w:rsid w:val="006922EC"/>
    <w:rsid w:val="00695C49"/>
    <w:rsid w:val="00696D3F"/>
    <w:rsid w:val="006A0EE7"/>
    <w:rsid w:val="006A1056"/>
    <w:rsid w:val="006A2F07"/>
    <w:rsid w:val="006A543A"/>
    <w:rsid w:val="006B46ED"/>
    <w:rsid w:val="006B6F3C"/>
    <w:rsid w:val="006C0CF4"/>
    <w:rsid w:val="006C1838"/>
    <w:rsid w:val="006C394B"/>
    <w:rsid w:val="006C626B"/>
    <w:rsid w:val="006D406D"/>
    <w:rsid w:val="006D5829"/>
    <w:rsid w:val="006E143F"/>
    <w:rsid w:val="006E59F5"/>
    <w:rsid w:val="006F1974"/>
    <w:rsid w:val="006F48AD"/>
    <w:rsid w:val="006F5A00"/>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69B4"/>
    <w:rsid w:val="00737A61"/>
    <w:rsid w:val="00741613"/>
    <w:rsid w:val="00746901"/>
    <w:rsid w:val="00746F1B"/>
    <w:rsid w:val="007538E4"/>
    <w:rsid w:val="00755281"/>
    <w:rsid w:val="007575EA"/>
    <w:rsid w:val="00773E85"/>
    <w:rsid w:val="00774A5D"/>
    <w:rsid w:val="0077661F"/>
    <w:rsid w:val="00783181"/>
    <w:rsid w:val="00785F88"/>
    <w:rsid w:val="00787B1C"/>
    <w:rsid w:val="00790D51"/>
    <w:rsid w:val="00791120"/>
    <w:rsid w:val="00792362"/>
    <w:rsid w:val="0079277C"/>
    <w:rsid w:val="007A04DC"/>
    <w:rsid w:val="007A2EB0"/>
    <w:rsid w:val="007A63E1"/>
    <w:rsid w:val="007B04F2"/>
    <w:rsid w:val="007B1A05"/>
    <w:rsid w:val="007B2163"/>
    <w:rsid w:val="007B26FB"/>
    <w:rsid w:val="007B5BC3"/>
    <w:rsid w:val="007C15ED"/>
    <w:rsid w:val="007C2CCC"/>
    <w:rsid w:val="007C3DF4"/>
    <w:rsid w:val="007C600C"/>
    <w:rsid w:val="007C63FF"/>
    <w:rsid w:val="007C69A9"/>
    <w:rsid w:val="007C7115"/>
    <w:rsid w:val="007D2FAE"/>
    <w:rsid w:val="007D2FBA"/>
    <w:rsid w:val="007D399D"/>
    <w:rsid w:val="007D59AF"/>
    <w:rsid w:val="007D5A76"/>
    <w:rsid w:val="007E56E3"/>
    <w:rsid w:val="007F0E80"/>
    <w:rsid w:val="007F268B"/>
    <w:rsid w:val="007F3313"/>
    <w:rsid w:val="007F790A"/>
    <w:rsid w:val="00803C1E"/>
    <w:rsid w:val="00804881"/>
    <w:rsid w:val="008059A6"/>
    <w:rsid w:val="0080693A"/>
    <w:rsid w:val="00810B98"/>
    <w:rsid w:val="00810E6A"/>
    <w:rsid w:val="0081164E"/>
    <w:rsid w:val="008140AC"/>
    <w:rsid w:val="008149BF"/>
    <w:rsid w:val="00816129"/>
    <w:rsid w:val="00816A6C"/>
    <w:rsid w:val="008177BD"/>
    <w:rsid w:val="00820362"/>
    <w:rsid w:val="00822F99"/>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570D"/>
    <w:rsid w:val="00886C9F"/>
    <w:rsid w:val="00890E9D"/>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0FB"/>
    <w:rsid w:val="008D2976"/>
    <w:rsid w:val="008E045F"/>
    <w:rsid w:val="008E1143"/>
    <w:rsid w:val="008E1AD1"/>
    <w:rsid w:val="008E500C"/>
    <w:rsid w:val="008F2897"/>
    <w:rsid w:val="008F330D"/>
    <w:rsid w:val="008F3EFF"/>
    <w:rsid w:val="008F59BD"/>
    <w:rsid w:val="008F720F"/>
    <w:rsid w:val="00902CCB"/>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D89"/>
    <w:rsid w:val="00973F8F"/>
    <w:rsid w:val="0097464F"/>
    <w:rsid w:val="00974788"/>
    <w:rsid w:val="0097488C"/>
    <w:rsid w:val="00981B2F"/>
    <w:rsid w:val="00982805"/>
    <w:rsid w:val="00985757"/>
    <w:rsid w:val="00987A75"/>
    <w:rsid w:val="00990A49"/>
    <w:rsid w:val="0099691D"/>
    <w:rsid w:val="009A30AD"/>
    <w:rsid w:val="009A78F3"/>
    <w:rsid w:val="009A7B76"/>
    <w:rsid w:val="009B03B0"/>
    <w:rsid w:val="009B0988"/>
    <w:rsid w:val="009C0AC5"/>
    <w:rsid w:val="009C307D"/>
    <w:rsid w:val="009C3BF6"/>
    <w:rsid w:val="009C5CE8"/>
    <w:rsid w:val="009C6436"/>
    <w:rsid w:val="009D149E"/>
    <w:rsid w:val="009D3453"/>
    <w:rsid w:val="009D4772"/>
    <w:rsid w:val="009E1329"/>
    <w:rsid w:val="009E1635"/>
    <w:rsid w:val="009E28E5"/>
    <w:rsid w:val="009F0D26"/>
    <w:rsid w:val="009F19B3"/>
    <w:rsid w:val="009F214A"/>
    <w:rsid w:val="009F374F"/>
    <w:rsid w:val="009F588C"/>
    <w:rsid w:val="009F6428"/>
    <w:rsid w:val="00A0045D"/>
    <w:rsid w:val="00A010D4"/>
    <w:rsid w:val="00A0278D"/>
    <w:rsid w:val="00A02C14"/>
    <w:rsid w:val="00A05D37"/>
    <w:rsid w:val="00A06EB2"/>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59DC"/>
    <w:rsid w:val="00A913A7"/>
    <w:rsid w:val="00A91F36"/>
    <w:rsid w:val="00A93460"/>
    <w:rsid w:val="00A93A7F"/>
    <w:rsid w:val="00A94A31"/>
    <w:rsid w:val="00A9710F"/>
    <w:rsid w:val="00A97176"/>
    <w:rsid w:val="00AB17AE"/>
    <w:rsid w:val="00AB6B27"/>
    <w:rsid w:val="00AB752E"/>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5D9F"/>
    <w:rsid w:val="00B3688C"/>
    <w:rsid w:val="00B3702B"/>
    <w:rsid w:val="00B37FC7"/>
    <w:rsid w:val="00B457D5"/>
    <w:rsid w:val="00B47764"/>
    <w:rsid w:val="00B4784E"/>
    <w:rsid w:val="00B52D63"/>
    <w:rsid w:val="00B538FB"/>
    <w:rsid w:val="00B539FE"/>
    <w:rsid w:val="00B55BDA"/>
    <w:rsid w:val="00B567A6"/>
    <w:rsid w:val="00B57BB7"/>
    <w:rsid w:val="00B60930"/>
    <w:rsid w:val="00B6189B"/>
    <w:rsid w:val="00B630C5"/>
    <w:rsid w:val="00B64015"/>
    <w:rsid w:val="00B651CB"/>
    <w:rsid w:val="00B65241"/>
    <w:rsid w:val="00B709F0"/>
    <w:rsid w:val="00B71B6B"/>
    <w:rsid w:val="00B7210B"/>
    <w:rsid w:val="00B728EC"/>
    <w:rsid w:val="00B74FC5"/>
    <w:rsid w:val="00B80D2F"/>
    <w:rsid w:val="00B817E2"/>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22261"/>
    <w:rsid w:val="00C22B0A"/>
    <w:rsid w:val="00C23262"/>
    <w:rsid w:val="00C244BA"/>
    <w:rsid w:val="00C24819"/>
    <w:rsid w:val="00C254EC"/>
    <w:rsid w:val="00C256F7"/>
    <w:rsid w:val="00C25AD7"/>
    <w:rsid w:val="00C27367"/>
    <w:rsid w:val="00C31620"/>
    <w:rsid w:val="00C32071"/>
    <w:rsid w:val="00C33C68"/>
    <w:rsid w:val="00C3605A"/>
    <w:rsid w:val="00C4070E"/>
    <w:rsid w:val="00C43D17"/>
    <w:rsid w:val="00C45355"/>
    <w:rsid w:val="00C46568"/>
    <w:rsid w:val="00C51E2F"/>
    <w:rsid w:val="00C524FA"/>
    <w:rsid w:val="00C54176"/>
    <w:rsid w:val="00C543E8"/>
    <w:rsid w:val="00C557E5"/>
    <w:rsid w:val="00C6029F"/>
    <w:rsid w:val="00C606A8"/>
    <w:rsid w:val="00C6094E"/>
    <w:rsid w:val="00C636A8"/>
    <w:rsid w:val="00C63CF9"/>
    <w:rsid w:val="00C64C38"/>
    <w:rsid w:val="00C66805"/>
    <w:rsid w:val="00C71835"/>
    <w:rsid w:val="00C7258E"/>
    <w:rsid w:val="00C725C9"/>
    <w:rsid w:val="00C7432E"/>
    <w:rsid w:val="00C743FF"/>
    <w:rsid w:val="00C76FE6"/>
    <w:rsid w:val="00C776FA"/>
    <w:rsid w:val="00C8124B"/>
    <w:rsid w:val="00C8249B"/>
    <w:rsid w:val="00C83408"/>
    <w:rsid w:val="00C91765"/>
    <w:rsid w:val="00C95CF3"/>
    <w:rsid w:val="00CA22C8"/>
    <w:rsid w:val="00CA3F44"/>
    <w:rsid w:val="00CA4DB7"/>
    <w:rsid w:val="00CA513F"/>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E5869"/>
    <w:rsid w:val="00CF001A"/>
    <w:rsid w:val="00CF2407"/>
    <w:rsid w:val="00CF355D"/>
    <w:rsid w:val="00CF3DD6"/>
    <w:rsid w:val="00D016A6"/>
    <w:rsid w:val="00D0202D"/>
    <w:rsid w:val="00D04ABE"/>
    <w:rsid w:val="00D05988"/>
    <w:rsid w:val="00D1571D"/>
    <w:rsid w:val="00D17101"/>
    <w:rsid w:val="00D17766"/>
    <w:rsid w:val="00D20736"/>
    <w:rsid w:val="00D21E36"/>
    <w:rsid w:val="00D2321E"/>
    <w:rsid w:val="00D23492"/>
    <w:rsid w:val="00D244BA"/>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60B0D"/>
    <w:rsid w:val="00D61B46"/>
    <w:rsid w:val="00D6473B"/>
    <w:rsid w:val="00D6584C"/>
    <w:rsid w:val="00D70AF6"/>
    <w:rsid w:val="00D70B6D"/>
    <w:rsid w:val="00D73B53"/>
    <w:rsid w:val="00D746CE"/>
    <w:rsid w:val="00D75174"/>
    <w:rsid w:val="00D75FF4"/>
    <w:rsid w:val="00D80EBA"/>
    <w:rsid w:val="00D82179"/>
    <w:rsid w:val="00D829D0"/>
    <w:rsid w:val="00D82E78"/>
    <w:rsid w:val="00D834BB"/>
    <w:rsid w:val="00D83E90"/>
    <w:rsid w:val="00D841A1"/>
    <w:rsid w:val="00D84EA2"/>
    <w:rsid w:val="00D85D5D"/>
    <w:rsid w:val="00D86276"/>
    <w:rsid w:val="00D90455"/>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20CC"/>
    <w:rsid w:val="00DE249D"/>
    <w:rsid w:val="00DE2B01"/>
    <w:rsid w:val="00DF017E"/>
    <w:rsid w:val="00DF05AE"/>
    <w:rsid w:val="00E0572B"/>
    <w:rsid w:val="00E07443"/>
    <w:rsid w:val="00E07C4B"/>
    <w:rsid w:val="00E105D8"/>
    <w:rsid w:val="00E1065C"/>
    <w:rsid w:val="00E13118"/>
    <w:rsid w:val="00E13774"/>
    <w:rsid w:val="00E16CE4"/>
    <w:rsid w:val="00E255AC"/>
    <w:rsid w:val="00E258BC"/>
    <w:rsid w:val="00E26053"/>
    <w:rsid w:val="00E312D2"/>
    <w:rsid w:val="00E3238B"/>
    <w:rsid w:val="00E3257A"/>
    <w:rsid w:val="00E33009"/>
    <w:rsid w:val="00E4426C"/>
    <w:rsid w:val="00E449D8"/>
    <w:rsid w:val="00E45D74"/>
    <w:rsid w:val="00E51238"/>
    <w:rsid w:val="00E51621"/>
    <w:rsid w:val="00E51F99"/>
    <w:rsid w:val="00E52393"/>
    <w:rsid w:val="00E52414"/>
    <w:rsid w:val="00E5426B"/>
    <w:rsid w:val="00E5444E"/>
    <w:rsid w:val="00E55177"/>
    <w:rsid w:val="00E55D0A"/>
    <w:rsid w:val="00E55F9C"/>
    <w:rsid w:val="00E564B2"/>
    <w:rsid w:val="00E57591"/>
    <w:rsid w:val="00E57B2D"/>
    <w:rsid w:val="00E63C49"/>
    <w:rsid w:val="00E63D8A"/>
    <w:rsid w:val="00E6516D"/>
    <w:rsid w:val="00E653F5"/>
    <w:rsid w:val="00E709A4"/>
    <w:rsid w:val="00E72E02"/>
    <w:rsid w:val="00E72F1F"/>
    <w:rsid w:val="00E73D65"/>
    <w:rsid w:val="00E763ED"/>
    <w:rsid w:val="00E77486"/>
    <w:rsid w:val="00E77EA7"/>
    <w:rsid w:val="00E810EB"/>
    <w:rsid w:val="00E812AC"/>
    <w:rsid w:val="00E83293"/>
    <w:rsid w:val="00E85B85"/>
    <w:rsid w:val="00E8709E"/>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115E5"/>
    <w:rsid w:val="00F13020"/>
    <w:rsid w:val="00F1492D"/>
    <w:rsid w:val="00F14C03"/>
    <w:rsid w:val="00F156A0"/>
    <w:rsid w:val="00F15FC2"/>
    <w:rsid w:val="00F16A0B"/>
    <w:rsid w:val="00F16ACA"/>
    <w:rsid w:val="00F2140E"/>
    <w:rsid w:val="00F21D2B"/>
    <w:rsid w:val="00F23DA4"/>
    <w:rsid w:val="00F270C6"/>
    <w:rsid w:val="00F275D0"/>
    <w:rsid w:val="00F278C2"/>
    <w:rsid w:val="00F331FE"/>
    <w:rsid w:val="00F344D6"/>
    <w:rsid w:val="00F34619"/>
    <w:rsid w:val="00F37250"/>
    <w:rsid w:val="00F3752A"/>
    <w:rsid w:val="00F40FBF"/>
    <w:rsid w:val="00F41ABA"/>
    <w:rsid w:val="00F42BA8"/>
    <w:rsid w:val="00F4342E"/>
    <w:rsid w:val="00F43D41"/>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3AAB"/>
    <w:rsid w:val="00FB4898"/>
    <w:rsid w:val="00FB56BB"/>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0735E3"/>
    <w:rsid w:val="01155B34"/>
    <w:rsid w:val="0124366F"/>
    <w:rsid w:val="01372BF1"/>
    <w:rsid w:val="013B634F"/>
    <w:rsid w:val="013E1F3B"/>
    <w:rsid w:val="015C5E10"/>
    <w:rsid w:val="016951E8"/>
    <w:rsid w:val="016C3AEB"/>
    <w:rsid w:val="0190499A"/>
    <w:rsid w:val="01966D00"/>
    <w:rsid w:val="019801E4"/>
    <w:rsid w:val="01D36985"/>
    <w:rsid w:val="01D5339A"/>
    <w:rsid w:val="01DF78B7"/>
    <w:rsid w:val="01E025B2"/>
    <w:rsid w:val="01EF3FF9"/>
    <w:rsid w:val="01F20450"/>
    <w:rsid w:val="01F906B2"/>
    <w:rsid w:val="02094922"/>
    <w:rsid w:val="021942EC"/>
    <w:rsid w:val="021F7724"/>
    <w:rsid w:val="023825E4"/>
    <w:rsid w:val="023E53DB"/>
    <w:rsid w:val="025500BF"/>
    <w:rsid w:val="026068F0"/>
    <w:rsid w:val="02661243"/>
    <w:rsid w:val="027B1A8B"/>
    <w:rsid w:val="027F5DAD"/>
    <w:rsid w:val="0280566A"/>
    <w:rsid w:val="02814C2A"/>
    <w:rsid w:val="028E4BFA"/>
    <w:rsid w:val="02991C73"/>
    <w:rsid w:val="02B4045F"/>
    <w:rsid w:val="02C155E7"/>
    <w:rsid w:val="02CA4EF0"/>
    <w:rsid w:val="02D51239"/>
    <w:rsid w:val="02F168C1"/>
    <w:rsid w:val="0308570D"/>
    <w:rsid w:val="031A5F9A"/>
    <w:rsid w:val="031C09FE"/>
    <w:rsid w:val="03335F36"/>
    <w:rsid w:val="03360551"/>
    <w:rsid w:val="0339119B"/>
    <w:rsid w:val="033944DC"/>
    <w:rsid w:val="034C5713"/>
    <w:rsid w:val="034D57FC"/>
    <w:rsid w:val="03555529"/>
    <w:rsid w:val="03942A94"/>
    <w:rsid w:val="03A72093"/>
    <w:rsid w:val="03DB2ABF"/>
    <w:rsid w:val="03EA6B47"/>
    <w:rsid w:val="03F7028C"/>
    <w:rsid w:val="03F90D68"/>
    <w:rsid w:val="04007D6C"/>
    <w:rsid w:val="041D205A"/>
    <w:rsid w:val="041E2D70"/>
    <w:rsid w:val="0430007E"/>
    <w:rsid w:val="04353C7B"/>
    <w:rsid w:val="04395F8F"/>
    <w:rsid w:val="044B025A"/>
    <w:rsid w:val="044B1677"/>
    <w:rsid w:val="04537B26"/>
    <w:rsid w:val="04597FC9"/>
    <w:rsid w:val="0474323A"/>
    <w:rsid w:val="047719B9"/>
    <w:rsid w:val="04783382"/>
    <w:rsid w:val="047D52E7"/>
    <w:rsid w:val="04BD03C6"/>
    <w:rsid w:val="04BE1C7D"/>
    <w:rsid w:val="04DA6F41"/>
    <w:rsid w:val="04E21297"/>
    <w:rsid w:val="04FA6064"/>
    <w:rsid w:val="051024AB"/>
    <w:rsid w:val="05111E98"/>
    <w:rsid w:val="051D6D94"/>
    <w:rsid w:val="052E5D11"/>
    <w:rsid w:val="055A1B20"/>
    <w:rsid w:val="05620120"/>
    <w:rsid w:val="05637BEF"/>
    <w:rsid w:val="056B20E2"/>
    <w:rsid w:val="056E0749"/>
    <w:rsid w:val="05721CC3"/>
    <w:rsid w:val="05A61BFA"/>
    <w:rsid w:val="05C151DC"/>
    <w:rsid w:val="05F97634"/>
    <w:rsid w:val="060A72BD"/>
    <w:rsid w:val="061512C4"/>
    <w:rsid w:val="063A0AB8"/>
    <w:rsid w:val="06537DA4"/>
    <w:rsid w:val="06810BF6"/>
    <w:rsid w:val="0683783A"/>
    <w:rsid w:val="069D5688"/>
    <w:rsid w:val="06B5284B"/>
    <w:rsid w:val="06D2064A"/>
    <w:rsid w:val="06D65DBB"/>
    <w:rsid w:val="06DF799B"/>
    <w:rsid w:val="072C1915"/>
    <w:rsid w:val="073565CC"/>
    <w:rsid w:val="073B2003"/>
    <w:rsid w:val="073C5399"/>
    <w:rsid w:val="07410049"/>
    <w:rsid w:val="0744061A"/>
    <w:rsid w:val="074B0795"/>
    <w:rsid w:val="075F35F7"/>
    <w:rsid w:val="07632285"/>
    <w:rsid w:val="078D009E"/>
    <w:rsid w:val="07A10C9D"/>
    <w:rsid w:val="07B1396F"/>
    <w:rsid w:val="07B167B8"/>
    <w:rsid w:val="07B42CF2"/>
    <w:rsid w:val="07BB4EA3"/>
    <w:rsid w:val="07CC23E7"/>
    <w:rsid w:val="07E13D6B"/>
    <w:rsid w:val="07F27BB5"/>
    <w:rsid w:val="07FE5553"/>
    <w:rsid w:val="08052C09"/>
    <w:rsid w:val="081177ED"/>
    <w:rsid w:val="08262305"/>
    <w:rsid w:val="08314512"/>
    <w:rsid w:val="08525E05"/>
    <w:rsid w:val="085658B6"/>
    <w:rsid w:val="085E7E4D"/>
    <w:rsid w:val="086E21F8"/>
    <w:rsid w:val="0892696E"/>
    <w:rsid w:val="08B03A2D"/>
    <w:rsid w:val="08C81E94"/>
    <w:rsid w:val="08D86665"/>
    <w:rsid w:val="08DF7A86"/>
    <w:rsid w:val="08E819C9"/>
    <w:rsid w:val="08FF1539"/>
    <w:rsid w:val="09244F6C"/>
    <w:rsid w:val="095D64AF"/>
    <w:rsid w:val="095E6BFA"/>
    <w:rsid w:val="09786B16"/>
    <w:rsid w:val="097C1B28"/>
    <w:rsid w:val="099E2E42"/>
    <w:rsid w:val="09C14AD0"/>
    <w:rsid w:val="09C83FBF"/>
    <w:rsid w:val="09F32F93"/>
    <w:rsid w:val="0A005C87"/>
    <w:rsid w:val="0A0B7AAB"/>
    <w:rsid w:val="0A0C68B3"/>
    <w:rsid w:val="0A215B30"/>
    <w:rsid w:val="0A2A34E4"/>
    <w:rsid w:val="0A4118A6"/>
    <w:rsid w:val="0A530DF7"/>
    <w:rsid w:val="0A904F64"/>
    <w:rsid w:val="0A9374C4"/>
    <w:rsid w:val="0A955FEB"/>
    <w:rsid w:val="0AA75866"/>
    <w:rsid w:val="0AD645EA"/>
    <w:rsid w:val="0ADA51B6"/>
    <w:rsid w:val="0AF77184"/>
    <w:rsid w:val="0AF81324"/>
    <w:rsid w:val="0B1804F1"/>
    <w:rsid w:val="0B30188F"/>
    <w:rsid w:val="0B3177C1"/>
    <w:rsid w:val="0B621A3F"/>
    <w:rsid w:val="0B845721"/>
    <w:rsid w:val="0B9B6E73"/>
    <w:rsid w:val="0BAE318A"/>
    <w:rsid w:val="0BC63D9C"/>
    <w:rsid w:val="0BCD4F12"/>
    <w:rsid w:val="0BD627F9"/>
    <w:rsid w:val="0BEC5336"/>
    <w:rsid w:val="0BF11B5C"/>
    <w:rsid w:val="0BF67F0F"/>
    <w:rsid w:val="0C1D360E"/>
    <w:rsid w:val="0C80659D"/>
    <w:rsid w:val="0C983DC2"/>
    <w:rsid w:val="0CAD5BD1"/>
    <w:rsid w:val="0CD37FF9"/>
    <w:rsid w:val="0CD463EF"/>
    <w:rsid w:val="0CEE2683"/>
    <w:rsid w:val="0CEF36B8"/>
    <w:rsid w:val="0CF04D53"/>
    <w:rsid w:val="0D0F0CE5"/>
    <w:rsid w:val="0D250DC2"/>
    <w:rsid w:val="0D26069F"/>
    <w:rsid w:val="0D29021D"/>
    <w:rsid w:val="0D460BF6"/>
    <w:rsid w:val="0D4805C3"/>
    <w:rsid w:val="0D50090C"/>
    <w:rsid w:val="0D756D62"/>
    <w:rsid w:val="0D7F30CA"/>
    <w:rsid w:val="0D8D2644"/>
    <w:rsid w:val="0D8F17AF"/>
    <w:rsid w:val="0D901F4F"/>
    <w:rsid w:val="0DB00C7D"/>
    <w:rsid w:val="0DC443B1"/>
    <w:rsid w:val="0DCC455D"/>
    <w:rsid w:val="0DCF21C8"/>
    <w:rsid w:val="0DD378DE"/>
    <w:rsid w:val="0E234775"/>
    <w:rsid w:val="0E514E1F"/>
    <w:rsid w:val="0E705925"/>
    <w:rsid w:val="0E7B4B83"/>
    <w:rsid w:val="0E8100B4"/>
    <w:rsid w:val="0E813E81"/>
    <w:rsid w:val="0E9155EF"/>
    <w:rsid w:val="0EA73F3A"/>
    <w:rsid w:val="0EAC5492"/>
    <w:rsid w:val="0EC96D96"/>
    <w:rsid w:val="0EEC2243"/>
    <w:rsid w:val="0EF9704B"/>
    <w:rsid w:val="0F0C0D24"/>
    <w:rsid w:val="0F122C13"/>
    <w:rsid w:val="0F123524"/>
    <w:rsid w:val="0F1742F5"/>
    <w:rsid w:val="0F181B78"/>
    <w:rsid w:val="0F1E5CF9"/>
    <w:rsid w:val="0F3A08D4"/>
    <w:rsid w:val="0F412C36"/>
    <w:rsid w:val="0F4F3933"/>
    <w:rsid w:val="0F5904EF"/>
    <w:rsid w:val="0F5C3FA7"/>
    <w:rsid w:val="0F6110F8"/>
    <w:rsid w:val="0F822BD9"/>
    <w:rsid w:val="0F932D6A"/>
    <w:rsid w:val="0F9F7A21"/>
    <w:rsid w:val="0FA31D5B"/>
    <w:rsid w:val="0FAF73A9"/>
    <w:rsid w:val="0FBF7F0F"/>
    <w:rsid w:val="0FC52FE7"/>
    <w:rsid w:val="0FDC4282"/>
    <w:rsid w:val="0FDE0AC4"/>
    <w:rsid w:val="0FE30A25"/>
    <w:rsid w:val="0FEF0BBF"/>
    <w:rsid w:val="100E652B"/>
    <w:rsid w:val="1015687E"/>
    <w:rsid w:val="101C7F33"/>
    <w:rsid w:val="101F4775"/>
    <w:rsid w:val="1020565A"/>
    <w:rsid w:val="10273142"/>
    <w:rsid w:val="103516D0"/>
    <w:rsid w:val="10490D4C"/>
    <w:rsid w:val="1080598B"/>
    <w:rsid w:val="108B2004"/>
    <w:rsid w:val="10A24CE6"/>
    <w:rsid w:val="10A96A9E"/>
    <w:rsid w:val="10E90DA6"/>
    <w:rsid w:val="10EB4A8C"/>
    <w:rsid w:val="11116DA4"/>
    <w:rsid w:val="11502629"/>
    <w:rsid w:val="11526D68"/>
    <w:rsid w:val="118740E6"/>
    <w:rsid w:val="11B16242"/>
    <w:rsid w:val="11BC04A0"/>
    <w:rsid w:val="11CC7B55"/>
    <w:rsid w:val="11D43BAD"/>
    <w:rsid w:val="11DF6886"/>
    <w:rsid w:val="11FB30CD"/>
    <w:rsid w:val="120B09BB"/>
    <w:rsid w:val="12171E64"/>
    <w:rsid w:val="12205131"/>
    <w:rsid w:val="12220937"/>
    <w:rsid w:val="123A0D72"/>
    <w:rsid w:val="123A164C"/>
    <w:rsid w:val="123E10E2"/>
    <w:rsid w:val="12476C4B"/>
    <w:rsid w:val="1248349D"/>
    <w:rsid w:val="12576160"/>
    <w:rsid w:val="12801584"/>
    <w:rsid w:val="129C4FFA"/>
    <w:rsid w:val="129F0213"/>
    <w:rsid w:val="12CE3CE0"/>
    <w:rsid w:val="12DF282B"/>
    <w:rsid w:val="12F24AE9"/>
    <w:rsid w:val="13000B4B"/>
    <w:rsid w:val="130E61B9"/>
    <w:rsid w:val="13136F48"/>
    <w:rsid w:val="13281E2E"/>
    <w:rsid w:val="1335798F"/>
    <w:rsid w:val="136B3445"/>
    <w:rsid w:val="13737D45"/>
    <w:rsid w:val="13796D9A"/>
    <w:rsid w:val="13902E2D"/>
    <w:rsid w:val="13AF5F17"/>
    <w:rsid w:val="13B74DB5"/>
    <w:rsid w:val="13CE1BCE"/>
    <w:rsid w:val="13F30AA0"/>
    <w:rsid w:val="14175CA4"/>
    <w:rsid w:val="142C6016"/>
    <w:rsid w:val="142F27C7"/>
    <w:rsid w:val="142F43C4"/>
    <w:rsid w:val="146E489E"/>
    <w:rsid w:val="14920712"/>
    <w:rsid w:val="14A71194"/>
    <w:rsid w:val="14AF0791"/>
    <w:rsid w:val="14BB6082"/>
    <w:rsid w:val="14C51D89"/>
    <w:rsid w:val="15144F9F"/>
    <w:rsid w:val="1525142D"/>
    <w:rsid w:val="153B5ACC"/>
    <w:rsid w:val="154A4556"/>
    <w:rsid w:val="15592B10"/>
    <w:rsid w:val="155D05D9"/>
    <w:rsid w:val="156A6B88"/>
    <w:rsid w:val="15833678"/>
    <w:rsid w:val="158819D4"/>
    <w:rsid w:val="159B6684"/>
    <w:rsid w:val="15A84095"/>
    <w:rsid w:val="15AC2CBD"/>
    <w:rsid w:val="15AF3CF3"/>
    <w:rsid w:val="15AF7B5C"/>
    <w:rsid w:val="15BA6065"/>
    <w:rsid w:val="15C64E5A"/>
    <w:rsid w:val="15E233CB"/>
    <w:rsid w:val="15E62D12"/>
    <w:rsid w:val="15E830CE"/>
    <w:rsid w:val="15EB0083"/>
    <w:rsid w:val="16102871"/>
    <w:rsid w:val="162D2B78"/>
    <w:rsid w:val="16622C91"/>
    <w:rsid w:val="166657CB"/>
    <w:rsid w:val="166A6149"/>
    <w:rsid w:val="168F74E8"/>
    <w:rsid w:val="169057AC"/>
    <w:rsid w:val="16974403"/>
    <w:rsid w:val="169F4BAA"/>
    <w:rsid w:val="16A616C5"/>
    <w:rsid w:val="16B14AF1"/>
    <w:rsid w:val="16BF3603"/>
    <w:rsid w:val="16DF50FD"/>
    <w:rsid w:val="17111C2C"/>
    <w:rsid w:val="172B6C45"/>
    <w:rsid w:val="172E07E0"/>
    <w:rsid w:val="17326C41"/>
    <w:rsid w:val="17413932"/>
    <w:rsid w:val="174F4224"/>
    <w:rsid w:val="177C7B08"/>
    <w:rsid w:val="178143A5"/>
    <w:rsid w:val="1791302D"/>
    <w:rsid w:val="17CF66FC"/>
    <w:rsid w:val="17D306F5"/>
    <w:rsid w:val="17E364BF"/>
    <w:rsid w:val="17FF305C"/>
    <w:rsid w:val="18273D23"/>
    <w:rsid w:val="183E088E"/>
    <w:rsid w:val="183F6259"/>
    <w:rsid w:val="185D12D3"/>
    <w:rsid w:val="188B6756"/>
    <w:rsid w:val="1898128F"/>
    <w:rsid w:val="18F37542"/>
    <w:rsid w:val="1918723F"/>
    <w:rsid w:val="19240E21"/>
    <w:rsid w:val="192B7ADC"/>
    <w:rsid w:val="193B054E"/>
    <w:rsid w:val="19567ADF"/>
    <w:rsid w:val="19637339"/>
    <w:rsid w:val="19670597"/>
    <w:rsid w:val="197D16C4"/>
    <w:rsid w:val="197E3AEA"/>
    <w:rsid w:val="197E543A"/>
    <w:rsid w:val="19860546"/>
    <w:rsid w:val="198908DC"/>
    <w:rsid w:val="19897235"/>
    <w:rsid w:val="19906584"/>
    <w:rsid w:val="19B6197D"/>
    <w:rsid w:val="19C7376C"/>
    <w:rsid w:val="19CC552B"/>
    <w:rsid w:val="19D44358"/>
    <w:rsid w:val="19E22CFF"/>
    <w:rsid w:val="19F10924"/>
    <w:rsid w:val="1A072CB5"/>
    <w:rsid w:val="1A1111CB"/>
    <w:rsid w:val="1A180C2B"/>
    <w:rsid w:val="1A1D558C"/>
    <w:rsid w:val="1A2B4EC7"/>
    <w:rsid w:val="1A385D9A"/>
    <w:rsid w:val="1A4109AC"/>
    <w:rsid w:val="1AB8199F"/>
    <w:rsid w:val="1AD66C78"/>
    <w:rsid w:val="1AD744EA"/>
    <w:rsid w:val="1B043E14"/>
    <w:rsid w:val="1B052A5B"/>
    <w:rsid w:val="1B113481"/>
    <w:rsid w:val="1B171313"/>
    <w:rsid w:val="1B18721E"/>
    <w:rsid w:val="1B1B2E1C"/>
    <w:rsid w:val="1B214C2C"/>
    <w:rsid w:val="1B321646"/>
    <w:rsid w:val="1B3A1F6E"/>
    <w:rsid w:val="1B3F08EC"/>
    <w:rsid w:val="1B4736BD"/>
    <w:rsid w:val="1B5411FD"/>
    <w:rsid w:val="1B5A42CB"/>
    <w:rsid w:val="1B697701"/>
    <w:rsid w:val="1B753BEE"/>
    <w:rsid w:val="1B9A4DAB"/>
    <w:rsid w:val="1BA5007C"/>
    <w:rsid w:val="1BE42383"/>
    <w:rsid w:val="1BEE3CDC"/>
    <w:rsid w:val="1BF039FE"/>
    <w:rsid w:val="1C0A75B8"/>
    <w:rsid w:val="1C282EF1"/>
    <w:rsid w:val="1C3848EE"/>
    <w:rsid w:val="1C4A335F"/>
    <w:rsid w:val="1C6A4BCD"/>
    <w:rsid w:val="1C7521EC"/>
    <w:rsid w:val="1C8065D1"/>
    <w:rsid w:val="1C863676"/>
    <w:rsid w:val="1C8934EB"/>
    <w:rsid w:val="1C935D63"/>
    <w:rsid w:val="1CA71530"/>
    <w:rsid w:val="1CAA70DC"/>
    <w:rsid w:val="1CAD1F36"/>
    <w:rsid w:val="1CE60476"/>
    <w:rsid w:val="1CE70F22"/>
    <w:rsid w:val="1CE928C5"/>
    <w:rsid w:val="1CF01EEE"/>
    <w:rsid w:val="1CF06829"/>
    <w:rsid w:val="1D037DA5"/>
    <w:rsid w:val="1D0A67C3"/>
    <w:rsid w:val="1D0A7456"/>
    <w:rsid w:val="1D1379A4"/>
    <w:rsid w:val="1D1B7142"/>
    <w:rsid w:val="1D365AD9"/>
    <w:rsid w:val="1D3B0D62"/>
    <w:rsid w:val="1D414A01"/>
    <w:rsid w:val="1D4C1B93"/>
    <w:rsid w:val="1D613DB9"/>
    <w:rsid w:val="1D623F40"/>
    <w:rsid w:val="1D6343A4"/>
    <w:rsid w:val="1D715FB7"/>
    <w:rsid w:val="1D7D77CA"/>
    <w:rsid w:val="1D883BF3"/>
    <w:rsid w:val="1DBC6CAA"/>
    <w:rsid w:val="1DCE2FC8"/>
    <w:rsid w:val="1DED1A0C"/>
    <w:rsid w:val="1E0916D6"/>
    <w:rsid w:val="1E0C2694"/>
    <w:rsid w:val="1E1C51D7"/>
    <w:rsid w:val="1E1E79B0"/>
    <w:rsid w:val="1E2930AC"/>
    <w:rsid w:val="1E2B1AD7"/>
    <w:rsid w:val="1E3B37C0"/>
    <w:rsid w:val="1E3E6998"/>
    <w:rsid w:val="1E412D75"/>
    <w:rsid w:val="1E4E630A"/>
    <w:rsid w:val="1E602CEF"/>
    <w:rsid w:val="1E605433"/>
    <w:rsid w:val="1E6843DE"/>
    <w:rsid w:val="1E7539C0"/>
    <w:rsid w:val="1E78324D"/>
    <w:rsid w:val="1E7D33F1"/>
    <w:rsid w:val="1EA60F88"/>
    <w:rsid w:val="1EA911D5"/>
    <w:rsid w:val="1EAD1124"/>
    <w:rsid w:val="1EC85472"/>
    <w:rsid w:val="1ECC076A"/>
    <w:rsid w:val="1EDE4461"/>
    <w:rsid w:val="1EE325F4"/>
    <w:rsid w:val="1EE62B16"/>
    <w:rsid w:val="1EEA43E5"/>
    <w:rsid w:val="1EED6F47"/>
    <w:rsid w:val="1EFE7444"/>
    <w:rsid w:val="1F1B4FD7"/>
    <w:rsid w:val="1F2543E6"/>
    <w:rsid w:val="1F28038B"/>
    <w:rsid w:val="1F3E7301"/>
    <w:rsid w:val="1F48299E"/>
    <w:rsid w:val="1F543A49"/>
    <w:rsid w:val="1F70158C"/>
    <w:rsid w:val="1F7726F0"/>
    <w:rsid w:val="1F8D75D7"/>
    <w:rsid w:val="1F9D793A"/>
    <w:rsid w:val="1F9F2BA6"/>
    <w:rsid w:val="1FA212D3"/>
    <w:rsid w:val="1FA82D48"/>
    <w:rsid w:val="1FBB163C"/>
    <w:rsid w:val="1FBB6B18"/>
    <w:rsid w:val="1FBF50FE"/>
    <w:rsid w:val="1FCD2340"/>
    <w:rsid w:val="1FE944E2"/>
    <w:rsid w:val="2000355B"/>
    <w:rsid w:val="20116C1C"/>
    <w:rsid w:val="201924A4"/>
    <w:rsid w:val="201D6562"/>
    <w:rsid w:val="202A439C"/>
    <w:rsid w:val="204602EC"/>
    <w:rsid w:val="20532FF3"/>
    <w:rsid w:val="2056551C"/>
    <w:rsid w:val="205D5C1D"/>
    <w:rsid w:val="206431D6"/>
    <w:rsid w:val="20905A92"/>
    <w:rsid w:val="20AB0D4D"/>
    <w:rsid w:val="20D36BE0"/>
    <w:rsid w:val="20DB5111"/>
    <w:rsid w:val="20EE1616"/>
    <w:rsid w:val="20F621DA"/>
    <w:rsid w:val="211032E3"/>
    <w:rsid w:val="21223ADE"/>
    <w:rsid w:val="212A19F9"/>
    <w:rsid w:val="212D553A"/>
    <w:rsid w:val="213D778D"/>
    <w:rsid w:val="21460555"/>
    <w:rsid w:val="216C26DF"/>
    <w:rsid w:val="216D61FE"/>
    <w:rsid w:val="21746E62"/>
    <w:rsid w:val="21805D08"/>
    <w:rsid w:val="218706F7"/>
    <w:rsid w:val="219A7AA9"/>
    <w:rsid w:val="21A826E1"/>
    <w:rsid w:val="21AA45E1"/>
    <w:rsid w:val="21DD35E2"/>
    <w:rsid w:val="21F611A3"/>
    <w:rsid w:val="21FA36F5"/>
    <w:rsid w:val="22001FFC"/>
    <w:rsid w:val="22017E0C"/>
    <w:rsid w:val="220B12C5"/>
    <w:rsid w:val="223056FE"/>
    <w:rsid w:val="224865F6"/>
    <w:rsid w:val="224D1072"/>
    <w:rsid w:val="2256001B"/>
    <w:rsid w:val="227D3663"/>
    <w:rsid w:val="22B37A73"/>
    <w:rsid w:val="22CD7DDA"/>
    <w:rsid w:val="22D32C17"/>
    <w:rsid w:val="22E71987"/>
    <w:rsid w:val="22ED799B"/>
    <w:rsid w:val="22F44E4C"/>
    <w:rsid w:val="22F67D83"/>
    <w:rsid w:val="22FE4892"/>
    <w:rsid w:val="23005379"/>
    <w:rsid w:val="23160455"/>
    <w:rsid w:val="231C1E6B"/>
    <w:rsid w:val="2347221A"/>
    <w:rsid w:val="234F512B"/>
    <w:rsid w:val="235528D4"/>
    <w:rsid w:val="23813066"/>
    <w:rsid w:val="23882153"/>
    <w:rsid w:val="239435D1"/>
    <w:rsid w:val="23A75AC4"/>
    <w:rsid w:val="23B16AE5"/>
    <w:rsid w:val="23C71BCA"/>
    <w:rsid w:val="23D32BC7"/>
    <w:rsid w:val="23DA5859"/>
    <w:rsid w:val="23E11067"/>
    <w:rsid w:val="23F660D4"/>
    <w:rsid w:val="24007AEB"/>
    <w:rsid w:val="24082160"/>
    <w:rsid w:val="24134E11"/>
    <w:rsid w:val="249D0157"/>
    <w:rsid w:val="24A729F0"/>
    <w:rsid w:val="24AA4856"/>
    <w:rsid w:val="24C05F47"/>
    <w:rsid w:val="24C2228A"/>
    <w:rsid w:val="24D55701"/>
    <w:rsid w:val="24E5313B"/>
    <w:rsid w:val="24F1415D"/>
    <w:rsid w:val="24F441CE"/>
    <w:rsid w:val="250A123E"/>
    <w:rsid w:val="253460FF"/>
    <w:rsid w:val="25352CC4"/>
    <w:rsid w:val="25373912"/>
    <w:rsid w:val="25546B22"/>
    <w:rsid w:val="255905FB"/>
    <w:rsid w:val="255A1DD2"/>
    <w:rsid w:val="259D5B93"/>
    <w:rsid w:val="25A878BB"/>
    <w:rsid w:val="25C00586"/>
    <w:rsid w:val="25C20B75"/>
    <w:rsid w:val="25C773A9"/>
    <w:rsid w:val="25D462CF"/>
    <w:rsid w:val="25DE7EB5"/>
    <w:rsid w:val="25EA625C"/>
    <w:rsid w:val="25F646E0"/>
    <w:rsid w:val="26060616"/>
    <w:rsid w:val="260F0837"/>
    <w:rsid w:val="26247D7D"/>
    <w:rsid w:val="262B2EA9"/>
    <w:rsid w:val="262D5D63"/>
    <w:rsid w:val="2641159C"/>
    <w:rsid w:val="264F345D"/>
    <w:rsid w:val="267C1488"/>
    <w:rsid w:val="267F2D5C"/>
    <w:rsid w:val="26866A80"/>
    <w:rsid w:val="26924AFA"/>
    <w:rsid w:val="26926FE6"/>
    <w:rsid w:val="26A5523F"/>
    <w:rsid w:val="26D727AF"/>
    <w:rsid w:val="26DB7FC4"/>
    <w:rsid w:val="26E705DB"/>
    <w:rsid w:val="270652D9"/>
    <w:rsid w:val="27086BD5"/>
    <w:rsid w:val="270972D4"/>
    <w:rsid w:val="270E1EE4"/>
    <w:rsid w:val="271F4A74"/>
    <w:rsid w:val="27206501"/>
    <w:rsid w:val="272B0526"/>
    <w:rsid w:val="274E5CD9"/>
    <w:rsid w:val="27726B2F"/>
    <w:rsid w:val="27760D0C"/>
    <w:rsid w:val="278F25C1"/>
    <w:rsid w:val="279F6934"/>
    <w:rsid w:val="27A9031D"/>
    <w:rsid w:val="27B03AC9"/>
    <w:rsid w:val="27B06B1A"/>
    <w:rsid w:val="27DA1DB5"/>
    <w:rsid w:val="27E92C44"/>
    <w:rsid w:val="27F0287C"/>
    <w:rsid w:val="27F02ACB"/>
    <w:rsid w:val="27F240B3"/>
    <w:rsid w:val="28176BDF"/>
    <w:rsid w:val="2822494A"/>
    <w:rsid w:val="28287DA9"/>
    <w:rsid w:val="28333437"/>
    <w:rsid w:val="283A45FF"/>
    <w:rsid w:val="284E5835"/>
    <w:rsid w:val="286032B3"/>
    <w:rsid w:val="288D0EBC"/>
    <w:rsid w:val="28BB7762"/>
    <w:rsid w:val="28F3236C"/>
    <w:rsid w:val="2922218E"/>
    <w:rsid w:val="292B4ECB"/>
    <w:rsid w:val="293917EF"/>
    <w:rsid w:val="293B3E4F"/>
    <w:rsid w:val="2941297A"/>
    <w:rsid w:val="29624D8D"/>
    <w:rsid w:val="29661C2A"/>
    <w:rsid w:val="29CB4A96"/>
    <w:rsid w:val="29E41EAB"/>
    <w:rsid w:val="29E876A0"/>
    <w:rsid w:val="2A173B69"/>
    <w:rsid w:val="2A3038EB"/>
    <w:rsid w:val="2A31084E"/>
    <w:rsid w:val="2A393A0E"/>
    <w:rsid w:val="2A4977F3"/>
    <w:rsid w:val="2A4F1B83"/>
    <w:rsid w:val="2A815A06"/>
    <w:rsid w:val="2A83361D"/>
    <w:rsid w:val="2A900F11"/>
    <w:rsid w:val="2A9A2BED"/>
    <w:rsid w:val="2A9C43F5"/>
    <w:rsid w:val="2AB625B8"/>
    <w:rsid w:val="2AB73B4C"/>
    <w:rsid w:val="2AB9175B"/>
    <w:rsid w:val="2ABE59AB"/>
    <w:rsid w:val="2AD570FC"/>
    <w:rsid w:val="2AD94A65"/>
    <w:rsid w:val="2AF43097"/>
    <w:rsid w:val="2AF653DE"/>
    <w:rsid w:val="2AF752C4"/>
    <w:rsid w:val="2B0944C9"/>
    <w:rsid w:val="2B386200"/>
    <w:rsid w:val="2B3F023C"/>
    <w:rsid w:val="2B3F3246"/>
    <w:rsid w:val="2B404F39"/>
    <w:rsid w:val="2B41779F"/>
    <w:rsid w:val="2B607C62"/>
    <w:rsid w:val="2B674E31"/>
    <w:rsid w:val="2B7A7FA1"/>
    <w:rsid w:val="2B9303A5"/>
    <w:rsid w:val="2BC568CE"/>
    <w:rsid w:val="2BD0618E"/>
    <w:rsid w:val="2BE05B2A"/>
    <w:rsid w:val="2BE4233F"/>
    <w:rsid w:val="2BF65DEC"/>
    <w:rsid w:val="2C296585"/>
    <w:rsid w:val="2C323291"/>
    <w:rsid w:val="2C3A4F2D"/>
    <w:rsid w:val="2C6619BD"/>
    <w:rsid w:val="2CA57416"/>
    <w:rsid w:val="2CB36D51"/>
    <w:rsid w:val="2CC45358"/>
    <w:rsid w:val="2CC9281C"/>
    <w:rsid w:val="2CCF729C"/>
    <w:rsid w:val="2CDB31DE"/>
    <w:rsid w:val="2CFE7A97"/>
    <w:rsid w:val="2D0C3A20"/>
    <w:rsid w:val="2D156EAB"/>
    <w:rsid w:val="2D203E67"/>
    <w:rsid w:val="2D33510B"/>
    <w:rsid w:val="2D4359BD"/>
    <w:rsid w:val="2D4B38D9"/>
    <w:rsid w:val="2D4C20FA"/>
    <w:rsid w:val="2D512A1A"/>
    <w:rsid w:val="2D6E7624"/>
    <w:rsid w:val="2D7A1A0E"/>
    <w:rsid w:val="2D7D0435"/>
    <w:rsid w:val="2D833026"/>
    <w:rsid w:val="2D846E6F"/>
    <w:rsid w:val="2D856A49"/>
    <w:rsid w:val="2D8B57F2"/>
    <w:rsid w:val="2D927ADF"/>
    <w:rsid w:val="2DB25679"/>
    <w:rsid w:val="2DBE4EE9"/>
    <w:rsid w:val="2DDE12CD"/>
    <w:rsid w:val="2DFB1C91"/>
    <w:rsid w:val="2E097029"/>
    <w:rsid w:val="2E4379ED"/>
    <w:rsid w:val="2E45600A"/>
    <w:rsid w:val="2E472D13"/>
    <w:rsid w:val="2E5E58B7"/>
    <w:rsid w:val="2E751729"/>
    <w:rsid w:val="2E79097A"/>
    <w:rsid w:val="2E8F70FB"/>
    <w:rsid w:val="2E950006"/>
    <w:rsid w:val="2E9F58D1"/>
    <w:rsid w:val="2EA14884"/>
    <w:rsid w:val="2EA3245E"/>
    <w:rsid w:val="2EF127EF"/>
    <w:rsid w:val="2EF54286"/>
    <w:rsid w:val="2EFA67EB"/>
    <w:rsid w:val="2EFF25E6"/>
    <w:rsid w:val="2F1971EC"/>
    <w:rsid w:val="2F1A03FF"/>
    <w:rsid w:val="2F1B7724"/>
    <w:rsid w:val="2F1F5360"/>
    <w:rsid w:val="2F237946"/>
    <w:rsid w:val="2F28322E"/>
    <w:rsid w:val="2F364FBC"/>
    <w:rsid w:val="2F3A082D"/>
    <w:rsid w:val="2F3E4135"/>
    <w:rsid w:val="2F5128C6"/>
    <w:rsid w:val="2FB53472"/>
    <w:rsid w:val="2FB77E10"/>
    <w:rsid w:val="2FCF1DCD"/>
    <w:rsid w:val="2FE0033F"/>
    <w:rsid w:val="2FED5904"/>
    <w:rsid w:val="2FF65927"/>
    <w:rsid w:val="302139C4"/>
    <w:rsid w:val="302163C6"/>
    <w:rsid w:val="30291BA2"/>
    <w:rsid w:val="303257EB"/>
    <w:rsid w:val="303C51A2"/>
    <w:rsid w:val="303C6A30"/>
    <w:rsid w:val="30462066"/>
    <w:rsid w:val="3049337F"/>
    <w:rsid w:val="306B1E46"/>
    <w:rsid w:val="30793990"/>
    <w:rsid w:val="30840D77"/>
    <w:rsid w:val="309A20F2"/>
    <w:rsid w:val="309D58FA"/>
    <w:rsid w:val="30AB3D91"/>
    <w:rsid w:val="30BE5311"/>
    <w:rsid w:val="30C66F73"/>
    <w:rsid w:val="30CF09B3"/>
    <w:rsid w:val="30D0314B"/>
    <w:rsid w:val="310A48AB"/>
    <w:rsid w:val="310F37D8"/>
    <w:rsid w:val="31157970"/>
    <w:rsid w:val="31201344"/>
    <w:rsid w:val="31366274"/>
    <w:rsid w:val="315623C0"/>
    <w:rsid w:val="31702AC7"/>
    <w:rsid w:val="318A691F"/>
    <w:rsid w:val="319D416A"/>
    <w:rsid w:val="31B970BF"/>
    <w:rsid w:val="31D82752"/>
    <w:rsid w:val="31D96935"/>
    <w:rsid w:val="31EE05F5"/>
    <w:rsid w:val="31FD7858"/>
    <w:rsid w:val="320A44DA"/>
    <w:rsid w:val="321F7383"/>
    <w:rsid w:val="3224113E"/>
    <w:rsid w:val="32295E4B"/>
    <w:rsid w:val="327C1F2A"/>
    <w:rsid w:val="329B2933"/>
    <w:rsid w:val="32C826FE"/>
    <w:rsid w:val="32CA716D"/>
    <w:rsid w:val="32EE7FA7"/>
    <w:rsid w:val="32F26487"/>
    <w:rsid w:val="32F67A06"/>
    <w:rsid w:val="33003FC2"/>
    <w:rsid w:val="330662C4"/>
    <w:rsid w:val="33147E3C"/>
    <w:rsid w:val="33365D4F"/>
    <w:rsid w:val="334E72E1"/>
    <w:rsid w:val="335524B0"/>
    <w:rsid w:val="3367642A"/>
    <w:rsid w:val="3369018D"/>
    <w:rsid w:val="33807A55"/>
    <w:rsid w:val="338A3130"/>
    <w:rsid w:val="338B7C89"/>
    <w:rsid w:val="33BD752F"/>
    <w:rsid w:val="33CC45B9"/>
    <w:rsid w:val="33EE4F27"/>
    <w:rsid w:val="34086C09"/>
    <w:rsid w:val="344032C6"/>
    <w:rsid w:val="344453DA"/>
    <w:rsid w:val="3457156E"/>
    <w:rsid w:val="345F7770"/>
    <w:rsid w:val="345F7E6A"/>
    <w:rsid w:val="346776FB"/>
    <w:rsid w:val="346F7A5A"/>
    <w:rsid w:val="347F7864"/>
    <w:rsid w:val="349577EB"/>
    <w:rsid w:val="34B62A72"/>
    <w:rsid w:val="34C64B2F"/>
    <w:rsid w:val="35057543"/>
    <w:rsid w:val="350A5133"/>
    <w:rsid w:val="351118D1"/>
    <w:rsid w:val="3511624A"/>
    <w:rsid w:val="35382156"/>
    <w:rsid w:val="3551739A"/>
    <w:rsid w:val="35552043"/>
    <w:rsid w:val="355F1A9E"/>
    <w:rsid w:val="357F052A"/>
    <w:rsid w:val="35B7424D"/>
    <w:rsid w:val="35BC5177"/>
    <w:rsid w:val="35C87AD1"/>
    <w:rsid w:val="35CA59BE"/>
    <w:rsid w:val="35F709CF"/>
    <w:rsid w:val="35FF54EC"/>
    <w:rsid w:val="360B4B18"/>
    <w:rsid w:val="36104EFA"/>
    <w:rsid w:val="36212A7A"/>
    <w:rsid w:val="36245A91"/>
    <w:rsid w:val="362D449E"/>
    <w:rsid w:val="36332BB6"/>
    <w:rsid w:val="365B5248"/>
    <w:rsid w:val="365F7C09"/>
    <w:rsid w:val="36701966"/>
    <w:rsid w:val="3682014E"/>
    <w:rsid w:val="36833055"/>
    <w:rsid w:val="369F3805"/>
    <w:rsid w:val="36C57DB8"/>
    <w:rsid w:val="36DA6716"/>
    <w:rsid w:val="36E009AA"/>
    <w:rsid w:val="36EB13C8"/>
    <w:rsid w:val="36FA5A6C"/>
    <w:rsid w:val="370D6AD5"/>
    <w:rsid w:val="370D7253"/>
    <w:rsid w:val="37236280"/>
    <w:rsid w:val="372712E4"/>
    <w:rsid w:val="37271C88"/>
    <w:rsid w:val="372845E6"/>
    <w:rsid w:val="372B276C"/>
    <w:rsid w:val="3760708C"/>
    <w:rsid w:val="37905BEF"/>
    <w:rsid w:val="379A4FB8"/>
    <w:rsid w:val="37A40778"/>
    <w:rsid w:val="37B8153B"/>
    <w:rsid w:val="37C152BE"/>
    <w:rsid w:val="37C74D62"/>
    <w:rsid w:val="37C947EF"/>
    <w:rsid w:val="37D7147C"/>
    <w:rsid w:val="37DF41F2"/>
    <w:rsid w:val="37E347EA"/>
    <w:rsid w:val="37EC6776"/>
    <w:rsid w:val="382F3452"/>
    <w:rsid w:val="383302D3"/>
    <w:rsid w:val="383D0201"/>
    <w:rsid w:val="38464CEC"/>
    <w:rsid w:val="38470C91"/>
    <w:rsid w:val="384F2A55"/>
    <w:rsid w:val="3857263C"/>
    <w:rsid w:val="3869246D"/>
    <w:rsid w:val="387A3F0F"/>
    <w:rsid w:val="38846996"/>
    <w:rsid w:val="38857B4E"/>
    <w:rsid w:val="389523DB"/>
    <w:rsid w:val="38A4603C"/>
    <w:rsid w:val="38AA26D2"/>
    <w:rsid w:val="38CD088F"/>
    <w:rsid w:val="38E6091F"/>
    <w:rsid w:val="38EB744E"/>
    <w:rsid w:val="38F51754"/>
    <w:rsid w:val="38FF327B"/>
    <w:rsid w:val="390F1B48"/>
    <w:rsid w:val="39156120"/>
    <w:rsid w:val="391C48A6"/>
    <w:rsid w:val="394F5346"/>
    <w:rsid w:val="39625535"/>
    <w:rsid w:val="396769C7"/>
    <w:rsid w:val="396771A5"/>
    <w:rsid w:val="39735C19"/>
    <w:rsid w:val="39817CC3"/>
    <w:rsid w:val="398845E8"/>
    <w:rsid w:val="398A2CA2"/>
    <w:rsid w:val="398D62A0"/>
    <w:rsid w:val="39A97343"/>
    <w:rsid w:val="39AF36D9"/>
    <w:rsid w:val="39BE65D1"/>
    <w:rsid w:val="39CE55E2"/>
    <w:rsid w:val="39D970C3"/>
    <w:rsid w:val="3A0E46D4"/>
    <w:rsid w:val="3A195BF9"/>
    <w:rsid w:val="3A322EA7"/>
    <w:rsid w:val="3A513F92"/>
    <w:rsid w:val="3A654A31"/>
    <w:rsid w:val="3A696E5B"/>
    <w:rsid w:val="3A741175"/>
    <w:rsid w:val="3A7469AA"/>
    <w:rsid w:val="3A7F6BC9"/>
    <w:rsid w:val="3AA13316"/>
    <w:rsid w:val="3ABC6DF4"/>
    <w:rsid w:val="3AC62C85"/>
    <w:rsid w:val="3AEC50AC"/>
    <w:rsid w:val="3AEC5456"/>
    <w:rsid w:val="3AF35870"/>
    <w:rsid w:val="3AF90D07"/>
    <w:rsid w:val="3B027B22"/>
    <w:rsid w:val="3B0D6504"/>
    <w:rsid w:val="3B572219"/>
    <w:rsid w:val="3B693041"/>
    <w:rsid w:val="3B79618B"/>
    <w:rsid w:val="3B7A2F13"/>
    <w:rsid w:val="3B8B45E1"/>
    <w:rsid w:val="3B960371"/>
    <w:rsid w:val="3BA108FD"/>
    <w:rsid w:val="3BB15A7E"/>
    <w:rsid w:val="3BBC32BD"/>
    <w:rsid w:val="3BC25C80"/>
    <w:rsid w:val="3BDB3047"/>
    <w:rsid w:val="3BDE6F22"/>
    <w:rsid w:val="3C237B44"/>
    <w:rsid w:val="3C314960"/>
    <w:rsid w:val="3C3B4CA8"/>
    <w:rsid w:val="3C574486"/>
    <w:rsid w:val="3C6207A2"/>
    <w:rsid w:val="3C647F8D"/>
    <w:rsid w:val="3C71738C"/>
    <w:rsid w:val="3C743816"/>
    <w:rsid w:val="3C7579DE"/>
    <w:rsid w:val="3CB06833"/>
    <w:rsid w:val="3CCF0D49"/>
    <w:rsid w:val="3CE1404C"/>
    <w:rsid w:val="3CF5648A"/>
    <w:rsid w:val="3CF5744A"/>
    <w:rsid w:val="3D195135"/>
    <w:rsid w:val="3D366EE6"/>
    <w:rsid w:val="3D435812"/>
    <w:rsid w:val="3D4C15C7"/>
    <w:rsid w:val="3D574721"/>
    <w:rsid w:val="3D5D3FF3"/>
    <w:rsid w:val="3D7E3800"/>
    <w:rsid w:val="3D8D6DD5"/>
    <w:rsid w:val="3D9D5C48"/>
    <w:rsid w:val="3DCA2895"/>
    <w:rsid w:val="3DCF37C1"/>
    <w:rsid w:val="3DE12E4A"/>
    <w:rsid w:val="3DE40362"/>
    <w:rsid w:val="3DF20F9F"/>
    <w:rsid w:val="3DF253B2"/>
    <w:rsid w:val="3E0457D1"/>
    <w:rsid w:val="3E1B4C47"/>
    <w:rsid w:val="3E264E4E"/>
    <w:rsid w:val="3E2661B3"/>
    <w:rsid w:val="3E295501"/>
    <w:rsid w:val="3E2F3552"/>
    <w:rsid w:val="3E3B4984"/>
    <w:rsid w:val="3E634084"/>
    <w:rsid w:val="3E7D15F9"/>
    <w:rsid w:val="3E7F792C"/>
    <w:rsid w:val="3E955A62"/>
    <w:rsid w:val="3EA606A4"/>
    <w:rsid w:val="3EA8079A"/>
    <w:rsid w:val="3EB95FA5"/>
    <w:rsid w:val="3EC470B5"/>
    <w:rsid w:val="3EC5079E"/>
    <w:rsid w:val="3EE92C64"/>
    <w:rsid w:val="3EF24D0C"/>
    <w:rsid w:val="3F096987"/>
    <w:rsid w:val="3F3264F3"/>
    <w:rsid w:val="3F3F4F31"/>
    <w:rsid w:val="3F4C3A3D"/>
    <w:rsid w:val="3F6E6E01"/>
    <w:rsid w:val="3F760683"/>
    <w:rsid w:val="3F870949"/>
    <w:rsid w:val="3FB07BA9"/>
    <w:rsid w:val="3FB56FEF"/>
    <w:rsid w:val="3FEE3F7F"/>
    <w:rsid w:val="3FF82448"/>
    <w:rsid w:val="3FFD6462"/>
    <w:rsid w:val="400D37BC"/>
    <w:rsid w:val="4025674B"/>
    <w:rsid w:val="40317837"/>
    <w:rsid w:val="40445EFD"/>
    <w:rsid w:val="40A67461"/>
    <w:rsid w:val="40AD5FDC"/>
    <w:rsid w:val="40B1061D"/>
    <w:rsid w:val="40C53F7B"/>
    <w:rsid w:val="40D57DED"/>
    <w:rsid w:val="40F17B8D"/>
    <w:rsid w:val="40F51184"/>
    <w:rsid w:val="411807C9"/>
    <w:rsid w:val="41200186"/>
    <w:rsid w:val="4142401F"/>
    <w:rsid w:val="41625203"/>
    <w:rsid w:val="41685D05"/>
    <w:rsid w:val="418225B6"/>
    <w:rsid w:val="41983C0E"/>
    <w:rsid w:val="4198487E"/>
    <w:rsid w:val="419A4FEA"/>
    <w:rsid w:val="41A21C94"/>
    <w:rsid w:val="41A476C2"/>
    <w:rsid w:val="41A56B11"/>
    <w:rsid w:val="41B76925"/>
    <w:rsid w:val="41BD13B4"/>
    <w:rsid w:val="41C23592"/>
    <w:rsid w:val="41C85CEB"/>
    <w:rsid w:val="41C87996"/>
    <w:rsid w:val="42156863"/>
    <w:rsid w:val="421B3AF0"/>
    <w:rsid w:val="423607B2"/>
    <w:rsid w:val="42361991"/>
    <w:rsid w:val="42425BDE"/>
    <w:rsid w:val="42462B90"/>
    <w:rsid w:val="424B6C7F"/>
    <w:rsid w:val="426F7A8C"/>
    <w:rsid w:val="427A3DBC"/>
    <w:rsid w:val="429152D7"/>
    <w:rsid w:val="42AC3C92"/>
    <w:rsid w:val="42C8173C"/>
    <w:rsid w:val="42CC680F"/>
    <w:rsid w:val="42CE1862"/>
    <w:rsid w:val="42DD3AE3"/>
    <w:rsid w:val="42ED729A"/>
    <w:rsid w:val="42F24D7F"/>
    <w:rsid w:val="42F86092"/>
    <w:rsid w:val="42FA49D0"/>
    <w:rsid w:val="43086803"/>
    <w:rsid w:val="432817BA"/>
    <w:rsid w:val="433D0411"/>
    <w:rsid w:val="434B17AF"/>
    <w:rsid w:val="437251E7"/>
    <w:rsid w:val="438D373A"/>
    <w:rsid w:val="438F162F"/>
    <w:rsid w:val="43AE4404"/>
    <w:rsid w:val="43C16661"/>
    <w:rsid w:val="43CE0500"/>
    <w:rsid w:val="43E11B60"/>
    <w:rsid w:val="43E31EED"/>
    <w:rsid w:val="43EB4231"/>
    <w:rsid w:val="44170D07"/>
    <w:rsid w:val="441879E0"/>
    <w:rsid w:val="4420776F"/>
    <w:rsid w:val="442511D8"/>
    <w:rsid w:val="443366E5"/>
    <w:rsid w:val="443B62FC"/>
    <w:rsid w:val="44403F29"/>
    <w:rsid w:val="448702A4"/>
    <w:rsid w:val="448F2C1E"/>
    <w:rsid w:val="44A743D3"/>
    <w:rsid w:val="44AE4347"/>
    <w:rsid w:val="44B63156"/>
    <w:rsid w:val="44BC3C70"/>
    <w:rsid w:val="44CA6743"/>
    <w:rsid w:val="44D913E1"/>
    <w:rsid w:val="44EA66B2"/>
    <w:rsid w:val="452561B8"/>
    <w:rsid w:val="45404571"/>
    <w:rsid w:val="4540773A"/>
    <w:rsid w:val="454D7940"/>
    <w:rsid w:val="45551DB0"/>
    <w:rsid w:val="455B572D"/>
    <w:rsid w:val="45881381"/>
    <w:rsid w:val="45993FD6"/>
    <w:rsid w:val="45B22D89"/>
    <w:rsid w:val="45B43F2D"/>
    <w:rsid w:val="45B63488"/>
    <w:rsid w:val="45C46FC9"/>
    <w:rsid w:val="45C916ED"/>
    <w:rsid w:val="45FC38BA"/>
    <w:rsid w:val="460B0F30"/>
    <w:rsid w:val="461F6C80"/>
    <w:rsid w:val="464A166A"/>
    <w:rsid w:val="46562022"/>
    <w:rsid w:val="4656487A"/>
    <w:rsid w:val="46695910"/>
    <w:rsid w:val="467700D0"/>
    <w:rsid w:val="469B1171"/>
    <w:rsid w:val="46C103AE"/>
    <w:rsid w:val="46D44D26"/>
    <w:rsid w:val="46DC1C16"/>
    <w:rsid w:val="46DD1B4B"/>
    <w:rsid w:val="46FC36DD"/>
    <w:rsid w:val="470651C3"/>
    <w:rsid w:val="470878AD"/>
    <w:rsid w:val="471434C4"/>
    <w:rsid w:val="47154BDC"/>
    <w:rsid w:val="47190830"/>
    <w:rsid w:val="472175EE"/>
    <w:rsid w:val="47244109"/>
    <w:rsid w:val="472603A4"/>
    <w:rsid w:val="47321528"/>
    <w:rsid w:val="476C5DDF"/>
    <w:rsid w:val="477C1BDC"/>
    <w:rsid w:val="47814851"/>
    <w:rsid w:val="47843361"/>
    <w:rsid w:val="47BA0911"/>
    <w:rsid w:val="47D37476"/>
    <w:rsid w:val="48033853"/>
    <w:rsid w:val="48050C55"/>
    <w:rsid w:val="48100E2F"/>
    <w:rsid w:val="4824071A"/>
    <w:rsid w:val="484464E9"/>
    <w:rsid w:val="48454769"/>
    <w:rsid w:val="48490840"/>
    <w:rsid w:val="484B3DEC"/>
    <w:rsid w:val="48676DA0"/>
    <w:rsid w:val="486E1B4D"/>
    <w:rsid w:val="4876527D"/>
    <w:rsid w:val="487E2B52"/>
    <w:rsid w:val="48893B9C"/>
    <w:rsid w:val="48964F11"/>
    <w:rsid w:val="489818F5"/>
    <w:rsid w:val="48A60EB2"/>
    <w:rsid w:val="48AC4EE2"/>
    <w:rsid w:val="48B8451A"/>
    <w:rsid w:val="48BF25B0"/>
    <w:rsid w:val="48D50942"/>
    <w:rsid w:val="48DF6ED1"/>
    <w:rsid w:val="48E75A3C"/>
    <w:rsid w:val="48F35D04"/>
    <w:rsid w:val="490623B9"/>
    <w:rsid w:val="49083440"/>
    <w:rsid w:val="490A11CB"/>
    <w:rsid w:val="49182CE4"/>
    <w:rsid w:val="491A52CD"/>
    <w:rsid w:val="491E37BB"/>
    <w:rsid w:val="492270FA"/>
    <w:rsid w:val="4933223F"/>
    <w:rsid w:val="494409BB"/>
    <w:rsid w:val="49450B4F"/>
    <w:rsid w:val="4953374F"/>
    <w:rsid w:val="4957316B"/>
    <w:rsid w:val="495A1CE8"/>
    <w:rsid w:val="4986553B"/>
    <w:rsid w:val="498B7454"/>
    <w:rsid w:val="499200A6"/>
    <w:rsid w:val="49962508"/>
    <w:rsid w:val="499A261B"/>
    <w:rsid w:val="49A51191"/>
    <w:rsid w:val="49C35DB4"/>
    <w:rsid w:val="49D23D9E"/>
    <w:rsid w:val="49DF0BE1"/>
    <w:rsid w:val="49E30C94"/>
    <w:rsid w:val="49EC55C0"/>
    <w:rsid w:val="4A0576E3"/>
    <w:rsid w:val="4A0935F5"/>
    <w:rsid w:val="4A1866A2"/>
    <w:rsid w:val="4A262042"/>
    <w:rsid w:val="4A2639CA"/>
    <w:rsid w:val="4A2C28D4"/>
    <w:rsid w:val="4A903BF8"/>
    <w:rsid w:val="4AA54B10"/>
    <w:rsid w:val="4AA8521D"/>
    <w:rsid w:val="4AB5289F"/>
    <w:rsid w:val="4ABA3AD4"/>
    <w:rsid w:val="4AC91DA0"/>
    <w:rsid w:val="4AC95E8B"/>
    <w:rsid w:val="4ACC3CB8"/>
    <w:rsid w:val="4ADC52B1"/>
    <w:rsid w:val="4ADF5D7D"/>
    <w:rsid w:val="4AED3013"/>
    <w:rsid w:val="4B046B75"/>
    <w:rsid w:val="4B0A2A3B"/>
    <w:rsid w:val="4B596707"/>
    <w:rsid w:val="4B643A9E"/>
    <w:rsid w:val="4B6608DA"/>
    <w:rsid w:val="4B853842"/>
    <w:rsid w:val="4B857311"/>
    <w:rsid w:val="4B8B45BB"/>
    <w:rsid w:val="4B9B5AC2"/>
    <w:rsid w:val="4BA46CEB"/>
    <w:rsid w:val="4BC30E9B"/>
    <w:rsid w:val="4C106A58"/>
    <w:rsid w:val="4C253583"/>
    <w:rsid w:val="4C2B4977"/>
    <w:rsid w:val="4C3C23CE"/>
    <w:rsid w:val="4C5B755F"/>
    <w:rsid w:val="4C885C39"/>
    <w:rsid w:val="4C8A1076"/>
    <w:rsid w:val="4C9E5A04"/>
    <w:rsid w:val="4C9F7A58"/>
    <w:rsid w:val="4CEE629F"/>
    <w:rsid w:val="4CF77ED0"/>
    <w:rsid w:val="4D115695"/>
    <w:rsid w:val="4D1B6481"/>
    <w:rsid w:val="4D1E3915"/>
    <w:rsid w:val="4D257008"/>
    <w:rsid w:val="4D2764ED"/>
    <w:rsid w:val="4D574EF9"/>
    <w:rsid w:val="4D636616"/>
    <w:rsid w:val="4D6E5B5D"/>
    <w:rsid w:val="4D851E76"/>
    <w:rsid w:val="4D8E7042"/>
    <w:rsid w:val="4D9C2AA9"/>
    <w:rsid w:val="4DAF1737"/>
    <w:rsid w:val="4DD9079E"/>
    <w:rsid w:val="4E010386"/>
    <w:rsid w:val="4E100F62"/>
    <w:rsid w:val="4E236E28"/>
    <w:rsid w:val="4E5A66C9"/>
    <w:rsid w:val="4E7608A6"/>
    <w:rsid w:val="4EA85F38"/>
    <w:rsid w:val="4EAA02AA"/>
    <w:rsid w:val="4EBF6C25"/>
    <w:rsid w:val="4EC0220D"/>
    <w:rsid w:val="4EC2466E"/>
    <w:rsid w:val="4ECB24A5"/>
    <w:rsid w:val="4EDE2746"/>
    <w:rsid w:val="4EF601C4"/>
    <w:rsid w:val="4F133F75"/>
    <w:rsid w:val="4F1D50A9"/>
    <w:rsid w:val="4F2D555F"/>
    <w:rsid w:val="4F401641"/>
    <w:rsid w:val="4F6560CD"/>
    <w:rsid w:val="4FBC7BFA"/>
    <w:rsid w:val="4FF12FB6"/>
    <w:rsid w:val="4FFC0783"/>
    <w:rsid w:val="50331454"/>
    <w:rsid w:val="50362C31"/>
    <w:rsid w:val="50384D88"/>
    <w:rsid w:val="503E67D1"/>
    <w:rsid w:val="5041317D"/>
    <w:rsid w:val="50627030"/>
    <w:rsid w:val="50690540"/>
    <w:rsid w:val="506A7E97"/>
    <w:rsid w:val="508742E2"/>
    <w:rsid w:val="50A77038"/>
    <w:rsid w:val="50AE4386"/>
    <w:rsid w:val="50B9214C"/>
    <w:rsid w:val="50BA587F"/>
    <w:rsid w:val="50C37DD5"/>
    <w:rsid w:val="51013242"/>
    <w:rsid w:val="510D54BB"/>
    <w:rsid w:val="51221AD3"/>
    <w:rsid w:val="513E2BBC"/>
    <w:rsid w:val="51404717"/>
    <w:rsid w:val="516106D0"/>
    <w:rsid w:val="517266AA"/>
    <w:rsid w:val="517859EA"/>
    <w:rsid w:val="51D73258"/>
    <w:rsid w:val="51F31E0C"/>
    <w:rsid w:val="51F524C1"/>
    <w:rsid w:val="522F6241"/>
    <w:rsid w:val="5243081F"/>
    <w:rsid w:val="524C16CB"/>
    <w:rsid w:val="5261030D"/>
    <w:rsid w:val="52820E5D"/>
    <w:rsid w:val="5298212B"/>
    <w:rsid w:val="52982E01"/>
    <w:rsid w:val="529F5E07"/>
    <w:rsid w:val="52A216BE"/>
    <w:rsid w:val="52B339E2"/>
    <w:rsid w:val="52B51B01"/>
    <w:rsid w:val="52B56D3C"/>
    <w:rsid w:val="52C65867"/>
    <w:rsid w:val="52D10C40"/>
    <w:rsid w:val="52D152F2"/>
    <w:rsid w:val="52DF2B34"/>
    <w:rsid w:val="52E25059"/>
    <w:rsid w:val="53090A26"/>
    <w:rsid w:val="530A08B1"/>
    <w:rsid w:val="530A604C"/>
    <w:rsid w:val="531A7D15"/>
    <w:rsid w:val="531D6D76"/>
    <w:rsid w:val="532628C8"/>
    <w:rsid w:val="5327509F"/>
    <w:rsid w:val="53410D49"/>
    <w:rsid w:val="53A31EE9"/>
    <w:rsid w:val="53AB79FA"/>
    <w:rsid w:val="53AD52B0"/>
    <w:rsid w:val="53B11D33"/>
    <w:rsid w:val="53B76AB8"/>
    <w:rsid w:val="54007489"/>
    <w:rsid w:val="5402694F"/>
    <w:rsid w:val="54063544"/>
    <w:rsid w:val="54097471"/>
    <w:rsid w:val="54455E7C"/>
    <w:rsid w:val="54523AE8"/>
    <w:rsid w:val="547F7709"/>
    <w:rsid w:val="54902CCE"/>
    <w:rsid w:val="54953A1A"/>
    <w:rsid w:val="54AE64C0"/>
    <w:rsid w:val="54AF4A69"/>
    <w:rsid w:val="54B7491C"/>
    <w:rsid w:val="54B956E8"/>
    <w:rsid w:val="54CA3EFB"/>
    <w:rsid w:val="54ED52CE"/>
    <w:rsid w:val="54F63287"/>
    <w:rsid w:val="55104881"/>
    <w:rsid w:val="5511145D"/>
    <w:rsid w:val="55124E82"/>
    <w:rsid w:val="55372D6B"/>
    <w:rsid w:val="554565A5"/>
    <w:rsid w:val="5554090E"/>
    <w:rsid w:val="55603D5A"/>
    <w:rsid w:val="557416A6"/>
    <w:rsid w:val="557D7705"/>
    <w:rsid w:val="557F4EC6"/>
    <w:rsid w:val="55833F2F"/>
    <w:rsid w:val="55A82CE7"/>
    <w:rsid w:val="55B903A0"/>
    <w:rsid w:val="55CF74C1"/>
    <w:rsid w:val="55F1544C"/>
    <w:rsid w:val="55F46944"/>
    <w:rsid w:val="56084CB6"/>
    <w:rsid w:val="564625C3"/>
    <w:rsid w:val="56806FCE"/>
    <w:rsid w:val="568D261C"/>
    <w:rsid w:val="569719A7"/>
    <w:rsid w:val="569E07C6"/>
    <w:rsid w:val="569E54C9"/>
    <w:rsid w:val="56B81DDF"/>
    <w:rsid w:val="56BF1D00"/>
    <w:rsid w:val="56CF3297"/>
    <w:rsid w:val="56DA063E"/>
    <w:rsid w:val="56DA7E01"/>
    <w:rsid w:val="56E62AA8"/>
    <w:rsid w:val="56F85F6B"/>
    <w:rsid w:val="57003A07"/>
    <w:rsid w:val="570537FB"/>
    <w:rsid w:val="57262ABB"/>
    <w:rsid w:val="573330B7"/>
    <w:rsid w:val="573E6132"/>
    <w:rsid w:val="574468D5"/>
    <w:rsid w:val="5747016D"/>
    <w:rsid w:val="574D746A"/>
    <w:rsid w:val="57535B8A"/>
    <w:rsid w:val="57736482"/>
    <w:rsid w:val="57975762"/>
    <w:rsid w:val="57AC6411"/>
    <w:rsid w:val="57AD5865"/>
    <w:rsid w:val="57AD6AE7"/>
    <w:rsid w:val="57D84FCB"/>
    <w:rsid w:val="57DA00A5"/>
    <w:rsid w:val="57F76EEF"/>
    <w:rsid w:val="57FC6AD0"/>
    <w:rsid w:val="57FE3FFF"/>
    <w:rsid w:val="58077B25"/>
    <w:rsid w:val="58456F4B"/>
    <w:rsid w:val="584779A7"/>
    <w:rsid w:val="58511B8E"/>
    <w:rsid w:val="585F03A9"/>
    <w:rsid w:val="586A7CA9"/>
    <w:rsid w:val="586F46B4"/>
    <w:rsid w:val="58743CB3"/>
    <w:rsid w:val="587B7582"/>
    <w:rsid w:val="588C39EB"/>
    <w:rsid w:val="588F5850"/>
    <w:rsid w:val="58A71243"/>
    <w:rsid w:val="58A92AD7"/>
    <w:rsid w:val="58DB4992"/>
    <w:rsid w:val="58DD654C"/>
    <w:rsid w:val="58E26124"/>
    <w:rsid w:val="58E749FC"/>
    <w:rsid w:val="58E95C66"/>
    <w:rsid w:val="58EC5267"/>
    <w:rsid w:val="58EC7CEE"/>
    <w:rsid w:val="58FC21B2"/>
    <w:rsid w:val="58FE1D0C"/>
    <w:rsid w:val="590C3280"/>
    <w:rsid w:val="590C5EE4"/>
    <w:rsid w:val="59316614"/>
    <w:rsid w:val="593B797F"/>
    <w:rsid w:val="59603C46"/>
    <w:rsid w:val="59630A44"/>
    <w:rsid w:val="59631AB0"/>
    <w:rsid w:val="598330B5"/>
    <w:rsid w:val="59A5379F"/>
    <w:rsid w:val="59AB4978"/>
    <w:rsid w:val="59AC60E2"/>
    <w:rsid w:val="59B1115C"/>
    <w:rsid w:val="59B67FBD"/>
    <w:rsid w:val="59BE2B07"/>
    <w:rsid w:val="59DC308C"/>
    <w:rsid w:val="59DE7528"/>
    <w:rsid w:val="59EA75D1"/>
    <w:rsid w:val="59EE2DC6"/>
    <w:rsid w:val="59FA003B"/>
    <w:rsid w:val="59FB03A9"/>
    <w:rsid w:val="5A445D3E"/>
    <w:rsid w:val="5A5579A1"/>
    <w:rsid w:val="5A7A4A0F"/>
    <w:rsid w:val="5A88007E"/>
    <w:rsid w:val="5A964214"/>
    <w:rsid w:val="5AA7546E"/>
    <w:rsid w:val="5ABD4C51"/>
    <w:rsid w:val="5AC1275C"/>
    <w:rsid w:val="5ACE4B7F"/>
    <w:rsid w:val="5AD76B1A"/>
    <w:rsid w:val="5AE8592C"/>
    <w:rsid w:val="5AF11A09"/>
    <w:rsid w:val="5B096777"/>
    <w:rsid w:val="5B242387"/>
    <w:rsid w:val="5B25636E"/>
    <w:rsid w:val="5B2A5C9F"/>
    <w:rsid w:val="5B2B06AA"/>
    <w:rsid w:val="5B382121"/>
    <w:rsid w:val="5B4854AD"/>
    <w:rsid w:val="5B4C2A91"/>
    <w:rsid w:val="5B6C231F"/>
    <w:rsid w:val="5B6F5DAD"/>
    <w:rsid w:val="5B79215D"/>
    <w:rsid w:val="5B87441F"/>
    <w:rsid w:val="5B914A01"/>
    <w:rsid w:val="5B9C02C1"/>
    <w:rsid w:val="5BC41424"/>
    <w:rsid w:val="5BD26824"/>
    <w:rsid w:val="5BDB7739"/>
    <w:rsid w:val="5BDE0278"/>
    <w:rsid w:val="5BDF4044"/>
    <w:rsid w:val="5BF039B7"/>
    <w:rsid w:val="5BF366D3"/>
    <w:rsid w:val="5C054482"/>
    <w:rsid w:val="5C0823A7"/>
    <w:rsid w:val="5C0F62F7"/>
    <w:rsid w:val="5C1A4401"/>
    <w:rsid w:val="5C23525A"/>
    <w:rsid w:val="5C3F49FB"/>
    <w:rsid w:val="5C405AE6"/>
    <w:rsid w:val="5C530C01"/>
    <w:rsid w:val="5C557C85"/>
    <w:rsid w:val="5C590800"/>
    <w:rsid w:val="5C6761F0"/>
    <w:rsid w:val="5C894874"/>
    <w:rsid w:val="5C9474D4"/>
    <w:rsid w:val="5CA0613A"/>
    <w:rsid w:val="5CCF016D"/>
    <w:rsid w:val="5CCF21F0"/>
    <w:rsid w:val="5CD360E6"/>
    <w:rsid w:val="5CE20AE0"/>
    <w:rsid w:val="5CE421FE"/>
    <w:rsid w:val="5D0A642B"/>
    <w:rsid w:val="5D0A6555"/>
    <w:rsid w:val="5D272751"/>
    <w:rsid w:val="5D3D3174"/>
    <w:rsid w:val="5D614720"/>
    <w:rsid w:val="5D634F4D"/>
    <w:rsid w:val="5D6579E2"/>
    <w:rsid w:val="5D6B2CB2"/>
    <w:rsid w:val="5DC905FD"/>
    <w:rsid w:val="5E1915F6"/>
    <w:rsid w:val="5E235883"/>
    <w:rsid w:val="5E325B37"/>
    <w:rsid w:val="5E40070B"/>
    <w:rsid w:val="5E493CD9"/>
    <w:rsid w:val="5E534A84"/>
    <w:rsid w:val="5E652089"/>
    <w:rsid w:val="5E65428E"/>
    <w:rsid w:val="5E8A195A"/>
    <w:rsid w:val="5EDB6C9A"/>
    <w:rsid w:val="5EE65030"/>
    <w:rsid w:val="5F026D8C"/>
    <w:rsid w:val="5F316629"/>
    <w:rsid w:val="5F786B0B"/>
    <w:rsid w:val="5FC74D41"/>
    <w:rsid w:val="5FD261F7"/>
    <w:rsid w:val="5FD71A18"/>
    <w:rsid w:val="5FDB6A33"/>
    <w:rsid w:val="5FE21860"/>
    <w:rsid w:val="5FFD4FEC"/>
    <w:rsid w:val="60267DCD"/>
    <w:rsid w:val="602D77D2"/>
    <w:rsid w:val="6065392B"/>
    <w:rsid w:val="608721A1"/>
    <w:rsid w:val="608E19F6"/>
    <w:rsid w:val="6095651C"/>
    <w:rsid w:val="60A90318"/>
    <w:rsid w:val="60C34D55"/>
    <w:rsid w:val="60C61080"/>
    <w:rsid w:val="60CC48E7"/>
    <w:rsid w:val="60D65C6A"/>
    <w:rsid w:val="6115792E"/>
    <w:rsid w:val="61247551"/>
    <w:rsid w:val="614B258F"/>
    <w:rsid w:val="615B0085"/>
    <w:rsid w:val="616E1539"/>
    <w:rsid w:val="617E36A2"/>
    <w:rsid w:val="61BA7446"/>
    <w:rsid w:val="61C8408E"/>
    <w:rsid w:val="61C95B22"/>
    <w:rsid w:val="61E00C78"/>
    <w:rsid w:val="61EE4D89"/>
    <w:rsid w:val="61F2426F"/>
    <w:rsid w:val="61FD2B9D"/>
    <w:rsid w:val="62025BE8"/>
    <w:rsid w:val="62182902"/>
    <w:rsid w:val="623122D6"/>
    <w:rsid w:val="6231428A"/>
    <w:rsid w:val="62351093"/>
    <w:rsid w:val="623B215B"/>
    <w:rsid w:val="6243195E"/>
    <w:rsid w:val="62432DA5"/>
    <w:rsid w:val="624F6981"/>
    <w:rsid w:val="6256296D"/>
    <w:rsid w:val="62740EC3"/>
    <w:rsid w:val="627C7277"/>
    <w:rsid w:val="62892B80"/>
    <w:rsid w:val="62BE5406"/>
    <w:rsid w:val="62C45326"/>
    <w:rsid w:val="62D1208A"/>
    <w:rsid w:val="62DB191D"/>
    <w:rsid w:val="630B2973"/>
    <w:rsid w:val="63115657"/>
    <w:rsid w:val="632C2AAB"/>
    <w:rsid w:val="6350694D"/>
    <w:rsid w:val="6367142E"/>
    <w:rsid w:val="63856EC4"/>
    <w:rsid w:val="639661AF"/>
    <w:rsid w:val="63AA249F"/>
    <w:rsid w:val="63BD721E"/>
    <w:rsid w:val="63BF6CE4"/>
    <w:rsid w:val="63C72B69"/>
    <w:rsid w:val="63C855AB"/>
    <w:rsid w:val="63E30125"/>
    <w:rsid w:val="63E55C75"/>
    <w:rsid w:val="63E97A77"/>
    <w:rsid w:val="63EE5E4F"/>
    <w:rsid w:val="63FF6DAA"/>
    <w:rsid w:val="641370EA"/>
    <w:rsid w:val="6429154F"/>
    <w:rsid w:val="642D7BCC"/>
    <w:rsid w:val="64300D8E"/>
    <w:rsid w:val="643D467D"/>
    <w:rsid w:val="644A3F87"/>
    <w:rsid w:val="646935DD"/>
    <w:rsid w:val="646C615C"/>
    <w:rsid w:val="649D32C9"/>
    <w:rsid w:val="64B80F47"/>
    <w:rsid w:val="64CF01BF"/>
    <w:rsid w:val="64E83BCF"/>
    <w:rsid w:val="64E91AB9"/>
    <w:rsid w:val="64ED21AF"/>
    <w:rsid w:val="65020D38"/>
    <w:rsid w:val="65054468"/>
    <w:rsid w:val="65074363"/>
    <w:rsid w:val="65185630"/>
    <w:rsid w:val="652400A6"/>
    <w:rsid w:val="653E0850"/>
    <w:rsid w:val="65545D4A"/>
    <w:rsid w:val="65726366"/>
    <w:rsid w:val="65734BED"/>
    <w:rsid w:val="657969B2"/>
    <w:rsid w:val="65A32804"/>
    <w:rsid w:val="65A47712"/>
    <w:rsid w:val="65AC2792"/>
    <w:rsid w:val="65BD4622"/>
    <w:rsid w:val="65FE0E56"/>
    <w:rsid w:val="6616672A"/>
    <w:rsid w:val="662C7DCE"/>
    <w:rsid w:val="66482232"/>
    <w:rsid w:val="66755D42"/>
    <w:rsid w:val="667D2620"/>
    <w:rsid w:val="66804B6E"/>
    <w:rsid w:val="6681521F"/>
    <w:rsid w:val="6687149D"/>
    <w:rsid w:val="668D6998"/>
    <w:rsid w:val="66992F1E"/>
    <w:rsid w:val="66A531C3"/>
    <w:rsid w:val="66AA1609"/>
    <w:rsid w:val="66BA7875"/>
    <w:rsid w:val="66BB6C05"/>
    <w:rsid w:val="66D85CDF"/>
    <w:rsid w:val="66EF74CF"/>
    <w:rsid w:val="66FF7532"/>
    <w:rsid w:val="671465C0"/>
    <w:rsid w:val="671B5382"/>
    <w:rsid w:val="672A6D81"/>
    <w:rsid w:val="67503B25"/>
    <w:rsid w:val="67755A2B"/>
    <w:rsid w:val="677D4480"/>
    <w:rsid w:val="67A03E93"/>
    <w:rsid w:val="67B8162C"/>
    <w:rsid w:val="67BC6A58"/>
    <w:rsid w:val="67BF2EC3"/>
    <w:rsid w:val="67CC4924"/>
    <w:rsid w:val="67D36F9D"/>
    <w:rsid w:val="67D4333C"/>
    <w:rsid w:val="67E300EC"/>
    <w:rsid w:val="67ED79EB"/>
    <w:rsid w:val="67F02258"/>
    <w:rsid w:val="68020C78"/>
    <w:rsid w:val="682D1447"/>
    <w:rsid w:val="68350E04"/>
    <w:rsid w:val="683C7270"/>
    <w:rsid w:val="684438DA"/>
    <w:rsid w:val="685A2A18"/>
    <w:rsid w:val="685A4A8B"/>
    <w:rsid w:val="685D6762"/>
    <w:rsid w:val="6860530C"/>
    <w:rsid w:val="686A58BD"/>
    <w:rsid w:val="687626B9"/>
    <w:rsid w:val="688B5154"/>
    <w:rsid w:val="688F674E"/>
    <w:rsid w:val="68927E29"/>
    <w:rsid w:val="68A46AA2"/>
    <w:rsid w:val="68E0762E"/>
    <w:rsid w:val="68E6171A"/>
    <w:rsid w:val="69450C8B"/>
    <w:rsid w:val="695B00C4"/>
    <w:rsid w:val="69820480"/>
    <w:rsid w:val="698E7CDB"/>
    <w:rsid w:val="69A103AD"/>
    <w:rsid w:val="69C77178"/>
    <w:rsid w:val="69D92D0C"/>
    <w:rsid w:val="69DF1659"/>
    <w:rsid w:val="69E15704"/>
    <w:rsid w:val="6A0633DB"/>
    <w:rsid w:val="6A0E0121"/>
    <w:rsid w:val="6A193C08"/>
    <w:rsid w:val="6A195FEA"/>
    <w:rsid w:val="6A1C4505"/>
    <w:rsid w:val="6A384492"/>
    <w:rsid w:val="6A723945"/>
    <w:rsid w:val="6A7D2B42"/>
    <w:rsid w:val="6A860F8D"/>
    <w:rsid w:val="6A8D3A64"/>
    <w:rsid w:val="6A8E4163"/>
    <w:rsid w:val="6A99387A"/>
    <w:rsid w:val="6AA829C1"/>
    <w:rsid w:val="6AB71E17"/>
    <w:rsid w:val="6AB72564"/>
    <w:rsid w:val="6AC62F23"/>
    <w:rsid w:val="6AC85E61"/>
    <w:rsid w:val="6ACB02BA"/>
    <w:rsid w:val="6AE7490C"/>
    <w:rsid w:val="6B144A75"/>
    <w:rsid w:val="6B486DB6"/>
    <w:rsid w:val="6B5F41A2"/>
    <w:rsid w:val="6B6258FD"/>
    <w:rsid w:val="6B6C5D9A"/>
    <w:rsid w:val="6B8E7F29"/>
    <w:rsid w:val="6B966A21"/>
    <w:rsid w:val="6BAF6D00"/>
    <w:rsid w:val="6BB67E23"/>
    <w:rsid w:val="6BCB565F"/>
    <w:rsid w:val="6BD75D2F"/>
    <w:rsid w:val="6BD77F5F"/>
    <w:rsid w:val="6BF942B9"/>
    <w:rsid w:val="6C011F8E"/>
    <w:rsid w:val="6C1326B4"/>
    <w:rsid w:val="6C1B47DD"/>
    <w:rsid w:val="6C2426F2"/>
    <w:rsid w:val="6C3257C4"/>
    <w:rsid w:val="6C4C7383"/>
    <w:rsid w:val="6C5E5495"/>
    <w:rsid w:val="6C68593A"/>
    <w:rsid w:val="6C7F0C93"/>
    <w:rsid w:val="6C844643"/>
    <w:rsid w:val="6C891CEB"/>
    <w:rsid w:val="6C8A696D"/>
    <w:rsid w:val="6C8B03BB"/>
    <w:rsid w:val="6CA52BE1"/>
    <w:rsid w:val="6CAB74A6"/>
    <w:rsid w:val="6CBB1D91"/>
    <w:rsid w:val="6CC537A6"/>
    <w:rsid w:val="6CCA50F5"/>
    <w:rsid w:val="6CD87EBE"/>
    <w:rsid w:val="6D0C0317"/>
    <w:rsid w:val="6D1E4CCD"/>
    <w:rsid w:val="6D302185"/>
    <w:rsid w:val="6D5F5715"/>
    <w:rsid w:val="6D600BBE"/>
    <w:rsid w:val="6D625C30"/>
    <w:rsid w:val="6D651B90"/>
    <w:rsid w:val="6D77431B"/>
    <w:rsid w:val="6DA46A5F"/>
    <w:rsid w:val="6DB3048C"/>
    <w:rsid w:val="6DC0567F"/>
    <w:rsid w:val="6DC101BA"/>
    <w:rsid w:val="6DC14EB2"/>
    <w:rsid w:val="6DC9085C"/>
    <w:rsid w:val="6DD0228A"/>
    <w:rsid w:val="6DD71F54"/>
    <w:rsid w:val="6DF7618F"/>
    <w:rsid w:val="6DFF3AFC"/>
    <w:rsid w:val="6E190C3F"/>
    <w:rsid w:val="6E30416C"/>
    <w:rsid w:val="6E363F3E"/>
    <w:rsid w:val="6E583E63"/>
    <w:rsid w:val="6E5B7BC1"/>
    <w:rsid w:val="6E6071B8"/>
    <w:rsid w:val="6E6B2767"/>
    <w:rsid w:val="6EA07F4A"/>
    <w:rsid w:val="6EA96F2B"/>
    <w:rsid w:val="6EC65C47"/>
    <w:rsid w:val="6ED05481"/>
    <w:rsid w:val="6ED60C4C"/>
    <w:rsid w:val="6ED94D3C"/>
    <w:rsid w:val="6EE6346A"/>
    <w:rsid w:val="6EF0187E"/>
    <w:rsid w:val="6EF27E67"/>
    <w:rsid w:val="6EFD265E"/>
    <w:rsid w:val="6F0461FE"/>
    <w:rsid w:val="6F0D0A82"/>
    <w:rsid w:val="6F0F5CD5"/>
    <w:rsid w:val="6F252AB1"/>
    <w:rsid w:val="6F2A498B"/>
    <w:rsid w:val="6F322AAF"/>
    <w:rsid w:val="6F410BA3"/>
    <w:rsid w:val="6F482CC9"/>
    <w:rsid w:val="6F4A21ED"/>
    <w:rsid w:val="6F651EC5"/>
    <w:rsid w:val="6F8A7505"/>
    <w:rsid w:val="6F8E0EFA"/>
    <w:rsid w:val="6FA967B0"/>
    <w:rsid w:val="6FB60008"/>
    <w:rsid w:val="6FC66BCD"/>
    <w:rsid w:val="6FCA65CD"/>
    <w:rsid w:val="6FCE5E24"/>
    <w:rsid w:val="6FFA28F4"/>
    <w:rsid w:val="6FFD614F"/>
    <w:rsid w:val="701439AA"/>
    <w:rsid w:val="70153A4B"/>
    <w:rsid w:val="70217E36"/>
    <w:rsid w:val="704C2821"/>
    <w:rsid w:val="704E2BF9"/>
    <w:rsid w:val="705611E8"/>
    <w:rsid w:val="706103C5"/>
    <w:rsid w:val="70735785"/>
    <w:rsid w:val="70736A9B"/>
    <w:rsid w:val="70755C72"/>
    <w:rsid w:val="7076713C"/>
    <w:rsid w:val="708903EB"/>
    <w:rsid w:val="708E137E"/>
    <w:rsid w:val="709070CD"/>
    <w:rsid w:val="709F5DB8"/>
    <w:rsid w:val="70C23562"/>
    <w:rsid w:val="70E30E95"/>
    <w:rsid w:val="71025C84"/>
    <w:rsid w:val="71096819"/>
    <w:rsid w:val="711B514B"/>
    <w:rsid w:val="71243652"/>
    <w:rsid w:val="712A0871"/>
    <w:rsid w:val="714B28B2"/>
    <w:rsid w:val="717E1F6C"/>
    <w:rsid w:val="718376B7"/>
    <w:rsid w:val="719827BC"/>
    <w:rsid w:val="71A03750"/>
    <w:rsid w:val="71A1021A"/>
    <w:rsid w:val="71C60A57"/>
    <w:rsid w:val="71D26F8F"/>
    <w:rsid w:val="71D94113"/>
    <w:rsid w:val="71F725DB"/>
    <w:rsid w:val="720B3B31"/>
    <w:rsid w:val="7217497E"/>
    <w:rsid w:val="723F2383"/>
    <w:rsid w:val="7246683B"/>
    <w:rsid w:val="724A3C15"/>
    <w:rsid w:val="72513B57"/>
    <w:rsid w:val="725E5AF9"/>
    <w:rsid w:val="726B22B5"/>
    <w:rsid w:val="726D33C6"/>
    <w:rsid w:val="72700F0F"/>
    <w:rsid w:val="727336D4"/>
    <w:rsid w:val="7279157D"/>
    <w:rsid w:val="72865217"/>
    <w:rsid w:val="729E04A5"/>
    <w:rsid w:val="72BE7739"/>
    <w:rsid w:val="73534983"/>
    <w:rsid w:val="7368443F"/>
    <w:rsid w:val="73705FF0"/>
    <w:rsid w:val="73743B78"/>
    <w:rsid w:val="73825110"/>
    <w:rsid w:val="739F66C7"/>
    <w:rsid w:val="73B32F57"/>
    <w:rsid w:val="74327E09"/>
    <w:rsid w:val="744530A4"/>
    <w:rsid w:val="745427F9"/>
    <w:rsid w:val="746A2BCF"/>
    <w:rsid w:val="74772849"/>
    <w:rsid w:val="747B5C20"/>
    <w:rsid w:val="748507AC"/>
    <w:rsid w:val="74A76D1E"/>
    <w:rsid w:val="74B53E5B"/>
    <w:rsid w:val="74BA51F8"/>
    <w:rsid w:val="74BD69B4"/>
    <w:rsid w:val="74C864C6"/>
    <w:rsid w:val="74D520AF"/>
    <w:rsid w:val="74E56794"/>
    <w:rsid w:val="74EA24C3"/>
    <w:rsid w:val="7517390E"/>
    <w:rsid w:val="75182D0C"/>
    <w:rsid w:val="751C0C56"/>
    <w:rsid w:val="751E0424"/>
    <w:rsid w:val="75271BBB"/>
    <w:rsid w:val="753203A2"/>
    <w:rsid w:val="75434CEF"/>
    <w:rsid w:val="7558612A"/>
    <w:rsid w:val="755E33FE"/>
    <w:rsid w:val="75792BF1"/>
    <w:rsid w:val="758E18AF"/>
    <w:rsid w:val="759550AF"/>
    <w:rsid w:val="759B4D7B"/>
    <w:rsid w:val="75BD4EBC"/>
    <w:rsid w:val="75D56F9C"/>
    <w:rsid w:val="75DE05FC"/>
    <w:rsid w:val="75DF5B16"/>
    <w:rsid w:val="75F53522"/>
    <w:rsid w:val="75FF1536"/>
    <w:rsid w:val="76181258"/>
    <w:rsid w:val="76306444"/>
    <w:rsid w:val="76393CBC"/>
    <w:rsid w:val="764B1960"/>
    <w:rsid w:val="764F7A9E"/>
    <w:rsid w:val="765056B1"/>
    <w:rsid w:val="765B72A8"/>
    <w:rsid w:val="765C6CE9"/>
    <w:rsid w:val="76867CA9"/>
    <w:rsid w:val="76974A4F"/>
    <w:rsid w:val="769F2D9E"/>
    <w:rsid w:val="76B75AE9"/>
    <w:rsid w:val="76BB70FA"/>
    <w:rsid w:val="76C25A82"/>
    <w:rsid w:val="76C83240"/>
    <w:rsid w:val="76D739B3"/>
    <w:rsid w:val="76DC19DF"/>
    <w:rsid w:val="76F1407D"/>
    <w:rsid w:val="770136C8"/>
    <w:rsid w:val="77104CEF"/>
    <w:rsid w:val="77253D4F"/>
    <w:rsid w:val="77330DD0"/>
    <w:rsid w:val="774A06BE"/>
    <w:rsid w:val="77613C00"/>
    <w:rsid w:val="776F06E5"/>
    <w:rsid w:val="77875B12"/>
    <w:rsid w:val="778B6960"/>
    <w:rsid w:val="779871FD"/>
    <w:rsid w:val="77A137E6"/>
    <w:rsid w:val="77A148C0"/>
    <w:rsid w:val="77D31CA4"/>
    <w:rsid w:val="77D76D1B"/>
    <w:rsid w:val="77EF5B3D"/>
    <w:rsid w:val="77F26866"/>
    <w:rsid w:val="77F60BA2"/>
    <w:rsid w:val="780A1121"/>
    <w:rsid w:val="780A48FB"/>
    <w:rsid w:val="780E30BD"/>
    <w:rsid w:val="781C1169"/>
    <w:rsid w:val="78292698"/>
    <w:rsid w:val="782A5A2B"/>
    <w:rsid w:val="78352288"/>
    <w:rsid w:val="78366871"/>
    <w:rsid w:val="783C404A"/>
    <w:rsid w:val="784617C3"/>
    <w:rsid w:val="785115E4"/>
    <w:rsid w:val="78613FB5"/>
    <w:rsid w:val="78734865"/>
    <w:rsid w:val="789D02F2"/>
    <w:rsid w:val="78A2246D"/>
    <w:rsid w:val="78B60900"/>
    <w:rsid w:val="78C30F5C"/>
    <w:rsid w:val="78DD5D81"/>
    <w:rsid w:val="78DF0B75"/>
    <w:rsid w:val="78E022EF"/>
    <w:rsid w:val="78EB0306"/>
    <w:rsid w:val="78F32750"/>
    <w:rsid w:val="79005AAF"/>
    <w:rsid w:val="79123E7D"/>
    <w:rsid w:val="79154DBC"/>
    <w:rsid w:val="791E1011"/>
    <w:rsid w:val="792A3894"/>
    <w:rsid w:val="79495D14"/>
    <w:rsid w:val="79510F93"/>
    <w:rsid w:val="797732C2"/>
    <w:rsid w:val="797A5D1E"/>
    <w:rsid w:val="797A7963"/>
    <w:rsid w:val="797C53E8"/>
    <w:rsid w:val="798D7B87"/>
    <w:rsid w:val="79912E76"/>
    <w:rsid w:val="79925F79"/>
    <w:rsid w:val="799E1B28"/>
    <w:rsid w:val="79A13A72"/>
    <w:rsid w:val="79A17CFC"/>
    <w:rsid w:val="79A249B4"/>
    <w:rsid w:val="79B5084F"/>
    <w:rsid w:val="79CE019D"/>
    <w:rsid w:val="79F24870"/>
    <w:rsid w:val="7A5E4272"/>
    <w:rsid w:val="7A604F40"/>
    <w:rsid w:val="7A657744"/>
    <w:rsid w:val="7A6B4FBD"/>
    <w:rsid w:val="7A6C68CD"/>
    <w:rsid w:val="7A6C7A1E"/>
    <w:rsid w:val="7A7B51FE"/>
    <w:rsid w:val="7A7E2EB2"/>
    <w:rsid w:val="7A8021EB"/>
    <w:rsid w:val="7A8257E2"/>
    <w:rsid w:val="7A8A3D35"/>
    <w:rsid w:val="7A96455A"/>
    <w:rsid w:val="7A970587"/>
    <w:rsid w:val="7A9E31E1"/>
    <w:rsid w:val="7ACA0B40"/>
    <w:rsid w:val="7AD07C94"/>
    <w:rsid w:val="7AFD213E"/>
    <w:rsid w:val="7B1A106B"/>
    <w:rsid w:val="7B2C2777"/>
    <w:rsid w:val="7B38490F"/>
    <w:rsid w:val="7B5F3ABA"/>
    <w:rsid w:val="7B72543E"/>
    <w:rsid w:val="7B802BAF"/>
    <w:rsid w:val="7B847253"/>
    <w:rsid w:val="7B981164"/>
    <w:rsid w:val="7BB22B52"/>
    <w:rsid w:val="7BB35D52"/>
    <w:rsid w:val="7BC24CD8"/>
    <w:rsid w:val="7BC5258B"/>
    <w:rsid w:val="7BDE34A0"/>
    <w:rsid w:val="7C067514"/>
    <w:rsid w:val="7C20120A"/>
    <w:rsid w:val="7C5879D7"/>
    <w:rsid w:val="7C7A1F09"/>
    <w:rsid w:val="7C7F7FDA"/>
    <w:rsid w:val="7C8B272D"/>
    <w:rsid w:val="7C901FD5"/>
    <w:rsid w:val="7C9A3EB5"/>
    <w:rsid w:val="7C9B35A0"/>
    <w:rsid w:val="7CA45DEE"/>
    <w:rsid w:val="7CB44B89"/>
    <w:rsid w:val="7CBE50CD"/>
    <w:rsid w:val="7CC96E91"/>
    <w:rsid w:val="7CDC42D9"/>
    <w:rsid w:val="7CDE582F"/>
    <w:rsid w:val="7CF10B1E"/>
    <w:rsid w:val="7D2D4D38"/>
    <w:rsid w:val="7D4011AF"/>
    <w:rsid w:val="7D5C4DEA"/>
    <w:rsid w:val="7D693E76"/>
    <w:rsid w:val="7D6957DE"/>
    <w:rsid w:val="7D757BC7"/>
    <w:rsid w:val="7D8545D4"/>
    <w:rsid w:val="7D9E0918"/>
    <w:rsid w:val="7DD53765"/>
    <w:rsid w:val="7DDF0CF5"/>
    <w:rsid w:val="7DDF7A77"/>
    <w:rsid w:val="7E3A3389"/>
    <w:rsid w:val="7E435754"/>
    <w:rsid w:val="7E624250"/>
    <w:rsid w:val="7E7A6690"/>
    <w:rsid w:val="7E9523FB"/>
    <w:rsid w:val="7E956537"/>
    <w:rsid w:val="7EA2796B"/>
    <w:rsid w:val="7EBB78C5"/>
    <w:rsid w:val="7EC215CD"/>
    <w:rsid w:val="7ED67965"/>
    <w:rsid w:val="7EDA7429"/>
    <w:rsid w:val="7EE014B2"/>
    <w:rsid w:val="7F0C3B81"/>
    <w:rsid w:val="7F167127"/>
    <w:rsid w:val="7F1A2900"/>
    <w:rsid w:val="7F385BA0"/>
    <w:rsid w:val="7F460370"/>
    <w:rsid w:val="7F51650B"/>
    <w:rsid w:val="7F9A699F"/>
    <w:rsid w:val="7F9D0EBA"/>
    <w:rsid w:val="7FA11C9B"/>
    <w:rsid w:val="7FA154C4"/>
    <w:rsid w:val="7FA51236"/>
    <w:rsid w:val="7FAF6DF1"/>
    <w:rsid w:val="7FB42BE8"/>
    <w:rsid w:val="7FB86E9C"/>
    <w:rsid w:val="7FBD50BF"/>
    <w:rsid w:val="7FC06D7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1"/>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link w:val="54"/>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toa heading"/>
    <w:basedOn w:val="1"/>
    <w:next w:val="1"/>
    <w:qFormat/>
    <w:uiPriority w:val="0"/>
    <w:rPr>
      <w:rFonts w:ascii="Arial" w:hAnsi="Arial"/>
      <w:sz w:val="24"/>
    </w:rPr>
  </w:style>
  <w:style w:type="paragraph" w:styleId="10">
    <w:name w:val="annotation text"/>
    <w:basedOn w:val="1"/>
    <w:unhideWhenUsed/>
    <w:qFormat/>
    <w:uiPriority w:val="0"/>
    <w:pPr>
      <w:jc w:val="left"/>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8"/>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10"/>
    <w:next w:val="10"/>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unhideWhenUsed/>
    <w:qFormat/>
    <w:uiPriority w:val="99"/>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9"/>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qFormat/>
    <w:uiPriority w:val="0"/>
    <w:rPr>
      <w:sz w:val="18"/>
      <w:szCs w:val="18"/>
    </w:rPr>
  </w:style>
  <w:style w:type="paragraph" w:customStyle="1" w:styleId="47">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13"/>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9"/>
    <w:link w:val="2"/>
    <w:qFormat/>
    <w:uiPriority w:val="99"/>
    <w:rPr>
      <w:sz w:val="21"/>
      <w:szCs w:val="21"/>
    </w:rPr>
  </w:style>
  <w:style w:type="paragraph" w:customStyle="1" w:styleId="52">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3">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正文缩进 Char"/>
    <w:link w:val="7"/>
    <w:qFormat/>
    <w:uiPriority w:val="0"/>
    <w:rPr>
      <w:sz w:val="32"/>
    </w:rPr>
  </w:style>
  <w:style w:type="table" w:customStyle="1" w:styleId="55">
    <w:name w:val="网格型1"/>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2"/>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FD73A-279F-4013-8343-A3655AEABC0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65</Pages>
  <Words>41247</Words>
  <Characters>43774</Characters>
  <Lines>274</Lines>
  <Paragraphs>77</Paragraphs>
  <TotalTime>1</TotalTime>
  <ScaleCrop>false</ScaleCrop>
  <LinksUpToDate>false</LinksUpToDate>
  <CharactersWithSpaces>45331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2021-04-09T08:10:00Z</dcterms:created>
  <dc:creator>NTKO</dc:creator>
  <cp:lastModifiedBy>ォ子，</cp:lastModifiedBy>
  <cp:lastPrinted>2022-11-23T07:59:00Z</cp:lastPrinted>
  <dcterms:modified xsi:type="dcterms:W3CDTF">2022-11-29T08:08:31Z</dcterms:modified>
  <cp:revision>430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29FC1C00DF5E49B2AA3D6C2E8D902CAE</vt:lpwstr>
  </property>
</Properties>
</file>