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widowControl w:val="0"/>
        <w:spacing w:line="1200" w:lineRule="exact"/>
        <w:ind w:left="442" w:hanging="442" w:hangingChars="100"/>
        <w:jc w:val="center"/>
        <w:rPr>
          <w:rFonts w:ascii="宋体" w:hAnsi="宋体" w:cs="宋体"/>
          <w:b/>
          <w:color w:val="auto"/>
          <w:sz w:val="44"/>
          <w:szCs w:val="44"/>
          <w:highlight w:val="none"/>
        </w:rPr>
      </w:pPr>
      <w:r>
        <w:rPr>
          <w:rFonts w:hint="eastAsia" w:ascii="宋体" w:hAnsi="宋体" w:cs="宋体"/>
          <w:b/>
          <w:color w:val="auto"/>
          <w:sz w:val="44"/>
          <w:szCs w:val="44"/>
          <w:highlight w:val="none"/>
        </w:rPr>
        <w:t>南宁轨道交通1、2、3号线专用通信、AFC系统故障件维修委外服务项目（2022-2023年）</w:t>
      </w:r>
    </w:p>
    <w:p>
      <w:pPr>
        <w:pStyle w:val="27"/>
        <w:spacing w:before="0"/>
        <w:ind w:right="-57" w:firstLine="0"/>
        <w:jc w:val="center"/>
        <w:rPr>
          <w:rFonts w:ascii="宋体" w:hAnsi="宋体"/>
          <w:b/>
          <w:color w:val="auto"/>
          <w:spacing w:val="-4"/>
          <w:sz w:val="44"/>
          <w:szCs w:val="44"/>
          <w:highlight w:val="none"/>
        </w:rPr>
      </w:pPr>
    </w:p>
    <w:p>
      <w:pPr>
        <w:spacing w:before="0"/>
        <w:ind w:left="0" w:right="-57" w:firstLine="0"/>
        <w:jc w:val="center"/>
        <w:rPr>
          <w:rFonts w:ascii="宋体" w:hAnsi="宋体"/>
          <w:color w:val="auto"/>
          <w:sz w:val="32"/>
          <w:szCs w:val="3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项目编号：202210280001</w:t>
      </w:r>
      <w:bookmarkStart w:id="2186" w:name="_GoBack"/>
      <w:bookmarkEnd w:id="2186"/>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rPr>
        <w:t>2022</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headerReference r:id="rId3" w:type="default"/>
          <w:footerReference r:id="rId4" w:type="default"/>
          <w:pgSz w:w="11905" w:h="16838"/>
          <w:pgMar w:top="1417" w:right="1417" w:bottom="1417" w:left="1417" w:header="454" w:footer="567" w:gutter="0"/>
          <w:pgBorders>
            <w:top w:val="none" w:sz="0" w:space="0"/>
            <w:left w:val="none" w:sz="0" w:space="0"/>
            <w:bottom w:val="none" w:sz="0" w:space="0"/>
            <w:right w:val="none" w:sz="0" w:space="0"/>
          </w:pgBorders>
          <w:pgNumType w:start="1" w:chapStyle="1"/>
          <w:cols w:space="720" w:num="1"/>
          <w:docGrid w:linePitch="312" w:charSpace="0"/>
        </w:sectPr>
      </w:pPr>
    </w:p>
    <w:p>
      <w:pPr>
        <w:spacing w:line="240" w:lineRule="auto"/>
        <w:jc w:val="center"/>
        <w:rPr>
          <w:color w:val="auto"/>
          <w:highlight w:val="none"/>
        </w:rPr>
      </w:pPr>
      <w:r>
        <w:rPr>
          <w:rFonts w:hint="eastAsia" w:ascii="宋体" w:hAnsi="宋体"/>
          <w:b/>
          <w:bCs/>
          <w:color w:val="auto"/>
          <w:highlight w:val="none"/>
        </w:rPr>
        <w:t>目录</w:t>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第一章比选公告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_Toc31727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_Toc10203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第二章比选申请须知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_Toc10203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_Toc19023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一、说明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_Toc19023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二、比选文件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_Toc17210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_Toc32466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三、比选申请文件的编制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_Toc32466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四、比选申请文件的密封和递交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_Toc17266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_Toc4104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五、比选申请文件递交与评审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_Toc4104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_Toc6355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六、授予合同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_Toc6355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_Toc14591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第三章 合同条款及格式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_Toc14591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_Toc22083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第一部分 合同协议书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_Toc22083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_Toc15561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第二部分 中选通知书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_Toc15561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_Toc26420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第三部分 价格组成文件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_Toc26420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_Toc17199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第四部分 合同条款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_Toc17199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_Toc32247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第五部分 技术规格书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_Toc32247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第六部分 合同附件及格式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_Toc17903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第七部分 比选文件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_Toc17903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_Toc9153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第八部分 比选申请文件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_Toc9153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第四章比选申请文件格式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_Toc16034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A  资格审查文件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_Toc16034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_Toc9940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i w:val="0"/>
          <w:color w:val="auto"/>
          <w:sz w:val="21"/>
          <w:szCs w:val="21"/>
          <w:highlight w:val="none"/>
        </w:rPr>
        <w:t xml:space="preserve">A1 </w:t>
      </w:r>
      <w:r>
        <w:rPr>
          <w:rFonts w:hint="eastAsia" w:ascii="宋体" w:hAnsi="宋体" w:eastAsia="宋体" w:cs="宋体"/>
          <w:color w:val="auto"/>
          <w:sz w:val="21"/>
          <w:szCs w:val="21"/>
          <w:highlight w:val="none"/>
        </w:rPr>
        <w:t>法定代表人授权书格式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_Toc9940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_Toc26449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i w:val="0"/>
          <w:color w:val="auto"/>
          <w:sz w:val="21"/>
          <w:szCs w:val="21"/>
          <w:highlight w:val="none"/>
        </w:rPr>
        <w:t xml:space="preserve">A2 </w:t>
      </w:r>
      <w:r>
        <w:rPr>
          <w:rFonts w:hint="eastAsia" w:ascii="宋体" w:hAnsi="宋体" w:eastAsia="宋体" w:cs="宋体"/>
          <w:color w:val="auto"/>
          <w:sz w:val="21"/>
          <w:szCs w:val="21"/>
          <w:highlight w:val="none"/>
        </w:rPr>
        <w:t>法定代表人资格证明书格式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_Toc26449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_Toc20754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A3 承诺书格式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_Toc20754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_Toc11865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A4资质证照</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_Toc11865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_Toc10123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A5  类似项目业绩表格式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_Toc10123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_Toc20031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B 价格文件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_Toc20031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_Toc5880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B1比选申请报价一览表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_Toc5880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_Toc27456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比选申请报价一览表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_Toc27456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_Toc29761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B2比选申请函格式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_Toc29761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_Toc21539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B3比选申请报价表格式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_Toc21539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_Toc24186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C技术文件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_Toc24186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_Toc7475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C1 技术响应表格式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_Toc7475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_Toc26486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C2按期完成承诺书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_Toc26486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_Toc10695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C3售后服务承诺书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_Toc10695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_Toc12412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C4商务响应表格式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_Toc12412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_Toc24720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第五章用户需求书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_Toc24720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_Toc15404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 项目概况</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_Toc15404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_Toc31878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 项目名称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_Toc31878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_Toc15837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 南宁轨道交通1、2、3号线线路概况</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_Toc15837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_Toc16086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 专用通信、AFC系统概况</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_Toc16086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_Toc18523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 甲乙双方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_Toc18523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_Toc13359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 项目范围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_Toc13359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_Toc3711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 项目范围及内容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_Toc3711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 项目承包方式及服务期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_Toc16726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_Toc20968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 承包方式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_Toc20968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_Toc6562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 计划服务期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_Toc6562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_Toc14356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 项目管理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_Toc14356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_Toc5645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4.1 乙方资质要求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_Toc5645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_Toc16808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4.2 乙方人员要求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_Toc16808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_Toc23026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4.3 知识产权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_Toc23026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_Toc15539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 项目要求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_Toc15539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_Toc23230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 维修要求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_Toc23230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_Toc4643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 维修标准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_Toc4643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_Toc18967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 质量要求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_Toc18967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_Toc4038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 考核</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_Toc4038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_Toc7749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 合同期违约处理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_Toc7749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_Toc4835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 验收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_Toc4835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7.1 验收标准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_Toc3111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_Toc24896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 附件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_Toc24896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_Toc22840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附件1：故障件清单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_Toc22840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_Toc31097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附件2：维修报告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_Toc31097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_Toc30317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附件3：性能测试验收报告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_Toc30317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_Toc17367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附件4：合同违约处理通知单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_Toc17367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_Toc13943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第六章评分办法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_Toc13943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_Toc5870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一、评审原则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_Toc5870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_Toc12723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二、评定方法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_Toc12723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_Toc15705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三、评审流程</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_Toc15705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_Toc5435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附表一 资格审查表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_Toc5435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_Toc12550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附表二 符合性评审表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_Toc12550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_Toc30588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附表三 技术文件评分标准表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_Toc30588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附表四 比选报价评分表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_Toc2569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_Toc17992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附表五比选申请价格评审表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_Toc17992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0"/>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en-US" w:eastAsia="zh-CN"/>
        </w:rPr>
        <w:t xml:space="preserve"> 比选控制价</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_Toc1223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pageBreakBefore/>
        <w:ind w:right="-57"/>
        <w:jc w:val="center"/>
        <w:outlineLvl w:val="0"/>
        <w:rPr>
          <w:rStyle w:val="44"/>
          <w:rFonts w:ascii="宋体" w:hAnsi="宋体" w:eastAsia="宋体"/>
          <w:color w:val="auto"/>
          <w:highlight w:val="none"/>
        </w:rPr>
      </w:pPr>
      <w:r>
        <w:rPr>
          <w:color w:val="auto"/>
          <w:highlight w:val="none"/>
        </w:rPr>
        <w:fldChar w:fldCharType="end"/>
      </w:r>
      <w:bookmarkStart w:id="0" w:name="_Toc27109"/>
      <w:bookmarkStart w:id="1" w:name="_Toc26505"/>
      <w:bookmarkStart w:id="2" w:name="_Toc26895"/>
      <w:bookmarkStart w:id="3" w:name="_Toc20876"/>
      <w:bookmarkStart w:id="4" w:name="_Toc15006"/>
      <w:bookmarkStart w:id="5" w:name="_Toc31727"/>
      <w:bookmarkStart w:id="6" w:name="_Toc5417_WPSOffice_Level1"/>
      <w:bookmarkStart w:id="7" w:name="_Toc27845_WPSOffice_Level1"/>
      <w:bookmarkStart w:id="8" w:name="_Toc10792"/>
      <w:r>
        <w:rPr>
          <w:rStyle w:val="44"/>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p>
    <w:p>
      <w:pPr>
        <w:spacing w:before="0" w:after="0" w:afterAutospacing="0"/>
        <w:ind w:right="-57"/>
        <w:jc w:val="center"/>
        <w:rPr>
          <w:rFonts w:ascii="宋体" w:hAnsi="宋体"/>
          <w:b/>
          <w:color w:val="auto"/>
          <w:sz w:val="28"/>
          <w:szCs w:val="28"/>
          <w:highlight w:val="none"/>
          <w:u w:val="single"/>
        </w:rPr>
      </w:pPr>
      <w:bookmarkStart w:id="9" w:name="_Toc19869_WPSOffice_Level2"/>
      <w:bookmarkStart w:id="10" w:name="_Toc2952_WPSOffice_Level2"/>
      <w:bookmarkStart w:id="11" w:name="_Toc8044_WPSOffice_Level2"/>
      <w:r>
        <w:rPr>
          <w:rFonts w:hint="eastAsia" w:ascii="宋体" w:hAnsi="宋体"/>
          <w:b/>
          <w:color w:val="auto"/>
          <w:sz w:val="28"/>
          <w:szCs w:val="28"/>
          <w:highlight w:val="none"/>
          <w:u w:val="single"/>
        </w:rPr>
        <w:t>南宁轨道交通1、2、3号线专用通信、AFC系统故障件委外维修</w:t>
      </w:r>
    </w:p>
    <w:p>
      <w:pPr>
        <w:spacing w:before="0" w:after="0" w:afterAutospacing="0"/>
        <w:ind w:right="-57"/>
        <w:jc w:val="center"/>
        <w:rPr>
          <w:rFonts w:ascii="宋体" w:hAnsi="宋体"/>
          <w:b/>
          <w:color w:val="auto"/>
          <w:sz w:val="28"/>
          <w:szCs w:val="28"/>
          <w:highlight w:val="none"/>
        </w:rPr>
      </w:pPr>
      <w:r>
        <w:rPr>
          <w:rFonts w:hint="eastAsia" w:ascii="宋体" w:hAnsi="宋体"/>
          <w:b/>
          <w:color w:val="auto"/>
          <w:sz w:val="28"/>
          <w:szCs w:val="28"/>
          <w:highlight w:val="none"/>
          <w:u w:val="single"/>
        </w:rPr>
        <w:t>服务项目（2022-2023年）</w:t>
      </w:r>
      <w:r>
        <w:rPr>
          <w:rFonts w:hint="eastAsia" w:ascii="宋体" w:hAnsi="宋体"/>
          <w:b/>
          <w:color w:val="auto"/>
          <w:sz w:val="28"/>
          <w:szCs w:val="28"/>
          <w:highlight w:val="none"/>
        </w:rPr>
        <w:t>比选</w:t>
      </w:r>
      <w:bookmarkEnd w:id="9"/>
      <w:bookmarkEnd w:id="10"/>
      <w:r>
        <w:rPr>
          <w:rFonts w:hint="eastAsia" w:ascii="宋体" w:hAnsi="宋体"/>
          <w:b/>
          <w:color w:val="auto"/>
          <w:sz w:val="28"/>
          <w:szCs w:val="28"/>
          <w:highlight w:val="none"/>
        </w:rPr>
        <w:t>公告</w:t>
      </w:r>
      <w:bookmarkEnd w:id="11"/>
    </w:p>
    <w:p>
      <w:pPr>
        <w:spacing w:before="0" w:after="0" w:afterAutospacing="0"/>
        <w:ind w:left="0" w:right="0" w:firstLine="422" w:firstLineChars="200"/>
        <w:rPr>
          <w:rFonts w:ascii="宋体" w:hAnsi="宋体"/>
          <w:b/>
          <w:color w:val="auto"/>
          <w:highlight w:val="none"/>
        </w:rPr>
      </w:pPr>
      <w:bookmarkStart w:id="12" w:name="OLE_LINK4"/>
      <w:bookmarkEnd w:id="12"/>
      <w:bookmarkStart w:id="13" w:name="_Toc30414_WPSOffice_Level2"/>
      <w:bookmarkStart w:id="14" w:name="_Toc29061_WPSOffice_Level2"/>
      <w:bookmarkStart w:id="15" w:name="_Toc27047_WPSOffice_Level2"/>
      <w:r>
        <w:rPr>
          <w:rFonts w:hint="eastAsia" w:ascii="宋体" w:hAnsi="宋体"/>
          <w:b/>
          <w:color w:val="auto"/>
          <w:highlight w:val="none"/>
        </w:rPr>
        <w:t>1.比选条件</w:t>
      </w:r>
      <w:bookmarkEnd w:id="13"/>
      <w:bookmarkEnd w:id="14"/>
      <w:bookmarkEnd w:id="1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南宁轨道交通1、2、3号线专用通信、AFC系统故障件委外维修服务项目（2022-2023年），</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bookmarkStart w:id="16" w:name="_Toc1083_WPSOffice_Level2"/>
      <w:bookmarkStart w:id="17" w:name="_Toc28120_WPSOffice_Level2"/>
      <w:bookmarkStart w:id="18" w:name="_Toc4859_WPSOffice_Level2"/>
      <w:r>
        <w:rPr>
          <w:rFonts w:hint="eastAsia" w:ascii="宋体" w:hAnsi="宋体"/>
          <w:b/>
          <w:color w:val="auto"/>
          <w:highlight w:val="none"/>
        </w:rPr>
        <w:t>2.项目概况与比选范围</w:t>
      </w:r>
      <w:bookmarkEnd w:id="16"/>
      <w:bookmarkEnd w:id="17"/>
      <w:bookmarkEnd w:id="18"/>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项目编号：202210280001。</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南宁轨道交通1、2、3号线专用通信、AFC系统故障件委外维修服务项目（2022-2023年）。</w:t>
      </w:r>
    </w:p>
    <w:p>
      <w:pPr>
        <w:spacing w:before="0" w:after="0" w:afterAutospacing="0"/>
        <w:ind w:left="0" w:right="0" w:firstLine="420" w:firstLineChars="200"/>
        <w:rPr>
          <w:rFonts w:ascii="宋体" w:hAnsi="宋体"/>
          <w:color w:val="auto"/>
          <w:highlight w:val="none"/>
          <w:u w:val="single"/>
        </w:rPr>
      </w:pPr>
      <w:r>
        <w:rPr>
          <w:rFonts w:hint="eastAsia" w:ascii="宋体" w:hAnsi="宋体" w:eastAsia="宋体"/>
          <w:color w:val="auto"/>
          <w:highlight w:val="none"/>
        </w:rPr>
        <w:t>上限控制价：本项目不含税上限控制价为人民币137000.00元。本项目设置分项控制价，具体详见比选文件第七章比选控制价中的比选上限控制价单价一览表。比选总报价高于比选控制价或比选单价高于比选控制单价的比选文件将按否决投标处理。</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服务期：</w:t>
      </w:r>
      <w:r>
        <w:rPr>
          <w:rFonts w:hint="eastAsia" w:ascii="宋体" w:hAnsi="宋体"/>
          <w:color w:val="auto"/>
          <w:highlight w:val="none"/>
          <w:u w:val="single"/>
        </w:rPr>
        <w:t>本项目计划服务期为90天（自合同签订之日起开始计算）。</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u w:val="single"/>
        </w:rPr>
        <w:t>无。</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南宁轨道交通1、2、3号线专用通信、AFC系统故障件委外维修服务项目（2022-2023年），</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bookmarkStart w:id="19" w:name="_Toc16438_WPSOffice_Level2"/>
      <w:bookmarkStart w:id="20" w:name="_Toc24475_WPSOffice_Level2"/>
      <w:bookmarkStart w:id="21" w:name="_Toc18657_WPSOffice_Level2"/>
      <w:r>
        <w:rPr>
          <w:rFonts w:hint="eastAsia" w:ascii="宋体" w:hAnsi="宋体"/>
          <w:b/>
          <w:color w:val="auto"/>
          <w:highlight w:val="none"/>
        </w:rPr>
        <w:t>3.比选申请人资格要求</w:t>
      </w:r>
      <w:bookmarkEnd w:id="19"/>
      <w:bookmarkEnd w:id="20"/>
      <w:bookmarkEnd w:id="2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3.2资质条件：</w:t>
      </w:r>
      <w:r>
        <w:rPr>
          <w:rFonts w:hint="eastAsia"/>
          <w:color w:val="auto"/>
          <w:highlight w:val="none"/>
        </w:rPr>
        <w:t>无。</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3.3业绩条件：比选申请人自2019年11月 1日至截标时间前至少具有1项已完成的类似业绩，类似业绩是指轨道交通通信或自动售检票故障件维修业绩，业绩证明材料须能反映类似业绩项目特征，否则不予认可（业绩证明材料为：合同或用户证明，用户证明须加盖证明人公章）。</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bookmarkStart w:id="22" w:name="_Toc23643_WPSOffice_Level2"/>
      <w:bookmarkStart w:id="23" w:name="_Toc21899_WPSOffice_Level2"/>
      <w:bookmarkStart w:id="24" w:name="_Toc9429_WPSOffice_Level2"/>
      <w:r>
        <w:rPr>
          <w:rFonts w:hint="eastAsia" w:ascii="宋体" w:hAnsi="宋体"/>
          <w:b/>
          <w:color w:val="auto"/>
          <w:highlight w:val="none"/>
        </w:rPr>
        <w:t>4.资格审查方式</w:t>
      </w:r>
      <w:bookmarkEnd w:id="22"/>
      <w:bookmarkEnd w:id="23"/>
      <w:bookmarkEnd w:id="2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bookmarkStart w:id="25" w:name="_Toc2287_WPSOffice_Level2"/>
      <w:bookmarkStart w:id="26" w:name="_Toc1286_WPSOffice_Level2"/>
      <w:bookmarkStart w:id="27" w:name="_Toc17692_WPSOffice_Level2"/>
      <w:r>
        <w:rPr>
          <w:rFonts w:hint="eastAsia" w:ascii="宋体" w:hAnsi="宋体"/>
          <w:b/>
          <w:color w:val="auto"/>
          <w:highlight w:val="none"/>
        </w:rPr>
        <w:t>5.比选文件的获取</w:t>
      </w:r>
      <w:bookmarkEnd w:id="25"/>
      <w:bookmarkEnd w:id="26"/>
      <w:bookmarkEnd w:id="2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bookmarkStart w:id="28" w:name="_Toc322_WPSOffice_Level2"/>
      <w:bookmarkStart w:id="29" w:name="_Toc2694_WPSOffice_Level2"/>
      <w:bookmarkStart w:id="30" w:name="_Toc2812_WPSOffice_Level2"/>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28"/>
      <w:bookmarkEnd w:id="29"/>
      <w:bookmarkEnd w:id="3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202</w:t>
      </w:r>
      <w:r>
        <w:rPr>
          <w:rFonts w:hint="eastAsia" w:ascii="宋体" w:hAnsi="宋体"/>
          <w:color w:val="auto"/>
          <w:highlight w:val="none"/>
          <w:u w:val="single"/>
          <w:lang w:val="en-US" w:eastAsia="zh-CN"/>
        </w:rPr>
        <w:t>3</w:t>
      </w:r>
      <w:r>
        <w:rPr>
          <w:rFonts w:hint="eastAsia" w:ascii="宋体" w:hAnsi="宋体"/>
          <w:color w:val="auto"/>
          <w:highlight w:val="none"/>
        </w:rPr>
        <w:t>年</w:t>
      </w:r>
      <w:r>
        <w:rPr>
          <w:rFonts w:hint="eastAsia" w:ascii="宋体" w:hAnsi="宋体"/>
          <w:color w:val="auto"/>
          <w:highlight w:val="none"/>
          <w:u w:val="single"/>
          <w:lang w:val="en-US" w:eastAsia="zh-CN"/>
        </w:rPr>
        <w:t xml:space="preserve"> 1 </w:t>
      </w:r>
      <w:r>
        <w:rPr>
          <w:rFonts w:hint="eastAsia" w:ascii="宋体" w:hAnsi="宋体"/>
          <w:color w:val="auto"/>
          <w:highlight w:val="none"/>
        </w:rPr>
        <w:t>月</w:t>
      </w:r>
      <w:r>
        <w:rPr>
          <w:rFonts w:hint="eastAsia" w:ascii="宋体" w:hAnsi="宋体"/>
          <w:color w:val="auto"/>
          <w:highlight w:val="none"/>
          <w:u w:val="single"/>
          <w:lang w:val="en-US" w:eastAsia="zh-CN"/>
        </w:rPr>
        <w:t xml:space="preserve"> 15 </w:t>
      </w:r>
      <w:r>
        <w:rPr>
          <w:rFonts w:hint="eastAsia" w:ascii="宋体" w:hAnsi="宋体"/>
          <w:color w:val="auto"/>
          <w:highlight w:val="none"/>
        </w:rPr>
        <w:t>日</w:t>
      </w:r>
      <w:r>
        <w:rPr>
          <w:rFonts w:hint="eastAsia" w:ascii="宋体" w:hAnsi="宋体"/>
          <w:color w:val="auto"/>
          <w:highlight w:val="none"/>
          <w:u w:val="single"/>
          <w:lang w:val="en-US" w:eastAsia="zh-CN"/>
        </w:rPr>
        <w:t>15</w:t>
      </w:r>
      <w:r>
        <w:rPr>
          <w:rFonts w:hint="eastAsia" w:ascii="宋体" w:hAnsi="宋体"/>
          <w:color w:val="auto"/>
          <w:highlight w:val="none"/>
        </w:rPr>
        <w:t>时</w:t>
      </w:r>
      <w:r>
        <w:rPr>
          <w:rFonts w:hint="eastAsia" w:ascii="宋体" w:hAnsi="宋体"/>
          <w:color w:val="auto"/>
          <w:highlight w:val="none"/>
          <w:u w:val="single"/>
          <w:lang w:val="en-US" w:eastAsia="zh-CN"/>
        </w:rPr>
        <w:t>3</w:t>
      </w:r>
      <w:r>
        <w:rPr>
          <w:rFonts w:hint="eastAsia" w:ascii="宋体" w:hAnsi="宋体"/>
          <w:color w:val="auto"/>
          <w:highlight w:val="none"/>
          <w:u w:val="single"/>
        </w:rPr>
        <w:t>0</w:t>
      </w:r>
      <w:r>
        <w:rPr>
          <w:rFonts w:hint="eastAsia" w:ascii="宋体" w:hAnsi="宋体"/>
          <w:color w:val="auto"/>
          <w:highlight w:val="none"/>
        </w:rPr>
        <w:t>分（北京时间）前递交，递交地点在广西南宁市青秀区云景路83号综合楼</w:t>
      </w:r>
      <w:r>
        <w:rPr>
          <w:rFonts w:hint="eastAsia" w:ascii="宋体" w:hAnsi="宋体"/>
          <w:color w:val="auto"/>
          <w:highlight w:val="none"/>
          <w:u w:val="single"/>
        </w:rPr>
        <w:t>205</w:t>
      </w:r>
      <w:r>
        <w:rPr>
          <w:rFonts w:hint="eastAsia" w:ascii="宋体" w:hAnsi="宋体"/>
          <w:color w:val="auto"/>
          <w:highlight w:val="none"/>
        </w:rPr>
        <w:t>会议室。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bookmarkStart w:id="31" w:name="_Toc4267_WPSOffice_Level2"/>
      <w:bookmarkStart w:id="32" w:name="_Toc15329_WPSOffice_Level2"/>
      <w:bookmarkStart w:id="33" w:name="_Toc28883_WPSOffice_Level2"/>
      <w:r>
        <w:rPr>
          <w:rFonts w:hint="eastAsia" w:ascii="宋体" w:hAnsi="宋体"/>
          <w:b/>
          <w:color w:val="auto"/>
          <w:highlight w:val="none"/>
        </w:rPr>
        <w:t>7.发布公告的媒介</w:t>
      </w:r>
      <w:bookmarkEnd w:id="31"/>
      <w:bookmarkEnd w:id="32"/>
      <w:bookmarkEnd w:id="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bookmarkStart w:id="34" w:name="_Toc22743_WPSOffice_Level2"/>
      <w:bookmarkStart w:id="35" w:name="_Toc1350_WPSOffice_Level2"/>
      <w:bookmarkStart w:id="36" w:name="_Toc748_WPSOffice_Level2"/>
      <w:r>
        <w:rPr>
          <w:rFonts w:hint="eastAsia" w:ascii="宋体" w:hAnsi="宋体"/>
          <w:b/>
          <w:color w:val="auto"/>
          <w:highlight w:val="none"/>
        </w:rPr>
        <w:t>8.联系方式</w:t>
      </w:r>
      <w:bookmarkEnd w:id="34"/>
      <w:bookmarkEnd w:id="35"/>
      <w:bookmarkEnd w:id="36"/>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 人：南宁轨道交通运营有限公司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地    址：广西南宁市青秀区云景路83号</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邮    编：530000</w:t>
      </w:r>
    </w:p>
    <w:p>
      <w:pPr>
        <w:pStyle w:val="30"/>
        <w:ind w:left="0" w:leftChars="0"/>
        <w:rPr>
          <w:rFonts w:ascii="宋体" w:hAnsi="宋体" w:eastAsia="宋体"/>
          <w:color w:val="auto"/>
          <w:sz w:val="21"/>
          <w:highlight w:val="none"/>
        </w:rPr>
      </w:pPr>
      <w:r>
        <w:rPr>
          <w:rFonts w:hint="eastAsia" w:ascii="宋体" w:hAnsi="宋体" w:eastAsia="宋体"/>
          <w:color w:val="auto"/>
          <w:sz w:val="21"/>
          <w:highlight w:val="none"/>
        </w:rPr>
        <w:t>联 系 人：张工、羊工</w:t>
      </w:r>
    </w:p>
    <w:p>
      <w:pPr>
        <w:pStyle w:val="30"/>
        <w:ind w:left="0" w:leftChars="0"/>
        <w:rPr>
          <w:rFonts w:ascii="宋体" w:hAnsi="宋体" w:eastAsia="宋体"/>
          <w:color w:val="auto"/>
          <w:sz w:val="21"/>
          <w:highlight w:val="none"/>
        </w:rPr>
      </w:pPr>
      <w:r>
        <w:rPr>
          <w:rFonts w:hint="eastAsia" w:ascii="宋体" w:hAnsi="宋体" w:eastAsia="宋体"/>
          <w:color w:val="auto"/>
          <w:sz w:val="21"/>
          <w:highlight w:val="none"/>
        </w:rPr>
        <w:t>电    话：0771-2778752、0771-2778624</w:t>
      </w:r>
    </w:p>
    <w:p>
      <w:pPr>
        <w:pStyle w:val="30"/>
        <w:ind w:left="0" w:leftChars="0"/>
        <w:rPr>
          <w:rFonts w:ascii="宋体" w:hAnsi="宋体" w:eastAsia="宋体"/>
          <w:color w:val="auto"/>
          <w:sz w:val="21"/>
          <w:highlight w:val="none"/>
        </w:rPr>
      </w:pPr>
      <w:r>
        <w:rPr>
          <w:rFonts w:hint="eastAsia" w:ascii="宋体" w:hAnsi="宋体" w:eastAsia="宋体"/>
          <w:color w:val="auto"/>
          <w:sz w:val="21"/>
          <w:highlight w:val="none"/>
        </w:rPr>
        <w:t>纪检监察电话：</w:t>
      </w:r>
      <w:r>
        <w:rPr>
          <w:rFonts w:hint="eastAsia" w:ascii="宋体" w:hAnsi="宋体" w:eastAsia="宋体"/>
          <w:color w:val="auto"/>
          <w:sz w:val="21"/>
          <w:highlight w:val="none"/>
          <w:u w:val="single"/>
        </w:rPr>
        <w:t xml:space="preserve">    0771-2778084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4"/>
        <w:pageBreakBefore/>
        <w:ind w:right="-57" w:firstLine="0"/>
        <w:jc w:val="center"/>
        <w:outlineLvl w:val="0"/>
        <w:rPr>
          <w:rStyle w:val="44"/>
          <w:rFonts w:ascii="宋体" w:hAnsi="宋体" w:eastAsia="宋体"/>
          <w:color w:val="auto"/>
          <w:highlight w:val="none"/>
        </w:rPr>
      </w:pPr>
      <w:bookmarkStart w:id="37" w:name="_Toc322528192"/>
      <w:bookmarkEnd w:id="37"/>
      <w:bookmarkStart w:id="38" w:name="_Toc512357502"/>
      <w:bookmarkStart w:id="39" w:name="_Toc26108"/>
      <w:bookmarkStart w:id="40" w:name="_Toc1052"/>
      <w:bookmarkStart w:id="41" w:name="_Toc30950"/>
      <w:bookmarkStart w:id="42" w:name="_Toc31251"/>
      <w:bookmarkStart w:id="43" w:name="_Toc25750589"/>
      <w:bookmarkStart w:id="44" w:name="_Toc24972"/>
      <w:bookmarkStart w:id="45" w:name="_Toc19869_WPSOffice_Level1"/>
      <w:bookmarkStart w:id="46" w:name="_Toc1230"/>
      <w:bookmarkStart w:id="47" w:name="_Toc1835"/>
      <w:bookmarkStart w:id="48" w:name="_Toc22273"/>
      <w:bookmarkStart w:id="49" w:name="_Toc21830"/>
      <w:bookmarkStart w:id="50" w:name="_Toc140_WPSOffice_Level1"/>
      <w:bookmarkStart w:id="51" w:name="_Toc15976"/>
      <w:bookmarkStart w:id="52" w:name="_Toc30725"/>
      <w:bookmarkStart w:id="53" w:name="_Toc18454"/>
      <w:bookmarkStart w:id="54" w:name="_Toc17240"/>
      <w:bookmarkStart w:id="55" w:name="_Toc3495"/>
      <w:bookmarkStart w:id="56" w:name="_Toc10203"/>
      <w:bookmarkStart w:id="57" w:name="_Toc17735"/>
      <w:bookmarkStart w:id="58" w:name="_Toc31802"/>
      <w:bookmarkStart w:id="59" w:name="_Toc17520"/>
      <w:bookmarkStart w:id="60" w:name="_Toc29836"/>
      <w:bookmarkStart w:id="61" w:name="_Toc30883"/>
      <w:bookmarkStart w:id="62" w:name="_Toc24390"/>
      <w:bookmarkStart w:id="63" w:name="_Toc12635"/>
      <w:bookmarkStart w:id="64" w:name="_Toc20201"/>
      <w:bookmarkStart w:id="65" w:name="_Toc17594"/>
      <w:bookmarkStart w:id="66" w:name="_Toc3512"/>
      <w:r>
        <w:rPr>
          <w:rStyle w:val="44"/>
          <w:rFonts w:hint="eastAsia" w:ascii="宋体" w:hAnsi="宋体" w:eastAsia="宋体"/>
          <w:color w:val="auto"/>
          <w:highlight w:val="none"/>
        </w:rPr>
        <w:t>第二章</w:t>
      </w:r>
      <w:bookmarkEnd w:id="38"/>
      <w:r>
        <w:rPr>
          <w:rStyle w:val="44"/>
          <w:rFonts w:hint="eastAsia" w:ascii="宋体" w:hAnsi="宋体" w:eastAsia="宋体"/>
          <w:color w:val="auto"/>
          <w:highlight w:val="none"/>
        </w:rPr>
        <w:t>比选申请须知</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14"/>
        <w:spacing w:before="0" w:after="0"/>
        <w:ind w:right="0" w:firstLine="0"/>
        <w:jc w:val="center"/>
        <w:rPr>
          <w:rFonts w:hAnsi="宋体"/>
          <w:b/>
          <w:color w:val="auto"/>
          <w:sz w:val="30"/>
          <w:szCs w:val="30"/>
          <w:highlight w:val="none"/>
        </w:rPr>
      </w:pPr>
      <w:bookmarkStart w:id="67" w:name="_Toc3448_WPSOffice_Level2"/>
      <w:bookmarkStart w:id="68" w:name="_Toc11946_WPSOffice_Level2"/>
      <w:r>
        <w:rPr>
          <w:rFonts w:hint="eastAsia" w:hAnsi="宋体"/>
          <w:b/>
          <w:color w:val="auto"/>
          <w:sz w:val="30"/>
          <w:szCs w:val="30"/>
          <w:highlight w:val="none"/>
        </w:rPr>
        <w:t>比选申请须知前附表</w:t>
      </w:r>
      <w:bookmarkEnd w:id="67"/>
      <w:bookmarkEnd w:id="68"/>
    </w:p>
    <w:tbl>
      <w:tblPr>
        <w:tblStyle w:val="31"/>
        <w:tblW w:w="9117" w:type="dxa"/>
        <w:tblInd w:w="112" w:type="dxa"/>
        <w:tblLayout w:type="fixed"/>
        <w:tblCellMar>
          <w:top w:w="0" w:type="dxa"/>
          <w:left w:w="108" w:type="dxa"/>
          <w:bottom w:w="0" w:type="dxa"/>
          <w:right w:w="108" w:type="dxa"/>
        </w:tblCellMar>
      </w:tblPr>
      <w:tblGrid>
        <w:gridCol w:w="902"/>
        <w:gridCol w:w="1290"/>
        <w:gridCol w:w="6925"/>
      </w:tblGrid>
      <w:tr>
        <w:tblPrEx>
          <w:tblCellMar>
            <w:top w:w="0" w:type="dxa"/>
            <w:left w:w="108" w:type="dxa"/>
            <w:bottom w:w="0" w:type="dxa"/>
            <w:right w:w="108" w:type="dxa"/>
          </w:tblCellMar>
        </w:tblPrEx>
        <w:trPr>
          <w:trHeight w:val="27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1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名称：南宁轨道交通运营有限公司</w:t>
            </w:r>
          </w:p>
          <w:p>
            <w:pPr>
              <w:spacing w:before="0" w:after="0" w:afterAutospacing="0"/>
              <w:ind w:left="0" w:right="0" w:firstLine="0"/>
              <w:rPr>
                <w:color w:val="auto"/>
                <w:highlight w:val="none"/>
              </w:rPr>
            </w:pPr>
            <w:r>
              <w:rPr>
                <w:rFonts w:hint="eastAsia"/>
                <w:color w:val="auto"/>
                <w:highlight w:val="none"/>
              </w:rPr>
              <w:t>地址：广西南宁市青秀区云景路83号</w:t>
            </w:r>
          </w:p>
          <w:p>
            <w:pPr>
              <w:spacing w:before="0" w:after="0" w:afterAutospacing="0"/>
              <w:ind w:left="0" w:right="0" w:firstLine="0"/>
              <w:rPr>
                <w:color w:val="auto"/>
                <w:highlight w:val="none"/>
              </w:rPr>
            </w:pPr>
            <w:r>
              <w:rPr>
                <w:color w:val="auto"/>
                <w:highlight w:val="none"/>
              </w:rPr>
              <w:t>联系人：张工、羊工</w:t>
            </w:r>
          </w:p>
          <w:p>
            <w:pPr>
              <w:spacing w:before="0" w:after="0" w:afterAutospacing="0"/>
              <w:ind w:left="0" w:right="0" w:firstLine="0"/>
              <w:rPr>
                <w:color w:val="auto"/>
                <w:highlight w:val="none"/>
              </w:rPr>
            </w:pPr>
            <w:r>
              <w:rPr>
                <w:color w:val="auto"/>
                <w:highlight w:val="none"/>
              </w:rPr>
              <w:t>电话：0771-2778752、0771-2778624</w:t>
            </w:r>
          </w:p>
          <w:p>
            <w:pPr>
              <w:spacing w:before="0" w:after="0" w:afterAutospacing="0"/>
              <w:ind w:left="0" w:right="0" w:firstLine="0"/>
              <w:rPr>
                <w:color w:val="auto"/>
                <w:highlight w:val="none"/>
              </w:rPr>
            </w:pPr>
            <w:r>
              <w:rPr>
                <w:color w:val="auto"/>
                <w:highlight w:val="none"/>
              </w:rPr>
              <w:t xml:space="preserve">纪检监察电话：0771-2778084       </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南宁轨道交通1、2、3号线专用通信、AFC系统故障件委外维修服务项目（2022-2023年）</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202210280001</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南宁轨道交通1、2、3号线专用通信、AFC系统故障件委外维修服务项目（2022-2023年），</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9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服务期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本项目计划服务期为90天（自合同签订之日起开始计算）。</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资金来源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企业自有资金</w:t>
            </w:r>
          </w:p>
        </w:tc>
      </w:tr>
      <w:tr>
        <w:tblPrEx>
          <w:tblCellMar>
            <w:top w:w="0" w:type="dxa"/>
            <w:left w:w="108" w:type="dxa"/>
            <w:bottom w:w="0" w:type="dxa"/>
            <w:right w:w="108" w:type="dxa"/>
          </w:tblCellMar>
        </w:tblPrEx>
        <w:trPr>
          <w:trHeight w:val="120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上限控制价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上限控制价：本项目不含税上限控制价为人民币137000.00元。本项目设置分项控制价，具体详见比选文件第七章比选控制价中的比选上限控制价单价一览表。比选总报价高于比选控制价或比选单价高于比选控制单价的比选文件将按否决投标处理。</w:t>
            </w:r>
          </w:p>
        </w:tc>
      </w:tr>
      <w:tr>
        <w:tblPrEx>
          <w:tblCellMar>
            <w:top w:w="0" w:type="dxa"/>
            <w:left w:w="108" w:type="dxa"/>
            <w:bottom w:w="0" w:type="dxa"/>
            <w:right w:w="108" w:type="dxa"/>
          </w:tblCellMar>
        </w:tblPrEx>
        <w:trPr>
          <w:trHeight w:val="3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（1）比选申请人为中华人民共和国境内依法设立的法人</w:t>
            </w:r>
            <w:r>
              <w:rPr>
                <w:rFonts w:hint="eastAsia" w:ascii="宋体" w:hAnsi="宋体"/>
                <w:color w:val="auto"/>
                <w:highlight w:val="none"/>
              </w:rPr>
              <w:t>或其他组织（若以分公司名义参与比选申请，必须出具总公司授权参与的证明。）</w:t>
            </w:r>
          </w:p>
          <w:p>
            <w:pPr>
              <w:spacing w:before="0" w:after="0" w:afterAutospacing="0"/>
              <w:ind w:left="0" w:right="0" w:firstLine="0"/>
              <w:rPr>
                <w:color w:val="auto"/>
                <w:highlight w:val="none"/>
              </w:rPr>
            </w:pPr>
            <w:r>
              <w:rPr>
                <w:rFonts w:hint="eastAsia"/>
                <w:color w:val="auto"/>
                <w:highlight w:val="none"/>
              </w:rPr>
              <w:t>（2）资质条件：无。</w:t>
            </w:r>
          </w:p>
          <w:p>
            <w:pPr>
              <w:spacing w:before="0" w:after="0" w:afterAutospacing="0"/>
              <w:ind w:left="0" w:right="0" w:firstLine="0"/>
              <w:rPr>
                <w:rFonts w:hint="eastAsia" w:ascii="Times New Roman" w:hAnsi="Times New Roman" w:cs="Times New Roman"/>
                <w:color w:val="auto"/>
                <w:highlight w:val="none"/>
              </w:rPr>
            </w:pPr>
            <w:r>
              <w:rPr>
                <w:rFonts w:hint="eastAsia" w:ascii="宋体" w:hAnsi="宋体"/>
                <w:color w:val="auto"/>
                <w:highlight w:val="none"/>
              </w:rPr>
              <w:t>（3）业绩条件：比选申请人自2019年11月 1日至截标时间前至少具有1项已完成的类似业绩，类似业绩是指轨道交通通信或自动售检票故障件维修业绩，业绩证明材料须能反映类似业绩项目特征，否则不予认可（业绩证明材料</w:t>
            </w:r>
            <w:r>
              <w:rPr>
                <w:rFonts w:hint="eastAsia" w:ascii="Times New Roman" w:hAnsi="Times New Roman" w:cs="Times New Roman"/>
                <w:color w:val="auto"/>
                <w:highlight w:val="none"/>
              </w:rPr>
              <w:t>为：合同或用户证明，用户证明须加盖证明人公章）。</w:t>
            </w:r>
          </w:p>
          <w:p>
            <w:pPr>
              <w:spacing w:before="0" w:after="0" w:afterAutospacing="0"/>
              <w:ind w:left="0" w:right="0" w:firstLine="0"/>
              <w:rPr>
                <w:rFonts w:hint="eastAsia" w:ascii="Times New Roman" w:hAnsi="Times New Roman" w:cs="Times New Roman"/>
                <w:color w:val="auto"/>
                <w:highlight w:val="none"/>
              </w:rPr>
            </w:pPr>
            <w:r>
              <w:rPr>
                <w:rFonts w:hint="eastAsia" w:ascii="Times New Roman" w:hAnsi="Times New Roman" w:cs="Times New Roman"/>
                <w:color w:val="auto"/>
                <w:highlight w:val="none"/>
              </w:rPr>
              <w:t>（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0"/>
              <w:rPr>
                <w:rFonts w:hint="eastAsia" w:ascii="Times New Roman" w:hAnsi="Times New Roman" w:cs="Times New Roman"/>
                <w:color w:val="auto"/>
                <w:highlight w:val="none"/>
              </w:rPr>
            </w:pPr>
            <w:r>
              <w:rPr>
                <w:rFonts w:hint="eastAsia" w:ascii="Times New Roman" w:hAnsi="Times New Roman" w:cs="Times New Roman"/>
                <w:color w:val="auto"/>
                <w:highlight w:val="none"/>
              </w:rPr>
              <w:t>（5）单位负责人为同一人或者存在控股、管理关系的不同单位，不得参加同一标段比选申请或者未划分标段的同一比选项目比选申请。</w:t>
            </w:r>
          </w:p>
          <w:p>
            <w:pPr>
              <w:spacing w:before="0" w:after="0" w:afterAutospacing="0"/>
              <w:ind w:left="0" w:right="0" w:firstLine="0"/>
              <w:rPr>
                <w:color w:val="auto"/>
                <w:highlight w:val="none"/>
              </w:rPr>
            </w:pPr>
            <w:r>
              <w:rPr>
                <w:rFonts w:hint="eastAsia" w:ascii="Times New Roman" w:hAnsi="Times New Roman" w:cs="Times New Roman"/>
                <w:color w:val="auto"/>
                <w:highlight w:val="none"/>
              </w:rPr>
              <w:t>（6）本项目不接受联合体比选申请。</w:t>
            </w:r>
          </w:p>
        </w:tc>
      </w:tr>
      <w:tr>
        <w:tblPrEx>
          <w:tblCellMar>
            <w:top w:w="0" w:type="dxa"/>
            <w:left w:w="108" w:type="dxa"/>
            <w:bottom w:w="0" w:type="dxa"/>
            <w:right w:w="108" w:type="dxa"/>
          </w:tblCellMar>
        </w:tblPrEx>
        <w:trPr>
          <w:trHeight w:val="241"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202</w:t>
            </w:r>
            <w:r>
              <w:rPr>
                <w:rFonts w:hint="eastAsia" w:ascii="宋体" w:hAnsi="宋体"/>
                <w:color w:val="auto"/>
                <w:highlight w:val="none"/>
                <w:u w:val="single"/>
                <w:lang w:val="en-US" w:eastAsia="zh-CN"/>
              </w:rPr>
              <w:t>3</w:t>
            </w:r>
            <w:r>
              <w:rPr>
                <w:rFonts w:hint="eastAsia" w:ascii="宋体" w:hAnsi="宋体"/>
                <w:color w:val="auto"/>
                <w:highlight w:val="none"/>
              </w:rPr>
              <w:t>年</w:t>
            </w:r>
            <w:r>
              <w:rPr>
                <w:rFonts w:hint="eastAsia" w:ascii="宋体" w:hAnsi="宋体"/>
                <w:color w:val="auto"/>
                <w:highlight w:val="none"/>
                <w:u w:val="single"/>
                <w:lang w:val="en-US" w:eastAsia="zh-CN"/>
              </w:rPr>
              <w:t xml:space="preserve"> 1  </w:t>
            </w:r>
            <w:r>
              <w:rPr>
                <w:rFonts w:hint="eastAsia" w:ascii="宋体" w:hAnsi="宋体"/>
                <w:color w:val="auto"/>
                <w:highlight w:val="none"/>
              </w:rPr>
              <w:t>月</w:t>
            </w:r>
            <w:r>
              <w:rPr>
                <w:rFonts w:hint="eastAsia" w:ascii="宋体" w:hAnsi="宋体"/>
                <w:color w:val="auto"/>
                <w:highlight w:val="none"/>
                <w:u w:val="single"/>
                <w:lang w:val="en-US" w:eastAsia="zh-CN"/>
              </w:rPr>
              <w:t xml:space="preserve">  6 </w:t>
            </w:r>
            <w:r>
              <w:rPr>
                <w:rFonts w:hint="eastAsia" w:ascii="宋体" w:hAnsi="宋体"/>
                <w:color w:val="auto"/>
                <w:highlight w:val="none"/>
              </w:rPr>
              <w:t>日前。比选申请人不在规定期限内提出，比选人有权不予答复，或答复后比选申请截止时间由比选人确定是否顺延。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南宁轨道交通集团有限责任公司官网(http://www.nngdjt.com)、</w:t>
            </w:r>
            <w:r>
              <w:rPr>
                <w:rFonts w:hint="eastAsia" w:ascii="宋体" w:hAnsi="宋体"/>
                <w:color w:val="auto"/>
                <w:highlight w:val="none"/>
              </w:rPr>
              <w:t>中国e车网（http://www.ecrrc.com）</w:t>
            </w:r>
            <w:r>
              <w:rPr>
                <w:rFonts w:hint="eastAsia" w:ascii="宋体" w:hAnsi="宋体"/>
                <w:color w:val="auto"/>
                <w:kern w:val="2"/>
                <w:highlight w:val="none"/>
              </w:rPr>
              <w:t>发布</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）比选申请人有效的营业执照副本复印件或事业单位法人证书复印件等证明文件；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rFonts w:ascii="宋体" w:hAnsi="宋体"/>
                <w:bCs/>
                <w:color w:val="auto"/>
                <w:highlight w:val="none"/>
              </w:rPr>
            </w:pPr>
            <w:r>
              <w:rPr>
                <w:rFonts w:hint="eastAsia"/>
                <w:color w:val="auto"/>
                <w:highlight w:val="none"/>
              </w:rPr>
              <w:t>（4）</w:t>
            </w:r>
            <w:r>
              <w:rPr>
                <w:rFonts w:hint="eastAsia" w:ascii="宋体" w:hAnsi="宋体"/>
                <w:bCs/>
                <w:color w:val="auto"/>
                <w:highlight w:val="none"/>
              </w:rPr>
              <w:t>符合比选文件要求的有效期内的资质证书等证明材料复印件（A4）；</w:t>
            </w:r>
          </w:p>
          <w:p>
            <w:pPr>
              <w:spacing w:before="0" w:after="0" w:afterAutospacing="0" w:line="276" w:lineRule="auto"/>
              <w:ind w:left="0" w:right="0" w:firstLine="0"/>
              <w:rPr>
                <w:color w:val="auto"/>
                <w:highlight w:val="none"/>
              </w:rPr>
            </w:pPr>
            <w:r>
              <w:rPr>
                <w:rFonts w:hint="eastAsia"/>
                <w:color w:val="auto"/>
                <w:highlight w:val="none"/>
              </w:rPr>
              <w:t>（5）类似项目业绩表（A5）</w:t>
            </w:r>
            <w:r>
              <w:rPr>
                <w:rFonts w:hint="eastAsia" w:hAnsi="宋体"/>
                <w:color w:val="auto"/>
                <w:highlight w:val="none"/>
              </w:rPr>
              <w:t>；</w:t>
            </w:r>
          </w:p>
          <w:p>
            <w:pPr>
              <w:spacing w:before="0" w:after="0" w:afterAutospacing="0"/>
              <w:ind w:left="0" w:right="0" w:firstLine="0"/>
              <w:rPr>
                <w:color w:val="auto"/>
                <w:highlight w:val="none"/>
              </w:rPr>
            </w:pPr>
            <w:r>
              <w:rPr>
                <w:rFonts w:hint="eastAsia"/>
                <w:color w:val="auto"/>
                <w:highlight w:val="none"/>
              </w:rPr>
              <w:t>（6）比选申请人认为应提交的其他比选申请资料。</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按期完成承诺书（格式见C2）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（4）商务响应表（格式见C4）；</w:t>
            </w:r>
          </w:p>
          <w:p>
            <w:pPr>
              <w:spacing w:before="0" w:after="0" w:afterAutospacing="0" w:line="276" w:lineRule="auto"/>
              <w:ind w:left="0" w:right="0" w:firstLine="0"/>
              <w:rPr>
                <w:color w:val="auto"/>
                <w:highlight w:val="none"/>
              </w:rPr>
            </w:pPr>
            <w:r>
              <w:rPr>
                <w:rFonts w:hint="eastAsia"/>
                <w:color w:val="auto"/>
                <w:highlight w:val="none"/>
              </w:rPr>
              <w:t>（5）企业业绩 (格式见A5)；</w:t>
            </w:r>
          </w:p>
          <w:p>
            <w:pPr>
              <w:spacing w:before="0" w:after="0" w:afterAutospacing="0" w:line="276" w:lineRule="auto"/>
              <w:ind w:left="0" w:right="0" w:firstLine="0"/>
              <w:rPr>
                <w:color w:val="auto"/>
                <w:highlight w:val="none"/>
              </w:rPr>
            </w:pPr>
            <w:r>
              <w:rPr>
                <w:rFonts w:hint="eastAsia"/>
                <w:color w:val="auto"/>
                <w:highlight w:val="none"/>
              </w:rPr>
              <w:t>（6）质量控制文件((如有，格式自拟 ) ) ；</w:t>
            </w:r>
          </w:p>
          <w:p>
            <w:pPr>
              <w:spacing w:before="0" w:after="0" w:afterAutospacing="0" w:line="276" w:lineRule="auto"/>
              <w:ind w:left="0" w:right="0" w:firstLine="0"/>
              <w:rPr>
                <w:color w:val="auto"/>
                <w:highlight w:val="none"/>
              </w:rPr>
            </w:pPr>
            <w:r>
              <w:rPr>
                <w:rFonts w:hint="eastAsia"/>
                <w:color w:val="auto"/>
                <w:highlight w:val="none"/>
              </w:rPr>
              <w:t>（7）质量检验承诺 ((如有，格式自拟 )) ；</w:t>
            </w:r>
          </w:p>
          <w:p>
            <w:pPr>
              <w:spacing w:before="0" w:after="0" w:afterAutospacing="0" w:line="276" w:lineRule="auto"/>
              <w:ind w:left="0" w:right="0" w:firstLine="0"/>
              <w:rPr>
                <w:color w:val="auto"/>
                <w:highlight w:val="none"/>
              </w:rPr>
            </w:pPr>
            <w:r>
              <w:rPr>
                <w:rFonts w:hint="eastAsia"/>
                <w:color w:val="auto"/>
                <w:highlight w:val="none"/>
              </w:rPr>
              <w:t>（8）售后服务承诺((如有，格式自拟 ))；</w:t>
            </w:r>
          </w:p>
          <w:p>
            <w:pPr>
              <w:spacing w:before="0" w:after="0" w:afterAutospacing="0"/>
              <w:ind w:left="0" w:right="0" w:firstLine="0"/>
              <w:rPr>
                <w:rFonts w:ascii="宋体" w:hAnsi="宋体"/>
                <w:color w:val="auto"/>
                <w:highlight w:val="none"/>
              </w:rPr>
            </w:pPr>
            <w:r>
              <w:rPr>
                <w:rFonts w:hint="eastAsia"/>
                <w:color w:val="auto"/>
                <w:highlight w:val="none"/>
              </w:rPr>
              <w:t>（9）比选申请人认为应提交的其他比选申请资料（如有）。</w:t>
            </w:r>
          </w:p>
        </w:tc>
      </w:tr>
      <w:tr>
        <w:tblPrEx>
          <w:tblCellMar>
            <w:top w:w="0" w:type="dxa"/>
            <w:left w:w="108" w:type="dxa"/>
            <w:bottom w:w="0" w:type="dxa"/>
            <w:right w:w="108" w:type="dxa"/>
          </w:tblCellMar>
        </w:tblPrEx>
        <w:trPr>
          <w:trHeight w:val="53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）比选申请人须按第五章《用户需求书》中的技术需求及故障件清单的顺序填报比选申请报价表，不允许打乱顺序。</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rPr>
          <w:trHeight w:val="551" w:hRule="atLeast"/>
        </w:trPr>
        <w:tc>
          <w:tcPr>
            <w:tcW w:w="902"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290"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18.1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69" w:name="CgwjmbEntity：KBSJ3_0"/>
            <w:r>
              <w:rPr>
                <w:rFonts w:hint="eastAsia" w:ascii="宋体" w:hAnsi="宋体"/>
                <w:color w:val="auto"/>
                <w:highlight w:val="none"/>
              </w:rPr>
              <w:t>2022</w:t>
            </w:r>
            <w:r>
              <w:rPr>
                <w:rFonts w:hint="eastAsia" w:ascii="宋体" w:hAnsi="宋体"/>
                <w:color w:val="auto"/>
                <w:highlight w:val="none"/>
                <w:lang w:val="en-US" w:eastAsia="zh-CN"/>
              </w:rPr>
              <w:t>3</w:t>
            </w:r>
            <w:r>
              <w:rPr>
                <w:rFonts w:hint="eastAsia" w:ascii="宋体" w:hAnsi="宋体"/>
                <w:color w:val="auto"/>
                <w:highlight w:val="none"/>
              </w:rPr>
              <w:t>年</w:t>
            </w:r>
            <w:bookmarkEnd w:id="69"/>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15</w:t>
            </w:r>
            <w:r>
              <w:rPr>
                <w:rFonts w:hint="eastAsia" w:ascii="宋体" w:hAnsi="宋体"/>
                <w:color w:val="auto"/>
                <w:highlight w:val="none"/>
              </w:rPr>
              <w:t>日</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单位：南宁轨道交通运营有限公司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地址：广西南宁市青秀区云景路83号综合楼</w:t>
            </w:r>
            <w:r>
              <w:rPr>
                <w:rFonts w:hint="eastAsia" w:ascii="宋体" w:hAnsi="宋体"/>
                <w:color w:val="auto"/>
                <w:highlight w:val="none"/>
                <w:u w:val="single"/>
              </w:rPr>
              <w:t>205</w:t>
            </w:r>
            <w:r>
              <w:rPr>
                <w:rFonts w:hint="eastAsia" w:ascii="宋体" w:hAnsi="宋体"/>
                <w:color w:val="auto"/>
                <w:highlight w:val="none"/>
              </w:rPr>
              <w:t>会议室</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递交现场联系人：卢工 0771-2779169</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综合评分法（</w:t>
            </w:r>
            <w:r>
              <w:rPr>
                <w:rFonts w:hint="eastAsia" w:hAnsi="宋体"/>
                <w:color w:val="auto"/>
                <w:highlight w:val="none"/>
              </w:rPr>
              <w:t>评比总价以不含税比选报价为基准</w:t>
            </w:r>
            <w:r>
              <w:rPr>
                <w:rFonts w:hint="eastAsia" w:ascii="宋体" w:hAnsi="宋体"/>
                <w:color w:val="auto"/>
                <w:highlight w:val="none"/>
              </w:rPr>
              <w:t>）</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履约担保的金额：中选价格的2.</w:t>
            </w:r>
            <w:r>
              <w:rPr>
                <w:rFonts w:ascii="宋体" w:hAnsi="宋体"/>
                <w:color w:val="auto"/>
                <w:highlight w:val="none"/>
              </w:rPr>
              <w:t>5%</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银行保函由中国境内各商业银行支行及其以上的银行开具的银行保函，格式符合第三章“合同条款及格式”。</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递交地点：广西南宁市青秀区云景路83号。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63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中选人如放弃中选资格，则纳入比选人的不良信用名单名库，并禁止1年内不得投属于比选人的项目。</w:t>
            </w:r>
          </w:p>
        </w:tc>
      </w:tr>
      <w:tr>
        <w:tblPrEx>
          <w:tblCellMar>
            <w:top w:w="0" w:type="dxa"/>
            <w:left w:w="108" w:type="dxa"/>
            <w:bottom w:w="0" w:type="dxa"/>
            <w:right w:w="108" w:type="dxa"/>
          </w:tblCellMar>
        </w:tblPrEx>
        <w:trPr>
          <w:trHeight w:val="242" w:hRule="atLeast"/>
        </w:trPr>
        <w:tc>
          <w:tcPr>
            <w:tcW w:w="902"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36.5</w:t>
            </w:r>
          </w:p>
        </w:tc>
        <w:tc>
          <w:tcPr>
            <w:tcW w:w="1290"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比选申请文件电子版份数：2份。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hint="eastAsia" w:ascii="宋体" w:hAnsi="宋体" w:cs="Arial"/>
                <w:color w:val="auto"/>
                <w:highlight w:val="none"/>
              </w:rPr>
              <w:t>资格审查文件、价格文件和技术文件）</w:t>
            </w:r>
            <w:r>
              <w:rPr>
                <w:rFonts w:hint="eastAsia" w:ascii="宋体" w:hAnsi="宋体"/>
                <w:color w:val="auto"/>
                <w:highlight w:val="none"/>
              </w:rPr>
              <w:t>和盖章后的全套比选申请文件（</w:t>
            </w:r>
            <w:r>
              <w:rPr>
                <w:rFonts w:hint="eastAsia" w:ascii="宋体" w:hAnsi="宋体" w:cs="Arial"/>
                <w:color w:val="auto"/>
                <w:highlight w:val="none"/>
              </w:rPr>
              <w:t>资格审查文件、价格文件和技术文件）</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925" w:type="dxa"/>
            <w:tcBorders>
              <w:top w:val="single" w:color="auto" w:sz="4" w:space="0"/>
              <w:left w:val="nil"/>
              <w:bottom w:val="single" w:color="auto" w:sz="4" w:space="0"/>
              <w:right w:val="single" w:color="auto" w:sz="4" w:space="0"/>
            </w:tcBorders>
            <w:vAlign w:val="center"/>
          </w:tcPr>
          <w:p>
            <w:pPr>
              <w:numPr>
                <w:ilvl w:val="0"/>
                <w:numId w:val="2"/>
              </w:numPr>
              <w:spacing w:before="0" w:after="0" w:afterAutospacing="0"/>
              <w:ind w:left="0" w:right="0" w:firstLine="0"/>
              <w:rPr>
                <w:rFonts w:ascii="宋体" w:hAnsi="宋体"/>
                <w:color w:val="auto"/>
                <w:highlight w:val="none"/>
              </w:rPr>
            </w:pPr>
            <w:r>
              <w:rPr>
                <w:rFonts w:hint="eastAsia" w:ascii="宋体" w:hAnsi="宋体"/>
                <w:color w:val="auto"/>
                <w:highlight w:val="none"/>
              </w:rPr>
              <w:t>本项目比选文件的最终解释权归比选人。</w:t>
            </w:r>
          </w:p>
        </w:tc>
      </w:tr>
    </w:tbl>
    <w:p>
      <w:pPr>
        <w:spacing w:after="0" w:afterAutospacing="0"/>
        <w:ind w:left="462" w:leftChars="200" w:right="0" w:hanging="42" w:hangingChars="20"/>
        <w:outlineLvl w:val="1"/>
        <w:rPr>
          <w:rFonts w:ascii="宋体" w:hAnsi="宋体"/>
          <w:color w:val="auto"/>
          <w:sz w:val="24"/>
          <w:szCs w:val="24"/>
          <w:highlight w:val="none"/>
        </w:rPr>
      </w:pPr>
      <w:r>
        <w:rPr>
          <w:rFonts w:ascii="宋体" w:hAnsi="宋体"/>
          <w:color w:val="auto"/>
          <w:highlight w:val="none"/>
        </w:rPr>
        <w:br w:type="page"/>
      </w:r>
      <w:bookmarkStart w:id="70" w:name="_Toc322528193"/>
      <w:bookmarkEnd w:id="70"/>
      <w:bookmarkStart w:id="71" w:name="_Toc14458"/>
      <w:bookmarkStart w:id="72" w:name="_Toc9278"/>
      <w:bookmarkStart w:id="73" w:name="_Toc27423"/>
      <w:bookmarkStart w:id="74" w:name="_Toc11911"/>
      <w:bookmarkStart w:id="75" w:name="_Toc9679"/>
      <w:bookmarkStart w:id="76" w:name="_Toc25750590"/>
      <w:bookmarkStart w:id="77" w:name="_Toc15799_WPSOffice_Level2"/>
      <w:bookmarkStart w:id="78" w:name="_Toc15442"/>
      <w:bookmarkStart w:id="79" w:name="_Toc19023"/>
      <w:r>
        <w:rPr>
          <w:rFonts w:hint="eastAsia" w:ascii="宋体" w:hAnsi="宋体"/>
          <w:b/>
          <w:bCs/>
          <w:color w:val="auto"/>
          <w:sz w:val="24"/>
          <w:szCs w:val="24"/>
          <w:highlight w:val="none"/>
        </w:rPr>
        <w:t>一、</w:t>
      </w:r>
      <w:r>
        <w:rPr>
          <w:rFonts w:ascii="宋体" w:hAnsi="宋体"/>
          <w:b/>
          <w:bCs/>
          <w:color w:val="auto"/>
          <w:sz w:val="24"/>
          <w:szCs w:val="24"/>
          <w:highlight w:val="none"/>
        </w:rPr>
        <w:t>说明</w:t>
      </w:r>
      <w:bookmarkEnd w:id="71"/>
      <w:bookmarkEnd w:id="72"/>
      <w:bookmarkEnd w:id="73"/>
      <w:bookmarkEnd w:id="74"/>
      <w:bookmarkEnd w:id="75"/>
      <w:bookmarkEnd w:id="76"/>
      <w:bookmarkEnd w:id="77"/>
      <w:bookmarkEnd w:id="78"/>
      <w:bookmarkEnd w:id="79"/>
    </w:p>
    <w:p>
      <w:pPr>
        <w:spacing w:before="0" w:after="0" w:afterAutospacing="0"/>
        <w:ind w:left="0" w:right="0" w:firstLine="420" w:firstLineChars="200"/>
        <w:rPr>
          <w:rFonts w:ascii="宋体" w:hAnsi="宋体"/>
          <w:color w:val="auto"/>
          <w:highlight w:val="none"/>
        </w:rPr>
      </w:pPr>
      <w:bookmarkStart w:id="80" w:name="_Toc25750591"/>
      <w:bookmarkStart w:id="81" w:name="_Toc5495"/>
      <w:bookmarkStart w:id="82" w:name="_Toc3804"/>
      <w:bookmarkStart w:id="83" w:name="_Toc7778"/>
      <w:bookmarkStart w:id="84" w:name="_Toc463"/>
      <w:bookmarkStart w:id="85" w:name="_Toc14066"/>
      <w:bookmarkStart w:id="86" w:name="_Toc17845"/>
      <w:bookmarkStart w:id="87" w:name="_Toc492478718"/>
      <w:bookmarkStart w:id="88" w:name="_Toc3364"/>
      <w:bookmarkStart w:id="89" w:name="_Toc375039064"/>
      <w:bookmarkStart w:id="90" w:name="_Toc12526"/>
      <w:bookmarkStart w:id="91" w:name="_Toc27079"/>
      <w:bookmarkStart w:id="92" w:name="_Toc385427793"/>
      <w:bookmarkStart w:id="93" w:name="_Toc12983505"/>
      <w:bookmarkStart w:id="94" w:name="_Toc11224"/>
      <w:bookmarkStart w:id="95" w:name="_Toc21139"/>
      <w:bookmarkStart w:id="96" w:name="_Toc8166"/>
      <w:bookmarkStart w:id="97" w:name="_Toc31563"/>
      <w:bookmarkStart w:id="98" w:name="_Toc6861"/>
      <w:bookmarkStart w:id="99" w:name="_Toc30570"/>
      <w:bookmarkStart w:id="100" w:name="_Toc383891168"/>
      <w:bookmarkStart w:id="101" w:name="_Toc390098419"/>
      <w:bookmarkStart w:id="102" w:name="_Toc28326"/>
      <w:bookmarkStart w:id="103" w:name="_Toc9366"/>
      <w:r>
        <w:rPr>
          <w:rFonts w:hint="eastAsia" w:ascii="宋体" w:hAnsi="宋体"/>
          <w:color w:val="auto"/>
          <w:highlight w:val="none"/>
        </w:rPr>
        <w:t xml:space="preserve">1. </w:t>
      </w:r>
      <w:r>
        <w:rPr>
          <w:rFonts w:ascii="宋体" w:hAnsi="宋体"/>
          <w:color w:val="auto"/>
          <w:highlight w:val="none"/>
        </w:rPr>
        <w:t>项目说明</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1.5服务期：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1.7上限控制价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bookmarkStart w:id="104" w:name="_Toc385427794"/>
      <w:bookmarkStart w:id="105" w:name="_Toc4780"/>
      <w:bookmarkStart w:id="106" w:name="_Toc1552"/>
      <w:bookmarkStart w:id="107" w:name="_Toc12983506"/>
      <w:bookmarkStart w:id="108" w:name="_Toc383891169"/>
      <w:bookmarkStart w:id="109" w:name="_Toc27847"/>
      <w:bookmarkStart w:id="110" w:name="_Toc8052"/>
      <w:bookmarkStart w:id="111" w:name="_Toc6038"/>
      <w:bookmarkStart w:id="112" w:name="_Toc21874"/>
      <w:bookmarkStart w:id="113" w:name="_Toc31314"/>
      <w:bookmarkStart w:id="114" w:name="_Toc10907"/>
      <w:bookmarkStart w:id="115" w:name="_Toc27845"/>
      <w:bookmarkStart w:id="116" w:name="_Toc25750592"/>
      <w:bookmarkStart w:id="117" w:name="_Toc16860"/>
      <w:bookmarkStart w:id="118" w:name="_Toc24429"/>
      <w:bookmarkStart w:id="119" w:name="_Toc492478719"/>
      <w:bookmarkStart w:id="120" w:name="_Toc375039065"/>
      <w:bookmarkStart w:id="121" w:name="_Toc390098420"/>
      <w:bookmarkStart w:id="122" w:name="_Toc6985"/>
      <w:bookmarkStart w:id="123" w:name="_Toc22987"/>
      <w:r>
        <w:rPr>
          <w:rFonts w:hint="eastAsia" w:ascii="宋体" w:hAnsi="宋体"/>
          <w:color w:val="auto"/>
          <w:highlight w:val="none"/>
        </w:rPr>
        <w:t>2. 定义</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2.3“服务”系指招标文件规定乙方须承担的与维修有关的辅助服务，包括但不限于故障件的包装、运输、检测、维修，修复件的出厂检验、运输、软硬件的调试、质保期内出现故障免费维修等及其他伴随服务和投标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spacing w:before="0" w:after="0" w:afterAutospacing="0"/>
        <w:ind w:left="0" w:right="0" w:firstLine="420" w:firstLineChars="200"/>
        <w:rPr>
          <w:rFonts w:ascii="宋体" w:hAnsi="宋体"/>
          <w:color w:val="auto"/>
          <w:highlight w:val="none"/>
        </w:rPr>
      </w:pPr>
      <w:bookmarkStart w:id="124" w:name="_Toc383891170"/>
      <w:bookmarkStart w:id="125" w:name="_Toc390098421"/>
      <w:bookmarkStart w:id="126" w:name="_Toc375039066"/>
      <w:bookmarkStart w:id="127" w:name="_Toc492478720"/>
      <w:bookmarkStart w:id="128" w:name="_Toc385427795"/>
      <w:bookmarkStart w:id="129" w:name="_Toc9929"/>
      <w:bookmarkStart w:id="130" w:name="_Toc10653"/>
      <w:bookmarkStart w:id="131" w:name="_Toc12983507"/>
      <w:bookmarkStart w:id="132" w:name="_Toc7797"/>
      <w:bookmarkStart w:id="133" w:name="_Toc29859"/>
      <w:bookmarkStart w:id="134" w:name="_Toc8288"/>
      <w:bookmarkStart w:id="135" w:name="_Toc30498"/>
      <w:bookmarkStart w:id="136" w:name="_Toc307"/>
      <w:bookmarkStart w:id="137" w:name="_Toc7306"/>
      <w:bookmarkStart w:id="138" w:name="_Toc29401"/>
      <w:bookmarkStart w:id="139" w:name="_Toc22845"/>
      <w:bookmarkStart w:id="140" w:name="_Toc22115"/>
      <w:bookmarkStart w:id="141" w:name="_Toc12940"/>
      <w:bookmarkStart w:id="142" w:name="_Toc17075"/>
      <w:bookmarkStart w:id="143" w:name="_Toc25786"/>
      <w:bookmarkStart w:id="144" w:name="_Toc25750593"/>
      <w:bookmarkStart w:id="145" w:name="_Toc24844"/>
      <w:bookmarkStart w:id="146" w:name="_Toc17568"/>
      <w:bookmarkStart w:id="147" w:name="_Toc31477"/>
      <w:r>
        <w:rPr>
          <w:rFonts w:ascii="宋体" w:hAnsi="宋体"/>
          <w:color w:val="auto"/>
          <w:highlight w:val="none"/>
        </w:rPr>
        <w:t>3.比选申请人</w:t>
      </w:r>
      <w:bookmarkEnd w:id="124"/>
      <w:bookmarkEnd w:id="125"/>
      <w:bookmarkEnd w:id="126"/>
      <w:bookmarkEnd w:id="127"/>
      <w:bookmarkEnd w:id="128"/>
      <w:r>
        <w:rPr>
          <w:rFonts w:hint="eastAsia" w:ascii="宋体" w:hAnsi="宋体"/>
          <w:color w:val="auto"/>
          <w:highlight w:val="none"/>
        </w:rPr>
        <w:t>应具备的资格条件</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spacing w:before="0" w:after="0" w:afterAutospacing="0"/>
        <w:ind w:left="0" w:right="0" w:firstLine="420" w:firstLineChars="200"/>
        <w:rPr>
          <w:rFonts w:ascii="宋体" w:hAnsi="宋体"/>
          <w:color w:val="auto"/>
          <w:highlight w:val="none"/>
        </w:rPr>
      </w:pPr>
      <w:bookmarkStart w:id="148" w:name="_Toc12983508"/>
      <w:bookmarkStart w:id="149" w:name="_Toc21215"/>
      <w:bookmarkStart w:id="150" w:name="_Toc7832"/>
      <w:bookmarkStart w:id="151" w:name="_Toc18668"/>
      <w:bookmarkStart w:id="152" w:name="_Toc31789"/>
      <w:bookmarkStart w:id="153" w:name="_Toc390098422"/>
      <w:bookmarkStart w:id="154" w:name="_Toc1737"/>
      <w:bookmarkStart w:id="155" w:name="_Toc25750594"/>
      <w:bookmarkStart w:id="156" w:name="_Toc24103"/>
      <w:bookmarkStart w:id="157" w:name="_Toc19709"/>
      <w:bookmarkStart w:id="158" w:name="_Toc23146"/>
      <w:bookmarkStart w:id="159" w:name="_Toc30752"/>
      <w:bookmarkStart w:id="160" w:name="_Toc616"/>
      <w:bookmarkStart w:id="161" w:name="_Toc25914"/>
      <w:bookmarkStart w:id="162" w:name="_Toc4438"/>
      <w:bookmarkStart w:id="163" w:name="_Toc375039067"/>
      <w:bookmarkStart w:id="164" w:name="_Toc1125"/>
      <w:bookmarkStart w:id="165" w:name="_Toc19081"/>
      <w:bookmarkStart w:id="166" w:name="_Toc492478721"/>
      <w:bookmarkStart w:id="167" w:name="_Toc385427796"/>
      <w:bookmarkStart w:id="168" w:name="_Toc3292"/>
      <w:bookmarkStart w:id="169" w:name="_Toc7103"/>
      <w:bookmarkStart w:id="170" w:name="_Toc383891171"/>
      <w:bookmarkStart w:id="171" w:name="_Toc21602"/>
      <w:r>
        <w:rPr>
          <w:rFonts w:hint="eastAsia" w:ascii="宋体" w:hAnsi="宋体"/>
          <w:color w:val="auto"/>
          <w:highlight w:val="none"/>
        </w:rPr>
        <w:t xml:space="preserve">4. </w:t>
      </w:r>
      <w:r>
        <w:rPr>
          <w:rFonts w:ascii="宋体" w:hAnsi="宋体"/>
          <w:color w:val="auto"/>
          <w:highlight w:val="none"/>
        </w:rPr>
        <w:t>比选申请费用</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spacing w:after="0" w:afterAutospacing="0"/>
        <w:ind w:left="0" w:right="0" w:firstLine="482" w:firstLineChars="200"/>
        <w:outlineLvl w:val="1"/>
        <w:rPr>
          <w:rFonts w:ascii="宋体" w:hAnsi="宋体"/>
          <w:b/>
          <w:bCs/>
          <w:color w:val="auto"/>
          <w:sz w:val="24"/>
          <w:szCs w:val="24"/>
          <w:highlight w:val="none"/>
        </w:rPr>
      </w:pPr>
      <w:bookmarkStart w:id="172" w:name="_Toc383891172"/>
      <w:bookmarkStart w:id="173" w:name="_Toc31589"/>
      <w:bookmarkStart w:id="174" w:name="_Toc375039068"/>
      <w:bookmarkStart w:id="175" w:name="_Toc12983509"/>
      <w:bookmarkStart w:id="176" w:name="_Toc15763"/>
      <w:bookmarkStart w:id="177" w:name="_Toc385427797"/>
      <w:bookmarkStart w:id="178" w:name="_Toc3854"/>
      <w:bookmarkStart w:id="179" w:name="_Toc18528"/>
      <w:bookmarkStart w:id="180" w:name="_Toc25750595"/>
      <w:bookmarkStart w:id="181" w:name="_Toc6528"/>
      <w:bookmarkStart w:id="182" w:name="_Toc16608"/>
      <w:bookmarkStart w:id="183" w:name="_Toc17210"/>
      <w:bookmarkStart w:id="184" w:name="_Toc390098423"/>
      <w:bookmarkStart w:id="185" w:name="_Toc10301"/>
      <w:bookmarkStart w:id="186" w:name="_Toc28220"/>
      <w:bookmarkStart w:id="187" w:name="_Toc12419_WPSOffice_Level2"/>
      <w:bookmarkStart w:id="188" w:name="_Toc19617"/>
      <w:bookmarkStart w:id="189" w:name="_Toc5160"/>
      <w:bookmarkStart w:id="190" w:name="_Toc492478722"/>
      <w:bookmarkStart w:id="191" w:name="_Toc11619"/>
      <w:bookmarkStart w:id="192" w:name="_Toc9677"/>
      <w:bookmarkStart w:id="193" w:name="_Toc2986"/>
      <w:bookmarkStart w:id="194" w:name="_Toc5487"/>
      <w:bookmarkStart w:id="195" w:name="_Toc15346"/>
      <w:bookmarkStart w:id="196" w:name="_Toc16530"/>
      <w:bookmarkStart w:id="197" w:name="_Toc14777"/>
      <w:bookmarkStart w:id="198" w:name="_Toc7339"/>
      <w:bookmarkStart w:id="199" w:name="_Toc8562"/>
      <w:bookmarkStart w:id="200" w:name="_Toc29160"/>
      <w:bookmarkStart w:id="201" w:name="_Toc30061"/>
      <w:bookmarkStart w:id="202" w:name="_Toc16131"/>
      <w:bookmarkStart w:id="203" w:name="_Toc2609"/>
      <w:r>
        <w:rPr>
          <w:rFonts w:hint="eastAsia" w:ascii="宋体" w:hAnsi="宋体"/>
          <w:b/>
          <w:bCs/>
          <w:color w:val="auto"/>
          <w:sz w:val="24"/>
          <w:szCs w:val="24"/>
          <w:highlight w:val="none"/>
        </w:rPr>
        <w:t>二、</w:t>
      </w:r>
      <w:r>
        <w:rPr>
          <w:rFonts w:ascii="宋体" w:hAnsi="宋体"/>
          <w:b/>
          <w:bCs/>
          <w:color w:val="auto"/>
          <w:sz w:val="24"/>
          <w:szCs w:val="24"/>
          <w:highlight w:val="none"/>
        </w:rPr>
        <w:t>比选文件</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before="0" w:after="0" w:afterAutospacing="0"/>
        <w:ind w:left="0" w:right="0" w:firstLine="420" w:firstLineChars="200"/>
        <w:rPr>
          <w:rFonts w:ascii="宋体" w:hAnsi="宋体"/>
          <w:color w:val="auto"/>
          <w:highlight w:val="none"/>
        </w:rPr>
      </w:pPr>
      <w:bookmarkStart w:id="204" w:name="_Toc25378"/>
      <w:bookmarkStart w:id="205" w:name="_Toc4157"/>
      <w:bookmarkStart w:id="206" w:name="_Toc6637"/>
      <w:bookmarkStart w:id="207" w:name="_Toc12983510"/>
      <w:bookmarkStart w:id="208" w:name="_Toc383891173"/>
      <w:bookmarkStart w:id="209" w:name="_Toc29472"/>
      <w:bookmarkStart w:id="210" w:name="_Toc6764"/>
      <w:bookmarkStart w:id="211" w:name="_Toc375039069"/>
      <w:bookmarkStart w:id="212" w:name="_Toc18436"/>
      <w:bookmarkStart w:id="213" w:name="_Toc25750596"/>
      <w:bookmarkStart w:id="214" w:name="_Toc32710"/>
      <w:bookmarkStart w:id="215" w:name="_Toc839"/>
      <w:bookmarkStart w:id="216" w:name="_Toc390098424"/>
      <w:bookmarkStart w:id="217" w:name="_Toc30401"/>
      <w:bookmarkStart w:id="218" w:name="_Toc19561"/>
      <w:bookmarkStart w:id="219" w:name="_Toc26333"/>
      <w:bookmarkStart w:id="220" w:name="_Toc5877"/>
      <w:bookmarkStart w:id="221" w:name="_Toc13114"/>
      <w:bookmarkStart w:id="222" w:name="_Toc492478723"/>
      <w:bookmarkStart w:id="223" w:name="_Toc385427798"/>
      <w:bookmarkStart w:id="224" w:name="_Toc9756"/>
      <w:bookmarkStart w:id="225" w:name="_Toc27870"/>
      <w:bookmarkStart w:id="226" w:name="_Toc29225"/>
      <w:bookmarkStart w:id="227" w:name="_Toc21811"/>
      <w:r>
        <w:rPr>
          <w:rFonts w:hint="eastAsia" w:ascii="宋体" w:hAnsi="宋体"/>
          <w:color w:val="auto"/>
          <w:highlight w:val="none"/>
        </w:rPr>
        <w:t xml:space="preserve">5. </w:t>
      </w:r>
      <w:r>
        <w:rPr>
          <w:rFonts w:ascii="宋体" w:hAnsi="宋体"/>
          <w:color w:val="auto"/>
          <w:highlight w:val="none"/>
        </w:rPr>
        <w:t>比选文件构成</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3"/>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3"/>
        </w:numPr>
        <w:spacing w:before="0"/>
        <w:ind w:right="0" w:firstLine="200"/>
        <w:rPr>
          <w:rFonts w:ascii="宋体" w:hAnsi="宋体"/>
          <w:color w:val="auto"/>
          <w:highlight w:val="none"/>
        </w:rPr>
      </w:pPr>
      <w:r>
        <w:rPr>
          <w:rFonts w:ascii="宋体" w:hAnsi="宋体"/>
          <w:color w:val="auto"/>
          <w:highlight w:val="none"/>
        </w:rPr>
        <w:t>比选申请须知</w:t>
      </w:r>
    </w:p>
    <w:p>
      <w:pPr>
        <w:numPr>
          <w:ilvl w:val="0"/>
          <w:numId w:val="3"/>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3"/>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3"/>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3"/>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pacing w:before="0" w:after="0" w:afterAutospacing="0"/>
        <w:ind w:left="0" w:right="0" w:firstLine="420" w:firstLineChars="200"/>
        <w:rPr>
          <w:rFonts w:ascii="宋体" w:hAnsi="宋体"/>
          <w:color w:val="auto"/>
          <w:highlight w:val="none"/>
        </w:rPr>
      </w:pPr>
      <w:bookmarkStart w:id="228" w:name="_Toc12983511"/>
      <w:bookmarkStart w:id="229" w:name="_Toc10162"/>
      <w:bookmarkStart w:id="230" w:name="_Toc17279"/>
      <w:bookmarkStart w:id="231" w:name="_Toc390098425"/>
      <w:bookmarkStart w:id="232" w:name="_Toc2789"/>
      <w:bookmarkStart w:id="233" w:name="_Toc31848"/>
      <w:bookmarkStart w:id="234" w:name="_Toc21365"/>
      <w:bookmarkStart w:id="235" w:name="_Toc31386"/>
      <w:bookmarkStart w:id="236" w:name="_Toc28270"/>
      <w:bookmarkStart w:id="237" w:name="_Toc2664"/>
      <w:bookmarkStart w:id="238" w:name="_Toc2489"/>
      <w:bookmarkStart w:id="239" w:name="_Toc492478724"/>
      <w:bookmarkStart w:id="240" w:name="_Toc375039070"/>
      <w:bookmarkStart w:id="241" w:name="_Toc18631"/>
      <w:bookmarkStart w:id="242" w:name="_Toc29001"/>
      <w:bookmarkStart w:id="243" w:name="_Toc20903"/>
      <w:bookmarkStart w:id="244" w:name="_Toc14426"/>
      <w:bookmarkStart w:id="245" w:name="_Toc383891174"/>
      <w:bookmarkStart w:id="246" w:name="_Toc26811"/>
      <w:bookmarkStart w:id="247" w:name="_Toc15154"/>
      <w:bookmarkStart w:id="248" w:name="_Toc11896"/>
      <w:bookmarkStart w:id="249" w:name="_Toc385427799"/>
      <w:bookmarkStart w:id="250" w:name="_Toc26909"/>
      <w:bookmarkStart w:id="251" w:name="_Toc25750597"/>
      <w:r>
        <w:rPr>
          <w:rFonts w:hint="eastAsia" w:ascii="宋体" w:hAnsi="宋体"/>
          <w:color w:val="auto"/>
          <w:highlight w:val="none"/>
        </w:rPr>
        <w:t>6.</w:t>
      </w:r>
      <w:r>
        <w:rPr>
          <w:rFonts w:ascii="宋体" w:hAnsi="宋体"/>
          <w:color w:val="auto"/>
          <w:highlight w:val="none"/>
        </w:rPr>
        <w:t>比选文件的澄清</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spacing w:before="0" w:after="0" w:afterAutospacing="0"/>
        <w:ind w:left="0" w:right="0" w:firstLine="420" w:firstLineChars="200"/>
        <w:rPr>
          <w:rFonts w:ascii="宋体" w:hAnsi="宋体"/>
          <w:color w:val="auto"/>
          <w:highlight w:val="none"/>
        </w:rPr>
      </w:pPr>
      <w:bookmarkStart w:id="252" w:name="_Toc26952"/>
      <w:bookmarkStart w:id="253" w:name="_Toc383891175"/>
      <w:bookmarkStart w:id="254" w:name="_Toc5364"/>
      <w:bookmarkStart w:id="255" w:name="_Toc2072"/>
      <w:bookmarkStart w:id="256" w:name="_Toc24128"/>
      <w:bookmarkStart w:id="257" w:name="_Toc25750598"/>
      <w:bookmarkStart w:id="258" w:name="_Toc27124"/>
      <w:bookmarkStart w:id="259" w:name="_Toc15498"/>
      <w:bookmarkStart w:id="260" w:name="_Toc390098426"/>
      <w:bookmarkStart w:id="261" w:name="_Toc375039071"/>
      <w:bookmarkStart w:id="262" w:name="_Toc7063"/>
      <w:bookmarkStart w:id="263" w:name="_Toc24583"/>
      <w:bookmarkStart w:id="264" w:name="_Toc30378"/>
      <w:bookmarkStart w:id="265" w:name="_Toc15137"/>
      <w:bookmarkStart w:id="266" w:name="_Toc29795"/>
      <w:bookmarkStart w:id="267" w:name="_Toc19345"/>
      <w:bookmarkStart w:id="268" w:name="_Toc12983512"/>
      <w:bookmarkStart w:id="269" w:name="_Toc385427800"/>
      <w:bookmarkStart w:id="270" w:name="_Toc14181"/>
      <w:bookmarkStart w:id="271" w:name="_Toc2976"/>
      <w:bookmarkStart w:id="272" w:name="_Toc15674"/>
      <w:bookmarkStart w:id="273" w:name="_Toc22529"/>
      <w:bookmarkStart w:id="274" w:name="_Toc24191"/>
      <w:bookmarkStart w:id="275" w:name="_Toc492478725"/>
      <w:r>
        <w:rPr>
          <w:rFonts w:hint="eastAsia" w:ascii="宋体" w:hAnsi="宋体"/>
          <w:color w:val="auto"/>
          <w:highlight w:val="none"/>
        </w:rPr>
        <w:t xml:space="preserve">7. </w:t>
      </w:r>
      <w:r>
        <w:rPr>
          <w:rFonts w:ascii="宋体" w:hAnsi="宋体"/>
          <w:color w:val="auto"/>
          <w:highlight w:val="none"/>
        </w:rPr>
        <w:t>比选文件的补遗或修改</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spacing w:after="0" w:afterAutospacing="0"/>
        <w:ind w:left="0" w:right="0" w:firstLine="482" w:firstLineChars="200"/>
        <w:outlineLvl w:val="1"/>
        <w:rPr>
          <w:rFonts w:ascii="宋体" w:hAnsi="宋体"/>
          <w:b/>
          <w:bCs/>
          <w:color w:val="auto"/>
          <w:sz w:val="24"/>
          <w:szCs w:val="24"/>
          <w:highlight w:val="none"/>
        </w:rPr>
      </w:pPr>
      <w:bookmarkStart w:id="276" w:name="_Toc25750599"/>
      <w:bookmarkStart w:id="277" w:name="_Toc383891176"/>
      <w:bookmarkStart w:id="278" w:name="_Toc2902"/>
      <w:bookmarkStart w:id="279" w:name="_Toc3631"/>
      <w:bookmarkStart w:id="280" w:name="_Toc27913"/>
      <w:bookmarkStart w:id="281" w:name="_Toc4718"/>
      <w:bookmarkStart w:id="282" w:name="_Toc28044"/>
      <w:bookmarkStart w:id="283" w:name="_Toc32466"/>
      <w:bookmarkStart w:id="284" w:name="_Toc21099"/>
      <w:bookmarkStart w:id="285" w:name="_Toc14185"/>
      <w:bookmarkStart w:id="286" w:name="_Toc7826"/>
      <w:bookmarkStart w:id="287" w:name="_Toc30363"/>
      <w:bookmarkStart w:id="288" w:name="_Toc24759"/>
      <w:bookmarkStart w:id="289" w:name="_Toc17335"/>
      <w:bookmarkStart w:id="290" w:name="_Toc24557"/>
      <w:bookmarkStart w:id="291" w:name="_Toc12983513"/>
      <w:bookmarkStart w:id="292" w:name="_Toc95"/>
      <w:bookmarkStart w:id="293" w:name="_Toc14225"/>
      <w:bookmarkStart w:id="294" w:name="_Toc385427801"/>
      <w:bookmarkStart w:id="295" w:name="_Toc17337_WPSOffice_Level2"/>
      <w:bookmarkStart w:id="296" w:name="_Toc492478726"/>
      <w:bookmarkStart w:id="297" w:name="_Toc18679"/>
      <w:bookmarkStart w:id="298" w:name="_Toc7604"/>
      <w:bookmarkStart w:id="299" w:name="_Toc17692"/>
      <w:bookmarkStart w:id="300" w:name="_Toc9848"/>
      <w:bookmarkStart w:id="301" w:name="_Toc10869"/>
      <w:bookmarkStart w:id="302" w:name="_Toc375039072"/>
      <w:bookmarkStart w:id="303" w:name="_Toc16406"/>
      <w:bookmarkStart w:id="304" w:name="_Toc5254"/>
      <w:bookmarkStart w:id="305" w:name="_Toc390098427"/>
      <w:bookmarkStart w:id="306" w:name="_Toc25361"/>
      <w:bookmarkStart w:id="307" w:name="_Toc5805"/>
      <w:r>
        <w:rPr>
          <w:rFonts w:hint="eastAsia" w:ascii="宋体" w:hAnsi="宋体"/>
          <w:b/>
          <w:bCs/>
          <w:color w:val="auto"/>
          <w:sz w:val="24"/>
          <w:szCs w:val="24"/>
          <w:highlight w:val="none"/>
        </w:rPr>
        <w:t>三、</w:t>
      </w:r>
      <w:r>
        <w:rPr>
          <w:rFonts w:ascii="宋体" w:hAnsi="宋体"/>
          <w:b/>
          <w:bCs/>
          <w:color w:val="auto"/>
          <w:sz w:val="24"/>
          <w:szCs w:val="24"/>
          <w:highlight w:val="none"/>
        </w:rPr>
        <w:t>比选申请文件的编制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before="0" w:after="0" w:afterAutospacing="0"/>
        <w:ind w:left="0" w:right="0" w:firstLine="420" w:firstLineChars="200"/>
        <w:rPr>
          <w:rFonts w:ascii="宋体" w:hAnsi="宋体"/>
          <w:color w:val="auto"/>
          <w:highlight w:val="none"/>
        </w:rPr>
      </w:pPr>
      <w:bookmarkStart w:id="308" w:name="_Toc12074"/>
      <w:bookmarkStart w:id="309" w:name="_Toc20025"/>
      <w:bookmarkStart w:id="310" w:name="_Toc492478727"/>
      <w:bookmarkStart w:id="311" w:name="_Toc23794"/>
      <w:bookmarkStart w:id="312" w:name="_Toc385427802"/>
      <w:bookmarkStart w:id="313" w:name="_Toc1733"/>
      <w:bookmarkStart w:id="314" w:name="_Toc16186"/>
      <w:bookmarkStart w:id="315" w:name="_Toc26150"/>
      <w:bookmarkStart w:id="316" w:name="_Toc12456"/>
      <w:bookmarkStart w:id="317" w:name="_Toc390098428"/>
      <w:bookmarkStart w:id="318" w:name="_Toc383891177"/>
      <w:bookmarkStart w:id="319" w:name="_Toc25750600"/>
      <w:bookmarkStart w:id="320" w:name="_Toc2819"/>
      <w:bookmarkStart w:id="321" w:name="_Toc12983514"/>
      <w:bookmarkStart w:id="322" w:name="_Toc18350"/>
      <w:bookmarkStart w:id="323" w:name="_Toc26680"/>
      <w:bookmarkStart w:id="324" w:name="_Toc11259"/>
      <w:bookmarkStart w:id="325" w:name="_Toc375039073"/>
      <w:bookmarkStart w:id="326" w:name="_Toc16435"/>
      <w:bookmarkStart w:id="327" w:name="_Toc4384"/>
      <w:bookmarkStart w:id="328" w:name="_Toc21673"/>
      <w:bookmarkStart w:id="329" w:name="_Toc9592"/>
      <w:bookmarkStart w:id="330" w:name="_Toc29862"/>
      <w:bookmarkStart w:id="331" w:name="_Toc13418"/>
      <w:r>
        <w:rPr>
          <w:rFonts w:hint="eastAsia" w:ascii="宋体" w:hAnsi="宋体"/>
          <w:color w:val="auto"/>
          <w:highlight w:val="none"/>
        </w:rPr>
        <w:t xml:space="preserve">8. </w:t>
      </w:r>
      <w:r>
        <w:rPr>
          <w:rFonts w:ascii="宋体" w:hAnsi="宋体"/>
          <w:color w:val="auto"/>
          <w:highlight w:val="none"/>
        </w:rPr>
        <w:t>编制要求</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numPr>
          <w:ilvl w:val="0"/>
          <w:numId w:val="4"/>
        </w:numPr>
        <w:spacing w:before="0" w:after="0" w:afterAutospacing="0"/>
        <w:ind w:left="0" w:right="0" w:firstLine="420" w:firstLineChars="200"/>
        <w:rPr>
          <w:rFonts w:ascii="宋体" w:hAnsi="宋体"/>
          <w:color w:val="auto"/>
          <w:highlight w:val="none"/>
        </w:rPr>
      </w:pPr>
      <w:bookmarkStart w:id="332" w:name="_Toc24857"/>
      <w:bookmarkStart w:id="333" w:name="_Toc28296"/>
      <w:bookmarkStart w:id="334" w:name="_Toc6261"/>
      <w:bookmarkStart w:id="335" w:name="_Toc16237"/>
      <w:bookmarkStart w:id="336" w:name="_Toc12207"/>
      <w:bookmarkStart w:id="337" w:name="_Toc19885"/>
      <w:bookmarkStart w:id="338" w:name="_Toc25750601"/>
      <w:bookmarkStart w:id="339" w:name="_Toc385427803"/>
      <w:bookmarkStart w:id="340" w:name="_Toc375039074"/>
      <w:bookmarkStart w:id="341" w:name="_Toc22026"/>
      <w:bookmarkStart w:id="342" w:name="_Toc492478728"/>
      <w:bookmarkStart w:id="343" w:name="_Toc9887"/>
      <w:bookmarkStart w:id="344" w:name="_Toc25770"/>
      <w:bookmarkStart w:id="345" w:name="_Toc28065"/>
      <w:bookmarkStart w:id="346" w:name="_Toc11161"/>
      <w:bookmarkStart w:id="347" w:name="_Toc24935"/>
      <w:bookmarkStart w:id="348" w:name="_Toc26753"/>
      <w:bookmarkStart w:id="349" w:name="_Toc15570"/>
      <w:bookmarkStart w:id="350" w:name="_Toc3492"/>
      <w:bookmarkStart w:id="351" w:name="_Toc1047"/>
      <w:bookmarkStart w:id="352" w:name="_Toc390098429"/>
      <w:bookmarkStart w:id="353" w:name="_Toc383891178"/>
      <w:bookmarkStart w:id="354" w:name="_Toc11040"/>
      <w:bookmarkStart w:id="355" w:name="_Toc12983515"/>
      <w:r>
        <w:rPr>
          <w:rFonts w:ascii="宋体" w:hAnsi="宋体"/>
          <w:color w:val="auto"/>
          <w:highlight w:val="none"/>
        </w:rPr>
        <w:t>比选申请语言及计量单位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numPr>
          <w:ilvl w:val="0"/>
          <w:numId w:val="4"/>
        </w:numPr>
        <w:spacing w:before="0" w:after="0" w:afterAutospacing="0"/>
        <w:ind w:left="0" w:right="0" w:firstLine="420" w:firstLineChars="200"/>
        <w:rPr>
          <w:rFonts w:ascii="宋体" w:hAnsi="宋体"/>
          <w:color w:val="auto"/>
          <w:highlight w:val="none"/>
        </w:rPr>
      </w:pPr>
      <w:bookmarkStart w:id="356" w:name="_Toc492478729"/>
      <w:bookmarkStart w:id="357" w:name="_Toc385427804"/>
      <w:bookmarkStart w:id="358" w:name="_Toc383891179"/>
      <w:bookmarkStart w:id="359" w:name="_Toc22476"/>
      <w:bookmarkStart w:id="360" w:name="_Toc3877"/>
      <w:bookmarkStart w:id="361" w:name="_Toc3464"/>
      <w:bookmarkStart w:id="362" w:name="_Toc53"/>
      <w:bookmarkStart w:id="363" w:name="_Toc23364"/>
      <w:bookmarkStart w:id="364" w:name="_Toc3411"/>
      <w:bookmarkStart w:id="365" w:name="_Toc23229"/>
      <w:bookmarkStart w:id="366" w:name="_Toc18149"/>
      <w:bookmarkStart w:id="367" w:name="_Toc15809"/>
      <w:bookmarkStart w:id="368" w:name="_Toc29881"/>
      <w:bookmarkStart w:id="369" w:name="_Toc19681"/>
      <w:bookmarkStart w:id="370" w:name="_Toc24760"/>
      <w:bookmarkStart w:id="371" w:name="_Toc12983516"/>
      <w:bookmarkStart w:id="372" w:name="_Toc30991"/>
      <w:bookmarkStart w:id="373" w:name="_Toc14323"/>
      <w:bookmarkStart w:id="374" w:name="_Toc390098430"/>
      <w:bookmarkStart w:id="375" w:name="_Toc16307"/>
      <w:bookmarkStart w:id="376" w:name="_Toc25750602"/>
      <w:bookmarkStart w:id="377" w:name="_Toc30356"/>
      <w:bookmarkStart w:id="378" w:name="_Toc375039075"/>
      <w:bookmarkStart w:id="379" w:name="_Toc28164"/>
      <w:r>
        <w:rPr>
          <w:rFonts w:ascii="宋体" w:hAnsi="宋体"/>
          <w:color w:val="auto"/>
          <w:highlight w:val="none"/>
        </w:rPr>
        <w:t>比选申请文件组成</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10.1</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10.2资格审查文件和技术文件不得透露有关报价的任何信息，否则其比选申请将被否决。</w:t>
      </w:r>
    </w:p>
    <w:p>
      <w:pPr>
        <w:spacing w:before="0" w:after="0" w:afterAutospacing="0"/>
        <w:ind w:left="0" w:right="0" w:firstLine="420" w:firstLineChars="200"/>
        <w:rPr>
          <w:rFonts w:ascii="宋体" w:hAnsi="宋体"/>
          <w:color w:val="auto"/>
          <w:highlight w:val="none"/>
        </w:rPr>
      </w:pPr>
      <w:bookmarkStart w:id="380" w:name="_Toc25750603"/>
      <w:bookmarkStart w:id="381" w:name="_Toc12983517"/>
      <w:bookmarkStart w:id="382" w:name="_Toc23002"/>
      <w:bookmarkStart w:id="383" w:name="_Toc20248"/>
      <w:bookmarkStart w:id="384" w:name="_Toc15919"/>
      <w:bookmarkStart w:id="385" w:name="_Toc27019"/>
      <w:bookmarkStart w:id="386" w:name="_Toc383891180"/>
      <w:bookmarkStart w:id="387" w:name="_Toc375039076"/>
      <w:bookmarkStart w:id="388" w:name="_Toc16783"/>
      <w:bookmarkStart w:id="389" w:name="_Toc15448"/>
      <w:bookmarkStart w:id="390" w:name="_Toc390098431"/>
      <w:bookmarkStart w:id="391" w:name="_Toc21144"/>
      <w:bookmarkStart w:id="392" w:name="_Toc11211"/>
      <w:bookmarkStart w:id="393" w:name="_Toc3670"/>
      <w:bookmarkStart w:id="394" w:name="_Toc14308"/>
      <w:bookmarkStart w:id="395" w:name="_Toc8151"/>
      <w:bookmarkStart w:id="396" w:name="_Toc492478730"/>
      <w:bookmarkStart w:id="397" w:name="_Toc27194"/>
      <w:bookmarkStart w:id="398" w:name="_Toc2395"/>
      <w:bookmarkStart w:id="399" w:name="_Toc385427805"/>
      <w:bookmarkStart w:id="400" w:name="_Toc675"/>
      <w:bookmarkStart w:id="401" w:name="_Toc14630"/>
      <w:bookmarkStart w:id="402" w:name="_Toc7608"/>
      <w:bookmarkStart w:id="403" w:name="_Toc20490"/>
      <w:r>
        <w:rPr>
          <w:rFonts w:hint="eastAsia" w:ascii="宋体" w:hAnsi="宋体"/>
          <w:color w:val="auto"/>
          <w:highlight w:val="none"/>
        </w:rPr>
        <w:t xml:space="preserve">11. </w:t>
      </w:r>
      <w:r>
        <w:rPr>
          <w:rFonts w:ascii="宋体" w:hAnsi="宋体"/>
          <w:color w:val="auto"/>
          <w:highlight w:val="none"/>
        </w:rPr>
        <w:t>比选申请文件格式</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w:t>
      </w:r>
      <w:r>
        <w:rPr>
          <w:rFonts w:hint="eastAsia" w:ascii="宋体" w:hAnsi="宋体"/>
          <w:color w:val="auto"/>
          <w:highlight w:val="none"/>
        </w:rPr>
        <w:t>10</w:t>
      </w:r>
      <w:r>
        <w:rPr>
          <w:rFonts w:ascii="宋体" w:hAnsi="宋体"/>
          <w:color w:val="auto"/>
          <w:highlight w:val="none"/>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w:t>
      </w:r>
      <w:r>
        <w:rPr>
          <w:rFonts w:hint="eastAsia" w:ascii="宋体" w:hAnsi="宋体"/>
          <w:color w:val="auto"/>
          <w:highlight w:val="none"/>
        </w:rPr>
        <w:t>10</w:t>
      </w:r>
      <w:r>
        <w:rPr>
          <w:rFonts w:ascii="宋体" w:hAnsi="宋体"/>
          <w:color w:val="auto"/>
          <w:highlight w:val="none"/>
        </w:rPr>
        <w:t>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spacing w:before="0" w:after="0" w:afterAutospacing="0"/>
        <w:ind w:left="0" w:right="0" w:firstLine="420" w:firstLineChars="200"/>
        <w:rPr>
          <w:rFonts w:ascii="宋体" w:hAnsi="宋体"/>
          <w:color w:val="auto"/>
          <w:highlight w:val="none"/>
        </w:rPr>
      </w:pPr>
      <w:bookmarkStart w:id="404" w:name="_Toc9416"/>
      <w:bookmarkStart w:id="405" w:name="_Toc375039077"/>
      <w:bookmarkStart w:id="406" w:name="_Toc17526"/>
      <w:bookmarkStart w:id="407" w:name="_Toc20685"/>
      <w:bookmarkStart w:id="408" w:name="_Toc24264"/>
      <w:bookmarkStart w:id="409" w:name="_Toc12983518"/>
      <w:bookmarkStart w:id="410" w:name="_Toc492478731"/>
      <w:bookmarkStart w:id="411" w:name="_Toc22295"/>
      <w:bookmarkStart w:id="412" w:name="_Toc26482"/>
      <w:bookmarkStart w:id="413" w:name="_Toc6671"/>
      <w:bookmarkStart w:id="414" w:name="_Toc383891181"/>
      <w:bookmarkStart w:id="415" w:name="_Toc3813"/>
      <w:bookmarkStart w:id="416" w:name="_Toc17379"/>
      <w:bookmarkStart w:id="417" w:name="_Toc385427806"/>
      <w:bookmarkStart w:id="418" w:name="_Toc390098432"/>
      <w:bookmarkStart w:id="419" w:name="_Toc7857"/>
      <w:bookmarkStart w:id="420" w:name="_Toc31743"/>
      <w:bookmarkStart w:id="421" w:name="_Toc3799"/>
      <w:bookmarkStart w:id="422" w:name="_Toc17338"/>
      <w:bookmarkStart w:id="423" w:name="_Toc14123"/>
      <w:bookmarkStart w:id="424" w:name="_Toc16653"/>
      <w:bookmarkStart w:id="425" w:name="_Toc21084"/>
      <w:bookmarkStart w:id="426" w:name="_Toc26974"/>
      <w:bookmarkStart w:id="427" w:name="_Toc25750604"/>
      <w:r>
        <w:rPr>
          <w:rFonts w:hint="eastAsia" w:ascii="宋体" w:hAnsi="宋体"/>
          <w:color w:val="auto"/>
          <w:highlight w:val="none"/>
        </w:rPr>
        <w:t xml:space="preserve">12. </w:t>
      </w:r>
      <w:r>
        <w:rPr>
          <w:rFonts w:ascii="宋体" w:hAnsi="宋体"/>
          <w:color w:val="auto"/>
          <w:highlight w:val="none"/>
        </w:rPr>
        <w:t>比选申请报价</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color w:val="auto"/>
          <w:highlight w:val="none"/>
        </w:rPr>
        <w:t>。比选申请人须按第五章《用户需求书》中的技术需求及故障件清单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12.4同一规格、型号、标准、内容的故障件在各分项报价中应为同一单价。比选申请人对同类故障件只允许有一个报价，如有不同报价，则以最低报价为准。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rPr>
        <w:t>5项目不接受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rPr>
        <w:t>6</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rPr>
        <w:t>7</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12.9 比选申请人不得在价格文件之外的比选申请文件中出现任何有关本项目的报价信息。</w:t>
      </w:r>
    </w:p>
    <w:p>
      <w:pPr>
        <w:numPr>
          <w:ilvl w:val="0"/>
          <w:numId w:val="5"/>
        </w:numPr>
        <w:spacing w:before="0" w:after="0" w:afterAutospacing="0"/>
        <w:ind w:left="0" w:right="0" w:firstLine="420" w:firstLineChars="200"/>
        <w:rPr>
          <w:rFonts w:ascii="宋体" w:hAnsi="宋体"/>
          <w:color w:val="auto"/>
          <w:highlight w:val="none"/>
        </w:rPr>
      </w:pPr>
      <w:bookmarkStart w:id="428" w:name="_Toc10220"/>
      <w:bookmarkStart w:id="429" w:name="_Toc12762"/>
      <w:bookmarkStart w:id="430" w:name="_Toc492478732"/>
      <w:bookmarkStart w:id="431" w:name="_Toc12983519"/>
      <w:bookmarkStart w:id="432" w:name="_Toc21706"/>
      <w:bookmarkStart w:id="433" w:name="_Toc25750605"/>
      <w:bookmarkStart w:id="434" w:name="_Toc15940"/>
      <w:bookmarkStart w:id="435" w:name="_Toc25459"/>
      <w:bookmarkStart w:id="436" w:name="_Toc1664"/>
      <w:bookmarkStart w:id="437" w:name="_Toc18875"/>
      <w:bookmarkStart w:id="438" w:name="_Toc390098433"/>
      <w:bookmarkStart w:id="439" w:name="_Toc26064"/>
      <w:bookmarkStart w:id="440" w:name="_Toc28476"/>
      <w:bookmarkStart w:id="441" w:name="_Toc12947"/>
      <w:bookmarkStart w:id="442" w:name="_Toc7428"/>
      <w:bookmarkStart w:id="443" w:name="_Toc375039078"/>
      <w:bookmarkStart w:id="444" w:name="_Toc28880"/>
      <w:bookmarkStart w:id="445" w:name="_Toc5836"/>
      <w:bookmarkStart w:id="446" w:name="_Toc21430"/>
      <w:bookmarkStart w:id="447" w:name="_Toc20156"/>
      <w:bookmarkStart w:id="448" w:name="_Toc383891182"/>
      <w:bookmarkStart w:id="449" w:name="_Toc2710"/>
      <w:bookmarkStart w:id="450" w:name="_Toc21448"/>
      <w:bookmarkStart w:id="451" w:name="_Toc385427807"/>
      <w:r>
        <w:rPr>
          <w:rFonts w:ascii="宋体" w:hAnsi="宋体"/>
          <w:color w:val="auto"/>
          <w:highlight w:val="none"/>
        </w:rPr>
        <w:t>比选申请货币</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numPr>
          <w:ilvl w:val="0"/>
          <w:numId w:val="5"/>
        </w:numPr>
        <w:spacing w:before="0" w:after="0" w:afterAutospacing="0"/>
        <w:ind w:left="0" w:right="0" w:firstLine="420" w:firstLineChars="200"/>
        <w:rPr>
          <w:rFonts w:ascii="宋体" w:hAnsi="宋体"/>
          <w:color w:val="auto"/>
          <w:highlight w:val="none"/>
        </w:rPr>
      </w:pPr>
      <w:bookmarkStart w:id="452" w:name="_Toc12983520"/>
      <w:bookmarkStart w:id="453" w:name="_Toc30606"/>
      <w:bookmarkStart w:id="454" w:name="_Toc1530"/>
      <w:bookmarkStart w:id="455" w:name="_Toc12049"/>
      <w:bookmarkStart w:id="456" w:name="_Toc28665"/>
      <w:bookmarkStart w:id="457" w:name="_Toc27508"/>
      <w:bookmarkStart w:id="458" w:name="_Toc30848"/>
      <w:bookmarkStart w:id="459" w:name="_Toc30040"/>
      <w:bookmarkStart w:id="460" w:name="_Toc14309"/>
      <w:bookmarkStart w:id="461" w:name="_Toc24199"/>
      <w:bookmarkStart w:id="462" w:name="_Toc390098436"/>
      <w:bookmarkStart w:id="463" w:name="_Toc14922"/>
      <w:bookmarkStart w:id="464" w:name="_Toc1624"/>
      <w:bookmarkStart w:id="465" w:name="_Toc385427810"/>
      <w:bookmarkStart w:id="466" w:name="_Toc7417"/>
      <w:bookmarkStart w:id="467" w:name="_Toc383891185"/>
      <w:bookmarkStart w:id="468" w:name="_Toc11690"/>
      <w:bookmarkStart w:id="469" w:name="_Toc9237"/>
      <w:bookmarkStart w:id="470" w:name="_Toc25750606"/>
      <w:bookmarkStart w:id="471" w:name="_Toc5974"/>
      <w:bookmarkStart w:id="472" w:name="_Toc16314"/>
      <w:bookmarkStart w:id="473" w:name="_Toc375039081"/>
      <w:bookmarkStart w:id="474" w:name="_Toc22051"/>
      <w:bookmarkStart w:id="475" w:name="_Toc492478735"/>
      <w:r>
        <w:rPr>
          <w:rFonts w:ascii="宋体" w:hAnsi="宋体"/>
          <w:color w:val="auto"/>
          <w:highlight w:val="none"/>
        </w:rPr>
        <w:t>比选保证金</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14"/>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spacing w:before="0" w:after="0" w:afterAutospacing="0"/>
        <w:ind w:left="0" w:right="0" w:firstLine="420" w:firstLineChars="200"/>
        <w:rPr>
          <w:rFonts w:ascii="宋体" w:hAnsi="宋体"/>
          <w:color w:val="auto"/>
          <w:highlight w:val="none"/>
        </w:rPr>
      </w:pPr>
      <w:bookmarkStart w:id="476" w:name="_Toc5690"/>
      <w:bookmarkStart w:id="477" w:name="_Toc1604"/>
      <w:bookmarkStart w:id="478" w:name="_Toc4433"/>
      <w:bookmarkStart w:id="479" w:name="_Toc691"/>
      <w:bookmarkStart w:id="480" w:name="_Toc28555"/>
      <w:bookmarkStart w:id="481" w:name="_Toc20070"/>
      <w:bookmarkStart w:id="482" w:name="_Toc20643"/>
      <w:bookmarkStart w:id="483" w:name="_Toc23114"/>
      <w:bookmarkStart w:id="484" w:name="_Toc24656"/>
      <w:bookmarkStart w:id="485" w:name="_Toc7808"/>
      <w:bookmarkStart w:id="486" w:name="_Toc2268"/>
      <w:bookmarkStart w:id="487" w:name="_Toc28997"/>
      <w:bookmarkStart w:id="488" w:name="_Toc385427811"/>
      <w:bookmarkStart w:id="489" w:name="_Toc20493"/>
      <w:bookmarkStart w:id="490" w:name="_Toc12983521"/>
      <w:bookmarkStart w:id="491" w:name="_Toc30499"/>
      <w:bookmarkStart w:id="492" w:name="_Toc383891186"/>
      <w:bookmarkStart w:id="493" w:name="_Toc375039082"/>
      <w:bookmarkStart w:id="494" w:name="_Toc9117"/>
      <w:bookmarkStart w:id="495" w:name="_Toc10918"/>
      <w:bookmarkStart w:id="496" w:name="_Toc492478736"/>
      <w:bookmarkStart w:id="497" w:name="_Toc25750607"/>
      <w:bookmarkStart w:id="498" w:name="_Toc845"/>
      <w:bookmarkStart w:id="499" w:name="_Toc390098437"/>
      <w:r>
        <w:rPr>
          <w:rFonts w:hint="eastAsia" w:ascii="宋体" w:hAnsi="宋体"/>
          <w:color w:val="auto"/>
          <w:highlight w:val="none"/>
        </w:rPr>
        <w:t xml:space="preserve">15. </w:t>
      </w:r>
      <w:r>
        <w:rPr>
          <w:rFonts w:ascii="宋体" w:hAnsi="宋体"/>
          <w:color w:val="auto"/>
          <w:highlight w:val="none"/>
        </w:rPr>
        <w:t>比选申请有效期</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500" w:name="_Toc27730"/>
      <w:bookmarkStart w:id="501" w:name="_Toc12435"/>
      <w:bookmarkStart w:id="502" w:name="_Toc385427812"/>
      <w:bookmarkStart w:id="503" w:name="_Toc301"/>
      <w:bookmarkStart w:id="504" w:name="_Toc14672"/>
      <w:bookmarkStart w:id="505" w:name="_Toc4216"/>
      <w:bookmarkStart w:id="506" w:name="_Toc8100"/>
      <w:bookmarkStart w:id="507" w:name="_Toc29108"/>
      <w:bookmarkStart w:id="508" w:name="_Toc25684"/>
      <w:bookmarkStart w:id="509" w:name="_Toc32020"/>
      <w:bookmarkStart w:id="510" w:name="_Toc6065"/>
      <w:bookmarkStart w:id="511" w:name="_Toc390098438"/>
      <w:bookmarkStart w:id="512" w:name="_Toc19603"/>
      <w:bookmarkStart w:id="513" w:name="_Toc3414"/>
      <w:bookmarkStart w:id="514" w:name="_Toc492478737"/>
      <w:bookmarkStart w:id="515" w:name="_Toc32525"/>
      <w:bookmarkStart w:id="516" w:name="_Toc375039083"/>
      <w:bookmarkStart w:id="517" w:name="_Toc19044"/>
      <w:bookmarkStart w:id="518" w:name="_Toc12983522"/>
      <w:bookmarkStart w:id="519" w:name="_Toc383891187"/>
      <w:bookmarkStart w:id="520" w:name="_Toc24922"/>
      <w:bookmarkStart w:id="521" w:name="_Toc12506"/>
      <w:bookmarkStart w:id="522" w:name="_Toc25468"/>
      <w:r>
        <w:rPr>
          <w:rFonts w:hint="eastAsia" w:ascii="宋体" w:hAnsi="宋体"/>
          <w:color w:val="auto"/>
          <w:highlight w:val="none"/>
        </w:rPr>
        <w:t xml:space="preserve">16. </w:t>
      </w:r>
      <w:r>
        <w:rPr>
          <w:rFonts w:ascii="宋体" w:hAnsi="宋体"/>
          <w:color w:val="auto"/>
          <w:highlight w:val="none"/>
        </w:rPr>
        <w:t>比选申请文件的制作和签署</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spacing w:after="0" w:afterAutospacing="0"/>
        <w:ind w:left="0" w:right="0" w:firstLine="482" w:firstLineChars="200"/>
        <w:outlineLvl w:val="1"/>
        <w:rPr>
          <w:rFonts w:ascii="宋体" w:hAnsi="宋体"/>
          <w:b/>
          <w:bCs/>
          <w:color w:val="auto"/>
          <w:sz w:val="24"/>
          <w:szCs w:val="24"/>
          <w:highlight w:val="none"/>
        </w:rPr>
      </w:pPr>
      <w:bookmarkStart w:id="523" w:name="_Toc390098439"/>
      <w:bookmarkStart w:id="524" w:name="_Toc383891188"/>
      <w:bookmarkStart w:id="525" w:name="_Toc385427813"/>
      <w:bookmarkStart w:id="526" w:name="_Toc375039084"/>
      <w:bookmarkStart w:id="527" w:name="_Toc2113"/>
      <w:bookmarkStart w:id="528" w:name="_Toc2975"/>
      <w:bookmarkStart w:id="529" w:name="_Toc26551"/>
      <w:bookmarkStart w:id="530" w:name="_Toc1952"/>
      <w:bookmarkStart w:id="531" w:name="_Toc17266"/>
      <w:bookmarkStart w:id="532" w:name="_Toc30962"/>
      <w:bookmarkStart w:id="533" w:name="_Toc30452"/>
      <w:bookmarkStart w:id="534" w:name="_Toc759"/>
      <w:bookmarkStart w:id="535" w:name="_Toc23177"/>
      <w:bookmarkStart w:id="536" w:name="_Toc30187"/>
      <w:bookmarkStart w:id="537" w:name="_Toc26776"/>
      <w:bookmarkStart w:id="538" w:name="_Toc29304"/>
      <w:bookmarkStart w:id="539" w:name="_Toc15116"/>
      <w:bookmarkStart w:id="540" w:name="_Toc12983523"/>
      <w:bookmarkStart w:id="541" w:name="_Toc9404_WPSOffice_Level2"/>
      <w:bookmarkStart w:id="542" w:name="_Toc16409"/>
      <w:bookmarkStart w:id="543" w:name="_Toc1315"/>
      <w:bookmarkStart w:id="544" w:name="_Toc6619"/>
      <w:bookmarkStart w:id="545" w:name="_Toc18322"/>
      <w:bookmarkStart w:id="546" w:name="_Toc30604"/>
      <w:bookmarkStart w:id="547" w:name="_Toc874"/>
      <w:bookmarkStart w:id="548" w:name="_Toc6101"/>
      <w:bookmarkStart w:id="549" w:name="_Toc17555"/>
      <w:bookmarkStart w:id="550" w:name="_Toc3316"/>
      <w:bookmarkStart w:id="551" w:name="_Toc492478738"/>
      <w:bookmarkStart w:id="552" w:name="_Toc32054"/>
      <w:bookmarkStart w:id="553" w:name="_Toc10234"/>
      <w:bookmarkStart w:id="554" w:name="_Toc25750608"/>
      <w:r>
        <w:rPr>
          <w:rFonts w:hint="eastAsia" w:ascii="宋体" w:hAnsi="宋体"/>
          <w:b/>
          <w:bCs/>
          <w:color w:val="auto"/>
          <w:sz w:val="24"/>
          <w:szCs w:val="24"/>
          <w:highlight w:val="none"/>
        </w:rPr>
        <w:t>四、</w:t>
      </w:r>
      <w:r>
        <w:rPr>
          <w:rFonts w:ascii="宋体" w:hAnsi="宋体"/>
          <w:b/>
          <w:bCs/>
          <w:color w:val="auto"/>
          <w:sz w:val="24"/>
          <w:szCs w:val="24"/>
          <w:highlight w:val="none"/>
        </w:rPr>
        <w:t>比选申请文件</w:t>
      </w:r>
      <w:bookmarkEnd w:id="523"/>
      <w:bookmarkEnd w:id="524"/>
      <w:bookmarkEnd w:id="525"/>
      <w:bookmarkEnd w:id="526"/>
      <w:r>
        <w:rPr>
          <w:rFonts w:hint="eastAsia" w:ascii="宋体" w:hAnsi="宋体"/>
          <w:b/>
          <w:bCs/>
          <w:color w:val="auto"/>
          <w:sz w:val="24"/>
          <w:szCs w:val="24"/>
          <w:highlight w:val="none"/>
        </w:rPr>
        <w:t>的密封和递交</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spacing w:before="0" w:after="0" w:afterAutospacing="0"/>
        <w:ind w:left="0" w:right="0" w:firstLine="420" w:firstLineChars="200"/>
        <w:rPr>
          <w:rFonts w:ascii="宋体" w:hAnsi="宋体"/>
          <w:color w:val="auto"/>
          <w:highlight w:val="none"/>
        </w:rPr>
      </w:pPr>
      <w:bookmarkStart w:id="555" w:name="_Toc12983524"/>
      <w:bookmarkStart w:id="556" w:name="_Toc18616"/>
      <w:bookmarkStart w:id="557" w:name="_Toc15071"/>
      <w:bookmarkStart w:id="558" w:name="_Toc13829"/>
      <w:bookmarkStart w:id="559" w:name="_Toc13875"/>
      <w:bookmarkStart w:id="560" w:name="_Toc9307"/>
      <w:bookmarkStart w:id="561" w:name="_Toc492478739"/>
      <w:bookmarkStart w:id="562" w:name="_Toc30196"/>
      <w:bookmarkStart w:id="563" w:name="_Toc12329"/>
      <w:bookmarkStart w:id="564" w:name="_Toc19495"/>
      <w:bookmarkStart w:id="565" w:name="_Toc24648"/>
      <w:bookmarkStart w:id="566" w:name="_Toc375039085"/>
      <w:bookmarkStart w:id="567" w:name="_Toc390098440"/>
      <w:bookmarkStart w:id="568" w:name="_Toc17200"/>
      <w:bookmarkStart w:id="569" w:name="_Toc383891189"/>
      <w:bookmarkStart w:id="570" w:name="_Toc12117"/>
      <w:bookmarkStart w:id="571" w:name="_Toc385427814"/>
      <w:bookmarkStart w:id="572" w:name="_Toc25750609"/>
      <w:bookmarkStart w:id="573" w:name="_Toc26249"/>
      <w:bookmarkStart w:id="574" w:name="_Toc15650"/>
      <w:bookmarkStart w:id="575" w:name="_Toc15735"/>
      <w:bookmarkStart w:id="576" w:name="_Toc5922"/>
      <w:bookmarkStart w:id="577" w:name="_Toc13621"/>
      <w:bookmarkStart w:id="578" w:name="_Toc15663"/>
      <w:r>
        <w:rPr>
          <w:rFonts w:hint="eastAsia" w:ascii="宋体" w:hAnsi="宋体"/>
          <w:color w:val="auto"/>
          <w:highlight w:val="none"/>
        </w:rPr>
        <w:t xml:space="preserve">17. </w:t>
      </w:r>
      <w:r>
        <w:rPr>
          <w:rFonts w:ascii="宋体" w:hAnsi="宋体"/>
          <w:color w:val="auto"/>
          <w:highlight w:val="none"/>
        </w:rPr>
        <w:t>比选申请文件</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tabs>
          <w:tab w:val="left" w:pos="1134"/>
          <w:tab w:val="left" w:pos="8364"/>
        </w:tabs>
        <w:spacing w:before="0" w:after="0" w:afterAutospacing="0"/>
        <w:ind w:left="0" w:right="0" w:firstLine="420" w:firstLineChars="200"/>
        <w:rPr>
          <w:rFonts w:ascii="宋体" w:hAnsi="宋体"/>
          <w:color w:val="auto"/>
          <w:highlight w:val="none"/>
        </w:rPr>
      </w:pPr>
      <w:bookmarkStart w:id="579" w:name="_Toc390098441"/>
      <w:bookmarkStart w:id="580" w:name="_Toc375039086"/>
      <w:bookmarkStart w:id="581" w:name="_Toc385427815"/>
      <w:bookmarkStart w:id="582" w:name="_Toc383891190"/>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rPr>
        <w:t>南宁轨道交通1、2、3号线专用通信、AFC系统故障件维修委外服务项目（2022-2023年）</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rPr>
        <w:t>202210280001。</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numPr>
          <w:ilvl w:val="0"/>
          <w:numId w:val="6"/>
        </w:numPr>
        <w:spacing w:before="0" w:after="0" w:afterAutospacing="0"/>
        <w:ind w:left="0" w:right="0" w:firstLine="420" w:firstLineChars="200"/>
        <w:rPr>
          <w:rFonts w:ascii="宋体" w:hAnsi="宋体"/>
          <w:color w:val="auto"/>
          <w:highlight w:val="none"/>
        </w:rPr>
      </w:pPr>
      <w:bookmarkStart w:id="583" w:name="_Toc11096"/>
      <w:bookmarkStart w:id="584" w:name="_Toc6482"/>
      <w:bookmarkStart w:id="585" w:name="_Toc642"/>
      <w:bookmarkStart w:id="586" w:name="_Toc4735"/>
      <w:bookmarkStart w:id="587" w:name="_Toc25750610"/>
      <w:bookmarkStart w:id="588" w:name="_Toc22445"/>
      <w:bookmarkStart w:id="589" w:name="_Toc16818"/>
      <w:bookmarkStart w:id="590" w:name="_Toc2337"/>
      <w:bookmarkStart w:id="591" w:name="_Toc11255"/>
      <w:bookmarkStart w:id="592" w:name="_Toc23859"/>
      <w:bookmarkStart w:id="593" w:name="_Toc12983525"/>
      <w:bookmarkStart w:id="594" w:name="_Toc28071"/>
      <w:bookmarkStart w:id="595" w:name="_Toc492478740"/>
      <w:bookmarkStart w:id="596" w:name="_Toc11039"/>
      <w:bookmarkStart w:id="597" w:name="_Toc6339"/>
      <w:bookmarkStart w:id="598" w:name="_Toc16755"/>
      <w:bookmarkStart w:id="599" w:name="_Toc16266"/>
      <w:bookmarkStart w:id="600" w:name="_Toc32760"/>
      <w:bookmarkStart w:id="601" w:name="_Toc22180"/>
      <w:bookmarkStart w:id="602" w:name="_Toc13883"/>
      <w:r>
        <w:rPr>
          <w:rFonts w:ascii="宋体" w:hAnsi="宋体"/>
          <w:color w:val="auto"/>
          <w:highlight w:val="none"/>
        </w:rPr>
        <w:t>比选申请截止期</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numPr>
          <w:ilvl w:val="0"/>
          <w:numId w:val="6"/>
        </w:numPr>
        <w:spacing w:before="0" w:after="0" w:afterAutospacing="0"/>
        <w:ind w:left="0" w:right="0" w:firstLine="420" w:firstLineChars="200"/>
        <w:rPr>
          <w:rFonts w:ascii="宋体" w:hAnsi="宋体"/>
          <w:color w:val="auto"/>
          <w:highlight w:val="none"/>
        </w:rPr>
      </w:pPr>
      <w:bookmarkStart w:id="603" w:name="_Toc492478741"/>
      <w:bookmarkStart w:id="604" w:name="_Toc26431"/>
      <w:bookmarkStart w:id="605" w:name="_Toc383891191"/>
      <w:bookmarkStart w:id="606" w:name="_Toc13581"/>
      <w:bookmarkStart w:id="607" w:name="_Toc9522"/>
      <w:bookmarkStart w:id="608" w:name="_Toc11373"/>
      <w:bookmarkStart w:id="609" w:name="_Toc2226"/>
      <w:bookmarkStart w:id="610" w:name="_Toc22945"/>
      <w:bookmarkStart w:id="611" w:name="_Toc32252"/>
      <w:bookmarkStart w:id="612" w:name="_Toc25750611"/>
      <w:bookmarkStart w:id="613" w:name="_Toc23404"/>
      <w:bookmarkStart w:id="614" w:name="_Toc29066"/>
      <w:bookmarkStart w:id="615" w:name="_Toc29473"/>
      <w:bookmarkStart w:id="616" w:name="_Toc385427816"/>
      <w:bookmarkStart w:id="617" w:name="_Toc375039087"/>
      <w:bookmarkStart w:id="618" w:name="_Toc21960"/>
      <w:bookmarkStart w:id="619" w:name="_Toc32621"/>
      <w:bookmarkStart w:id="620" w:name="_Toc390098442"/>
      <w:bookmarkStart w:id="621" w:name="_Toc324"/>
      <w:bookmarkStart w:id="622" w:name="_Toc3597"/>
      <w:bookmarkStart w:id="623" w:name="_Toc14239"/>
      <w:bookmarkStart w:id="624" w:name="_Toc15252"/>
      <w:bookmarkStart w:id="625" w:name="_Toc12983526"/>
      <w:bookmarkStart w:id="626" w:name="_Toc10818"/>
      <w:r>
        <w:rPr>
          <w:rFonts w:ascii="宋体" w:hAnsi="宋体"/>
          <w:color w:val="auto"/>
          <w:highlight w:val="none"/>
        </w:rPr>
        <w:t>迟交的比选申请文件</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numPr>
          <w:ilvl w:val="0"/>
          <w:numId w:val="6"/>
        </w:numPr>
        <w:spacing w:before="0" w:after="0" w:afterAutospacing="0"/>
        <w:ind w:left="0" w:right="0" w:firstLine="420" w:firstLineChars="200"/>
        <w:rPr>
          <w:rFonts w:ascii="宋体" w:hAnsi="宋体"/>
          <w:color w:val="auto"/>
          <w:highlight w:val="none"/>
        </w:rPr>
      </w:pPr>
      <w:bookmarkStart w:id="627" w:name="_Toc375039088"/>
      <w:bookmarkStart w:id="628" w:name="_Toc21796"/>
      <w:bookmarkStart w:id="629" w:name="_Toc385427817"/>
      <w:bookmarkStart w:id="630" w:name="_Toc9706"/>
      <w:bookmarkStart w:id="631" w:name="_Toc23449"/>
      <w:bookmarkStart w:id="632" w:name="_Toc17797"/>
      <w:bookmarkStart w:id="633" w:name="_Toc25750612"/>
      <w:bookmarkStart w:id="634" w:name="_Toc8636"/>
      <w:bookmarkStart w:id="635" w:name="_Toc14411"/>
      <w:bookmarkStart w:id="636" w:name="_Toc4605"/>
      <w:bookmarkStart w:id="637" w:name="_Toc390098443"/>
      <w:bookmarkStart w:id="638" w:name="_Toc12983527"/>
      <w:bookmarkStart w:id="639" w:name="_Toc28452"/>
      <w:bookmarkStart w:id="640" w:name="_Toc25427"/>
      <w:bookmarkStart w:id="641" w:name="_Toc31033"/>
      <w:bookmarkStart w:id="642" w:name="_Toc29208"/>
      <w:bookmarkStart w:id="643" w:name="_Toc14522"/>
      <w:bookmarkStart w:id="644" w:name="_Toc243"/>
      <w:bookmarkStart w:id="645" w:name="_Toc492478742"/>
      <w:bookmarkStart w:id="646" w:name="_Toc27195"/>
      <w:bookmarkStart w:id="647" w:name="_Toc26282"/>
      <w:bookmarkStart w:id="648" w:name="_Toc12682"/>
      <w:bookmarkStart w:id="649" w:name="_Toc24030"/>
      <w:bookmarkStart w:id="650" w:name="_Toc383891192"/>
      <w:r>
        <w:rPr>
          <w:rFonts w:ascii="宋体" w:hAnsi="宋体"/>
          <w:color w:val="auto"/>
          <w:highlight w:val="none"/>
        </w:rPr>
        <w:t>比选申请文件的修改和撤回</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spacing w:after="0" w:afterAutospacing="0"/>
        <w:ind w:left="0" w:right="0" w:firstLine="482" w:firstLineChars="200"/>
        <w:outlineLvl w:val="1"/>
        <w:rPr>
          <w:rFonts w:ascii="宋体" w:hAnsi="宋体"/>
          <w:b/>
          <w:bCs/>
          <w:color w:val="auto"/>
          <w:sz w:val="24"/>
          <w:szCs w:val="24"/>
          <w:highlight w:val="none"/>
        </w:rPr>
      </w:pPr>
      <w:bookmarkStart w:id="651" w:name="_Toc2306"/>
      <w:bookmarkStart w:id="652" w:name="_Toc16856"/>
      <w:bookmarkStart w:id="653" w:name="_Toc24485"/>
      <w:bookmarkStart w:id="654" w:name="_Toc385427818"/>
      <w:bookmarkStart w:id="655" w:name="_Toc12182"/>
      <w:bookmarkStart w:id="656" w:name="_Toc22587"/>
      <w:bookmarkStart w:id="657" w:name="_Toc28694"/>
      <w:bookmarkStart w:id="658" w:name="_Toc375039089"/>
      <w:bookmarkStart w:id="659" w:name="_Toc12983528"/>
      <w:bookmarkStart w:id="660" w:name="_Toc10325"/>
      <w:bookmarkStart w:id="661" w:name="_Toc492478743"/>
      <w:bookmarkStart w:id="662" w:name="_Toc5592"/>
      <w:bookmarkStart w:id="663" w:name="_Toc25433"/>
      <w:bookmarkStart w:id="664" w:name="_Toc29264"/>
      <w:bookmarkStart w:id="665" w:name="_Toc383891193"/>
      <w:bookmarkStart w:id="666" w:name="_Toc9728"/>
      <w:bookmarkStart w:id="667" w:name="_Toc4291"/>
      <w:bookmarkStart w:id="668" w:name="_Toc3006"/>
      <w:bookmarkStart w:id="669" w:name="_Toc390098444"/>
      <w:bookmarkStart w:id="670" w:name="_Toc31978"/>
      <w:bookmarkStart w:id="671" w:name="_Toc11529"/>
      <w:bookmarkStart w:id="672" w:name="_Toc9549"/>
      <w:bookmarkStart w:id="673" w:name="_Toc18076"/>
      <w:bookmarkStart w:id="674" w:name="_Toc25750613"/>
      <w:bookmarkStart w:id="675" w:name="_Toc22895_WPSOffice_Level2"/>
      <w:bookmarkStart w:id="676" w:name="_Toc24806"/>
      <w:bookmarkStart w:id="677" w:name="_Toc4104"/>
      <w:bookmarkStart w:id="678" w:name="_Toc31615"/>
      <w:bookmarkStart w:id="679" w:name="_Toc31874"/>
      <w:bookmarkStart w:id="680" w:name="_Toc12014"/>
      <w:bookmarkStart w:id="681" w:name="_Toc3535"/>
      <w:bookmarkStart w:id="682" w:name="_Toc2241"/>
      <w:r>
        <w:rPr>
          <w:rFonts w:hint="eastAsia" w:ascii="宋体" w:hAnsi="宋体"/>
          <w:b/>
          <w:bCs/>
          <w:color w:val="auto"/>
          <w:sz w:val="24"/>
          <w:szCs w:val="24"/>
          <w:highlight w:val="none"/>
        </w:rPr>
        <w:t>五、</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ascii="宋体" w:hAnsi="宋体"/>
          <w:b/>
          <w:bCs/>
          <w:color w:val="auto"/>
          <w:sz w:val="24"/>
          <w:szCs w:val="24"/>
          <w:highlight w:val="none"/>
        </w:rPr>
        <w:t>比选申请文件递交</w:t>
      </w:r>
      <w:bookmarkEnd w:id="674"/>
      <w:r>
        <w:rPr>
          <w:rFonts w:hint="eastAsia" w:ascii="宋体" w:hAnsi="宋体"/>
          <w:b/>
          <w:bCs/>
          <w:color w:val="auto"/>
          <w:sz w:val="24"/>
          <w:szCs w:val="24"/>
          <w:highlight w:val="none"/>
        </w:rPr>
        <w:t>与评审</w:t>
      </w:r>
      <w:bookmarkEnd w:id="675"/>
      <w:bookmarkEnd w:id="676"/>
      <w:bookmarkEnd w:id="677"/>
      <w:bookmarkEnd w:id="678"/>
      <w:bookmarkEnd w:id="679"/>
      <w:bookmarkEnd w:id="680"/>
      <w:bookmarkEnd w:id="681"/>
      <w:bookmarkEnd w:id="682"/>
    </w:p>
    <w:p>
      <w:pPr>
        <w:spacing w:before="0" w:after="0" w:afterAutospacing="0"/>
        <w:ind w:left="0" w:right="0" w:firstLine="420" w:firstLineChars="200"/>
        <w:rPr>
          <w:rFonts w:ascii="宋体" w:hAnsi="宋体"/>
          <w:color w:val="auto"/>
          <w:highlight w:val="none"/>
        </w:rPr>
      </w:pPr>
      <w:bookmarkStart w:id="683" w:name="_Toc10883"/>
      <w:bookmarkStart w:id="684" w:name="_Toc895"/>
      <w:bookmarkStart w:id="685" w:name="_Toc25116"/>
      <w:bookmarkStart w:id="686" w:name="_Toc12983529"/>
      <w:bookmarkStart w:id="687" w:name="_Toc390098445"/>
      <w:bookmarkStart w:id="688" w:name="_Toc24196"/>
      <w:bookmarkStart w:id="689" w:name="_Toc10292"/>
      <w:bookmarkStart w:id="690" w:name="_Toc4825"/>
      <w:bookmarkStart w:id="691" w:name="_Toc375039090"/>
      <w:bookmarkStart w:id="692" w:name="_Toc383891194"/>
      <w:bookmarkStart w:id="693" w:name="_Toc4674"/>
      <w:bookmarkStart w:id="694" w:name="_Toc385427819"/>
      <w:bookmarkStart w:id="695" w:name="_Toc6974"/>
      <w:bookmarkStart w:id="696" w:name="_Toc9264"/>
      <w:bookmarkStart w:id="697" w:name="_Toc4638"/>
      <w:bookmarkStart w:id="698" w:name="_Toc4365"/>
      <w:bookmarkStart w:id="699" w:name="_Toc5182"/>
      <w:bookmarkStart w:id="700" w:name="_Toc23705"/>
      <w:bookmarkStart w:id="701" w:name="_Toc6377"/>
      <w:bookmarkStart w:id="702" w:name="_Toc9309"/>
      <w:bookmarkStart w:id="703" w:name="_Toc6839"/>
      <w:bookmarkStart w:id="704" w:name="_Toc492478744"/>
      <w:bookmarkStart w:id="705" w:name="_Toc18919"/>
      <w:bookmarkStart w:id="706" w:name="_Toc25750614"/>
      <w:r>
        <w:rPr>
          <w:rFonts w:hint="eastAsia" w:ascii="宋体" w:hAnsi="宋体"/>
          <w:color w:val="auto"/>
          <w:highlight w:val="none"/>
        </w:rPr>
        <w:t xml:space="preserve">21. </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hint="eastAsia" w:ascii="宋体" w:hAnsi="宋体"/>
          <w:color w:val="auto"/>
          <w:highlight w:val="none"/>
        </w:rPr>
        <w:t>比选申请文件递交</w:t>
      </w:r>
      <w:bookmarkEnd w:id="706"/>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707" w:name="_Toc251051540"/>
      <w:r>
        <w:rPr>
          <w:rFonts w:ascii="宋体" w:hAnsi="宋体"/>
          <w:b/>
          <w:color w:val="auto"/>
          <w:highlight w:val="none"/>
        </w:rPr>
        <w:t>否则作无效</w:t>
      </w:r>
      <w:r>
        <w:rPr>
          <w:rFonts w:hint="eastAsia" w:ascii="宋体" w:hAnsi="宋体"/>
          <w:b/>
          <w:color w:val="auto"/>
          <w:highlight w:val="none"/>
        </w:rPr>
        <w:t>比选文件处理</w:t>
      </w:r>
      <w:bookmarkEnd w:id="707"/>
      <w:r>
        <w:rPr>
          <w:rFonts w:hint="eastAsia" w:ascii="宋体" w:hAnsi="宋体"/>
          <w:b/>
          <w:color w:val="auto"/>
          <w:highlight w:val="none"/>
        </w:rPr>
        <w:t>。</w:t>
      </w:r>
    </w:p>
    <w:p>
      <w:pPr>
        <w:spacing w:before="0" w:after="0" w:afterAutospacing="0"/>
        <w:ind w:left="0" w:right="0" w:firstLine="420" w:firstLineChars="200"/>
        <w:rPr>
          <w:rFonts w:ascii="宋体" w:hAnsi="宋体"/>
          <w:color w:val="auto"/>
          <w:highlight w:val="none"/>
        </w:rPr>
      </w:pPr>
      <w:bookmarkStart w:id="708" w:name="_Toc383891195"/>
      <w:bookmarkStart w:id="709" w:name="_Toc390098446"/>
      <w:bookmarkStart w:id="710" w:name="_Toc375039091"/>
      <w:bookmarkStart w:id="711" w:name="_Toc385427820"/>
      <w:bookmarkStart w:id="712" w:name="_Toc9391"/>
      <w:bookmarkStart w:id="713" w:name="_Toc30671"/>
      <w:bookmarkStart w:id="714" w:name="_Toc17785"/>
      <w:bookmarkStart w:id="715" w:name="_Toc11263"/>
      <w:bookmarkStart w:id="716" w:name="_Toc11013"/>
      <w:bookmarkStart w:id="717" w:name="_Toc1920"/>
      <w:bookmarkStart w:id="718" w:name="_Toc5267"/>
      <w:bookmarkStart w:id="719" w:name="_Toc15466"/>
      <w:bookmarkStart w:id="720" w:name="_Toc27636"/>
      <w:bookmarkStart w:id="721" w:name="_Toc25750615"/>
      <w:bookmarkStart w:id="722" w:name="_Toc13202"/>
      <w:bookmarkStart w:id="723" w:name="_Toc492478745"/>
      <w:bookmarkStart w:id="724" w:name="_Toc16601"/>
      <w:bookmarkStart w:id="725" w:name="_Toc23699"/>
      <w:bookmarkStart w:id="726" w:name="_Toc24687"/>
      <w:bookmarkStart w:id="727" w:name="_Toc24630"/>
      <w:bookmarkStart w:id="728" w:name="_Toc25270"/>
      <w:bookmarkStart w:id="729" w:name="_Toc16068"/>
      <w:bookmarkStart w:id="730" w:name="_Toc21819"/>
      <w:bookmarkStart w:id="731" w:name="_Toc12983530"/>
      <w:r>
        <w:rPr>
          <w:rFonts w:hint="eastAsia" w:ascii="宋体" w:hAnsi="宋体"/>
          <w:color w:val="auto"/>
          <w:highlight w:val="none"/>
        </w:rPr>
        <w:t>22.</w:t>
      </w:r>
      <w:r>
        <w:rPr>
          <w:rFonts w:ascii="宋体" w:hAnsi="宋体"/>
          <w:color w:val="auto"/>
          <w:highlight w:val="none"/>
        </w:rPr>
        <w:t>评审</w:t>
      </w:r>
      <w:bookmarkEnd w:id="708"/>
      <w:bookmarkEnd w:id="709"/>
      <w:bookmarkEnd w:id="710"/>
      <w:bookmarkEnd w:id="711"/>
      <w:r>
        <w:rPr>
          <w:rFonts w:ascii="宋体" w:hAnsi="宋体"/>
          <w:color w:val="auto"/>
          <w:highlight w:val="none"/>
        </w:rPr>
        <w:t>程序</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tabs>
          <w:tab w:val="left" w:pos="8364"/>
        </w:tabs>
        <w:spacing w:before="0" w:after="0" w:afterAutospacing="0"/>
        <w:ind w:left="0" w:right="0" w:firstLine="420" w:firstLineChars="200"/>
        <w:rPr>
          <w:rFonts w:ascii="宋体" w:hAnsi="宋体"/>
          <w:b/>
          <w:color w:val="auto"/>
          <w:highlight w:val="none"/>
        </w:rPr>
      </w:pPr>
      <w:bookmarkStart w:id="732" w:name="_Toc375039092"/>
      <w:r>
        <w:rPr>
          <w:rFonts w:hint="eastAsia" w:ascii="宋体" w:hAnsi="宋体"/>
          <w:color w:val="auto"/>
          <w:highlight w:val="none"/>
        </w:rPr>
        <w:t>详见第六章《评分办法》。</w:t>
      </w:r>
      <w:bookmarkEnd w:id="732"/>
    </w:p>
    <w:p>
      <w:pPr>
        <w:numPr>
          <w:ilvl w:val="0"/>
          <w:numId w:val="7"/>
        </w:numPr>
        <w:spacing w:before="0" w:after="0" w:afterAutospacing="0"/>
        <w:ind w:left="0" w:right="0" w:firstLine="420" w:firstLineChars="200"/>
        <w:rPr>
          <w:rFonts w:ascii="宋体" w:hAnsi="宋体"/>
          <w:color w:val="auto"/>
          <w:highlight w:val="none"/>
        </w:rPr>
      </w:pPr>
      <w:bookmarkStart w:id="733" w:name="_Toc25047"/>
      <w:bookmarkStart w:id="734" w:name="_Toc11716"/>
      <w:bookmarkStart w:id="735" w:name="_Toc24755"/>
      <w:bookmarkStart w:id="736" w:name="_Toc375039093"/>
      <w:bookmarkStart w:id="737" w:name="_Toc25750616"/>
      <w:bookmarkStart w:id="738" w:name="_Toc14719"/>
      <w:bookmarkStart w:id="739" w:name="_Toc833"/>
      <w:bookmarkStart w:id="740" w:name="_Toc27570"/>
      <w:bookmarkStart w:id="741" w:name="_Toc492478746"/>
      <w:bookmarkStart w:id="742" w:name="_Toc13421"/>
      <w:bookmarkStart w:id="743" w:name="_Toc18063"/>
      <w:bookmarkStart w:id="744" w:name="_Toc1456"/>
      <w:bookmarkStart w:id="745" w:name="_Toc26137"/>
      <w:bookmarkStart w:id="746" w:name="_Toc12983531"/>
      <w:bookmarkStart w:id="747" w:name="_Toc15"/>
      <w:bookmarkStart w:id="748" w:name="_Toc18803"/>
      <w:bookmarkStart w:id="749" w:name="_Toc29929"/>
      <w:bookmarkStart w:id="750" w:name="_Toc16072"/>
      <w:bookmarkStart w:id="751" w:name="_Toc385427821"/>
      <w:bookmarkStart w:id="752" w:name="_Toc383891196"/>
      <w:bookmarkStart w:id="753" w:name="_Toc390098447"/>
      <w:bookmarkStart w:id="754" w:name="_Toc8295"/>
      <w:bookmarkStart w:id="755" w:name="_Toc17980"/>
      <w:bookmarkStart w:id="756" w:name="_Toc5386"/>
      <w:r>
        <w:rPr>
          <w:rFonts w:ascii="宋体" w:hAnsi="宋体"/>
          <w:color w:val="auto"/>
          <w:highlight w:val="none"/>
        </w:rPr>
        <w:t>与比选人和评审委员会的接触</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numPr>
          <w:ilvl w:val="0"/>
          <w:numId w:val="7"/>
        </w:numPr>
        <w:spacing w:before="0" w:after="0" w:afterAutospacing="0"/>
        <w:ind w:left="0" w:right="0" w:firstLine="420" w:firstLineChars="200"/>
        <w:rPr>
          <w:rFonts w:ascii="宋体" w:hAnsi="宋体"/>
          <w:color w:val="auto"/>
          <w:highlight w:val="none"/>
        </w:rPr>
      </w:pPr>
      <w:bookmarkStart w:id="757" w:name="_Toc492478747"/>
      <w:bookmarkStart w:id="758" w:name="_Toc383891197"/>
      <w:bookmarkStart w:id="759" w:name="_Toc25734"/>
      <w:bookmarkStart w:id="760" w:name="_Toc25750617"/>
      <w:bookmarkStart w:id="761" w:name="_Toc9602"/>
      <w:bookmarkStart w:id="762" w:name="_Toc18515"/>
      <w:bookmarkStart w:id="763" w:name="_Toc20523"/>
      <w:bookmarkStart w:id="764" w:name="_Toc12555"/>
      <w:bookmarkStart w:id="765" w:name="_Toc30207"/>
      <w:bookmarkStart w:id="766" w:name="_Toc29504"/>
      <w:bookmarkStart w:id="767" w:name="_Toc12671"/>
      <w:bookmarkStart w:id="768" w:name="_Toc21167"/>
      <w:bookmarkStart w:id="769" w:name="_Toc385427822"/>
      <w:bookmarkStart w:id="770" w:name="_Toc12960"/>
      <w:bookmarkStart w:id="771" w:name="_Toc390098448"/>
      <w:bookmarkStart w:id="772" w:name="_Toc654"/>
      <w:bookmarkStart w:id="773" w:name="_Toc9941"/>
      <w:bookmarkStart w:id="774" w:name="_Toc12909"/>
      <w:bookmarkStart w:id="775" w:name="_Toc7858"/>
      <w:bookmarkStart w:id="776" w:name="_Toc12983532"/>
      <w:bookmarkStart w:id="777" w:name="_Toc19810"/>
      <w:bookmarkStart w:id="778" w:name="_Toc16963"/>
      <w:bookmarkStart w:id="779" w:name="_Toc15988"/>
      <w:bookmarkStart w:id="780" w:name="_Toc378514937"/>
      <w:bookmarkStart w:id="781" w:name="_Toc375039094"/>
      <w:bookmarkStart w:id="782" w:name="_Toc294723156"/>
      <w:r>
        <w:rPr>
          <w:rFonts w:hint="eastAsia" w:ascii="宋体" w:hAnsi="宋体"/>
          <w:color w:val="auto"/>
          <w:highlight w:val="none"/>
        </w:rPr>
        <w:t>评审过程保密</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numPr>
          <w:ilvl w:val="0"/>
          <w:numId w:val="7"/>
        </w:numPr>
        <w:spacing w:before="0" w:after="0" w:afterAutospacing="0"/>
        <w:ind w:left="0" w:right="0" w:firstLine="420" w:firstLineChars="200"/>
        <w:rPr>
          <w:rFonts w:ascii="宋体" w:hAnsi="宋体"/>
          <w:color w:val="auto"/>
          <w:highlight w:val="none"/>
        </w:rPr>
      </w:pPr>
      <w:bookmarkStart w:id="783" w:name="_Toc385427823"/>
      <w:bookmarkStart w:id="784" w:name="_Toc28843"/>
      <w:bookmarkStart w:id="785" w:name="_Toc13743"/>
      <w:bookmarkStart w:id="786" w:name="_Toc14799"/>
      <w:bookmarkStart w:id="787" w:name="_Toc27670"/>
      <w:bookmarkStart w:id="788" w:name="_Toc14860"/>
      <w:bookmarkStart w:id="789" w:name="_Toc28701"/>
      <w:bookmarkStart w:id="790" w:name="_Toc28898"/>
      <w:bookmarkStart w:id="791" w:name="_Toc390098449"/>
      <w:bookmarkStart w:id="792" w:name="_Toc6624"/>
      <w:bookmarkStart w:id="793" w:name="_Toc1983"/>
      <w:bookmarkStart w:id="794" w:name="_Toc5983"/>
      <w:bookmarkStart w:id="795" w:name="_Toc22510"/>
      <w:bookmarkStart w:id="796" w:name="_Toc8827"/>
      <w:bookmarkStart w:id="797" w:name="_Toc25750618"/>
      <w:bookmarkStart w:id="798" w:name="_Toc12983533"/>
      <w:bookmarkStart w:id="799" w:name="_Toc383891198"/>
      <w:bookmarkStart w:id="800" w:name="_Toc492478748"/>
      <w:bookmarkStart w:id="801" w:name="_Toc23267"/>
      <w:bookmarkStart w:id="802" w:name="_Toc30429"/>
      <w:bookmarkStart w:id="803" w:name="_Toc24327"/>
      <w:bookmarkStart w:id="804" w:name="_Toc13768"/>
      <w:bookmarkStart w:id="805" w:name="_Toc11077"/>
      <w:r>
        <w:rPr>
          <w:rFonts w:hint="eastAsia" w:ascii="宋体" w:hAnsi="宋体"/>
          <w:color w:val="auto"/>
          <w:highlight w:val="none"/>
        </w:rPr>
        <w:t>比选申请文件的澄清</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numPr>
          <w:ilvl w:val="0"/>
          <w:numId w:val="7"/>
        </w:numPr>
        <w:spacing w:before="0" w:after="0" w:afterAutospacing="0"/>
        <w:ind w:left="0" w:right="0" w:firstLine="420" w:firstLineChars="200"/>
        <w:rPr>
          <w:rFonts w:ascii="宋体" w:hAnsi="宋体"/>
          <w:color w:val="auto"/>
          <w:highlight w:val="none"/>
        </w:rPr>
      </w:pPr>
      <w:bookmarkStart w:id="806" w:name="_Toc28992"/>
      <w:bookmarkStart w:id="807" w:name="_Toc492478749"/>
      <w:bookmarkStart w:id="808" w:name="_Toc385427824"/>
      <w:bookmarkStart w:id="809" w:name="_Toc18093"/>
      <w:bookmarkStart w:id="810" w:name="_Toc25750619"/>
      <w:bookmarkStart w:id="811" w:name="_Toc5607"/>
      <w:bookmarkStart w:id="812" w:name="_Toc5437"/>
      <w:bookmarkStart w:id="813" w:name="_Toc26070"/>
      <w:bookmarkStart w:id="814" w:name="_Toc12795"/>
      <w:bookmarkStart w:id="815" w:name="_Toc4397"/>
      <w:bookmarkStart w:id="816" w:name="_Toc383891199"/>
      <w:bookmarkStart w:id="817" w:name="_Toc29146"/>
      <w:bookmarkStart w:id="818" w:name="_Toc5926"/>
      <w:bookmarkStart w:id="819" w:name="_Toc1915"/>
      <w:bookmarkStart w:id="820" w:name="_Toc9040"/>
      <w:bookmarkStart w:id="821" w:name="_Toc6908"/>
      <w:bookmarkStart w:id="822" w:name="_Toc22681"/>
      <w:bookmarkStart w:id="823" w:name="_Toc30017"/>
      <w:bookmarkStart w:id="824" w:name="_Toc12983534"/>
      <w:bookmarkStart w:id="825" w:name="_Toc16884"/>
      <w:bookmarkStart w:id="826" w:name="_Toc26318"/>
      <w:bookmarkStart w:id="827" w:name="_Toc390098450"/>
      <w:bookmarkStart w:id="828" w:name="_Toc20519"/>
      <w:r>
        <w:rPr>
          <w:rFonts w:hint="eastAsia" w:ascii="宋体" w:hAnsi="宋体"/>
          <w:color w:val="auto"/>
          <w:highlight w:val="none"/>
        </w:rPr>
        <w:t>比选申请文件响应性的确定</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numPr>
          <w:ilvl w:val="0"/>
          <w:numId w:val="7"/>
        </w:numPr>
        <w:spacing w:before="0" w:after="0" w:afterAutospacing="0"/>
        <w:ind w:left="0" w:right="0" w:firstLine="420" w:firstLineChars="200"/>
        <w:rPr>
          <w:rFonts w:ascii="宋体" w:hAnsi="宋体"/>
          <w:color w:val="auto"/>
          <w:highlight w:val="none"/>
        </w:rPr>
      </w:pPr>
      <w:bookmarkStart w:id="829" w:name="_Toc29398"/>
      <w:bookmarkStart w:id="830" w:name="_Toc26239"/>
      <w:bookmarkStart w:id="831" w:name="_Toc20810"/>
      <w:bookmarkStart w:id="832" w:name="_Toc12167"/>
      <w:bookmarkStart w:id="833" w:name="_Toc1027"/>
      <w:bookmarkStart w:id="834" w:name="_Toc23808"/>
      <w:bookmarkStart w:id="835" w:name="_Toc23999"/>
      <w:bookmarkStart w:id="836" w:name="_Toc383891200"/>
      <w:bookmarkStart w:id="837" w:name="_Toc21468"/>
      <w:bookmarkStart w:id="838" w:name="_Toc19477"/>
      <w:bookmarkStart w:id="839" w:name="_Toc17236"/>
      <w:bookmarkStart w:id="840" w:name="_Toc23956"/>
      <w:bookmarkStart w:id="841" w:name="_Toc385427825"/>
      <w:bookmarkStart w:id="842" w:name="_Toc20874"/>
      <w:bookmarkStart w:id="843" w:name="_Toc22063"/>
      <w:bookmarkStart w:id="844" w:name="_Toc20912"/>
      <w:bookmarkStart w:id="845" w:name="_Toc390098451"/>
      <w:bookmarkStart w:id="846" w:name="_Toc12983535"/>
      <w:bookmarkStart w:id="847" w:name="_Toc15051"/>
      <w:bookmarkStart w:id="848" w:name="_Toc31646"/>
      <w:bookmarkStart w:id="849" w:name="_Toc22146"/>
      <w:bookmarkStart w:id="850" w:name="_Toc25750620"/>
      <w:bookmarkStart w:id="851" w:name="_Toc492478750"/>
      <w:r>
        <w:rPr>
          <w:rFonts w:hint="eastAsia" w:ascii="宋体" w:hAnsi="宋体"/>
          <w:color w:val="auto"/>
          <w:highlight w:val="none"/>
        </w:rPr>
        <w:t>比选申请文件计算错误的修正</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若修正后的总价与投标报价不相等，则评标总价和中标价均以修正后的总价为准，如比选申请人不接受按以上规则确定的评标总价和中标价，则其投标将被拒绝。</w:t>
      </w:r>
    </w:p>
    <w:p>
      <w:pPr>
        <w:numPr>
          <w:ilvl w:val="0"/>
          <w:numId w:val="7"/>
        </w:numPr>
        <w:spacing w:before="0" w:after="0" w:afterAutospacing="0"/>
        <w:ind w:left="0" w:right="0" w:firstLine="420" w:firstLineChars="200"/>
        <w:rPr>
          <w:rFonts w:ascii="宋体" w:hAnsi="宋体"/>
          <w:color w:val="auto"/>
          <w:highlight w:val="none"/>
        </w:rPr>
      </w:pPr>
      <w:bookmarkStart w:id="852" w:name="_Toc8959"/>
      <w:bookmarkStart w:id="853" w:name="_Toc492478751"/>
      <w:bookmarkStart w:id="854" w:name="_Toc390098452"/>
      <w:bookmarkStart w:id="855" w:name="_Toc20854"/>
      <w:bookmarkStart w:id="856" w:name="_Toc20444"/>
      <w:bookmarkStart w:id="857" w:name="_Toc4958"/>
      <w:bookmarkStart w:id="858" w:name="_Toc5319"/>
      <w:bookmarkStart w:id="859" w:name="_Toc1004"/>
      <w:bookmarkStart w:id="860" w:name="_Toc20881"/>
      <w:bookmarkStart w:id="861" w:name="_Toc383891201"/>
      <w:bookmarkStart w:id="862" w:name="_Toc19936"/>
      <w:bookmarkStart w:id="863" w:name="_Toc3258"/>
      <w:bookmarkStart w:id="864" w:name="_Toc12983536"/>
      <w:bookmarkStart w:id="865" w:name="_Toc22994"/>
      <w:bookmarkStart w:id="866" w:name="_Toc23907"/>
      <w:bookmarkStart w:id="867" w:name="_Toc385427826"/>
      <w:bookmarkStart w:id="868" w:name="_Toc9737"/>
      <w:bookmarkStart w:id="869" w:name="_Toc25750621"/>
      <w:bookmarkStart w:id="870" w:name="_Toc9812"/>
      <w:bookmarkStart w:id="871" w:name="_Toc29276"/>
      <w:bookmarkStart w:id="872" w:name="_Toc24176"/>
      <w:bookmarkStart w:id="873" w:name="_Toc16418"/>
      <w:bookmarkStart w:id="874" w:name="_Toc27112"/>
      <w:r>
        <w:rPr>
          <w:rFonts w:hint="eastAsia" w:ascii="宋体" w:hAnsi="宋体"/>
          <w:color w:val="auto"/>
          <w:highlight w:val="none"/>
        </w:rPr>
        <w:t>比选申请文件的评价与比较</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80"/>
    </w:p>
    <w:p>
      <w:pPr>
        <w:numPr>
          <w:ilvl w:val="0"/>
          <w:numId w:val="7"/>
        </w:numPr>
        <w:spacing w:before="0" w:after="0" w:afterAutospacing="0"/>
        <w:ind w:left="0" w:right="0" w:firstLine="420" w:firstLineChars="200"/>
        <w:rPr>
          <w:rFonts w:ascii="宋体" w:hAnsi="宋体"/>
          <w:color w:val="auto"/>
          <w:highlight w:val="none"/>
        </w:rPr>
      </w:pPr>
      <w:bookmarkStart w:id="875" w:name="_Toc15146"/>
      <w:bookmarkStart w:id="876" w:name="_Toc19322"/>
      <w:bookmarkStart w:id="877" w:name="_Toc22500"/>
      <w:bookmarkStart w:id="878" w:name="_Toc1450"/>
      <w:bookmarkStart w:id="879" w:name="_Toc383891202"/>
      <w:bookmarkStart w:id="880" w:name="_Toc8074"/>
      <w:bookmarkStart w:id="881" w:name="_Toc11657"/>
      <w:bookmarkStart w:id="882" w:name="_Toc507"/>
      <w:bookmarkStart w:id="883" w:name="_Toc17460"/>
      <w:bookmarkStart w:id="884" w:name="_Toc25750622"/>
      <w:bookmarkStart w:id="885" w:name="_Toc11010"/>
      <w:bookmarkStart w:id="886" w:name="_Toc3358"/>
      <w:bookmarkStart w:id="887" w:name="_Toc492478752"/>
      <w:bookmarkStart w:id="888" w:name="_Toc12983537"/>
      <w:bookmarkStart w:id="889" w:name="_Toc390098453"/>
      <w:bookmarkStart w:id="890" w:name="_Toc31774"/>
      <w:bookmarkStart w:id="891" w:name="_Toc8845"/>
      <w:bookmarkStart w:id="892" w:name="_Toc28489"/>
      <w:bookmarkStart w:id="893" w:name="_Toc385427827"/>
      <w:bookmarkStart w:id="894" w:name="_Toc14300"/>
      <w:bookmarkStart w:id="895" w:name="_Toc27289"/>
      <w:bookmarkStart w:id="896" w:name="_Toc32344"/>
      <w:bookmarkStart w:id="897" w:name="_Toc27803"/>
      <w:r>
        <w:rPr>
          <w:rFonts w:hint="eastAsia" w:ascii="宋体" w:hAnsi="宋体"/>
          <w:color w:val="auto"/>
          <w:highlight w:val="none"/>
        </w:rPr>
        <w:t>定标</w:t>
      </w:r>
      <w:bookmarkEnd w:id="781"/>
      <w:bookmarkEnd w:id="782"/>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w:t>
      </w:r>
      <w:r>
        <w:rPr>
          <w:rFonts w:ascii="宋体" w:hAnsi="宋体" w:cs="Arial"/>
          <w:color w:val="auto"/>
          <w:highlight w:val="none"/>
        </w:rPr>
        <w:t>汇总</w:t>
      </w:r>
      <w:r>
        <w:rPr>
          <w:rFonts w:hint="eastAsia" w:ascii="宋体" w:hAnsi="宋体" w:cs="Arial"/>
          <w:color w:val="auto"/>
          <w:highlight w:val="none"/>
        </w:rPr>
        <w:t>综合评分</w:t>
      </w:r>
      <w:r>
        <w:rPr>
          <w:rFonts w:ascii="宋体" w:hAnsi="宋体" w:cs="Arial"/>
          <w:color w:val="auto"/>
          <w:highlight w:val="none"/>
        </w:rPr>
        <w:t>最高的比选申请人推荐为</w:t>
      </w:r>
      <w:r>
        <w:rPr>
          <w:rFonts w:hint="eastAsia" w:ascii="宋体" w:hAnsi="宋体" w:cs="Arial"/>
          <w:color w:val="auto"/>
          <w:highlight w:val="none"/>
        </w:rPr>
        <w:t>中选</w:t>
      </w:r>
      <w:r>
        <w:rPr>
          <w:rFonts w:ascii="宋体" w:hAnsi="宋体" w:cs="Arial"/>
          <w:color w:val="auto"/>
          <w:highlight w:val="none"/>
        </w:rPr>
        <w:t>候选人</w:t>
      </w:r>
      <w:r>
        <w:rPr>
          <w:rFonts w:hint="eastAsia" w:ascii="宋体" w:hAnsi="宋体" w:cs="Arial"/>
          <w:color w:val="auto"/>
          <w:highlight w:val="none"/>
        </w:rPr>
        <w:t>。若比选申请人的综合得分相等时，技术评分高者优先；技术评分也相等的，比选报价评分高者优先，比选报价评分也相等的，以评审委</w:t>
      </w:r>
      <w:r>
        <w:rPr>
          <w:rFonts w:hint="eastAsia" w:ascii="宋体" w:hAnsi="宋体"/>
          <w:color w:val="auto"/>
          <w:highlight w:val="none"/>
        </w:rPr>
        <w:t>员会记名投票的方式按少数服从多数的原则决定其排名顺序。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评审委员会评审结束后，比选人经审查发现评审过程中有明显错误，可以组织原评审委员会进行复评。</w:t>
      </w:r>
    </w:p>
    <w:p>
      <w:pPr>
        <w:numPr>
          <w:ilvl w:val="0"/>
          <w:numId w:val="7"/>
        </w:numPr>
        <w:spacing w:before="0" w:after="0" w:afterAutospacing="0"/>
        <w:ind w:left="0" w:right="0" w:firstLine="420" w:firstLineChars="200"/>
        <w:rPr>
          <w:rFonts w:ascii="宋体" w:hAnsi="宋体"/>
          <w:color w:val="auto"/>
          <w:highlight w:val="none"/>
        </w:rPr>
      </w:pPr>
      <w:bookmarkStart w:id="898" w:name="_Toc16732"/>
      <w:bookmarkStart w:id="899" w:name="_Toc21142"/>
      <w:bookmarkStart w:id="900" w:name="_Toc12983538"/>
      <w:bookmarkStart w:id="901" w:name="_Toc390098454"/>
      <w:bookmarkStart w:id="902" w:name="_Toc5172"/>
      <w:bookmarkStart w:id="903" w:name="_Toc3761"/>
      <w:bookmarkStart w:id="904" w:name="_Toc5257"/>
      <w:bookmarkStart w:id="905" w:name="_Toc27664"/>
      <w:bookmarkStart w:id="906" w:name="_Toc383891203"/>
      <w:bookmarkStart w:id="907" w:name="_Toc37"/>
      <w:bookmarkStart w:id="908" w:name="_Toc18192"/>
      <w:bookmarkStart w:id="909" w:name="_Toc492478753"/>
      <w:bookmarkStart w:id="910" w:name="_Toc13986"/>
      <w:bookmarkStart w:id="911" w:name="_Toc19634"/>
      <w:bookmarkStart w:id="912" w:name="_Toc17823"/>
      <w:bookmarkStart w:id="913" w:name="_Toc26470"/>
      <w:bookmarkStart w:id="914" w:name="_Toc1215"/>
      <w:bookmarkStart w:id="915" w:name="_Toc375039095"/>
      <w:bookmarkStart w:id="916" w:name="_Toc14042"/>
      <w:bookmarkStart w:id="917" w:name="_Toc15932"/>
      <w:bookmarkStart w:id="918" w:name="_Toc21947"/>
      <w:bookmarkStart w:id="919" w:name="_Toc385427828"/>
      <w:bookmarkStart w:id="920" w:name="_Toc22182"/>
      <w:bookmarkStart w:id="921" w:name="_Toc25750623"/>
      <w:r>
        <w:rPr>
          <w:rFonts w:hint="eastAsia" w:ascii="宋体" w:hAnsi="宋体"/>
          <w:color w:val="auto"/>
          <w:highlight w:val="none"/>
        </w:rPr>
        <w:t>重新</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Fonts w:hint="eastAsia" w:ascii="宋体" w:hAnsi="宋体"/>
          <w:color w:val="auto"/>
          <w:highlight w:val="none"/>
        </w:rPr>
        <w:t>比选</w:t>
      </w:r>
      <w:bookmarkEnd w:id="921"/>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30.5</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30.6比选文件中规定的其他情况。</w:t>
      </w:r>
    </w:p>
    <w:p>
      <w:pPr>
        <w:numPr>
          <w:ilvl w:val="0"/>
          <w:numId w:val="7"/>
        </w:numPr>
        <w:spacing w:before="0" w:after="0" w:afterAutospacing="0"/>
        <w:ind w:left="0" w:right="0" w:firstLine="420" w:firstLineChars="200"/>
        <w:rPr>
          <w:rFonts w:ascii="宋体" w:hAnsi="宋体"/>
          <w:color w:val="auto"/>
          <w:highlight w:val="none"/>
        </w:rPr>
      </w:pPr>
      <w:bookmarkStart w:id="922" w:name="_Toc375039096"/>
      <w:bookmarkStart w:id="923" w:name="_Toc385427829"/>
      <w:bookmarkStart w:id="924" w:name="_Toc31757"/>
      <w:bookmarkStart w:id="925" w:name="_Toc390098455"/>
      <w:bookmarkStart w:id="926" w:name="_Toc492478754"/>
      <w:bookmarkStart w:id="927" w:name="_Toc383891204"/>
      <w:bookmarkStart w:id="928" w:name="_Toc25257"/>
      <w:bookmarkStart w:id="929" w:name="_Toc26919"/>
      <w:bookmarkStart w:id="930" w:name="_Toc3769"/>
      <w:bookmarkStart w:id="931" w:name="_Toc17042"/>
      <w:bookmarkStart w:id="932" w:name="_Toc14235"/>
      <w:bookmarkStart w:id="933" w:name="_Toc14454"/>
      <w:bookmarkStart w:id="934" w:name="_Toc5959"/>
      <w:bookmarkStart w:id="935" w:name="_Toc11126"/>
      <w:bookmarkStart w:id="936" w:name="_Toc12031"/>
      <w:bookmarkStart w:id="937" w:name="_Toc1116"/>
      <w:bookmarkStart w:id="938" w:name="_Toc2422"/>
      <w:bookmarkStart w:id="939" w:name="_Toc1945"/>
      <w:bookmarkStart w:id="940" w:name="_Toc10962"/>
      <w:bookmarkStart w:id="941" w:name="_Toc12983539"/>
      <w:bookmarkStart w:id="942" w:name="_Toc20979"/>
      <w:bookmarkStart w:id="943" w:name="_Toc26954"/>
      <w:bookmarkStart w:id="944" w:name="_Toc6886"/>
      <w:bookmarkStart w:id="945" w:name="_Toc25750624"/>
      <w:r>
        <w:rPr>
          <w:rFonts w:hint="eastAsia" w:ascii="宋体" w:hAnsi="宋体"/>
          <w:color w:val="auto"/>
          <w:highlight w:val="none"/>
        </w:rPr>
        <w:t>不再</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Fonts w:hint="eastAsia" w:ascii="宋体" w:hAnsi="宋体"/>
          <w:color w:val="auto"/>
          <w:highlight w:val="none"/>
        </w:rPr>
        <w:t>比选</w:t>
      </w:r>
      <w:bookmarkEnd w:id="945"/>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spacing w:after="0" w:afterAutospacing="0"/>
        <w:ind w:left="0" w:right="0" w:firstLine="482" w:firstLineChars="200"/>
        <w:outlineLvl w:val="1"/>
        <w:rPr>
          <w:rFonts w:ascii="宋体" w:hAnsi="宋体"/>
          <w:b/>
          <w:bCs/>
          <w:color w:val="auto"/>
          <w:sz w:val="24"/>
          <w:szCs w:val="24"/>
          <w:highlight w:val="none"/>
        </w:rPr>
      </w:pPr>
      <w:bookmarkStart w:id="946" w:name="_Toc32014_WPSOffice_Level2"/>
      <w:bookmarkStart w:id="947" w:name="_Toc30278"/>
      <w:bookmarkStart w:id="948" w:name="_Toc16024"/>
      <w:bookmarkStart w:id="949" w:name="_Toc22975"/>
      <w:bookmarkStart w:id="950" w:name="_Toc12421"/>
      <w:bookmarkStart w:id="951" w:name="_Toc383891205"/>
      <w:bookmarkStart w:id="952" w:name="_Toc18800"/>
      <w:bookmarkStart w:id="953" w:name="_Toc9082"/>
      <w:bookmarkStart w:id="954" w:name="_Toc25431"/>
      <w:bookmarkStart w:id="955" w:name="_Toc25750625"/>
      <w:bookmarkStart w:id="956" w:name="_Toc7938"/>
      <w:bookmarkStart w:id="957" w:name="_Toc24580"/>
      <w:bookmarkStart w:id="958" w:name="_Toc27839"/>
      <w:bookmarkStart w:id="959" w:name="_Toc4743"/>
      <w:bookmarkStart w:id="960" w:name="_Toc24681"/>
      <w:bookmarkStart w:id="961" w:name="_Toc21516"/>
      <w:bookmarkStart w:id="962" w:name="_Toc6355"/>
      <w:bookmarkStart w:id="963" w:name="_Toc26653"/>
      <w:bookmarkStart w:id="964" w:name="_Toc492478755"/>
      <w:bookmarkStart w:id="965" w:name="_Toc8834"/>
      <w:bookmarkStart w:id="966" w:name="_Toc12983540"/>
      <w:bookmarkStart w:id="967" w:name="_Toc9113"/>
      <w:bookmarkStart w:id="968" w:name="_Toc390098456"/>
      <w:bookmarkStart w:id="969" w:name="_Toc375039097"/>
      <w:bookmarkStart w:id="970" w:name="_Toc2326"/>
      <w:bookmarkStart w:id="971" w:name="_Toc385427830"/>
      <w:bookmarkStart w:id="972" w:name="_Toc8230"/>
      <w:bookmarkStart w:id="973" w:name="_Toc28036"/>
      <w:bookmarkStart w:id="974" w:name="_Toc31958"/>
      <w:bookmarkStart w:id="975" w:name="_Toc6000"/>
      <w:bookmarkStart w:id="976" w:name="_Toc19952"/>
      <w:bookmarkStart w:id="977" w:name="_Toc10446"/>
      <w:r>
        <w:rPr>
          <w:rFonts w:hint="eastAsia" w:ascii="宋体" w:hAnsi="宋体"/>
          <w:b/>
          <w:bCs/>
          <w:color w:val="auto"/>
          <w:sz w:val="24"/>
          <w:szCs w:val="24"/>
          <w:highlight w:val="none"/>
        </w:rPr>
        <w:t>六、</w:t>
      </w:r>
      <w:r>
        <w:rPr>
          <w:rFonts w:ascii="宋体" w:hAnsi="宋体"/>
          <w:b/>
          <w:bCs/>
          <w:color w:val="auto"/>
          <w:sz w:val="24"/>
          <w:szCs w:val="24"/>
          <w:highlight w:val="none"/>
        </w:rPr>
        <w:t>授予合同</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spacing w:before="0" w:after="0" w:afterAutospacing="0"/>
        <w:ind w:left="0" w:right="0" w:firstLine="420" w:firstLineChars="200"/>
        <w:rPr>
          <w:rFonts w:ascii="宋体" w:hAnsi="宋体"/>
          <w:color w:val="auto"/>
          <w:highlight w:val="none"/>
        </w:rPr>
      </w:pPr>
      <w:bookmarkStart w:id="978" w:name="_Toc26143"/>
      <w:bookmarkStart w:id="979" w:name="_Toc20642"/>
      <w:bookmarkStart w:id="980" w:name="_Toc8938"/>
      <w:bookmarkStart w:id="981" w:name="_Toc18878"/>
      <w:bookmarkStart w:id="982" w:name="_Toc383891206"/>
      <w:bookmarkStart w:id="983" w:name="_Toc30026"/>
      <w:bookmarkStart w:id="984" w:name="_Toc22323"/>
      <w:bookmarkStart w:id="985" w:name="_Toc385427831"/>
      <w:bookmarkStart w:id="986" w:name="_Toc10522"/>
      <w:bookmarkStart w:id="987" w:name="_Toc26525"/>
      <w:bookmarkStart w:id="988" w:name="_Toc21975"/>
      <w:bookmarkStart w:id="989" w:name="_Toc12983541"/>
      <w:bookmarkStart w:id="990" w:name="_Toc492478756"/>
      <w:bookmarkStart w:id="991" w:name="_Toc31011"/>
      <w:bookmarkStart w:id="992" w:name="_Toc11795"/>
      <w:bookmarkStart w:id="993" w:name="_Toc13914"/>
      <w:bookmarkStart w:id="994" w:name="_Toc375039098"/>
      <w:bookmarkStart w:id="995" w:name="_Toc390098457"/>
      <w:bookmarkStart w:id="996" w:name="_Toc28661"/>
      <w:bookmarkStart w:id="997" w:name="_Toc22688"/>
      <w:bookmarkStart w:id="998" w:name="_Toc21728"/>
      <w:bookmarkStart w:id="999" w:name="_Toc30743"/>
      <w:bookmarkStart w:id="1000" w:name="_Toc25750626"/>
      <w:bookmarkStart w:id="1001" w:name="_Toc1269"/>
      <w:r>
        <w:rPr>
          <w:rFonts w:hint="eastAsia" w:ascii="宋体" w:hAnsi="宋体"/>
          <w:color w:val="auto"/>
          <w:highlight w:val="none"/>
        </w:rPr>
        <w:t>32. 合同授予标准</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spacing w:before="0" w:after="0" w:afterAutospacing="0"/>
        <w:ind w:left="0" w:right="0" w:firstLine="420" w:firstLineChars="200"/>
        <w:rPr>
          <w:rFonts w:ascii="宋体" w:hAnsi="宋体"/>
          <w:color w:val="auto"/>
          <w:highlight w:val="none"/>
        </w:rPr>
      </w:pPr>
      <w:bookmarkStart w:id="1002" w:name="_Toc31336"/>
      <w:bookmarkStart w:id="1003" w:name="_Toc19128"/>
      <w:bookmarkStart w:id="1004" w:name="_Toc23649"/>
      <w:bookmarkStart w:id="1005" w:name="_Toc375039099"/>
      <w:bookmarkStart w:id="1006" w:name="_Toc16111"/>
      <w:bookmarkStart w:id="1007" w:name="_Toc14301"/>
      <w:bookmarkStart w:id="1008" w:name="_Toc24183"/>
      <w:bookmarkStart w:id="1009" w:name="_Toc17818"/>
      <w:bookmarkStart w:id="1010" w:name="_Toc14832"/>
      <w:bookmarkStart w:id="1011" w:name="_Toc492478757"/>
      <w:bookmarkStart w:id="1012" w:name="_Toc385427832"/>
      <w:bookmarkStart w:id="1013" w:name="_Toc11913"/>
      <w:bookmarkStart w:id="1014" w:name="_Toc18977"/>
      <w:bookmarkStart w:id="1015" w:name="_Toc25750627"/>
      <w:bookmarkStart w:id="1016" w:name="_Toc19774"/>
      <w:bookmarkStart w:id="1017" w:name="_Toc14325"/>
      <w:bookmarkStart w:id="1018" w:name="_Toc25797"/>
      <w:bookmarkStart w:id="1019" w:name="_Toc383891207"/>
      <w:bookmarkStart w:id="1020" w:name="_Toc377"/>
      <w:bookmarkStart w:id="1021" w:name="_Toc1873"/>
      <w:bookmarkStart w:id="1022" w:name="_Toc390098458"/>
      <w:bookmarkStart w:id="1023" w:name="_Toc17153"/>
      <w:bookmarkStart w:id="1024" w:name="_Toc12983542"/>
      <w:bookmarkStart w:id="1025" w:name="_Toc13417"/>
      <w:r>
        <w:rPr>
          <w:rFonts w:hint="eastAsia" w:ascii="宋体" w:hAnsi="宋体"/>
          <w:color w:val="auto"/>
          <w:highlight w:val="none"/>
        </w:rPr>
        <w:t>33. 接受和否决任何或所有比选申请的权力</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numPr>
          <w:ilvl w:val="0"/>
          <w:numId w:val="8"/>
        </w:numPr>
        <w:spacing w:before="0" w:after="0" w:afterAutospacing="0"/>
        <w:ind w:left="0" w:right="0" w:firstLine="420" w:firstLineChars="200"/>
        <w:rPr>
          <w:rFonts w:ascii="宋体" w:hAnsi="宋体"/>
          <w:color w:val="auto"/>
          <w:highlight w:val="none"/>
        </w:rPr>
      </w:pPr>
      <w:bookmarkStart w:id="1026" w:name="_Toc21798"/>
      <w:bookmarkStart w:id="1027" w:name="_Toc375039100"/>
      <w:bookmarkStart w:id="1028" w:name="_Toc10348"/>
      <w:bookmarkStart w:id="1029" w:name="_Toc492478758"/>
      <w:bookmarkStart w:id="1030" w:name="_Toc383891208"/>
      <w:bookmarkStart w:id="1031" w:name="_Toc13605"/>
      <w:bookmarkStart w:id="1032" w:name="_Toc921"/>
      <w:bookmarkStart w:id="1033" w:name="_Toc2061"/>
      <w:bookmarkStart w:id="1034" w:name="_Toc9636"/>
      <w:bookmarkStart w:id="1035" w:name="_Toc20680"/>
      <w:bookmarkStart w:id="1036" w:name="_Toc25750628"/>
      <w:bookmarkStart w:id="1037" w:name="_Toc22657"/>
      <w:bookmarkStart w:id="1038" w:name="_Toc19943"/>
      <w:bookmarkStart w:id="1039" w:name="_Toc673"/>
      <w:bookmarkStart w:id="1040" w:name="_Toc13596"/>
      <w:bookmarkStart w:id="1041" w:name="_Toc32424"/>
      <w:bookmarkStart w:id="1042" w:name="_Toc5061"/>
      <w:bookmarkStart w:id="1043" w:name="_Toc12983543"/>
      <w:bookmarkStart w:id="1044" w:name="_Toc12065"/>
      <w:bookmarkStart w:id="1045" w:name="_Toc19556"/>
      <w:bookmarkStart w:id="1046" w:name="_Toc390098459"/>
      <w:bookmarkStart w:id="1047" w:name="_Toc27683"/>
      <w:bookmarkStart w:id="1048" w:name="_Toc17953"/>
      <w:bookmarkStart w:id="1049" w:name="_Toc385427833"/>
      <w:r>
        <w:rPr>
          <w:rFonts w:hint="eastAsia" w:ascii="宋体" w:hAnsi="宋体"/>
          <w:color w:val="auto"/>
          <w:highlight w:val="none"/>
        </w:rPr>
        <w:t>中选通知书</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numPr>
          <w:ilvl w:val="0"/>
          <w:numId w:val="8"/>
        </w:numPr>
        <w:spacing w:before="0" w:after="0" w:afterAutospacing="0"/>
        <w:ind w:left="0" w:right="0" w:firstLine="420" w:firstLineChars="200"/>
        <w:rPr>
          <w:rFonts w:ascii="宋体" w:hAnsi="宋体"/>
          <w:color w:val="auto"/>
          <w:highlight w:val="none"/>
        </w:rPr>
      </w:pPr>
      <w:bookmarkStart w:id="1050" w:name="_Toc383891209"/>
      <w:bookmarkStart w:id="1051" w:name="_Toc492478759"/>
      <w:bookmarkStart w:id="1052" w:name="_Toc25208"/>
      <w:bookmarkStart w:id="1053" w:name="_Toc1780"/>
      <w:bookmarkStart w:id="1054" w:name="_Toc5767"/>
      <w:bookmarkStart w:id="1055" w:name="_Toc15048"/>
      <w:bookmarkStart w:id="1056" w:name="_Toc24240"/>
      <w:bookmarkStart w:id="1057" w:name="_Toc29993"/>
      <w:bookmarkStart w:id="1058" w:name="_Toc30862"/>
      <w:bookmarkStart w:id="1059" w:name="_Toc22442"/>
      <w:bookmarkStart w:id="1060" w:name="_Toc385427834"/>
      <w:bookmarkStart w:id="1061" w:name="_Toc28815"/>
      <w:bookmarkStart w:id="1062" w:name="_Toc5617"/>
      <w:bookmarkStart w:id="1063" w:name="_Toc375039101"/>
      <w:bookmarkStart w:id="1064" w:name="_Toc18694"/>
      <w:bookmarkStart w:id="1065" w:name="_Toc12983544"/>
      <w:bookmarkStart w:id="1066" w:name="_Toc25750629"/>
      <w:bookmarkStart w:id="1067" w:name="_Toc8628"/>
      <w:bookmarkStart w:id="1068" w:name="_Toc21570"/>
      <w:bookmarkStart w:id="1069" w:name="_Toc21217"/>
      <w:bookmarkStart w:id="1070" w:name="_Toc4190"/>
      <w:bookmarkStart w:id="1071" w:name="_Toc24885"/>
      <w:bookmarkStart w:id="1072" w:name="_Toc1862"/>
      <w:bookmarkStart w:id="1073" w:name="_Toc390098460"/>
      <w:r>
        <w:rPr>
          <w:rFonts w:hint="eastAsia" w:ascii="宋体" w:hAnsi="宋体"/>
          <w:color w:val="auto"/>
          <w:highlight w:val="none"/>
        </w:rPr>
        <w:t>签订合同</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numPr>
          <w:ilvl w:val="0"/>
          <w:numId w:val="8"/>
        </w:numPr>
        <w:tabs>
          <w:tab w:val="left" w:pos="1134"/>
          <w:tab w:val="left" w:pos="8364"/>
        </w:tabs>
        <w:spacing w:before="0" w:after="0" w:afterAutospacing="0"/>
        <w:ind w:left="0" w:right="0" w:firstLine="420" w:firstLineChars="200"/>
        <w:rPr>
          <w:rFonts w:ascii="宋体" w:hAnsi="宋体"/>
          <w:color w:val="auto"/>
          <w:highlight w:val="none"/>
        </w:rPr>
      </w:pPr>
      <w:bookmarkStart w:id="1074" w:name="_Toc25990"/>
      <w:bookmarkStart w:id="1075" w:name="_Toc26808"/>
      <w:bookmarkStart w:id="1076" w:name="_Toc12983546"/>
      <w:bookmarkStart w:id="1077" w:name="_Toc21294"/>
      <w:bookmarkStart w:id="1078" w:name="_Toc19122"/>
      <w:bookmarkStart w:id="1079" w:name="_Toc30169"/>
      <w:bookmarkStart w:id="1080" w:name="_Toc23115"/>
      <w:bookmarkStart w:id="1081" w:name="_Toc25988"/>
      <w:bookmarkStart w:id="1082" w:name="_Toc10480"/>
      <w:bookmarkStart w:id="1083" w:name="_Toc20351"/>
      <w:bookmarkStart w:id="1084" w:name="_Toc492478761"/>
      <w:bookmarkStart w:id="1085" w:name="_Toc16584"/>
      <w:bookmarkStart w:id="1086" w:name="_Toc8178"/>
      <w:bookmarkStart w:id="1087" w:name="_Toc13615"/>
      <w:bookmarkStart w:id="1088" w:name="_Toc16212"/>
      <w:bookmarkStart w:id="1089" w:name="_Toc385427836"/>
      <w:bookmarkStart w:id="1090" w:name="_Toc24400"/>
      <w:bookmarkStart w:id="1091" w:name="_Toc2637"/>
      <w:bookmarkStart w:id="1092" w:name="_Toc375039103"/>
      <w:bookmarkStart w:id="1093" w:name="_Toc25750631"/>
      <w:bookmarkStart w:id="1094" w:name="_Toc390098462"/>
      <w:bookmarkStart w:id="1095" w:name="_Toc10399"/>
      <w:bookmarkStart w:id="1096" w:name="_Toc11354"/>
      <w:bookmarkStart w:id="1097" w:name="_Toc383891211"/>
      <w:r>
        <w:rPr>
          <w:rFonts w:hint="eastAsia" w:ascii="宋体" w:hAnsi="宋体"/>
          <w:color w:val="auto"/>
          <w:highlight w:val="none"/>
        </w:rPr>
        <w:t>履约担保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全部修复件验收合格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全部修复件验收合格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numPr>
          <w:ilvl w:val="255"/>
          <w:numId w:val="0"/>
        </w:numPr>
        <w:tabs>
          <w:tab w:val="left" w:pos="1134"/>
          <w:tab w:val="left" w:pos="8364"/>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numPr>
          <w:ilvl w:val="255"/>
          <w:numId w:val="0"/>
        </w:numPr>
        <w:spacing w:before="0" w:after="0" w:afterAutospacing="0"/>
        <w:ind w:left="1129" w:leftChars="200" w:right="0"/>
        <w:rPr>
          <w:rFonts w:ascii="宋体" w:hAnsi="宋体"/>
          <w:color w:val="auto"/>
          <w:highlight w:val="none"/>
        </w:rPr>
      </w:pPr>
      <w:r>
        <w:rPr>
          <w:rFonts w:hint="eastAsia" w:ascii="宋体" w:hAnsi="宋体"/>
          <w:color w:val="auto"/>
          <w:highlight w:val="none"/>
        </w:rPr>
        <w:t>37. 其他</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w:t>
      </w:r>
      <w:r>
        <w:rPr>
          <w:rFonts w:hint="eastAsia" w:ascii="宋体" w:hAnsi="宋体"/>
          <w:color w:val="auto"/>
          <w:highlight w:val="none"/>
        </w:rPr>
        <w:t>等</w:t>
      </w:r>
      <w:r>
        <w:rPr>
          <w:rFonts w:ascii="宋体" w:hAnsi="宋体"/>
          <w:color w:val="auto"/>
          <w:highlight w:val="none"/>
        </w:rPr>
        <w:t>各项费用。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tabs>
          <w:tab w:val="left" w:pos="425"/>
          <w:tab w:val="left" w:pos="1134"/>
          <w:tab w:val="left" w:pos="8364"/>
        </w:tabs>
        <w:spacing w:before="0" w:after="0" w:afterAutospacing="0"/>
        <w:ind w:left="0" w:right="0" w:firstLine="420" w:firstLineChars="200"/>
        <w:rPr>
          <w:rFonts w:ascii="宋体" w:hAnsi="宋体" w:cs="宋体"/>
          <w:b/>
          <w:bCs/>
          <w:color w:val="auto"/>
          <w:highlight w:val="none"/>
        </w:rPr>
      </w:pPr>
      <w:r>
        <w:rPr>
          <w:rFonts w:hint="eastAsia" w:ascii="宋体" w:hAnsi="宋体" w:cs="宋体"/>
          <w:color w:val="auto"/>
          <w:highlight w:val="none"/>
        </w:rPr>
        <w:t>37.6</w:t>
      </w:r>
      <w:r>
        <w:rPr>
          <w:rFonts w:hint="eastAsia" w:ascii="宋体" w:hAnsi="宋体" w:cs="宋体"/>
          <w:b/>
          <w:bCs/>
          <w:color w:val="auto"/>
          <w:highlight w:val="none"/>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申请人的不良信用名单：</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（1）比选申请人在比选申请截止期后撤回其投标的。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（5）中选后无正当理由拒不与采购人签订采购合同的。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（6）未照比选、比选申请文件确定的事项签订采购合同的。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（7）将采购合同转包的。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（9）擅自变更、中止或者终止采购合同的。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（11）中选人未在投标阶段提出异议或疑问，在成交后无法满足采购需求的。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pStyle w:val="9"/>
        <w:spacing w:afterAutospacing="0"/>
        <w:ind w:left="0" w:right="0" w:firstLine="420" w:firstLineChars="200"/>
        <w:rPr>
          <w:rFonts w:ascii="宋体" w:hAnsi="宋体"/>
          <w:b/>
          <w:bCs/>
          <w:color w:val="auto"/>
          <w:highlight w:val="none"/>
        </w:rPr>
      </w:pPr>
      <w:r>
        <w:rPr>
          <w:rFonts w:hint="eastAsia" w:ascii="宋体" w:hAnsi="宋体"/>
          <w:color w:val="auto"/>
          <w:highlight w:val="none"/>
        </w:rPr>
        <w:t>（13）比选文件、法律、法规规定的其他情形。</w:t>
      </w:r>
    </w:p>
    <w:p>
      <w:pPr>
        <w:rPr>
          <w:color w:val="auto"/>
          <w:highlight w:val="none"/>
        </w:rPr>
      </w:pPr>
      <w:r>
        <w:rPr>
          <w:color w:val="auto"/>
          <w:highlight w:val="none"/>
        </w:rPr>
        <w:br w:type="page"/>
      </w:r>
    </w:p>
    <w:p>
      <w:pPr>
        <w:pageBreakBefore/>
        <w:spacing w:line="300" w:lineRule="exact"/>
        <w:ind w:left="950" w:right="-28" w:hanging="950" w:hangingChars="338"/>
        <w:jc w:val="center"/>
        <w:rPr>
          <w:rFonts w:ascii="宋体"/>
          <w:b/>
          <w:color w:val="auto"/>
          <w:sz w:val="28"/>
          <w:szCs w:val="30"/>
          <w:highlight w:val="none"/>
        </w:rPr>
      </w:pPr>
      <w:bookmarkStart w:id="1098"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spacing w:line="300" w:lineRule="exact"/>
        <w:jc w:val="center"/>
        <w:rPr>
          <w:rFonts w:ascii="宋体"/>
          <w:b/>
          <w:color w:val="auto"/>
          <w:sz w:val="28"/>
          <w:szCs w:val="30"/>
          <w:highlight w:val="none"/>
        </w:rPr>
      </w:pPr>
    </w:p>
    <w:p>
      <w:pPr>
        <w:pStyle w:val="14"/>
        <w:ind w:right="-57" w:firstLine="0"/>
        <w:jc w:val="center"/>
        <w:outlineLvl w:val="0"/>
        <w:rPr>
          <w:rStyle w:val="44"/>
          <w:rFonts w:hAnsi="宋体"/>
          <w:color w:val="auto"/>
          <w:sz w:val="44"/>
          <w:szCs w:val="44"/>
          <w:highlight w:val="none"/>
        </w:rPr>
      </w:pPr>
      <w:bookmarkStart w:id="1099" w:name="_Toc101965688"/>
      <w:bookmarkStart w:id="1100" w:name="_Toc14591"/>
      <w:r>
        <w:rPr>
          <w:rStyle w:val="44"/>
          <w:rFonts w:hint="eastAsia" w:hAnsi="宋体"/>
          <w:color w:val="auto"/>
          <w:sz w:val="44"/>
          <w:szCs w:val="44"/>
          <w:highlight w:val="none"/>
        </w:rPr>
        <w:t>第三章 合同条款及格式</w:t>
      </w:r>
      <w:bookmarkEnd w:id="1098"/>
      <w:bookmarkEnd w:id="1099"/>
      <w:bookmarkEnd w:id="1100"/>
    </w:p>
    <w:p>
      <w:pPr>
        <w:spacing w:afterLines="50"/>
        <w:jc w:val="center"/>
        <w:rPr>
          <w:b/>
          <w:color w:val="auto"/>
          <w:sz w:val="44"/>
          <w:szCs w:val="44"/>
          <w:highlight w:val="none"/>
        </w:rPr>
      </w:pPr>
    </w:p>
    <w:p>
      <w:pPr>
        <w:spacing w:afterLines="50"/>
        <w:jc w:val="center"/>
        <w:rPr>
          <w:b/>
          <w:color w:val="auto"/>
          <w:sz w:val="44"/>
          <w:szCs w:val="44"/>
          <w:highlight w:val="none"/>
        </w:rPr>
      </w:pPr>
    </w:p>
    <w:p>
      <w:pPr>
        <w:pStyle w:val="14"/>
        <w:rPr>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ageBreakBefore/>
        <w:spacing w:afterLines="50" w:afterAutospacing="0"/>
        <w:ind w:left="1014" w:right="448" w:hanging="1014" w:hangingChars="338"/>
        <w:jc w:val="right"/>
        <w:rPr>
          <w:rFonts w:ascii="宋体" w:hAnsi="宋体"/>
          <w:color w:val="auto"/>
          <w:sz w:val="30"/>
          <w:szCs w:val="30"/>
          <w:highlight w:val="none"/>
        </w:rPr>
      </w:pPr>
    </w:p>
    <w:p>
      <w:pPr>
        <w:spacing w:afterLines="50"/>
        <w:ind w:right="448"/>
        <w:jc w:val="right"/>
        <w:rPr>
          <w:rFonts w:ascii="宋体" w:hAnsi="宋体"/>
          <w:color w:val="auto"/>
          <w:sz w:val="30"/>
          <w:szCs w:val="30"/>
          <w:highlight w:val="none"/>
        </w:rPr>
      </w:pPr>
      <w:r>
        <w:rPr>
          <w:rFonts w:hint="eastAsia" w:ascii="宋体" w:hAnsi="宋体"/>
          <w:color w:val="auto"/>
          <w:sz w:val="30"/>
          <w:szCs w:val="30"/>
          <w:highlight w:val="none"/>
        </w:rPr>
        <w:t>【×本】</w:t>
      </w:r>
    </w:p>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b/>
          <w:color w:val="auto"/>
          <w:sz w:val="44"/>
          <w:szCs w:val="44"/>
          <w:highlight w:val="none"/>
        </w:rPr>
        <w:t>××项目</w:t>
      </w:r>
    </w:p>
    <w:tbl>
      <w:tblPr>
        <w:tblStyle w:val="32"/>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left"/>
              <w:rPr>
                <w:rFonts w:ascii="宋体" w:hAnsi="宋体"/>
                <w:color w:val="auto"/>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10160" b="8255"/>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hint="eastAsia" w:ascii="宋体" w:hAnsi="宋体"/>
          <w:color w:val="auto"/>
          <w:sz w:val="28"/>
          <w:szCs w:val="28"/>
          <w:highlight w:val="none"/>
        </w:rPr>
        <w:t>广西壮族自治区南宁市</w:t>
      </w:r>
      <w:bookmarkStart w:id="1101" w:name="_Toc369787000"/>
      <w:bookmarkEnd w:id="1101"/>
    </w:p>
    <w:p>
      <w:pPr>
        <w:pStyle w:val="25"/>
        <w:tabs>
          <w:tab w:val="right" w:leader="dot" w:pos="9069"/>
        </w:tabs>
        <w:snapToGrid w:val="0"/>
        <w:spacing w:line="240" w:lineRule="auto"/>
        <w:jc w:val="center"/>
        <w:rPr>
          <w:rFonts w:ascii="宋体" w:hAnsi="宋体"/>
          <w:b/>
          <w:bCs/>
          <w:color w:val="auto"/>
          <w:sz w:val="28"/>
          <w:szCs w:val="28"/>
          <w:highlight w:val="none"/>
        </w:rPr>
      </w:pPr>
    </w:p>
    <w:p>
      <w:pPr>
        <w:pStyle w:val="25"/>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sdt>
      <w:sdtPr>
        <w:rPr>
          <w:rFonts w:ascii="宋体" w:hAnsi="宋体"/>
          <w:color w:val="auto"/>
          <w:highlight w:val="none"/>
        </w:rPr>
        <w:id w:val="147467810"/>
        <w:docPartObj>
          <w:docPartGallery w:val="Table of Contents"/>
          <w:docPartUnique/>
        </w:docPartObj>
      </w:sdtPr>
      <w:sdtEndPr>
        <w:rPr>
          <w:rFonts w:asciiTheme="minorHAnsi" w:hAnsiTheme="minorHAnsi" w:eastAsiaTheme="minorEastAsia" w:cstheme="minorBidi"/>
          <w:color w:val="auto"/>
          <w:sz w:val="20"/>
          <w:szCs w:val="20"/>
          <w:highlight w:val="none"/>
        </w:rPr>
      </w:sdtEndPr>
      <w:sdtContent>
        <w:p>
          <w:pPr>
            <w:spacing w:line="240" w:lineRule="auto"/>
            <w:ind w:left="0" w:right="0" w:firstLine="0"/>
            <w:jc w:val="center"/>
            <w:rPr>
              <w:color w:val="auto"/>
              <w:highlight w:val="none"/>
            </w:rPr>
          </w:pP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"_Toc2231_WPSOffice_Level1" </w:instrText>
          </w:r>
          <w:r>
            <w:rPr>
              <w:color w:val="auto"/>
              <w:highlight w:val="none"/>
            </w:rPr>
            <w:fldChar w:fldCharType="separate"/>
          </w:r>
          <w:r>
            <w:rPr>
              <w:rFonts w:hint="eastAsia" w:ascii="宋体" w:hAnsi="宋体"/>
              <w:b/>
              <w:bCs/>
              <w:color w:val="auto"/>
              <w:highlight w:val="none"/>
            </w:rPr>
            <w:t>第一部分 合同协议书</w:t>
          </w:r>
          <w:r>
            <w:rPr>
              <w:b/>
              <w:bCs/>
              <w:color w:val="auto"/>
              <w:highlight w:val="none"/>
            </w:rPr>
            <w:tab/>
          </w:r>
          <w:bookmarkStart w:id="1102" w:name="_Toc2231_WPSOffice_Level1Page"/>
          <w:r>
            <w:rPr>
              <w:b/>
              <w:bCs/>
              <w:color w:val="auto"/>
              <w:highlight w:val="none"/>
            </w:rPr>
            <w:t>23</w:t>
          </w:r>
          <w:bookmarkEnd w:id="1102"/>
          <w:r>
            <w:rPr>
              <w:b/>
              <w:bCs/>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"_Toc20006_WPSOffice_Level1" </w:instrText>
          </w:r>
          <w:r>
            <w:rPr>
              <w:color w:val="auto"/>
              <w:highlight w:val="none"/>
            </w:rPr>
            <w:fldChar w:fldCharType="separate"/>
          </w:r>
          <w:r>
            <w:rPr>
              <w:b/>
              <w:bCs/>
              <w:color w:val="auto"/>
              <w:highlight w:val="none"/>
            </w:rPr>
            <w:t>第二部分</w:t>
          </w:r>
          <w:r>
            <w:rPr>
              <w:rFonts w:hint="eastAsia"/>
              <w:b/>
              <w:bCs/>
              <w:color w:val="auto"/>
              <w:highlight w:val="none"/>
            </w:rPr>
            <w:t xml:space="preserve"> 中选通知书</w:t>
          </w:r>
          <w:r>
            <w:rPr>
              <w:b/>
              <w:bCs/>
              <w:color w:val="auto"/>
              <w:highlight w:val="none"/>
            </w:rPr>
            <w:tab/>
          </w:r>
          <w:bookmarkStart w:id="1103" w:name="_Toc20006_WPSOffice_Level1Page"/>
          <w:r>
            <w:rPr>
              <w:b/>
              <w:bCs/>
              <w:color w:val="auto"/>
              <w:highlight w:val="none"/>
            </w:rPr>
            <w:t>26</w:t>
          </w:r>
          <w:bookmarkEnd w:id="1103"/>
          <w:r>
            <w:rPr>
              <w:b/>
              <w:bCs/>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"_Toc28765_WPSOffice_Level1"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bookmarkStart w:id="1104" w:name="_Toc28765_WPSOffice_Level1Page"/>
          <w:r>
            <w:rPr>
              <w:b/>
              <w:bCs/>
              <w:color w:val="auto"/>
              <w:highlight w:val="none"/>
            </w:rPr>
            <w:t>27</w:t>
          </w:r>
          <w:bookmarkEnd w:id="1104"/>
          <w:r>
            <w:rPr>
              <w:b/>
              <w:bCs/>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"_Toc11956_WPSOffice_Level1" </w:instrText>
          </w:r>
          <w:r>
            <w:rPr>
              <w:color w:val="auto"/>
              <w:highlight w:val="none"/>
            </w:rPr>
            <w:fldChar w:fldCharType="separate"/>
          </w:r>
          <w:r>
            <w:rPr>
              <w:rFonts w:hint="eastAsia" w:ascii="宋体" w:hAnsi="宋体"/>
              <w:b/>
              <w:bCs/>
              <w:color w:val="auto"/>
              <w:highlight w:val="none"/>
            </w:rPr>
            <w:t>第四部分 合同条款</w:t>
          </w:r>
          <w:r>
            <w:rPr>
              <w:b/>
              <w:bCs/>
              <w:color w:val="auto"/>
              <w:highlight w:val="none"/>
            </w:rPr>
            <w:tab/>
          </w:r>
          <w:bookmarkStart w:id="1105" w:name="_Toc11956_WPSOffice_Level1Page"/>
          <w:r>
            <w:rPr>
              <w:b/>
              <w:bCs/>
              <w:color w:val="auto"/>
              <w:highlight w:val="none"/>
            </w:rPr>
            <w:t>30</w:t>
          </w:r>
          <w:bookmarkEnd w:id="1105"/>
          <w:r>
            <w:rPr>
              <w:b/>
              <w:bCs/>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"_Toc30060_WPSOffice_Level2" </w:instrText>
          </w:r>
          <w:r>
            <w:rPr>
              <w:color w:val="auto"/>
              <w:highlight w:val="none"/>
            </w:rPr>
            <w:fldChar w:fldCharType="separate"/>
          </w:r>
          <w:r>
            <w:rPr>
              <w:rFonts w:hint="eastAsia" w:ascii="宋体" w:hAnsi="宋体" w:eastAsia="宋体" w:cs="Times New Roman"/>
              <w:color w:val="auto"/>
              <w:highlight w:val="none"/>
            </w:rPr>
            <w:t>1.定义及解释</w:t>
          </w:r>
          <w:r>
            <w:rPr>
              <w:color w:val="auto"/>
              <w:highlight w:val="none"/>
            </w:rPr>
            <w:tab/>
          </w:r>
          <w:bookmarkStart w:id="1106" w:name="_Toc30060_WPSOffice_Level2Page"/>
          <w:r>
            <w:rPr>
              <w:color w:val="auto"/>
              <w:highlight w:val="none"/>
            </w:rPr>
            <w:t>30</w:t>
          </w:r>
          <w:bookmarkEnd w:id="110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"_Toc19653_WPSOffice_Level2" </w:instrText>
          </w:r>
          <w:r>
            <w:rPr>
              <w:color w:val="auto"/>
              <w:highlight w:val="none"/>
            </w:rPr>
            <w:fldChar w:fldCharType="separate"/>
          </w:r>
          <w:r>
            <w:rPr>
              <w:rFonts w:hint="eastAsia" w:ascii="宋体" w:hAnsi="宋体" w:eastAsia="宋体" w:cs="Times New Roman"/>
              <w:color w:val="auto"/>
              <w:highlight w:val="none"/>
            </w:rPr>
            <w:t>2.适用性</w:t>
          </w:r>
          <w:r>
            <w:rPr>
              <w:color w:val="auto"/>
              <w:highlight w:val="none"/>
            </w:rPr>
            <w:tab/>
          </w:r>
          <w:bookmarkStart w:id="1107" w:name="_Toc19653_WPSOffice_Level2Page"/>
          <w:r>
            <w:rPr>
              <w:color w:val="auto"/>
              <w:highlight w:val="none"/>
            </w:rPr>
            <w:t>31</w:t>
          </w:r>
          <w:bookmarkEnd w:id="1107"/>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"_Toc22843_WPSOffice_Level2" </w:instrText>
          </w:r>
          <w:r>
            <w:rPr>
              <w:color w:val="auto"/>
              <w:highlight w:val="none"/>
            </w:rPr>
            <w:fldChar w:fldCharType="separate"/>
          </w:r>
          <w:r>
            <w:rPr>
              <w:rFonts w:hint="eastAsia" w:ascii="宋体" w:hAnsi="宋体" w:eastAsia="宋体" w:cs="Times New Roman"/>
              <w:color w:val="auto"/>
              <w:highlight w:val="none"/>
            </w:rPr>
            <w:t>3.来源地</w:t>
          </w:r>
          <w:r>
            <w:rPr>
              <w:color w:val="auto"/>
              <w:highlight w:val="none"/>
            </w:rPr>
            <w:tab/>
          </w:r>
          <w:bookmarkStart w:id="1108" w:name="_Toc22843_WPSOffice_Level2Page"/>
          <w:r>
            <w:rPr>
              <w:color w:val="auto"/>
              <w:highlight w:val="none"/>
            </w:rPr>
            <w:t>31</w:t>
          </w:r>
          <w:bookmarkEnd w:id="110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"_Toc18443_WPSOffice_Level2" </w:instrText>
          </w:r>
          <w:r>
            <w:rPr>
              <w:color w:val="auto"/>
              <w:highlight w:val="none"/>
            </w:rPr>
            <w:fldChar w:fldCharType="separate"/>
          </w:r>
          <w:r>
            <w:rPr>
              <w:rFonts w:hint="eastAsia" w:ascii="宋体" w:hAnsi="宋体" w:eastAsia="宋体" w:cs="Times New Roman"/>
              <w:color w:val="auto"/>
              <w:highlight w:val="none"/>
            </w:rPr>
            <w:t>4.标准</w:t>
          </w:r>
          <w:r>
            <w:rPr>
              <w:color w:val="auto"/>
              <w:highlight w:val="none"/>
            </w:rPr>
            <w:tab/>
          </w:r>
          <w:bookmarkStart w:id="1109" w:name="_Toc18443_WPSOffice_Level2Page"/>
          <w:r>
            <w:rPr>
              <w:color w:val="auto"/>
              <w:highlight w:val="none"/>
            </w:rPr>
            <w:t>32</w:t>
          </w:r>
          <w:bookmarkEnd w:id="110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"_Toc7155_WPSOffice_Level2" </w:instrText>
          </w:r>
          <w:r>
            <w:rPr>
              <w:color w:val="auto"/>
              <w:highlight w:val="none"/>
            </w:rPr>
            <w:fldChar w:fldCharType="separate"/>
          </w:r>
          <w:r>
            <w:rPr>
              <w:rFonts w:hint="eastAsia" w:ascii="宋体" w:hAnsi="宋体" w:eastAsia="宋体" w:cs="Times New Roman"/>
              <w:color w:val="auto"/>
              <w:highlight w:val="none"/>
            </w:rPr>
            <w:t>5.合同文件、资料及使用</w:t>
          </w:r>
          <w:r>
            <w:rPr>
              <w:color w:val="auto"/>
              <w:highlight w:val="none"/>
            </w:rPr>
            <w:tab/>
          </w:r>
          <w:bookmarkStart w:id="1110" w:name="_Toc7155_WPSOffice_Level2Page"/>
          <w:r>
            <w:rPr>
              <w:color w:val="auto"/>
              <w:highlight w:val="none"/>
            </w:rPr>
            <w:t>32</w:t>
          </w:r>
          <w:bookmarkEnd w:id="111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"_Toc26722_WPSOffice_Level2" </w:instrText>
          </w:r>
          <w:r>
            <w:rPr>
              <w:color w:val="auto"/>
              <w:highlight w:val="none"/>
            </w:rPr>
            <w:fldChar w:fldCharType="separate"/>
          </w:r>
          <w:r>
            <w:rPr>
              <w:rFonts w:hint="eastAsia" w:ascii="宋体" w:hAnsi="宋体" w:eastAsia="宋体" w:cs="Times New Roman"/>
              <w:color w:val="auto"/>
              <w:highlight w:val="none"/>
            </w:rPr>
            <w:t>6.知识产权</w:t>
          </w:r>
          <w:r>
            <w:rPr>
              <w:color w:val="auto"/>
              <w:highlight w:val="none"/>
            </w:rPr>
            <w:tab/>
          </w:r>
          <w:bookmarkStart w:id="1111" w:name="_Toc26722_WPSOffice_Level2Page"/>
          <w:r>
            <w:rPr>
              <w:color w:val="auto"/>
              <w:highlight w:val="none"/>
            </w:rPr>
            <w:t>32</w:t>
          </w:r>
          <w:bookmarkEnd w:id="111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"_Toc28434_WPSOffice_Level2" </w:instrText>
          </w:r>
          <w:r>
            <w:rPr>
              <w:color w:val="auto"/>
              <w:highlight w:val="none"/>
            </w:rPr>
            <w:fldChar w:fldCharType="separate"/>
          </w:r>
          <w:r>
            <w:rPr>
              <w:rFonts w:hint="eastAsia" w:ascii="宋体" w:hAnsi="宋体" w:eastAsia="宋体" w:cs="Times New Roman"/>
              <w:color w:val="auto"/>
              <w:highlight w:val="none"/>
            </w:rPr>
            <w:t>7.价格</w:t>
          </w:r>
          <w:r>
            <w:rPr>
              <w:color w:val="auto"/>
              <w:highlight w:val="none"/>
            </w:rPr>
            <w:tab/>
          </w:r>
          <w:bookmarkStart w:id="1112" w:name="_Toc28434_WPSOffice_Level2Page"/>
          <w:r>
            <w:rPr>
              <w:color w:val="auto"/>
              <w:highlight w:val="none"/>
            </w:rPr>
            <w:t>33</w:t>
          </w:r>
          <w:bookmarkEnd w:id="111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"_Toc2492_WPSOffice_Level2" </w:instrText>
          </w:r>
          <w:r>
            <w:rPr>
              <w:color w:val="auto"/>
              <w:highlight w:val="none"/>
            </w:rPr>
            <w:fldChar w:fldCharType="separate"/>
          </w:r>
          <w:r>
            <w:rPr>
              <w:rFonts w:hint="eastAsia" w:ascii="宋体" w:hAnsi="宋体" w:eastAsia="宋体" w:cs="Times New Roman"/>
              <w:color w:val="auto"/>
              <w:highlight w:val="none"/>
            </w:rPr>
            <w:t>8.合同有效期</w:t>
          </w:r>
          <w:r>
            <w:rPr>
              <w:color w:val="auto"/>
              <w:highlight w:val="none"/>
            </w:rPr>
            <w:tab/>
          </w:r>
          <w:bookmarkStart w:id="1113" w:name="_Toc2492_WPSOffice_Level2Page"/>
          <w:r>
            <w:rPr>
              <w:color w:val="auto"/>
              <w:highlight w:val="none"/>
            </w:rPr>
            <w:t>33</w:t>
          </w:r>
          <w:bookmarkEnd w:id="111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"_Toc5504_WPSOffice_Level2" </w:instrText>
          </w:r>
          <w:r>
            <w:rPr>
              <w:color w:val="auto"/>
              <w:highlight w:val="none"/>
            </w:rPr>
            <w:fldChar w:fldCharType="separate"/>
          </w:r>
          <w:r>
            <w:rPr>
              <w:rFonts w:hint="eastAsia" w:ascii="宋体" w:hAnsi="宋体" w:eastAsia="宋体" w:cs="Times New Roman"/>
              <w:color w:val="auto"/>
              <w:highlight w:val="none"/>
            </w:rPr>
            <w:t>9.付款</w:t>
          </w:r>
          <w:r>
            <w:rPr>
              <w:color w:val="auto"/>
              <w:highlight w:val="none"/>
            </w:rPr>
            <w:tab/>
          </w:r>
          <w:bookmarkStart w:id="1114" w:name="_Toc5504_WPSOffice_Level2Page"/>
          <w:r>
            <w:rPr>
              <w:color w:val="auto"/>
              <w:highlight w:val="none"/>
            </w:rPr>
            <w:t>33</w:t>
          </w:r>
          <w:bookmarkEnd w:id="111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"_Toc26391_WPSOffice_Level2" </w:instrText>
          </w:r>
          <w:r>
            <w:rPr>
              <w:color w:val="auto"/>
              <w:highlight w:val="none"/>
            </w:rPr>
            <w:fldChar w:fldCharType="separate"/>
          </w:r>
          <w:r>
            <w:rPr>
              <w:rFonts w:hint="eastAsia" w:ascii="宋体" w:hAnsi="宋体" w:eastAsia="宋体" w:cs="Times New Roman"/>
              <w:color w:val="auto"/>
              <w:highlight w:val="none"/>
            </w:rPr>
            <w:t>10.履约担保</w:t>
          </w:r>
          <w:r>
            <w:rPr>
              <w:color w:val="auto"/>
              <w:highlight w:val="none"/>
            </w:rPr>
            <w:tab/>
          </w:r>
          <w:bookmarkStart w:id="1115" w:name="_Toc26391_WPSOffice_Level2Page"/>
          <w:r>
            <w:rPr>
              <w:color w:val="auto"/>
              <w:highlight w:val="none"/>
            </w:rPr>
            <w:t>34</w:t>
          </w:r>
          <w:bookmarkEnd w:id="111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"_Toc15131_WPSOffice_Level2" </w:instrText>
          </w:r>
          <w:r>
            <w:rPr>
              <w:color w:val="auto"/>
              <w:highlight w:val="none"/>
            </w:rPr>
            <w:fldChar w:fldCharType="separate"/>
          </w:r>
          <w:r>
            <w:rPr>
              <w:rFonts w:hint="eastAsia" w:ascii="宋体" w:hAnsi="宋体" w:eastAsia="宋体" w:cs="Times New Roman"/>
              <w:color w:val="auto"/>
              <w:highlight w:val="none"/>
            </w:rPr>
            <w:t>11.检验</w:t>
          </w:r>
          <w:r>
            <w:rPr>
              <w:color w:val="auto"/>
              <w:highlight w:val="none"/>
            </w:rPr>
            <w:tab/>
          </w:r>
          <w:bookmarkStart w:id="1116" w:name="_Toc15131_WPSOffice_Level2Page"/>
          <w:r>
            <w:rPr>
              <w:color w:val="auto"/>
              <w:highlight w:val="none"/>
            </w:rPr>
            <w:t>35</w:t>
          </w:r>
          <w:bookmarkEnd w:id="111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"_Toc11883_WPSOffice_Level2" </w:instrText>
          </w:r>
          <w:r>
            <w:rPr>
              <w:color w:val="auto"/>
              <w:highlight w:val="none"/>
            </w:rPr>
            <w:fldChar w:fldCharType="separate"/>
          </w:r>
          <w:r>
            <w:rPr>
              <w:rFonts w:hint="eastAsia" w:ascii="宋体" w:hAnsi="宋体" w:eastAsia="宋体" w:cs="Arial"/>
              <w:color w:val="auto"/>
              <w:highlight w:val="none"/>
            </w:rPr>
            <w:t>1</w:t>
          </w:r>
          <w:r>
            <w:rPr>
              <w:rFonts w:hint="eastAsia" w:ascii="宋体" w:hAnsi="宋体" w:eastAsia="宋体" w:cs="Times New Roman"/>
              <w:color w:val="auto"/>
              <w:highlight w:val="none"/>
            </w:rPr>
            <w:t>2.包装</w:t>
          </w:r>
          <w:r>
            <w:rPr>
              <w:color w:val="auto"/>
              <w:highlight w:val="none"/>
            </w:rPr>
            <w:tab/>
          </w:r>
          <w:bookmarkStart w:id="1117" w:name="_Toc11883_WPSOffice_Level2Page"/>
          <w:r>
            <w:rPr>
              <w:color w:val="auto"/>
              <w:highlight w:val="none"/>
            </w:rPr>
            <w:t>35</w:t>
          </w:r>
          <w:bookmarkEnd w:id="1117"/>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"_Toc26965_WPSOffice_Level2" </w:instrText>
          </w:r>
          <w:r>
            <w:rPr>
              <w:color w:val="auto"/>
              <w:highlight w:val="none"/>
            </w:rPr>
            <w:fldChar w:fldCharType="separate"/>
          </w:r>
          <w:r>
            <w:rPr>
              <w:rFonts w:hint="eastAsia" w:ascii="宋体" w:hAnsi="宋体" w:eastAsia="宋体" w:cs="Times New Roman"/>
              <w:color w:val="auto"/>
              <w:highlight w:val="none"/>
            </w:rPr>
            <w:t>13.交货和单据</w:t>
          </w:r>
          <w:r>
            <w:rPr>
              <w:color w:val="auto"/>
              <w:highlight w:val="none"/>
            </w:rPr>
            <w:tab/>
          </w:r>
          <w:bookmarkStart w:id="1118" w:name="_Toc26965_WPSOffice_Level2Page"/>
          <w:r>
            <w:rPr>
              <w:color w:val="auto"/>
              <w:highlight w:val="none"/>
            </w:rPr>
            <w:t>36</w:t>
          </w:r>
          <w:bookmarkEnd w:id="111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"_Toc4402_WPSOffice_Level2" </w:instrText>
          </w:r>
          <w:r>
            <w:rPr>
              <w:color w:val="auto"/>
              <w:highlight w:val="none"/>
            </w:rPr>
            <w:fldChar w:fldCharType="separate"/>
          </w:r>
          <w:r>
            <w:rPr>
              <w:rFonts w:hint="eastAsia" w:ascii="宋体" w:hAnsi="宋体" w:eastAsia="宋体" w:cs="Times New Roman"/>
              <w:color w:val="auto"/>
              <w:highlight w:val="none"/>
            </w:rPr>
            <w:t>14.所有权与风险转移</w:t>
          </w:r>
          <w:r>
            <w:rPr>
              <w:color w:val="auto"/>
              <w:highlight w:val="none"/>
            </w:rPr>
            <w:tab/>
          </w:r>
          <w:bookmarkStart w:id="1119" w:name="_Toc4402_WPSOffice_Level2Page"/>
          <w:r>
            <w:rPr>
              <w:color w:val="auto"/>
              <w:highlight w:val="none"/>
            </w:rPr>
            <w:t>36</w:t>
          </w:r>
          <w:bookmarkEnd w:id="111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"_Toc2616_WPSOffice_Level2" </w:instrText>
          </w:r>
          <w:r>
            <w:rPr>
              <w:color w:val="auto"/>
              <w:highlight w:val="none"/>
            </w:rPr>
            <w:fldChar w:fldCharType="separate"/>
          </w:r>
          <w:r>
            <w:rPr>
              <w:rFonts w:hint="eastAsia" w:ascii="宋体" w:hAnsi="宋体" w:eastAsia="宋体" w:cs="Times New Roman"/>
              <w:color w:val="auto"/>
              <w:highlight w:val="none"/>
            </w:rPr>
            <w:t>15.运输</w:t>
          </w:r>
          <w:r>
            <w:rPr>
              <w:color w:val="auto"/>
              <w:highlight w:val="none"/>
            </w:rPr>
            <w:tab/>
          </w:r>
          <w:bookmarkStart w:id="1120" w:name="_Toc2616_WPSOffice_Level2Page"/>
          <w:r>
            <w:rPr>
              <w:color w:val="auto"/>
              <w:highlight w:val="none"/>
            </w:rPr>
            <w:t>37</w:t>
          </w:r>
          <w:bookmarkEnd w:id="112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"_Toc7681_WPSOffice_Level2" </w:instrText>
          </w:r>
          <w:r>
            <w:rPr>
              <w:color w:val="auto"/>
              <w:highlight w:val="none"/>
            </w:rPr>
            <w:fldChar w:fldCharType="separate"/>
          </w:r>
          <w:r>
            <w:rPr>
              <w:rFonts w:hint="eastAsia" w:ascii="宋体" w:hAnsi="宋体" w:eastAsia="宋体" w:cs="Times New Roman"/>
              <w:color w:val="auto"/>
              <w:highlight w:val="none"/>
            </w:rPr>
            <w:t>16.服务</w:t>
          </w:r>
          <w:r>
            <w:rPr>
              <w:color w:val="auto"/>
              <w:highlight w:val="none"/>
            </w:rPr>
            <w:tab/>
          </w:r>
          <w:bookmarkStart w:id="1121" w:name="_Toc7681_WPSOffice_Level2Page"/>
          <w:r>
            <w:rPr>
              <w:color w:val="auto"/>
              <w:highlight w:val="none"/>
            </w:rPr>
            <w:t>37</w:t>
          </w:r>
          <w:bookmarkEnd w:id="112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"_Toc13319_WPSOffice_Level2" </w:instrText>
          </w:r>
          <w:r>
            <w:rPr>
              <w:color w:val="auto"/>
              <w:highlight w:val="none"/>
            </w:rPr>
            <w:fldChar w:fldCharType="separate"/>
          </w:r>
          <w:r>
            <w:rPr>
              <w:rFonts w:hint="eastAsia" w:ascii="宋体" w:hAnsi="宋体" w:eastAsia="宋体" w:cs="Times New Roman"/>
              <w:color w:val="auto"/>
              <w:highlight w:val="none"/>
            </w:rPr>
            <w:t>17.保证</w:t>
          </w:r>
          <w:r>
            <w:rPr>
              <w:color w:val="auto"/>
              <w:highlight w:val="none"/>
            </w:rPr>
            <w:tab/>
          </w:r>
          <w:bookmarkStart w:id="1122" w:name="_Toc13319_WPSOffice_Level2Page"/>
          <w:r>
            <w:rPr>
              <w:color w:val="auto"/>
              <w:highlight w:val="none"/>
            </w:rPr>
            <w:t>37</w:t>
          </w:r>
          <w:bookmarkEnd w:id="112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"_Toc21508_WPSOffice_Level2" </w:instrText>
          </w:r>
          <w:r>
            <w:rPr>
              <w:color w:val="auto"/>
              <w:highlight w:val="none"/>
            </w:rPr>
            <w:fldChar w:fldCharType="separate"/>
          </w:r>
          <w:r>
            <w:rPr>
              <w:rFonts w:hint="eastAsia" w:ascii="宋体" w:hAnsi="宋体" w:eastAsia="宋体" w:cs="Times New Roman"/>
              <w:color w:val="auto"/>
              <w:highlight w:val="none"/>
            </w:rPr>
            <w:t>18.合同变更与修改</w:t>
          </w:r>
          <w:r>
            <w:rPr>
              <w:color w:val="auto"/>
              <w:highlight w:val="none"/>
            </w:rPr>
            <w:tab/>
          </w:r>
          <w:bookmarkStart w:id="1123" w:name="_Toc21508_WPSOffice_Level2Page"/>
          <w:r>
            <w:rPr>
              <w:color w:val="auto"/>
              <w:highlight w:val="none"/>
            </w:rPr>
            <w:t>38</w:t>
          </w:r>
          <w:bookmarkEnd w:id="112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"_Toc2893_WPSOffice_Level2" </w:instrText>
          </w:r>
          <w:r>
            <w:rPr>
              <w:color w:val="auto"/>
              <w:highlight w:val="none"/>
            </w:rPr>
            <w:fldChar w:fldCharType="separate"/>
          </w:r>
          <w:r>
            <w:rPr>
              <w:rFonts w:hint="eastAsia" w:ascii="宋体" w:hAnsi="宋体" w:eastAsia="宋体" w:cs="Times New Roman"/>
              <w:color w:val="auto"/>
              <w:highlight w:val="none"/>
            </w:rPr>
            <w:t>19.转让、分包和中止</w:t>
          </w:r>
          <w:r>
            <w:rPr>
              <w:color w:val="auto"/>
              <w:highlight w:val="none"/>
            </w:rPr>
            <w:tab/>
          </w:r>
          <w:bookmarkStart w:id="1124" w:name="_Toc2893_WPSOffice_Level2Page"/>
          <w:r>
            <w:rPr>
              <w:color w:val="auto"/>
              <w:highlight w:val="none"/>
            </w:rPr>
            <w:t>40</w:t>
          </w:r>
          <w:bookmarkEnd w:id="112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"_Toc10088_WPSOffice_Level2" </w:instrText>
          </w:r>
          <w:r>
            <w:rPr>
              <w:color w:val="auto"/>
              <w:highlight w:val="none"/>
            </w:rPr>
            <w:fldChar w:fldCharType="separate"/>
          </w:r>
          <w:r>
            <w:rPr>
              <w:rFonts w:hint="eastAsia" w:ascii="宋体" w:hAnsi="宋体" w:eastAsia="宋体" w:cs="Times New Roman"/>
              <w:color w:val="auto"/>
              <w:highlight w:val="none"/>
            </w:rPr>
            <w:t>20.不可抗力</w:t>
          </w:r>
          <w:r>
            <w:rPr>
              <w:color w:val="auto"/>
              <w:highlight w:val="none"/>
            </w:rPr>
            <w:tab/>
          </w:r>
          <w:bookmarkStart w:id="1125" w:name="_Toc10088_WPSOffice_Level2Page"/>
          <w:r>
            <w:rPr>
              <w:color w:val="auto"/>
              <w:highlight w:val="none"/>
            </w:rPr>
            <w:t>40</w:t>
          </w:r>
          <w:bookmarkEnd w:id="112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"_Toc13861_WPSOffice_Level2" </w:instrText>
          </w:r>
          <w:r>
            <w:rPr>
              <w:color w:val="auto"/>
              <w:highlight w:val="none"/>
            </w:rPr>
            <w:fldChar w:fldCharType="separate"/>
          </w:r>
          <w:r>
            <w:rPr>
              <w:rFonts w:hint="eastAsia" w:ascii="宋体" w:hAnsi="宋体" w:eastAsia="宋体" w:cs="Times New Roman"/>
              <w:color w:val="auto"/>
              <w:highlight w:val="none"/>
            </w:rPr>
            <w:t>21.乙方履约展期</w:t>
          </w:r>
          <w:r>
            <w:rPr>
              <w:color w:val="auto"/>
              <w:highlight w:val="none"/>
            </w:rPr>
            <w:tab/>
          </w:r>
          <w:bookmarkStart w:id="1126" w:name="_Toc13861_WPSOffice_Level2Page"/>
          <w:r>
            <w:rPr>
              <w:color w:val="auto"/>
              <w:highlight w:val="none"/>
            </w:rPr>
            <w:t>40</w:t>
          </w:r>
          <w:bookmarkEnd w:id="112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"_Toc9712_WPSOffice_Level2" </w:instrText>
          </w:r>
          <w:r>
            <w:rPr>
              <w:color w:val="auto"/>
              <w:highlight w:val="none"/>
            </w:rPr>
            <w:fldChar w:fldCharType="separate"/>
          </w:r>
          <w:r>
            <w:rPr>
              <w:rFonts w:hint="eastAsia" w:ascii="宋体" w:hAnsi="宋体" w:eastAsia="宋体" w:cs="Times New Roman"/>
              <w:color w:val="auto"/>
              <w:highlight w:val="none"/>
            </w:rPr>
            <w:t>22.通知</w:t>
          </w:r>
          <w:r>
            <w:rPr>
              <w:color w:val="auto"/>
              <w:highlight w:val="none"/>
            </w:rPr>
            <w:tab/>
          </w:r>
          <w:bookmarkStart w:id="1127" w:name="_Toc9712_WPSOffice_Level2Page"/>
          <w:r>
            <w:rPr>
              <w:color w:val="auto"/>
              <w:highlight w:val="none"/>
            </w:rPr>
            <w:t>41</w:t>
          </w:r>
          <w:bookmarkEnd w:id="1127"/>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"_Toc29436_WPSOffice_Level2" </w:instrText>
          </w:r>
          <w:r>
            <w:rPr>
              <w:color w:val="auto"/>
              <w:highlight w:val="none"/>
            </w:rPr>
            <w:fldChar w:fldCharType="separate"/>
          </w:r>
          <w:r>
            <w:rPr>
              <w:rFonts w:hint="eastAsia" w:ascii="宋体" w:hAnsi="宋体" w:eastAsia="宋体" w:cs="Times New Roman"/>
              <w:color w:val="auto"/>
              <w:highlight w:val="none"/>
            </w:rPr>
            <w:t>23.合同标的</w:t>
          </w:r>
          <w:r>
            <w:rPr>
              <w:color w:val="auto"/>
              <w:highlight w:val="none"/>
            </w:rPr>
            <w:tab/>
          </w:r>
          <w:bookmarkStart w:id="1128" w:name="_Toc29436_WPSOffice_Level2Page"/>
          <w:r>
            <w:rPr>
              <w:color w:val="auto"/>
              <w:highlight w:val="none"/>
            </w:rPr>
            <w:t>41</w:t>
          </w:r>
          <w:bookmarkEnd w:id="112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"_Toc9539_WPSOffice_Level2" </w:instrText>
          </w:r>
          <w:r>
            <w:rPr>
              <w:color w:val="auto"/>
              <w:highlight w:val="none"/>
            </w:rPr>
            <w:fldChar w:fldCharType="separate"/>
          </w:r>
          <w:r>
            <w:rPr>
              <w:rFonts w:hint="eastAsia" w:ascii="宋体" w:hAnsi="宋体" w:eastAsia="宋体" w:cs="Times New Roman"/>
              <w:color w:val="auto"/>
              <w:highlight w:val="none"/>
            </w:rPr>
            <w:t>24.验收要求</w:t>
          </w:r>
          <w:r>
            <w:rPr>
              <w:color w:val="auto"/>
              <w:highlight w:val="none"/>
            </w:rPr>
            <w:tab/>
          </w:r>
          <w:bookmarkStart w:id="1129" w:name="_Toc9539_WPSOffice_Level2Page"/>
          <w:r>
            <w:rPr>
              <w:color w:val="auto"/>
              <w:highlight w:val="none"/>
            </w:rPr>
            <w:t>41</w:t>
          </w:r>
          <w:bookmarkEnd w:id="112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"_Toc13850_WPSOffice_Level2" </w:instrText>
          </w:r>
          <w:r>
            <w:rPr>
              <w:color w:val="auto"/>
              <w:highlight w:val="none"/>
            </w:rPr>
            <w:fldChar w:fldCharType="separate"/>
          </w:r>
          <w:r>
            <w:rPr>
              <w:rFonts w:hint="eastAsia" w:ascii="宋体" w:hAnsi="宋体" w:eastAsia="宋体" w:cs="Times New Roman"/>
              <w:color w:val="auto"/>
              <w:highlight w:val="none"/>
            </w:rPr>
            <w:t>25</w:t>
          </w:r>
          <w:r>
            <w:rPr>
              <w:rFonts w:ascii="宋体" w:hAnsi="宋体" w:eastAsia="宋体" w:cs="Times New Roman"/>
              <w:color w:val="auto"/>
              <w:highlight w:val="none"/>
            </w:rPr>
            <w:t>.</w:t>
          </w:r>
          <w:r>
            <w:rPr>
              <w:rFonts w:hint="eastAsia" w:ascii="宋体" w:hAnsi="宋体" w:eastAsia="宋体" w:cs="Times New Roman"/>
              <w:color w:val="auto"/>
              <w:highlight w:val="none"/>
            </w:rPr>
            <w:t>索赔与赔偿</w:t>
          </w:r>
          <w:r>
            <w:rPr>
              <w:color w:val="auto"/>
              <w:highlight w:val="none"/>
            </w:rPr>
            <w:tab/>
          </w:r>
          <w:bookmarkStart w:id="1130" w:name="_Toc13850_WPSOffice_Level2Page"/>
          <w:r>
            <w:rPr>
              <w:color w:val="auto"/>
              <w:highlight w:val="none"/>
            </w:rPr>
            <w:t>42</w:t>
          </w:r>
          <w:bookmarkEnd w:id="113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"_Toc28865_WPSOffice_Level2" </w:instrText>
          </w:r>
          <w:r>
            <w:rPr>
              <w:color w:val="auto"/>
              <w:highlight w:val="none"/>
            </w:rPr>
            <w:fldChar w:fldCharType="separate"/>
          </w:r>
          <w:r>
            <w:rPr>
              <w:rFonts w:hint="eastAsia" w:ascii="宋体" w:hAnsi="宋体" w:eastAsia="宋体" w:cs="Times New Roman"/>
              <w:color w:val="auto"/>
              <w:highlight w:val="none"/>
            </w:rPr>
            <w:t>26.合同终止</w:t>
          </w:r>
          <w:r>
            <w:rPr>
              <w:color w:val="auto"/>
              <w:highlight w:val="none"/>
            </w:rPr>
            <w:tab/>
          </w:r>
          <w:bookmarkStart w:id="1131" w:name="_Toc28865_WPSOffice_Level2Page"/>
          <w:r>
            <w:rPr>
              <w:color w:val="auto"/>
              <w:highlight w:val="none"/>
            </w:rPr>
            <w:t>45</w:t>
          </w:r>
          <w:bookmarkEnd w:id="113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"_Toc3251_WPSOffice_Level2" </w:instrText>
          </w:r>
          <w:r>
            <w:rPr>
              <w:color w:val="auto"/>
              <w:highlight w:val="none"/>
            </w:rPr>
            <w:fldChar w:fldCharType="separate"/>
          </w:r>
          <w:r>
            <w:rPr>
              <w:rFonts w:hint="eastAsia" w:ascii="宋体" w:hAnsi="宋体" w:eastAsia="宋体" w:cs="Times New Roman"/>
              <w:color w:val="auto"/>
              <w:highlight w:val="none"/>
            </w:rPr>
            <w:t>27.争端的解决</w:t>
          </w:r>
          <w:r>
            <w:rPr>
              <w:color w:val="auto"/>
              <w:highlight w:val="none"/>
            </w:rPr>
            <w:tab/>
          </w:r>
          <w:bookmarkStart w:id="1132" w:name="_Toc3251_WPSOffice_Level2Page"/>
          <w:r>
            <w:rPr>
              <w:color w:val="auto"/>
              <w:highlight w:val="none"/>
            </w:rPr>
            <w:t>46</w:t>
          </w:r>
          <w:bookmarkEnd w:id="113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"_Toc23260_WPSOffice_Level2" </w:instrText>
          </w:r>
          <w:r>
            <w:rPr>
              <w:color w:val="auto"/>
              <w:highlight w:val="none"/>
            </w:rPr>
            <w:fldChar w:fldCharType="separate"/>
          </w:r>
          <w:r>
            <w:rPr>
              <w:rFonts w:hint="eastAsia" w:ascii="宋体" w:hAnsi="宋体" w:eastAsia="宋体" w:cs="Times New Roman"/>
              <w:color w:val="auto"/>
              <w:highlight w:val="none"/>
            </w:rPr>
            <w:t>28.语言</w:t>
          </w:r>
          <w:r>
            <w:rPr>
              <w:color w:val="auto"/>
              <w:highlight w:val="none"/>
            </w:rPr>
            <w:tab/>
          </w:r>
          <w:bookmarkStart w:id="1133" w:name="_Toc23260_WPSOffice_Level2Page"/>
          <w:r>
            <w:rPr>
              <w:color w:val="auto"/>
              <w:highlight w:val="none"/>
            </w:rPr>
            <w:t>46</w:t>
          </w:r>
          <w:bookmarkEnd w:id="113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"_Toc14677_WPSOffice_Level2" </w:instrText>
          </w:r>
          <w:r>
            <w:rPr>
              <w:color w:val="auto"/>
              <w:highlight w:val="none"/>
            </w:rPr>
            <w:fldChar w:fldCharType="separate"/>
          </w:r>
          <w:r>
            <w:rPr>
              <w:rFonts w:hint="eastAsia" w:ascii="宋体" w:hAnsi="宋体" w:eastAsia="宋体" w:cs="Times New Roman"/>
              <w:color w:val="auto"/>
              <w:highlight w:val="none"/>
            </w:rPr>
            <w:t>29.适用法律</w:t>
          </w:r>
          <w:r>
            <w:rPr>
              <w:color w:val="auto"/>
              <w:highlight w:val="none"/>
            </w:rPr>
            <w:tab/>
          </w:r>
          <w:bookmarkStart w:id="1134" w:name="_Toc14677_WPSOffice_Level2Page"/>
          <w:r>
            <w:rPr>
              <w:color w:val="auto"/>
              <w:highlight w:val="none"/>
            </w:rPr>
            <w:t>46</w:t>
          </w:r>
          <w:bookmarkEnd w:id="113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"_Toc30272_WPSOffice_Level2" </w:instrText>
          </w:r>
          <w:r>
            <w:rPr>
              <w:color w:val="auto"/>
              <w:highlight w:val="none"/>
            </w:rPr>
            <w:fldChar w:fldCharType="separate"/>
          </w:r>
          <w:r>
            <w:rPr>
              <w:rFonts w:hint="eastAsia" w:ascii="宋体" w:hAnsi="宋体" w:eastAsia="宋体" w:cs="Times New Roman"/>
              <w:color w:val="auto"/>
              <w:highlight w:val="none"/>
            </w:rPr>
            <w:t>30.其它</w:t>
          </w:r>
          <w:r>
            <w:rPr>
              <w:color w:val="auto"/>
              <w:highlight w:val="none"/>
            </w:rPr>
            <w:tab/>
          </w:r>
          <w:bookmarkStart w:id="1135" w:name="_Toc30272_WPSOffice_Level2Page"/>
          <w:r>
            <w:rPr>
              <w:color w:val="auto"/>
              <w:highlight w:val="none"/>
            </w:rPr>
            <w:t>46</w:t>
          </w:r>
          <w:bookmarkEnd w:id="113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"_Toc23785_WPSOffice_Level2" </w:instrText>
          </w:r>
          <w:r>
            <w:rPr>
              <w:color w:val="auto"/>
              <w:highlight w:val="none"/>
            </w:rPr>
            <w:fldChar w:fldCharType="separate"/>
          </w:r>
          <w:r>
            <w:rPr>
              <w:rFonts w:hint="eastAsia" w:ascii="宋体" w:hAnsi="宋体" w:eastAsia="宋体" w:cs="Times New Roman"/>
              <w:color w:val="auto"/>
              <w:highlight w:val="none"/>
            </w:rPr>
            <w:t>31.廉洁条款特别约定</w:t>
          </w:r>
          <w:r>
            <w:rPr>
              <w:color w:val="auto"/>
              <w:highlight w:val="none"/>
            </w:rPr>
            <w:tab/>
          </w:r>
          <w:bookmarkStart w:id="1136" w:name="_Toc23785_WPSOffice_Level2Page"/>
          <w:r>
            <w:rPr>
              <w:color w:val="auto"/>
              <w:highlight w:val="none"/>
            </w:rPr>
            <w:t>47</w:t>
          </w:r>
          <w:bookmarkEnd w:id="113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"_Toc7517_WPSOffice_Level2" </w:instrText>
          </w:r>
          <w:r>
            <w:rPr>
              <w:color w:val="auto"/>
              <w:highlight w:val="none"/>
            </w:rPr>
            <w:fldChar w:fldCharType="separate"/>
          </w:r>
          <w:r>
            <w:rPr>
              <w:rFonts w:hint="eastAsia" w:ascii="宋体" w:hAnsi="宋体" w:eastAsia="宋体" w:cs="Times New Roman"/>
              <w:color w:val="auto"/>
              <w:highlight w:val="none"/>
            </w:rPr>
            <w:t>32.合同生效和签约地</w:t>
          </w:r>
          <w:r>
            <w:rPr>
              <w:color w:val="auto"/>
              <w:highlight w:val="none"/>
            </w:rPr>
            <w:tab/>
          </w:r>
          <w:bookmarkStart w:id="1137" w:name="_Toc7517_WPSOffice_Level2Page"/>
          <w:r>
            <w:rPr>
              <w:color w:val="auto"/>
              <w:highlight w:val="none"/>
            </w:rPr>
            <w:t>47</w:t>
          </w:r>
          <w:bookmarkEnd w:id="1137"/>
          <w:r>
            <w:rPr>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"_Toc27182_WPSOffice_Level1" </w:instrText>
          </w:r>
          <w:r>
            <w:rPr>
              <w:color w:val="auto"/>
              <w:highlight w:val="none"/>
            </w:rPr>
            <w:fldChar w:fldCharType="separate"/>
          </w: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b/>
              <w:bCs/>
              <w:color w:val="auto"/>
              <w:highlight w:val="none"/>
            </w:rPr>
            <w:tab/>
          </w:r>
          <w:bookmarkStart w:id="1138" w:name="_Toc27182_WPSOffice_Level1Page"/>
          <w:r>
            <w:rPr>
              <w:b/>
              <w:bCs/>
              <w:color w:val="auto"/>
              <w:highlight w:val="none"/>
            </w:rPr>
            <w:t>49</w:t>
          </w:r>
          <w:bookmarkEnd w:id="1138"/>
          <w:r>
            <w:rPr>
              <w:b/>
              <w:bCs/>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"_Toc25584_WPSOffice_Level1" </w:instrText>
          </w:r>
          <w:r>
            <w:rPr>
              <w:color w:val="auto"/>
              <w:highlight w:val="none"/>
            </w:rPr>
            <w:fldChar w:fldCharType="separate"/>
          </w:r>
          <w:r>
            <w:rPr>
              <w:rFonts w:hint="eastAsia"/>
              <w:b/>
              <w:bCs/>
              <w:color w:val="auto"/>
              <w:highlight w:val="none"/>
            </w:rPr>
            <w:t xml:space="preserve">第六部分 </w:t>
          </w:r>
          <w:r>
            <w:rPr>
              <w:b/>
              <w:bCs/>
              <w:color w:val="auto"/>
              <w:highlight w:val="none"/>
            </w:rPr>
            <w:t>合同附件及格式</w:t>
          </w:r>
          <w:r>
            <w:rPr>
              <w:b/>
              <w:bCs/>
              <w:color w:val="auto"/>
              <w:highlight w:val="none"/>
            </w:rPr>
            <w:tab/>
          </w:r>
          <w:bookmarkStart w:id="1139" w:name="_Toc25584_WPSOffice_Level1Page"/>
          <w:r>
            <w:rPr>
              <w:b/>
              <w:bCs/>
              <w:color w:val="auto"/>
              <w:highlight w:val="none"/>
            </w:rPr>
            <w:t>50</w:t>
          </w:r>
          <w:bookmarkEnd w:id="1139"/>
          <w:r>
            <w:rPr>
              <w:b/>
              <w:bCs/>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"_Toc22695_WPSOffice_Level2" </w:instrText>
          </w:r>
          <w:r>
            <w:rPr>
              <w:color w:val="auto"/>
              <w:highlight w:val="none"/>
            </w:rPr>
            <w:fldChar w:fldCharType="separate"/>
          </w:r>
          <w:r>
            <w:rPr>
              <w:rFonts w:hint="eastAsia" w:ascii="宋体" w:hAnsi="宋体" w:eastAsia="宋体" w:cs="Times New Roman"/>
              <w:color w:val="auto"/>
              <w:highlight w:val="none"/>
            </w:rPr>
            <w:t>1.履约保证金缴纳凭证（履约保函格式附后）</w:t>
          </w:r>
          <w:r>
            <w:rPr>
              <w:color w:val="auto"/>
              <w:highlight w:val="none"/>
            </w:rPr>
            <w:tab/>
          </w:r>
          <w:bookmarkStart w:id="1140" w:name="_Toc22695_WPSOffice_Level2Page"/>
          <w:r>
            <w:rPr>
              <w:color w:val="auto"/>
              <w:highlight w:val="none"/>
            </w:rPr>
            <w:t>50</w:t>
          </w:r>
          <w:bookmarkEnd w:id="114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"_Toc25351_WPSOffice_Level2" </w:instrText>
          </w:r>
          <w:r>
            <w:rPr>
              <w:color w:val="auto"/>
              <w:highlight w:val="none"/>
            </w:rPr>
            <w:fldChar w:fldCharType="separate"/>
          </w:r>
          <w:r>
            <w:rPr>
              <w:rFonts w:hint="eastAsia" w:ascii="宋体" w:hAnsi="宋体" w:eastAsia="宋体" w:cs="Times New Roman"/>
              <w:color w:val="auto"/>
              <w:highlight w:val="none"/>
            </w:rPr>
            <w:t>2.乙方营业执照或资质证书等（如有）</w:t>
          </w:r>
          <w:r>
            <w:rPr>
              <w:color w:val="auto"/>
              <w:highlight w:val="none"/>
            </w:rPr>
            <w:tab/>
          </w:r>
          <w:bookmarkStart w:id="1141" w:name="_Toc25351_WPSOffice_Level2Page"/>
          <w:r>
            <w:rPr>
              <w:color w:val="auto"/>
              <w:highlight w:val="none"/>
            </w:rPr>
            <w:t>50</w:t>
          </w:r>
          <w:bookmarkEnd w:id="114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"_Toc14500_WPSOffice_Level2" </w:instrText>
          </w:r>
          <w:r>
            <w:rPr>
              <w:color w:val="auto"/>
              <w:highlight w:val="none"/>
            </w:rPr>
            <w:fldChar w:fldCharType="separate"/>
          </w:r>
          <w:r>
            <w:rPr>
              <w:rFonts w:hint="eastAsia" w:ascii="宋体" w:hAnsi="宋体" w:eastAsia="宋体" w:cs="Times New Roman"/>
              <w:color w:val="auto"/>
              <w:highlight w:val="none"/>
            </w:rPr>
            <w:t>3.乙方法人授权委托书（如有）</w:t>
          </w:r>
          <w:r>
            <w:rPr>
              <w:color w:val="auto"/>
              <w:highlight w:val="none"/>
            </w:rPr>
            <w:tab/>
          </w:r>
          <w:bookmarkStart w:id="1142" w:name="_Toc14500_WPSOffice_Level2Page"/>
          <w:r>
            <w:rPr>
              <w:color w:val="auto"/>
              <w:highlight w:val="none"/>
            </w:rPr>
            <w:t>50</w:t>
          </w:r>
          <w:bookmarkEnd w:id="114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"_Toc7492_WPSOffice_Level2" </w:instrText>
          </w:r>
          <w:r>
            <w:rPr>
              <w:color w:val="auto"/>
              <w:highlight w:val="none"/>
            </w:rPr>
            <w:fldChar w:fldCharType="separate"/>
          </w:r>
          <w:r>
            <w:rPr>
              <w:rFonts w:hint="eastAsia" w:ascii="宋体" w:hAnsi="宋体" w:eastAsia="宋体" w:cs="Times New Roman"/>
              <w:color w:val="auto"/>
              <w:highlight w:val="none"/>
            </w:rPr>
            <w:t>4.原厂授权证明（如有）</w:t>
          </w:r>
          <w:r>
            <w:rPr>
              <w:color w:val="auto"/>
              <w:highlight w:val="none"/>
            </w:rPr>
            <w:tab/>
          </w:r>
          <w:bookmarkStart w:id="1143" w:name="_Toc7492_WPSOffice_Level2Page"/>
          <w:r>
            <w:rPr>
              <w:color w:val="auto"/>
              <w:highlight w:val="none"/>
            </w:rPr>
            <w:t>50</w:t>
          </w:r>
          <w:bookmarkEnd w:id="114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"_Toc13292_WPSOffice_Level2" </w:instrText>
          </w:r>
          <w:r>
            <w:rPr>
              <w:color w:val="auto"/>
              <w:highlight w:val="none"/>
            </w:rPr>
            <w:fldChar w:fldCharType="separate"/>
          </w:r>
          <w:r>
            <w:rPr>
              <w:rFonts w:hint="eastAsia" w:ascii="宋体" w:hAnsi="宋体" w:eastAsia="宋体" w:cs="Times New Roman"/>
              <w:color w:val="auto"/>
              <w:highlight w:val="none"/>
            </w:rPr>
            <w:t>5.供货证明格式（如有）</w:t>
          </w:r>
          <w:r>
            <w:rPr>
              <w:color w:val="auto"/>
              <w:highlight w:val="none"/>
            </w:rPr>
            <w:tab/>
          </w:r>
          <w:bookmarkStart w:id="1144" w:name="_Toc13292_WPSOffice_Level2Page"/>
          <w:r>
            <w:rPr>
              <w:color w:val="auto"/>
              <w:highlight w:val="none"/>
            </w:rPr>
            <w:t>50</w:t>
          </w:r>
          <w:bookmarkEnd w:id="114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"_Toc912_WPSOffice_Level2" </w:instrText>
          </w:r>
          <w:r>
            <w:rPr>
              <w:color w:val="auto"/>
              <w:highlight w:val="none"/>
            </w:rPr>
            <w:fldChar w:fldCharType="separate"/>
          </w:r>
          <w:r>
            <w:rPr>
              <w:rFonts w:hint="eastAsia" w:ascii="宋体" w:hAnsi="宋体" w:eastAsia="宋体" w:cs="Times New Roman"/>
              <w:color w:val="auto"/>
              <w:highlight w:val="none"/>
            </w:rPr>
            <w:t>6.交货通知格式（如有）</w:t>
          </w:r>
          <w:r>
            <w:rPr>
              <w:color w:val="auto"/>
              <w:highlight w:val="none"/>
            </w:rPr>
            <w:tab/>
          </w:r>
          <w:bookmarkStart w:id="1145" w:name="_Toc912_WPSOffice_Level2Page"/>
          <w:r>
            <w:rPr>
              <w:color w:val="auto"/>
              <w:highlight w:val="none"/>
            </w:rPr>
            <w:t>50</w:t>
          </w:r>
          <w:bookmarkEnd w:id="114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"_Toc30271_WPSOffice_Level2" </w:instrText>
          </w:r>
          <w:r>
            <w:rPr>
              <w:color w:val="auto"/>
              <w:highlight w:val="none"/>
            </w:rPr>
            <w:fldChar w:fldCharType="separate"/>
          </w:r>
          <w:r>
            <w:rPr>
              <w:rFonts w:hint="eastAsia" w:ascii="宋体" w:hAnsi="宋体" w:eastAsia="宋体" w:cs="Times New Roman"/>
              <w:color w:val="auto"/>
              <w:highlight w:val="none"/>
            </w:rPr>
            <w:t>7.送货单格式（如有）</w:t>
          </w:r>
          <w:r>
            <w:rPr>
              <w:color w:val="auto"/>
              <w:highlight w:val="none"/>
            </w:rPr>
            <w:tab/>
          </w:r>
          <w:bookmarkStart w:id="1146" w:name="_Toc30271_WPSOffice_Level2Page"/>
          <w:r>
            <w:rPr>
              <w:color w:val="auto"/>
              <w:highlight w:val="none"/>
            </w:rPr>
            <w:t>50</w:t>
          </w:r>
          <w:bookmarkEnd w:id="1146"/>
          <w:r>
            <w:rPr>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"_Toc780_WPSOffice_Level1" </w:instrText>
          </w:r>
          <w:r>
            <w:rPr>
              <w:color w:val="auto"/>
              <w:highlight w:val="none"/>
            </w:rPr>
            <w:fldChar w:fldCharType="separate"/>
          </w:r>
          <w:r>
            <w:rPr>
              <w:b/>
              <w:bCs/>
              <w:color w:val="auto"/>
              <w:highlight w:val="none"/>
            </w:rPr>
            <w:t>第</w:t>
          </w:r>
          <w:r>
            <w:rPr>
              <w:rFonts w:hint="eastAsia"/>
              <w:b/>
              <w:bCs/>
              <w:color w:val="auto"/>
              <w:highlight w:val="none"/>
            </w:rPr>
            <w:t>七</w:t>
          </w:r>
          <w:r>
            <w:rPr>
              <w:b/>
              <w:bCs/>
              <w:color w:val="auto"/>
              <w:highlight w:val="none"/>
            </w:rPr>
            <w:t>部分</w:t>
          </w:r>
          <w:r>
            <w:rPr>
              <w:rFonts w:hint="eastAsia"/>
              <w:b/>
              <w:bCs/>
              <w:color w:val="auto"/>
              <w:highlight w:val="none"/>
            </w:rPr>
            <w:t xml:space="preserve"> 比选文件</w:t>
          </w:r>
          <w:r>
            <w:rPr>
              <w:b/>
              <w:bCs/>
              <w:color w:val="auto"/>
              <w:highlight w:val="none"/>
            </w:rPr>
            <w:tab/>
          </w:r>
          <w:bookmarkStart w:id="1147" w:name="_Toc780_WPSOffice_Level1Page"/>
          <w:r>
            <w:rPr>
              <w:b/>
              <w:bCs/>
              <w:color w:val="auto"/>
              <w:highlight w:val="none"/>
            </w:rPr>
            <w:t>56</w:t>
          </w:r>
          <w:bookmarkEnd w:id="1147"/>
          <w:r>
            <w:rPr>
              <w:b/>
              <w:bCs/>
              <w:color w:val="auto"/>
              <w:highlight w:val="none"/>
            </w:rPr>
            <w:fldChar w:fldCharType="end"/>
          </w:r>
        </w:p>
        <w:p>
          <w:pPr>
            <w:pStyle w:val="57"/>
            <w:tabs>
              <w:tab w:val="right" w:leader="dot" w:pos="9071"/>
            </w:tabs>
            <w:rPr>
              <w:color w:val="auto"/>
              <w:highlight w:val="none"/>
            </w:rPr>
          </w:pPr>
          <w:r>
            <w:rPr>
              <w:color w:val="auto"/>
              <w:highlight w:val="none"/>
            </w:rPr>
            <w:fldChar w:fldCharType="begin"/>
          </w:r>
          <w:r>
            <w:rPr>
              <w:color w:val="auto"/>
              <w:highlight w:val="none"/>
            </w:rPr>
            <w:instrText xml:space="preserve"> HYPERLINK \l "_Toc3522_WPSOffice_Level1" </w:instrText>
          </w:r>
          <w:r>
            <w:rPr>
              <w:color w:val="auto"/>
              <w:highlight w:val="none"/>
            </w:rPr>
            <w:fldChar w:fldCharType="separate"/>
          </w:r>
          <w:r>
            <w:rPr>
              <w:b/>
              <w:bCs/>
              <w:color w:val="auto"/>
              <w:highlight w:val="none"/>
            </w:rPr>
            <w:t>第</w:t>
          </w:r>
          <w:r>
            <w:rPr>
              <w:rFonts w:hint="eastAsia"/>
              <w:b/>
              <w:bCs/>
              <w:color w:val="auto"/>
              <w:highlight w:val="none"/>
            </w:rPr>
            <w:t>八</w:t>
          </w:r>
          <w:r>
            <w:rPr>
              <w:b/>
              <w:bCs/>
              <w:color w:val="auto"/>
              <w:highlight w:val="none"/>
            </w:rPr>
            <w:t>部分</w:t>
          </w:r>
          <w:r>
            <w:rPr>
              <w:rFonts w:hint="eastAsia"/>
              <w:b/>
              <w:bCs/>
              <w:color w:val="auto"/>
              <w:highlight w:val="none"/>
            </w:rPr>
            <w:t xml:space="preserve"> 比选申请文件</w:t>
          </w:r>
          <w:r>
            <w:rPr>
              <w:b/>
              <w:bCs/>
              <w:color w:val="auto"/>
              <w:highlight w:val="none"/>
            </w:rPr>
            <w:tab/>
          </w:r>
          <w:bookmarkStart w:id="1148" w:name="_Toc3522_WPSOffice_Level1Page"/>
          <w:r>
            <w:rPr>
              <w:b/>
              <w:bCs/>
              <w:color w:val="auto"/>
              <w:highlight w:val="none"/>
            </w:rPr>
            <w:t>57</w:t>
          </w:r>
          <w:bookmarkEnd w:id="1148"/>
          <w:r>
            <w:rPr>
              <w:b/>
              <w:bCs/>
              <w:color w:val="auto"/>
              <w:highlight w:val="none"/>
            </w:rPr>
            <w:fldChar w:fldCharType="end"/>
          </w:r>
        </w:p>
        <w:p>
          <w:pPr>
            <w:pStyle w:val="60"/>
            <w:tabs>
              <w:tab w:val="right" w:leader="dot" w:pos="9071"/>
            </w:tabs>
            <w:ind w:left="420" w:firstLine="400" w:firstLineChars="200"/>
            <w:rPr>
              <w:rFonts w:ascii="宋体" w:hAnsi="宋体"/>
              <w:color w:val="auto"/>
              <w:highlight w:val="none"/>
            </w:rPr>
          </w:pPr>
        </w:p>
      </w:sdtContent>
    </w:sdt>
    <w:p>
      <w:pPr>
        <w:spacing w:before="0"/>
        <w:ind w:right="0"/>
        <w:jc w:val="center"/>
        <w:outlineLvl w:val="1"/>
        <w:rPr>
          <w:rFonts w:ascii="宋体" w:hAnsi="宋体"/>
          <w:b/>
          <w:color w:val="auto"/>
          <w:sz w:val="24"/>
          <w:szCs w:val="24"/>
          <w:highlight w:val="none"/>
        </w:rPr>
      </w:pPr>
      <w:bookmarkStart w:id="1149" w:name="_Toc2231_WPSOffice_Level1"/>
      <w:bookmarkStart w:id="1150" w:name="_Toc29797"/>
      <w:bookmarkStart w:id="1151" w:name="_Toc1289"/>
      <w:bookmarkStart w:id="1152" w:name="_Toc12983547"/>
      <w:bookmarkStart w:id="1153" w:name="_Toc31368"/>
      <w:bookmarkStart w:id="1154" w:name="_Toc6950"/>
      <w:bookmarkStart w:id="1155" w:name="_Toc8999"/>
      <w:bookmarkStart w:id="1156" w:name="_Toc7587"/>
      <w:bookmarkStart w:id="1157" w:name="_Toc6190"/>
      <w:bookmarkStart w:id="1158" w:name="_Toc3517"/>
      <w:bookmarkStart w:id="1159" w:name="_Toc25828"/>
      <w:bookmarkStart w:id="1160" w:name="_Toc29540"/>
      <w:bookmarkStart w:id="1161" w:name="_Toc32403"/>
      <w:bookmarkStart w:id="1162" w:name="_Toc13761"/>
      <w:bookmarkStart w:id="1163" w:name="_Toc2618"/>
      <w:bookmarkStart w:id="1164" w:name="_Toc12860_WPSOffice_Level2"/>
      <w:bookmarkStart w:id="1165" w:name="_Toc4026"/>
      <w:bookmarkStart w:id="1166" w:name="_Toc31254"/>
      <w:bookmarkStart w:id="1167" w:name="_Toc14619"/>
      <w:bookmarkStart w:id="1168" w:name="_Toc14463"/>
      <w:bookmarkStart w:id="1169" w:name="_Toc7236"/>
      <w:bookmarkStart w:id="1170" w:name="_Toc15840"/>
      <w:bookmarkStart w:id="1171" w:name="_Toc22083"/>
      <w:bookmarkStart w:id="1172" w:name="_Toc20060"/>
      <w:bookmarkStart w:id="1173" w:name="_Toc3488"/>
      <w:bookmarkStart w:id="1174" w:name="_Toc25750633"/>
      <w:bookmarkStart w:id="1175" w:name="_Toc684"/>
      <w:bookmarkStart w:id="1176" w:name="_Toc31212"/>
      <w:r>
        <w:rPr>
          <w:rFonts w:hint="eastAsia" w:ascii="宋体" w:hAnsi="宋体"/>
          <w:b/>
          <w:color w:val="auto"/>
          <w:sz w:val="24"/>
          <w:szCs w:val="24"/>
          <w:highlight w:val="none"/>
        </w:rPr>
        <w:t>第一部分 合同协</w:t>
      </w:r>
      <w:bookmarkEnd w:id="1149"/>
      <w:r>
        <w:rPr>
          <w:rFonts w:hint="eastAsia" w:ascii="宋体" w:hAnsi="宋体"/>
          <w:b/>
          <w:color w:val="auto"/>
          <w:sz w:val="24"/>
          <w:szCs w:val="24"/>
          <w:highlight w:val="none"/>
        </w:rPr>
        <w:t>议书</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甲方（全称）：</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乙方（全称）：</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本协议由南宁轨道交通运营有限公司（下称“甲方”或业主）与（下称“乙方”），双方根据</w:t>
      </w:r>
      <w:r>
        <w:rPr>
          <w:rFonts w:hint="eastAsia" w:ascii="宋体" w:hAnsi="宋体"/>
          <w:color w:val="auto"/>
          <w:highlight w:val="none"/>
          <w:u w:val="single"/>
        </w:rPr>
        <w:t>南宁轨道交通1、2、3号线专用通信、AFC系统故障件委外维修服务项目（2022-2023年）</w:t>
      </w:r>
      <w:r>
        <w:rPr>
          <w:rFonts w:hint="eastAsia" w:ascii="宋体" w:hAnsi="宋体"/>
          <w:color w:val="auto"/>
          <w:highlight w:val="none"/>
        </w:rPr>
        <w:t>（项目编号：202210280001）比选结果，依据《中华人民共和国民法典》的规定，签订协议。具体内容如下：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1.1项目名称：南宁轨道交通1、2、3号线专用通信、AFC系统故障件委外维修服务项目（2022-2023年）</w:t>
      </w:r>
      <w:r>
        <w:rPr>
          <w:rFonts w:hint="eastAsia" w:ascii="宋体" w:hAnsi="宋体"/>
          <w:color w:val="auto"/>
          <w:highlight w:val="none"/>
        </w:rPr>
        <w:t>。</w:t>
      </w:r>
    </w:p>
    <w:p>
      <w:pPr>
        <w:tabs>
          <w:tab w:val="left" w:pos="1134"/>
          <w:tab w:val="left" w:pos="1680"/>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1.2项目实施地点：无</w:t>
      </w:r>
      <w:r>
        <w:rPr>
          <w:rFonts w:hint="eastAsia" w:ascii="宋体" w:hAnsi="宋体"/>
          <w:color w:val="auto"/>
          <w:highlight w:val="none"/>
        </w:rPr>
        <w:t>。</w:t>
      </w:r>
    </w:p>
    <w:p>
      <w:pPr>
        <w:tabs>
          <w:tab w:val="left" w:pos="1134"/>
          <w:tab w:val="left" w:pos="1680"/>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1.3项目范围：</w:t>
      </w:r>
      <w:r>
        <w:rPr>
          <w:rFonts w:hint="eastAsia" w:cs="宋体" w:asciiTheme="minorEastAsia" w:hAnsiTheme="minorEastAsia" w:eastAsiaTheme="minorEastAsia"/>
          <w:color w:val="auto"/>
          <w:kern w:val="2"/>
          <w:highlight w:val="none"/>
        </w:rPr>
        <w:t>南宁轨道交通1、2、3号线专用通信、AFC系统故障件共计14项65件故障件的维修及修后质保服务工作，故障件清单详见用户需求书附件1。故障件的维修包含故障件的包装、运输、检测、维修，修复件的出厂检验、运输、软硬件的调试及质保期内出现故障免费维修等</w:t>
      </w:r>
      <w:r>
        <w:rPr>
          <w:rFonts w:hint="eastAsia" w:ascii="宋体" w:hAnsi="宋体" w:cs="Arial"/>
          <w:color w:val="auto"/>
          <w:highlight w:val="none"/>
        </w:rPr>
        <w:t>，具体详见用户需求书。</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firstLineChars="200"/>
        <w:rPr>
          <w:color w:val="auto"/>
          <w:highlight w:val="none"/>
        </w:rPr>
      </w:pPr>
      <w:r>
        <w:rPr>
          <w:rFonts w:hint="eastAsia"/>
          <w:color w:val="auto"/>
          <w:highlight w:val="none"/>
        </w:rPr>
        <w:t>甲方同意接受，乙方同意作为中选方并以下列第4条所述价格提供</w:t>
      </w:r>
      <w:r>
        <w:rPr>
          <w:rFonts w:hint="eastAsia" w:ascii="宋体" w:hAnsi="宋体"/>
          <w:color w:val="auto"/>
          <w:highlight w:val="none"/>
          <w:u w:val="single"/>
        </w:rPr>
        <w:t>南宁轨道交通1、2、3号线专用通信、AFC系统故障件委外维修服务项目（2022-2023年）</w:t>
      </w:r>
      <w:r>
        <w:rPr>
          <w:rFonts w:hint="eastAsia"/>
          <w:color w:val="auto"/>
          <w:highlight w:val="none"/>
        </w:rPr>
        <w:t>项下的</w:t>
      </w:r>
      <w:r>
        <w:rPr>
          <w:rFonts w:hint="eastAsia"/>
          <w:color w:val="auto"/>
          <w:highlight w:val="none"/>
          <w:u w:val="single"/>
        </w:rPr>
        <w:t xml:space="preserve"> 故障件维修服务（包括但不限于故障件从送修至返还的全过程所产生的包装、运输、检测、维修，修复件的出厂检验、运输、软硬件的调试及质保期内出现故障免费维修等一切费用）。</w:t>
      </w:r>
    </w:p>
    <w:p>
      <w:pPr>
        <w:tabs>
          <w:tab w:val="left" w:pos="1134"/>
          <w:tab w:val="left" w:pos="1680"/>
        </w:tabs>
        <w:spacing w:before="0" w:after="0" w:afterAutospacing="0"/>
        <w:ind w:left="0" w:right="0" w:firstLine="422"/>
        <w:rPr>
          <w:rFonts w:ascii="宋体" w:hAnsi="宋体" w:cs="Arial"/>
          <w:b/>
          <w:color w:val="auto"/>
          <w:highlight w:val="none"/>
        </w:rPr>
      </w:pPr>
      <w:r>
        <w:rPr>
          <w:rFonts w:hint="eastAsia" w:ascii="宋体" w:hAnsi="宋体" w:cs="Arial"/>
          <w:b/>
          <w:color w:val="auto"/>
          <w:highlight w:val="none"/>
        </w:rPr>
        <w:t>3.服务期</w:t>
      </w:r>
    </w:p>
    <w:p>
      <w:pPr>
        <w:pStyle w:val="14"/>
        <w:spacing w:before="0" w:afterAutospacing="0"/>
        <w:ind w:left="0" w:right="0" w:firstLine="420" w:firstLineChars="200"/>
        <w:rPr>
          <w:rFonts w:hAnsi="宋体"/>
          <w:b/>
          <w:color w:val="auto"/>
          <w:sz w:val="21"/>
          <w:szCs w:val="21"/>
          <w:highlight w:val="none"/>
        </w:rPr>
      </w:pPr>
      <w:r>
        <w:rPr>
          <w:rFonts w:hint="eastAsia" w:hAnsi="宋体"/>
          <w:color w:val="auto"/>
          <w:sz w:val="21"/>
          <w:szCs w:val="21"/>
          <w:highlight w:val="none"/>
        </w:rPr>
        <w:t>南宁轨道交通1、2、3号线专用通信、AFC系统故障件委外维修服务项目（2022-2023年）服务期：本项目计划服务期为90天（自合同签订之日起开始计算）。</w:t>
      </w:r>
    </w:p>
    <w:p>
      <w:pPr>
        <w:tabs>
          <w:tab w:val="left" w:pos="567"/>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w:t>
      </w:r>
      <w:r>
        <w:rPr>
          <w:rFonts w:ascii="宋体" w:hAnsi="宋体"/>
          <w:b/>
          <w:color w:val="auto"/>
          <w:highlight w:val="none"/>
        </w:rPr>
        <w:t>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本项目合同价格为：不含税价：人民币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5</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bookmarkStart w:id="1177" w:name="_Toc98_WPSOffice_Level2"/>
      <w:bookmarkStart w:id="1178" w:name="_Toc20006_WPSOffice_Level2"/>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bookmarkEnd w:id="1177"/>
      <w:bookmarkEnd w:id="1178"/>
    </w:p>
    <w:p>
      <w:pPr>
        <w:spacing w:before="0" w:after="0" w:afterAutospacing="0"/>
        <w:ind w:left="0" w:right="0" w:firstLine="420" w:firstLineChars="200"/>
        <w:rPr>
          <w:rFonts w:ascii="宋体" w:hAnsi="宋体"/>
          <w:color w:val="auto"/>
          <w:highlight w:val="none"/>
        </w:rPr>
      </w:pPr>
      <w:bookmarkStart w:id="1179" w:name="_Toc2431_WPSOffice_Level2"/>
      <w:bookmarkStart w:id="1180" w:name="_Toc28765_WPSOffice_Level2"/>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bookmarkEnd w:id="1179"/>
      <w:bookmarkEnd w:id="1180"/>
    </w:p>
    <w:p>
      <w:pPr>
        <w:spacing w:before="0" w:after="0" w:afterAutospacing="0"/>
        <w:ind w:left="0" w:right="0" w:firstLine="420" w:firstLineChars="200"/>
        <w:rPr>
          <w:rFonts w:ascii="宋体" w:hAnsi="宋体"/>
          <w:color w:val="auto"/>
          <w:highlight w:val="none"/>
        </w:rPr>
      </w:pPr>
      <w:bookmarkStart w:id="1181" w:name="_Toc27182_WPSOffice_Level2"/>
      <w:bookmarkStart w:id="1182" w:name="_Toc23916_WPSOffice_Level2"/>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）价格组成文件；</w:t>
      </w:r>
      <w:bookmarkEnd w:id="1181"/>
      <w:bookmarkEnd w:id="1182"/>
    </w:p>
    <w:p>
      <w:pPr>
        <w:spacing w:before="0" w:after="0" w:afterAutospacing="0"/>
        <w:ind w:left="0" w:right="0" w:firstLine="420" w:firstLineChars="200"/>
        <w:rPr>
          <w:rFonts w:ascii="宋体" w:hAnsi="宋体"/>
          <w:color w:val="auto"/>
          <w:highlight w:val="none"/>
        </w:rPr>
      </w:pPr>
      <w:bookmarkStart w:id="1183" w:name="_Toc25584_WPSOffice_Level2"/>
      <w:bookmarkStart w:id="1184" w:name="_Toc21195_WPSOffice_Level2"/>
      <w:r>
        <w:rPr>
          <w:rFonts w:hint="eastAsia" w:ascii="宋体" w:hAnsi="宋体"/>
          <w:color w:val="auto"/>
          <w:highlight w:val="none"/>
        </w:rPr>
        <w:t>（4）合同条款；</w:t>
      </w:r>
      <w:bookmarkEnd w:id="1183"/>
      <w:bookmarkEnd w:id="1184"/>
    </w:p>
    <w:p>
      <w:pPr>
        <w:spacing w:before="0" w:after="0" w:afterAutospacing="0"/>
        <w:ind w:left="0" w:right="0" w:firstLine="420" w:firstLineChars="200"/>
        <w:rPr>
          <w:rFonts w:ascii="宋体" w:hAnsi="宋体"/>
          <w:color w:val="auto"/>
          <w:highlight w:val="none"/>
        </w:rPr>
      </w:pPr>
      <w:bookmarkStart w:id="1185" w:name="_Toc8808_WPSOffice_Level2"/>
      <w:bookmarkStart w:id="1186" w:name="_Toc780_WPSOffice_Level2"/>
      <w:r>
        <w:rPr>
          <w:rFonts w:hint="eastAsia" w:ascii="宋体" w:hAnsi="宋体"/>
          <w:color w:val="auto"/>
          <w:highlight w:val="none"/>
        </w:rPr>
        <w:t>（5）技术规格书；</w:t>
      </w:r>
      <w:bookmarkEnd w:id="1185"/>
      <w:bookmarkEnd w:id="1186"/>
    </w:p>
    <w:p>
      <w:pPr>
        <w:spacing w:before="0" w:after="0" w:afterAutospacing="0"/>
        <w:ind w:left="0" w:right="0" w:firstLine="420" w:firstLineChars="200"/>
        <w:rPr>
          <w:rFonts w:ascii="宋体" w:hAnsi="宋体"/>
          <w:color w:val="auto"/>
          <w:highlight w:val="none"/>
        </w:rPr>
      </w:pPr>
      <w:bookmarkStart w:id="1187" w:name="_Toc23251_WPSOffice_Level2"/>
      <w:bookmarkStart w:id="1188" w:name="_Toc3522_WPSOffice_Level2"/>
      <w:r>
        <w:rPr>
          <w:rFonts w:hint="eastAsia" w:ascii="宋体" w:hAnsi="宋体"/>
          <w:color w:val="auto"/>
          <w:highlight w:val="none"/>
        </w:rPr>
        <w:t>（6）合同附件；</w:t>
      </w:r>
      <w:bookmarkEnd w:id="1187"/>
      <w:bookmarkEnd w:id="1188"/>
    </w:p>
    <w:p>
      <w:pPr>
        <w:spacing w:before="0" w:after="0" w:afterAutospacing="0"/>
        <w:ind w:left="0" w:right="0" w:firstLine="420" w:firstLineChars="200"/>
        <w:rPr>
          <w:rFonts w:ascii="宋体" w:hAnsi="宋体"/>
          <w:color w:val="auto"/>
          <w:highlight w:val="none"/>
        </w:rPr>
      </w:pPr>
      <w:bookmarkStart w:id="1189" w:name="_Toc19950_WPSOffice_Level2"/>
      <w:bookmarkStart w:id="1190" w:name="_Toc22659_WPSOffice_Level2"/>
      <w:r>
        <w:rPr>
          <w:rFonts w:hint="eastAsia" w:ascii="宋体" w:hAnsi="宋体"/>
          <w:color w:val="auto"/>
          <w:highlight w:val="none"/>
        </w:rPr>
        <w:t>（7）比选文件（含比选补充文件）；</w:t>
      </w:r>
      <w:bookmarkEnd w:id="1189"/>
      <w:bookmarkEnd w:id="1190"/>
    </w:p>
    <w:p>
      <w:pPr>
        <w:spacing w:before="0" w:after="0" w:afterAutospacing="0"/>
        <w:ind w:left="0" w:right="0" w:firstLine="420" w:firstLineChars="200"/>
        <w:rPr>
          <w:rFonts w:ascii="宋体" w:hAnsi="宋体"/>
          <w:color w:val="auto"/>
          <w:highlight w:val="none"/>
        </w:rPr>
      </w:pPr>
      <w:bookmarkStart w:id="1191" w:name="_Toc25393_WPSOffice_Level2"/>
      <w:bookmarkStart w:id="1192" w:name="_Toc21645_WPSOffice_Level2"/>
      <w:r>
        <w:rPr>
          <w:rFonts w:hint="eastAsia" w:ascii="宋体" w:hAnsi="宋体"/>
          <w:color w:val="auto"/>
          <w:highlight w:val="none"/>
        </w:rPr>
        <w:t>（8）比选申请文件（含比选申请文件的补充文件）。</w:t>
      </w:r>
      <w:bookmarkEnd w:id="1191"/>
      <w:bookmarkEnd w:id="1192"/>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color w:val="auto"/>
          <w:highlight w:val="none"/>
        </w:rPr>
        <w:t>。</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 乙方向甲方承诺严格履行合同条款义务，按合同约定承担本合同责任。</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7. 甲方向乙方承诺按合同条款约定的条件、时间和方式支付合同价款。</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8.</w:t>
      </w:r>
      <w:r>
        <w:rPr>
          <w:rFonts w:hint="eastAsia"/>
          <w:color w:val="auto"/>
          <w:highlight w:val="none"/>
        </w:rPr>
        <w:t>双方依据本次比选文件中的用户需求书及乙方比选申请文件（如技术响应表、技术文件等），按照二者较优值形成技术规格书，并经双方确认后构成本合同的有效组成部分。在本合同执行中（的系统技术指标）以技术规格书为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9. 甲方、乙方承诺按照合同条款约定的违约责任和解决争议方式履行合同。</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10.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11.本合同用中文书写，正本</w:t>
      </w:r>
      <w:r>
        <w:rPr>
          <w:rFonts w:hint="eastAsia" w:ascii="宋体" w:hAnsi="宋体" w:cs="宋体"/>
          <w:color w:val="auto"/>
          <w:highlight w:val="none"/>
          <w:u w:val="single"/>
        </w:rPr>
        <w:t>2</w:t>
      </w:r>
      <w:r>
        <w:rPr>
          <w:rFonts w:hint="eastAsia" w:ascii="宋体" w:hAnsi="宋体" w:cs="宋体"/>
          <w:color w:val="auto"/>
          <w:highlight w:val="none"/>
        </w:rPr>
        <w:t>份，甲、乙方各</w:t>
      </w:r>
      <w:r>
        <w:rPr>
          <w:rFonts w:hint="eastAsia" w:ascii="宋体" w:hAnsi="宋体" w:cs="宋体"/>
          <w:color w:val="auto"/>
          <w:highlight w:val="none"/>
          <w:u w:val="single"/>
        </w:rPr>
        <w:t>1</w:t>
      </w:r>
      <w:r>
        <w:rPr>
          <w:rFonts w:hint="eastAsia" w:ascii="宋体" w:hAnsi="宋体" w:cs="宋体"/>
          <w:color w:val="auto"/>
          <w:highlight w:val="none"/>
        </w:rPr>
        <w:t>份；副本</w:t>
      </w:r>
      <w:r>
        <w:rPr>
          <w:rFonts w:hint="eastAsia" w:ascii="宋体" w:hAnsi="宋体" w:cs="宋体"/>
          <w:color w:val="auto"/>
          <w:highlight w:val="none"/>
          <w:u w:val="single"/>
        </w:rPr>
        <w:t>8</w:t>
      </w:r>
      <w:r>
        <w:rPr>
          <w:rFonts w:hint="eastAsia" w:ascii="宋体" w:hAnsi="宋体" w:cs="宋体"/>
          <w:color w:val="auto"/>
          <w:highlight w:val="none"/>
        </w:rPr>
        <w:t xml:space="preserve">份，甲方持 </w:t>
      </w:r>
      <w:r>
        <w:rPr>
          <w:rFonts w:hint="eastAsia" w:ascii="宋体" w:hAnsi="宋体" w:cs="宋体"/>
          <w:color w:val="auto"/>
          <w:highlight w:val="none"/>
          <w:u w:val="single"/>
        </w:rPr>
        <w:t>7</w:t>
      </w:r>
      <w:r>
        <w:rPr>
          <w:rFonts w:hint="eastAsia" w:ascii="宋体" w:hAnsi="宋体" w:cs="宋体"/>
          <w:color w:val="auto"/>
          <w:highlight w:val="none"/>
        </w:rPr>
        <w:t>份，乙方持</w:t>
      </w:r>
      <w:r>
        <w:rPr>
          <w:rFonts w:hint="eastAsia" w:ascii="宋体" w:hAnsi="宋体" w:cs="宋体"/>
          <w:color w:val="auto"/>
          <w:highlight w:val="none"/>
          <w:u w:val="single"/>
        </w:rPr>
        <w:t>1</w:t>
      </w:r>
      <w:r>
        <w:rPr>
          <w:rFonts w:hint="eastAsia" w:ascii="宋体" w:hAnsi="宋体" w:cs="宋体"/>
          <w:color w:val="auto"/>
          <w:highlight w:val="none"/>
        </w:rPr>
        <w:t>份。</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12.本合同协议书经双方法定代表人或授权代表在合同协议书上签字并加盖单位公章后生效。</w:t>
      </w:r>
    </w:p>
    <w:p>
      <w:pPr>
        <w:spacing w:before="0" w:after="0" w:afterAutospacing="0"/>
        <w:ind w:left="0" w:right="0" w:firstLine="420" w:firstLineChars="200"/>
        <w:rPr>
          <w:rFonts w:ascii="宋体" w:hAnsi="宋体" w:cs="Arial"/>
          <w:color w:val="auto"/>
          <w:highlight w:val="none"/>
        </w:rPr>
      </w:pPr>
      <w:r>
        <w:rPr>
          <w:rFonts w:hint="eastAsia" w:ascii="宋体" w:hAnsi="宋体" w:cs="宋体"/>
          <w:color w:val="auto"/>
          <w:highlight w:val="none"/>
        </w:rPr>
        <w:t>13.合同未尽事宜，双方另行签订补充协议。</w:t>
      </w:r>
    </w:p>
    <w:tbl>
      <w:tblPr>
        <w:tblStyle w:val="31"/>
        <w:tblW w:w="9238" w:type="dxa"/>
        <w:tblInd w:w="0" w:type="dxa"/>
        <w:tblLayout w:type="fixed"/>
        <w:tblCellMar>
          <w:top w:w="0" w:type="dxa"/>
          <w:left w:w="108" w:type="dxa"/>
          <w:bottom w:w="0" w:type="dxa"/>
          <w:right w:w="108" w:type="dxa"/>
        </w:tblCellMar>
      </w:tblPr>
      <w:tblGrid>
        <w:gridCol w:w="4261"/>
        <w:gridCol w:w="4977"/>
      </w:tblGrid>
      <w:tr>
        <w:tblPrEx>
          <w:tblCellMar>
            <w:top w:w="0" w:type="dxa"/>
            <w:left w:w="108" w:type="dxa"/>
            <w:bottom w:w="0" w:type="dxa"/>
            <w:right w:w="108" w:type="dxa"/>
          </w:tblCellMar>
        </w:tblPrEx>
        <w:trPr>
          <w:cantSplit/>
          <w:trHeight w:val="6520" w:hRule="exact"/>
        </w:trPr>
        <w:tc>
          <w:tcPr>
            <w:tcW w:w="4261" w:type="dxa"/>
          </w:tcPr>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合同订立日期：年月日</w:t>
            </w:r>
          </w:p>
          <w:p>
            <w:pPr>
              <w:pStyle w:val="14"/>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4"/>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4"/>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银行账号：</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税号：</w:t>
            </w:r>
          </w:p>
        </w:tc>
        <w:tc>
          <w:tcPr>
            <w:tcW w:w="4977" w:type="dxa"/>
          </w:tcPr>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4"/>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合同订立日期：年月日</w:t>
            </w:r>
          </w:p>
          <w:p>
            <w:pPr>
              <w:pStyle w:val="14"/>
              <w:spacing w:before="0" w:after="0"/>
              <w:ind w:left="840" w:leftChars="400" w:right="0" w:firstLine="132" w:firstLineChars="63"/>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4"/>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邮政编码：</w:t>
            </w:r>
          </w:p>
          <w:p>
            <w:pPr>
              <w:pStyle w:val="14"/>
              <w:spacing w:before="0" w:after="0"/>
              <w:ind w:left="840" w:leftChars="400" w:right="0" w:firstLine="132" w:firstLineChars="63"/>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4"/>
              <w:spacing w:before="0" w:after="0"/>
              <w:ind w:left="840" w:leftChars="400" w:right="0" w:firstLine="132" w:firstLineChars="63"/>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4"/>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开户银行：</w:t>
            </w:r>
          </w:p>
          <w:p>
            <w:pPr>
              <w:pStyle w:val="14"/>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银行账号：</w:t>
            </w:r>
          </w:p>
          <w:p>
            <w:pPr>
              <w:pStyle w:val="14"/>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税号：</w:t>
            </w:r>
          </w:p>
          <w:p>
            <w:pPr>
              <w:pStyle w:val="14"/>
              <w:spacing w:before="0" w:after="0"/>
              <w:ind w:left="708" w:right="0" w:hanging="707"/>
              <w:rPr>
                <w:rFonts w:hAnsi="宋体" w:cs="Courier New"/>
                <w:color w:val="auto"/>
                <w:sz w:val="21"/>
                <w:szCs w:val="21"/>
                <w:highlight w:val="none"/>
              </w:rPr>
            </w:pPr>
          </w:p>
        </w:tc>
      </w:tr>
    </w:tbl>
    <w:p>
      <w:pPr>
        <w:pStyle w:val="62"/>
        <w:adjustRightInd/>
        <w:spacing w:before="0" w:after="0" w:line="360" w:lineRule="auto"/>
        <w:ind w:left="0" w:right="0"/>
        <w:rPr>
          <w:rFonts w:ascii="宋体" w:hAnsi="宋体"/>
          <w:color w:val="auto"/>
          <w:sz w:val="21"/>
          <w:szCs w:val="21"/>
          <w:highlight w:val="none"/>
        </w:rPr>
      </w:pPr>
      <w:bookmarkStart w:id="1193" w:name="_Toc18460"/>
      <w:bookmarkStart w:id="1194" w:name="_Toc14469"/>
      <w:bookmarkStart w:id="1195" w:name="_Toc7689"/>
      <w:bookmarkStart w:id="1196" w:name="_Toc24098"/>
      <w:bookmarkStart w:id="1197" w:name="_Toc4133"/>
      <w:bookmarkStart w:id="1198" w:name="_Toc27744"/>
      <w:bookmarkStart w:id="1199" w:name="_Toc24973"/>
      <w:bookmarkStart w:id="1200" w:name="_Toc12155"/>
      <w:bookmarkStart w:id="1201" w:name="_Toc9188"/>
      <w:bookmarkStart w:id="1202" w:name="_Toc7529"/>
      <w:bookmarkStart w:id="1203" w:name="_Toc997"/>
      <w:bookmarkStart w:id="1204" w:name="_Toc25942"/>
      <w:bookmarkStart w:id="1205" w:name="_Toc17157_WPSOffice_Level2"/>
      <w:bookmarkStart w:id="1206" w:name="_Toc25750634"/>
      <w:bookmarkStart w:id="1207" w:name="_Toc10196"/>
      <w:bookmarkStart w:id="1208" w:name="_Toc17359"/>
      <w:bookmarkStart w:id="1209" w:name="_Toc29876"/>
      <w:bookmarkStart w:id="1210" w:name="_Toc12445"/>
      <w:bookmarkStart w:id="1211" w:name="_Toc16743"/>
      <w:bookmarkStart w:id="1212" w:name="_Toc258"/>
      <w:bookmarkStart w:id="1213" w:name="_Toc9438"/>
      <w:bookmarkStart w:id="1214" w:name="_Toc21631"/>
      <w:bookmarkStart w:id="1215" w:name="_Toc11253"/>
      <w:bookmarkStart w:id="1216" w:name="_Toc5623"/>
      <w:bookmarkStart w:id="1217" w:name="_Toc6424"/>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1218" w:name="_Toc101965690"/>
      <w:bookmarkStart w:id="1219" w:name="_Toc20006_WPSOffice_Level1"/>
      <w:bookmarkStart w:id="1220" w:name="_Toc4837"/>
      <w:bookmarkStart w:id="1221" w:name="_Toc92268619"/>
      <w:bookmarkStart w:id="1222" w:name="_Toc15561"/>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218"/>
      <w:bookmarkEnd w:id="1219"/>
      <w:bookmarkEnd w:id="1220"/>
      <w:bookmarkEnd w:id="1221"/>
      <w:bookmarkEnd w:id="1222"/>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3"/>
        <w:pageBreakBefore/>
        <w:spacing w:before="40" w:after="40" w:line="240" w:lineRule="auto"/>
        <w:jc w:val="center"/>
        <w:rPr>
          <w:rFonts w:ascii="Times New Roman" w:hAnsi="Times New Roman" w:eastAsia="宋体"/>
          <w:color w:val="auto"/>
          <w:highlight w:val="none"/>
        </w:rPr>
      </w:pPr>
      <w:bookmarkStart w:id="1223" w:name="_Toc12606"/>
      <w:bookmarkStart w:id="1224" w:name="_Toc28765_WPSOffice_Level1"/>
      <w:bookmarkStart w:id="1225" w:name="_Toc101965691"/>
      <w:bookmarkStart w:id="1226" w:name="_Toc92268620"/>
      <w:bookmarkStart w:id="1227" w:name="_Toc26420"/>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223"/>
      <w:bookmarkEnd w:id="1224"/>
      <w:bookmarkEnd w:id="1225"/>
      <w:bookmarkEnd w:id="1226"/>
      <w:bookmarkEnd w:id="1227"/>
    </w:p>
    <w:p>
      <w:pPr>
        <w:rPr>
          <w:rFonts w:ascii="宋体" w:hAnsi="宋体"/>
          <w:b/>
          <w:color w:val="auto"/>
          <w:highlight w:val="none"/>
        </w:rPr>
      </w:pPr>
      <w:r>
        <w:rPr>
          <w:rFonts w:ascii="宋体" w:hAnsi="宋体"/>
          <w:b/>
          <w:color w:val="auto"/>
          <w:highlight w:val="none"/>
        </w:rPr>
        <w:br w:type="page"/>
      </w:r>
    </w:p>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Pr>
        <w:pStyle w:val="3"/>
        <w:pageBreakBefore/>
        <w:spacing w:before="40" w:after="40" w:line="240" w:lineRule="auto"/>
        <w:ind w:left="1086" w:right="0" w:hanging="1086" w:hangingChars="338"/>
        <w:jc w:val="center"/>
        <w:rPr>
          <w:rFonts w:ascii="Times New Roman" w:hAnsi="Times New Roman" w:eastAsia="宋体"/>
          <w:color w:val="auto"/>
          <w:highlight w:val="none"/>
        </w:rPr>
      </w:pPr>
      <w:bookmarkStart w:id="1228" w:name="_Toc16006"/>
      <w:bookmarkStart w:id="1229" w:name="_Toc11956_WPSOffice_Level1"/>
      <w:bookmarkStart w:id="1230" w:name="_Toc17199"/>
      <w:bookmarkStart w:id="1231" w:name="_Toc101965692"/>
      <w:bookmarkStart w:id="1232" w:name="_Toc2614"/>
      <w:bookmarkStart w:id="1233" w:name="_Toc20484"/>
      <w:bookmarkStart w:id="1234" w:name="_Toc28024"/>
      <w:bookmarkStart w:id="1235" w:name="_Toc12080"/>
      <w:bookmarkStart w:id="1236" w:name="_Toc25750635"/>
      <w:bookmarkStart w:id="1237" w:name="_Toc378514952"/>
      <w:bookmarkStart w:id="1238" w:name="_Toc385427838"/>
      <w:bookmarkStart w:id="1239" w:name="_Toc14287"/>
      <w:bookmarkStart w:id="1240" w:name="_Toc22880"/>
      <w:bookmarkStart w:id="1241" w:name="_Toc10730"/>
      <w:bookmarkStart w:id="1242" w:name="_Toc6054"/>
      <w:bookmarkStart w:id="1243" w:name="_Toc29932"/>
      <w:bookmarkStart w:id="1244" w:name="_Toc15707"/>
      <w:bookmarkStart w:id="1245" w:name="_Toc7961"/>
      <w:bookmarkStart w:id="1246" w:name="_Toc19920"/>
      <w:bookmarkStart w:id="1247" w:name="_Toc370933855"/>
      <w:bookmarkStart w:id="1248" w:name="_Toc43"/>
      <w:bookmarkStart w:id="1249" w:name="_Toc31691"/>
      <w:bookmarkStart w:id="1250" w:name="_Toc390098464"/>
      <w:bookmarkStart w:id="1251" w:name="_Toc25643"/>
      <w:bookmarkStart w:id="1252" w:name="_Toc18727"/>
      <w:bookmarkStart w:id="1253" w:name="_Toc492478763"/>
      <w:bookmarkStart w:id="1254" w:name="_Toc4032"/>
      <w:bookmarkStart w:id="1255" w:name="_Toc12256"/>
      <w:bookmarkStart w:id="1256" w:name="_Toc29249"/>
      <w:bookmarkStart w:id="1257" w:name="_Toc5186"/>
      <w:bookmarkStart w:id="1258" w:name="_Toc30191"/>
      <w:bookmarkStart w:id="1259" w:name="_Toc21659"/>
      <w:bookmarkStart w:id="1260" w:name="_Toc6194"/>
      <w:bookmarkStart w:id="1261" w:name="_Toc13288"/>
      <w:bookmarkStart w:id="1262" w:name="_Toc11755"/>
      <w:bookmarkStart w:id="1263" w:name="_Toc12983548"/>
      <w:bookmarkStart w:id="1264" w:name="_Toc2753"/>
      <w:bookmarkStart w:id="1265" w:name="_Toc16716"/>
      <w:bookmarkStart w:id="1266" w:name="_Toc12470"/>
      <w:bookmarkStart w:id="1267" w:name="_Toc21033"/>
      <w:bookmarkStart w:id="1268" w:name="_Toc19448"/>
      <w:bookmarkStart w:id="1269" w:name="_Toc5644"/>
      <w:bookmarkStart w:id="1270" w:name="_Toc3678_WPSOffice_Level2"/>
      <w:bookmarkStart w:id="1271" w:name="_Toc14997"/>
      <w:bookmarkStart w:id="1272" w:name="_Toc24490"/>
      <w:bookmarkStart w:id="1273" w:name="_Toc25750672"/>
      <w:bookmarkStart w:id="1274" w:name="_Toc27316"/>
      <w:bookmarkStart w:id="1275" w:name="_Toc21635"/>
      <w:bookmarkStart w:id="1276" w:name="_Toc16443"/>
      <w:bookmarkStart w:id="1277" w:name="_Toc23785"/>
      <w:bookmarkStart w:id="1278" w:name="_Toc21372"/>
      <w:bookmarkStart w:id="1279" w:name="_Toc5030"/>
      <w:bookmarkStart w:id="1280" w:name="_Toc27258"/>
      <w:bookmarkStart w:id="1281" w:name="_Toc24867"/>
      <w:r>
        <w:rPr>
          <w:rFonts w:ascii="Times New Roman" w:hAnsi="Times New Roman" w:eastAsia="宋体"/>
          <w:color w:val="auto"/>
          <w:highlight w:val="none"/>
        </w:rPr>
        <w:t>第四部分 合同条款</w:t>
      </w:r>
      <w:bookmarkEnd w:id="1228"/>
      <w:bookmarkEnd w:id="1229"/>
      <w:bookmarkEnd w:id="1230"/>
      <w:bookmarkEnd w:id="1231"/>
    </w:p>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Pr>
        <w:tabs>
          <w:tab w:val="left" w:pos="640"/>
          <w:tab w:val="left" w:pos="1843"/>
        </w:tabs>
        <w:spacing w:before="0" w:after="0" w:afterAutospacing="0"/>
        <w:ind w:left="420" w:right="0" w:firstLine="0"/>
        <w:outlineLvl w:val="2"/>
        <w:rPr>
          <w:rFonts w:ascii="宋体" w:hAnsi="宋体"/>
          <w:b/>
          <w:color w:val="auto"/>
          <w:highlight w:val="none"/>
        </w:rPr>
      </w:pPr>
      <w:bookmarkStart w:id="1282" w:name="_Toc30060_WPSOffice_Level2"/>
      <w:r>
        <w:rPr>
          <w:rFonts w:hint="eastAsia" w:ascii="宋体" w:hAnsi="宋体"/>
          <w:b/>
          <w:color w:val="auto"/>
          <w:highlight w:val="none"/>
        </w:rPr>
        <w:t>1.定义及解释</w:t>
      </w:r>
      <w:bookmarkEnd w:id="128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系指南宁轨道交通运营有限公司。</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“乙方”系指受甲方委托，负责本项目提供</w:t>
      </w:r>
      <w:r>
        <w:rPr>
          <w:rFonts w:hint="eastAsia"/>
          <w:color w:val="auto"/>
          <w:highlight w:val="none"/>
          <w:u w:val="single"/>
        </w:rPr>
        <w:t>故障件维修服务（包括但不限于故障件的包装、运输、检测、维修，修复件的出厂检验、运输、软硬件的调试及质保期内出现故障免费维修等）</w:t>
      </w:r>
      <w:r>
        <w:rPr>
          <w:rFonts w:hint="eastAsia" w:ascii="宋体" w:hAnsi="宋体"/>
          <w:color w:val="auto"/>
          <w:highlight w:val="none"/>
        </w:rPr>
        <w:t>的法人和</w:t>
      </w:r>
      <w:r>
        <w:rPr>
          <w:rFonts w:ascii="宋体" w:hAnsi="宋体"/>
          <w:color w:val="auto"/>
          <w:highlight w:val="none"/>
        </w:rPr>
        <w:t>/</w:t>
      </w:r>
      <w:r>
        <w:rPr>
          <w:rFonts w:hint="eastAsia" w:ascii="宋体" w:hAnsi="宋体"/>
          <w:color w:val="auto"/>
          <w:highlight w:val="none"/>
        </w:rPr>
        <w:t>或其他组织。</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“故障件”系指甲方按合同规定向乙方提供的待维修的故障设备、电子板卡或零部件。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“修复件”系指乙方按合同规定修复的甲方提供的故障件。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乙方须承担的与维修有关的辅助服务，包括但不限于故障件的包装、运输、检测、维修，修复件的出厂检验、运输、软硬件的调试、质保期内出现故障免费维修等及其他伴随服务和投标人应承担的其它义务。</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“不可抗力”指合同条款第20条赋予的含义。</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“质量保证期”指合同修复件验收合格后，乙方按合同约定保证合同修复件正常使用，并负责解决合同修复件存在的任何质量问题的期限。</w:t>
      </w:r>
    </w:p>
    <w:p>
      <w:pPr>
        <w:numPr>
          <w:ilvl w:val="2"/>
          <w:numId w:val="9"/>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9"/>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“质保期”系</w:t>
      </w:r>
      <w:r>
        <w:rPr>
          <w:rFonts w:hint="eastAsia" w:ascii="宋体" w:hAnsi="宋体"/>
          <w:color w:val="auto"/>
          <w:highlight w:val="none"/>
          <w:u w:val="single"/>
        </w:rPr>
        <w:t>12</w:t>
      </w:r>
      <w:r>
        <w:rPr>
          <w:rFonts w:hint="eastAsia" w:ascii="宋体" w:hAnsi="宋体"/>
          <w:color w:val="auto"/>
          <w:highlight w:val="none"/>
        </w:rPr>
        <w:t>个月，自验收合格之日起计算；</w:t>
      </w:r>
      <w:r>
        <w:rPr>
          <w:rFonts w:hint="eastAsia" w:ascii="宋体" w:hAnsi="宋体" w:cs="宋体"/>
          <w:color w:val="auto"/>
          <w:highlight w:val="none"/>
        </w:rPr>
        <w:t>此次修复的所有修复件在质保期内乙方免费修复并重新计算质保期</w:t>
      </w:r>
      <w:r>
        <w:rPr>
          <w:rFonts w:hint="eastAsia" w:ascii="宋体" w:hAnsi="宋体" w:cs="Arial"/>
          <w:color w:val="auto"/>
          <w:highlight w:val="none"/>
        </w:rPr>
        <w:t>。</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3" w:name="_Toc19653_WPSOffice_Level2"/>
      <w:r>
        <w:rPr>
          <w:rFonts w:hint="eastAsia" w:ascii="宋体" w:hAnsi="宋体"/>
          <w:b/>
          <w:color w:val="auto"/>
          <w:highlight w:val="none"/>
        </w:rPr>
        <w:t>2.适用性</w:t>
      </w:r>
      <w:bookmarkEnd w:id="1283"/>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4" w:name="_Toc22843_WPSOffice_Level2"/>
      <w:r>
        <w:rPr>
          <w:rFonts w:hint="eastAsia" w:ascii="宋体" w:hAnsi="宋体"/>
          <w:b/>
          <w:color w:val="auto"/>
          <w:highlight w:val="none"/>
        </w:rPr>
        <w:t>3.来源地</w:t>
      </w:r>
      <w:bookmarkEnd w:id="1284"/>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本合同项下所提供的服务均应来自中华人民共和国或是与中华人民共和国有正常贸易往来的国家和地区。</w:t>
      </w:r>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服务的来源地有别于乙方的国籍。</w:t>
      </w:r>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若乙方维修使用的主要部件来自国外，则乙方自行解决进口批文、外汇及关税等所有相关手续、费用和问题。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5" w:name="_Toc18443_WPSOffice_Level2"/>
      <w:r>
        <w:rPr>
          <w:rFonts w:hint="eastAsia" w:ascii="宋体" w:hAnsi="宋体"/>
          <w:b/>
          <w:color w:val="auto"/>
          <w:highlight w:val="none"/>
        </w:rPr>
        <w:t>4.标准</w:t>
      </w:r>
      <w:bookmarkEnd w:id="1285"/>
    </w:p>
    <w:p>
      <w:pPr>
        <w:numPr>
          <w:ilvl w:val="1"/>
          <w:numId w:val="12"/>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应符合合同条款中所述的标准：如果没有提及适用标准，则应符合中华人民共和国国家标准或行业标准；如果中华人民共和国没有相关标准的，则采用国际标准或服务来源国适用的官方标准。这些标准必须是国际权威机构发布的最新版本的标准。</w:t>
      </w:r>
    </w:p>
    <w:p>
      <w:pPr>
        <w:numPr>
          <w:ilvl w:val="1"/>
          <w:numId w:val="12"/>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12"/>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6" w:name="_Toc7155_WPSOffice_Level2"/>
      <w:r>
        <w:rPr>
          <w:rFonts w:hint="eastAsia" w:ascii="宋体" w:hAnsi="宋体"/>
          <w:b/>
          <w:color w:val="auto"/>
          <w:highlight w:val="none"/>
        </w:rPr>
        <w:t>5.合同文件、资料及使用</w:t>
      </w:r>
      <w:bookmarkEnd w:id="1286"/>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7" w:name="_Toc26722_WPSOffice_Level2"/>
      <w:r>
        <w:rPr>
          <w:rFonts w:hint="eastAsia" w:ascii="宋体" w:hAnsi="宋体"/>
          <w:b/>
          <w:color w:val="auto"/>
          <w:highlight w:val="none"/>
        </w:rPr>
        <w:t>6.知识产权</w:t>
      </w:r>
      <w:bookmarkEnd w:id="1287"/>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甲方不对乙方提供的服务的专利</w:t>
      </w:r>
      <w:r>
        <w:rPr>
          <w:rFonts w:hint="eastAsia" w:ascii="宋体" w:hAnsi="宋体" w:cs="Arial"/>
          <w:color w:val="auto"/>
          <w:highlight w:val="none"/>
        </w:rPr>
        <w:t>权、著作权、注册商标专有使用权、计算机软件登记等是否侵犯第三方权利负责，如因乙方提供服务引发争议或违法导致甲方受损的，乙方应赔偿因此对甲方造成的一切损失。</w:t>
      </w:r>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非乙方所有知识产权的服务，乙方有义务提供给甲方正规渠道证明。甲方永久享有乙方为本合同项下提供的产品、软件、技术资料的使用权，并无需缴纳任何形式的使用费（如有此类费用的话）。</w:t>
      </w:r>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乙方所供的服务必须已得到中华人民共和国有关部门授予的在中华人民共和国使用的许可，否则，一切责任由乙方负责。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8" w:name="_Toc28434_WPSOffice_Level2"/>
      <w:r>
        <w:rPr>
          <w:rFonts w:hint="eastAsia" w:ascii="宋体" w:hAnsi="宋体"/>
          <w:b/>
          <w:color w:val="auto"/>
          <w:highlight w:val="none"/>
        </w:rPr>
        <w:t>7.价格</w:t>
      </w:r>
      <w:bookmarkEnd w:id="1288"/>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在合同有效期内综合单价（不含增值税）固定不变，乙方根据甲方每批次交货通知中要求的故障件种类、数量按时维修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故障件的包装、运输、检测、维修，修复件的出厂检验、运输、软硬件的调试及质保期内出现故障免费维修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7.3合同金额：含税人民币（¥：），税率%；不含税总金额：（¥：）。</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numPr>
          <w:ilvl w:val="0"/>
          <w:numId w:val="15"/>
        </w:numPr>
        <w:tabs>
          <w:tab w:val="left" w:pos="640"/>
          <w:tab w:val="left" w:pos="1843"/>
          <w:tab w:val="clear" w:pos="312"/>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服务期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本项目计划服务期为90天（自合同签订之日起开始计算）。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修复件的质保期为完成双方签字验收之日起，往后推算1年，每件返修件单独计算质保期。若返修件质保期内发生故障，则由投标方免费修复后重新计算质保期。</w:t>
      </w:r>
    </w:p>
    <w:p>
      <w:pPr>
        <w:tabs>
          <w:tab w:val="left" w:pos="640"/>
          <w:tab w:val="left" w:pos="1843"/>
        </w:tabs>
        <w:spacing w:before="0" w:after="0" w:afterAutospacing="0"/>
        <w:ind w:left="420" w:right="0" w:firstLine="0"/>
        <w:outlineLvl w:val="2"/>
        <w:rPr>
          <w:rFonts w:hint="eastAsia" w:ascii="宋体" w:hAnsi="宋体"/>
          <w:b/>
          <w:color w:val="auto"/>
          <w:highlight w:val="none"/>
          <w:lang w:eastAsia="zh-CN"/>
        </w:rPr>
      </w:pPr>
      <w:r>
        <w:rPr>
          <w:rFonts w:hint="eastAsia" w:ascii="宋体" w:hAnsi="宋体"/>
          <w:b/>
          <w:color w:val="auto"/>
          <w:highlight w:val="none"/>
        </w:rPr>
        <w:t>9.</w:t>
      </w:r>
      <w:r>
        <w:rPr>
          <w:rFonts w:hint="eastAsia" w:ascii="宋体" w:hAnsi="宋体"/>
          <w:b/>
          <w:color w:val="auto"/>
          <w:highlight w:val="none"/>
          <w:lang w:eastAsia="zh-CN"/>
        </w:rPr>
        <w:t>付款</w:t>
      </w:r>
    </w:p>
    <w:p>
      <w:pPr>
        <w:tabs>
          <w:tab w:val="left" w:pos="960"/>
          <w:tab w:val="left" w:pos="8364"/>
        </w:tabs>
        <w:spacing w:before="0" w:after="0" w:afterAutospacing="0"/>
        <w:ind w:left="420" w:right="0" w:firstLine="0"/>
        <w:rPr>
          <w:rFonts w:ascii="宋体" w:hAnsi="宋体"/>
          <w:color w:val="auto"/>
          <w:highlight w:val="none"/>
        </w:rPr>
      </w:pP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tabs>
          <w:tab w:val="left" w:pos="840"/>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9.1</w:t>
      </w: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8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9.2付款方式。</w:t>
      </w:r>
    </w:p>
    <w:p>
      <w:pPr>
        <w:tabs>
          <w:tab w:val="left" w:pos="8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9.2.1全部修复件到货并验收合格后，乙方根据甲方要求完成档案归档及合同结算经甲方审定后，甲方在收到乙方提供的以下材料后45个工作日内支付至合同最终审定金额的90%。</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w:t>
      </w:r>
      <w:r>
        <w:rPr>
          <w:rFonts w:hint="eastAsia"/>
          <w:color w:val="auto"/>
          <w:highlight w:val="none"/>
        </w:rPr>
        <w:t>乙方开具的增值税专用发票（金额为合同最终结算审定金额的100%）。</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420" w:right="0" w:firstLine="0"/>
        <w:rPr>
          <w:color w:val="auto"/>
          <w:highlight w:val="none"/>
        </w:rPr>
      </w:pPr>
      <w:r>
        <w:rPr>
          <w:rFonts w:hint="eastAsia"/>
          <w:color w:val="auto"/>
          <w:highlight w:val="none"/>
        </w:rPr>
        <w:t>③</w:t>
      </w:r>
      <w:r>
        <w:rPr>
          <w:rFonts w:hint="eastAsia" w:ascii="宋体" w:hAnsi="宋体" w:cs="Arial"/>
          <w:color w:val="auto"/>
          <w:highlight w:val="none"/>
        </w:rPr>
        <w:t>双方确认的全部修复件到货验收合格证明材料。</w:t>
      </w:r>
    </w:p>
    <w:p>
      <w:pPr>
        <w:tabs>
          <w:tab w:val="left" w:pos="1134"/>
          <w:tab w:val="left" w:pos="8364"/>
        </w:tabs>
        <w:spacing w:before="0" w:after="0" w:afterAutospacing="0"/>
        <w:ind w:left="420" w:right="0" w:firstLine="0"/>
        <w:rPr>
          <w:color w:val="auto"/>
          <w:highlight w:val="none"/>
        </w:rPr>
      </w:pPr>
      <w:r>
        <w:rPr>
          <w:rFonts w:hint="eastAsia" w:ascii="宋体" w:hAnsi="宋体"/>
          <w:color w:val="auto"/>
          <w:highlight w:val="none"/>
        </w:rPr>
        <w:t>④</w:t>
      </w:r>
      <w:r>
        <w:rPr>
          <w:rFonts w:hint="eastAsia"/>
          <w:color w:val="auto"/>
          <w:highlight w:val="none"/>
        </w:rPr>
        <w:t>合同违约处理通知单（如有）</w:t>
      </w:r>
    </w:p>
    <w:p>
      <w:pPr>
        <w:tabs>
          <w:tab w:val="left" w:pos="8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9.2.2</w:t>
      </w:r>
      <w:r>
        <w:rPr>
          <w:rFonts w:hint="eastAsia" w:ascii="宋体" w:hAnsi="宋体" w:cs="Arial"/>
          <w:color w:val="auto"/>
          <w:highlight w:val="none"/>
        </w:rPr>
        <w:t>质保期满，经甲方确认修复件均无质量问题或乙方已再次修复有质量问题修复件经甲方确认合格后，甲方在收到由乙方提供的以下材料后4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②双方确认的质保期满后验收合格证明。</w:t>
      </w:r>
    </w:p>
    <w:p>
      <w:pPr>
        <w:tabs>
          <w:tab w:val="left" w:pos="1134"/>
          <w:tab w:val="left" w:pos="8364"/>
        </w:tabs>
        <w:spacing w:before="0" w:after="0" w:afterAutospacing="0"/>
        <w:ind w:left="0" w:right="0" w:firstLine="420" w:firstLineChars="200"/>
        <w:rPr>
          <w:color w:val="auto"/>
          <w:highlight w:val="none"/>
        </w:rPr>
      </w:pPr>
      <w:r>
        <w:rPr>
          <w:rFonts w:hint="eastAsia" w:ascii="宋体" w:hAnsi="宋体" w:cs="Arial"/>
          <w:color w:val="auto"/>
          <w:highlight w:val="none"/>
        </w:rPr>
        <w:t>③结算审定单。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9.3乙方在完成相应合同义务后以书面形式向甲方申请付款，同时随附注明已发修复件、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9.4支付的货币应以人民币支付，但不限于银行转账、汇票、国内信用证、供应链金融产品等支付形式</w:t>
      </w:r>
      <w:r>
        <w:rPr>
          <w:rFonts w:hint="eastAsia" w:hAnsi="宋体" w:cs="Arial"/>
          <w:color w:val="auto"/>
          <w:highlight w:val="none"/>
        </w:rPr>
        <w:t>。</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9.5结算需满足以下条件：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（3）全部修复件到货并验收合格。</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②全部修复件到货验收合格证明材料。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③合同约定的其他证明资料（如违约情况及处理证明材料）。</w:t>
      </w:r>
    </w:p>
    <w:p>
      <w:pPr>
        <w:tabs>
          <w:tab w:val="left" w:pos="640"/>
          <w:tab w:val="left" w:pos="1843"/>
        </w:tabs>
        <w:spacing w:before="0" w:after="0" w:afterAutospacing="0"/>
        <w:ind w:left="420" w:right="0" w:firstLine="0"/>
        <w:outlineLvl w:val="2"/>
        <w:rPr>
          <w:rFonts w:ascii="宋体" w:hAnsi="宋体"/>
          <w:b/>
          <w:color w:val="auto"/>
          <w:highlight w:val="none"/>
        </w:rPr>
      </w:pPr>
      <w:bookmarkStart w:id="1289" w:name="_Toc26391_WPSOffice_Level2"/>
      <w:r>
        <w:rPr>
          <w:rFonts w:hint="eastAsia" w:ascii="宋体" w:hAnsi="宋体"/>
          <w:b/>
          <w:color w:val="auto"/>
          <w:highlight w:val="none"/>
        </w:rPr>
        <w:t>10.履约担保</w:t>
      </w:r>
      <w:bookmarkEnd w:id="1289"/>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0" w:name="_Toc15131_WPSOffice_Level2"/>
      <w:r>
        <w:rPr>
          <w:rFonts w:hint="eastAsia" w:ascii="宋体" w:hAnsi="宋体" w:cs="Arial"/>
          <w:color w:val="auto"/>
          <w:highlight w:val="none"/>
        </w:rPr>
        <w:t>10.1在合同签订前，乙方应向甲方提供履约担保，履约担保金额为</w:t>
      </w:r>
      <w:r>
        <w:rPr>
          <w:rFonts w:hint="eastAsia" w:ascii="宋体" w:hAnsi="宋体"/>
          <w:color w:val="auto"/>
          <w:highlight w:val="none"/>
        </w:rPr>
        <w:t>中选</w:t>
      </w:r>
      <w:r>
        <w:rPr>
          <w:rFonts w:hint="eastAsia" w:ascii="宋体" w:hAnsi="宋体" w:cs="Arial"/>
          <w:color w:val="auto"/>
          <w:highlight w:val="none"/>
        </w:rPr>
        <w:t>价格的2.5%，履约担保可以采用转账或电汇或银行保函的形式。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10.2履约担保应从生效之日起至全部修复件验收合格之日后四十五（45）天一直有效。如本项目实际全部修复件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10.3履约担保币种应为人民币。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10.4乙方提交履约担保所产生的费用由乙方承担。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维修款中扣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10.6履约担保在本合同全部修复件验收合格之日起四十五（45）天后，根据履约期间甲方的索赔情况，将剩余履约担保款项无息退还乙方。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10.7鉴于甲方属地铁运营单位，对修复件的使用时间及效能均有特殊要求，乙方逾期交付修复件15天内（含15天），每逾期1天乙方向甲方偿付逾期交付修复件</w:t>
      </w:r>
      <w:r>
        <w:rPr>
          <w:rFonts w:hint="eastAsia" w:ascii="宋体" w:hAnsi="宋体" w:cs="Arial"/>
          <w:color w:val="auto"/>
          <w:highlight w:val="none"/>
          <w:lang w:eastAsia="zh-CN"/>
        </w:rPr>
        <w:t>合同</w:t>
      </w:r>
      <w:r>
        <w:rPr>
          <w:rFonts w:hint="eastAsia" w:ascii="宋体" w:hAnsi="宋体" w:cs="Arial"/>
          <w:color w:val="auto"/>
          <w:highlight w:val="none"/>
        </w:rPr>
        <w:t>维修总金额的0.1%</w:t>
      </w:r>
      <w:r>
        <w:rPr>
          <w:rFonts w:hint="eastAsia" w:ascii="宋体" w:hAnsi="宋体" w:cs="Arial"/>
          <w:color w:val="auto"/>
          <w:highlight w:val="none"/>
          <w:lang w:eastAsia="zh-CN"/>
        </w:rPr>
        <w:t>作为违约金</w:t>
      </w:r>
      <w:r>
        <w:rPr>
          <w:rFonts w:hint="eastAsia" w:ascii="宋体" w:hAnsi="宋体" w:cs="Arial"/>
          <w:color w:val="auto"/>
          <w:highlight w:val="none"/>
        </w:rPr>
        <w:t>。逾期交货超过15天，乙方向甲方偿付逾期交付修复件</w:t>
      </w:r>
      <w:r>
        <w:rPr>
          <w:rFonts w:hint="eastAsia" w:ascii="宋体" w:hAnsi="宋体" w:cs="Arial"/>
          <w:color w:val="auto"/>
          <w:highlight w:val="none"/>
          <w:lang w:eastAsia="zh-CN"/>
        </w:rPr>
        <w:t>合同</w:t>
      </w:r>
      <w:r>
        <w:rPr>
          <w:rFonts w:hint="eastAsia" w:ascii="宋体" w:hAnsi="宋体" w:cs="Arial"/>
          <w:color w:val="auto"/>
          <w:highlight w:val="none"/>
        </w:rPr>
        <w:t>维修总金额</w:t>
      </w:r>
      <w:r>
        <w:rPr>
          <w:rFonts w:hint="eastAsia" w:ascii="宋体" w:hAnsi="宋体" w:cs="Arial"/>
          <w:color w:val="auto"/>
          <w:highlight w:val="none"/>
          <w:lang w:eastAsia="zh-CN"/>
        </w:rPr>
        <w:t>的</w:t>
      </w:r>
      <w:r>
        <w:rPr>
          <w:rFonts w:hint="eastAsia" w:ascii="宋体" w:hAnsi="宋体" w:cs="Arial"/>
          <w:color w:val="auto"/>
          <w:highlight w:val="none"/>
        </w:rPr>
        <w:t>10%</w:t>
      </w:r>
      <w:r>
        <w:rPr>
          <w:rFonts w:hint="eastAsia" w:ascii="宋体" w:hAnsi="宋体" w:cs="Arial"/>
          <w:color w:val="auto"/>
          <w:highlight w:val="none"/>
          <w:lang w:eastAsia="zh-CN"/>
        </w:rPr>
        <w:t>作为违约金</w:t>
      </w:r>
      <w:r>
        <w:rPr>
          <w:rFonts w:hint="eastAsia" w:ascii="宋体" w:hAnsi="宋体" w:cs="Arial"/>
          <w:color w:val="auto"/>
          <w:highlight w:val="none"/>
        </w:rPr>
        <w:t>，同时甲方有权选择解除合同，履约保证金不予退还；甲方也有权选择合同继续履行，乙方向甲方偿付逾期交付修复件</w:t>
      </w:r>
      <w:r>
        <w:rPr>
          <w:rFonts w:hint="eastAsia" w:ascii="宋体" w:hAnsi="宋体" w:cs="Arial"/>
          <w:color w:val="auto"/>
          <w:highlight w:val="none"/>
          <w:lang w:eastAsia="zh-CN"/>
        </w:rPr>
        <w:t>合同</w:t>
      </w:r>
      <w:r>
        <w:rPr>
          <w:rFonts w:hint="eastAsia" w:ascii="宋体" w:hAnsi="宋体" w:cs="Arial"/>
          <w:color w:val="auto"/>
          <w:highlight w:val="none"/>
        </w:rPr>
        <w:t>维修总金额</w:t>
      </w:r>
      <w:r>
        <w:rPr>
          <w:rFonts w:hint="eastAsia" w:ascii="宋体" w:hAnsi="宋体" w:cs="Arial"/>
          <w:color w:val="auto"/>
          <w:highlight w:val="none"/>
          <w:lang w:eastAsia="zh-CN"/>
        </w:rPr>
        <w:t>的</w:t>
      </w:r>
      <w:r>
        <w:rPr>
          <w:rFonts w:hint="eastAsia" w:ascii="宋体" w:hAnsi="宋体" w:cs="Arial"/>
          <w:color w:val="auto"/>
          <w:highlight w:val="none"/>
        </w:rPr>
        <w:t>10%</w:t>
      </w:r>
      <w:r>
        <w:rPr>
          <w:rFonts w:hint="eastAsia" w:ascii="宋体" w:hAnsi="宋体" w:cs="Arial"/>
          <w:color w:val="auto"/>
          <w:highlight w:val="none"/>
          <w:lang w:eastAsia="zh-CN"/>
        </w:rPr>
        <w:t>作为违约金</w:t>
      </w:r>
      <w:r>
        <w:rPr>
          <w:rFonts w:hint="eastAsia" w:ascii="宋体" w:hAnsi="宋体" w:cs="Arial"/>
          <w:color w:val="auto"/>
          <w:highlight w:val="none"/>
        </w:rPr>
        <w:t>，并且补足履约保证金后合同继续履行。后续履行过程中乙方再次发生逾期交付时，乙方按合同约定根据逾期天数承担违约责任。如赔偿不足以弥补甲方损失，甲方有权向乙方继续追偿。（按逾期时间，分别处理，不作累加）。</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10.8若发生以下行为，甲方将不退还履约保证金：</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10.8.1 在合同履行期间，乙方明确表示或者以自己的行为表明不履行主要义务的；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10.8.2 乙方迟延履行主要义务，经催告后在合理期限内仍未履行的；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10.8.3 乙方履行的义务不符合合同约定，经甲方催告后未在合理期限内整改完毕的；</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10.8.4 乙方其他违约行为导致合同解除或终止的。</w:t>
      </w:r>
      <w:r>
        <w:rPr>
          <w:rFonts w:hint="eastAsia" w:ascii="宋体" w:hAnsi="宋体" w:cs="Arial"/>
          <w:color w:val="auto"/>
          <w:highlight w:val="none"/>
        </w:rPr>
        <w:br w:type="textWrapping"/>
      </w:r>
      <w:r>
        <w:rPr>
          <w:rFonts w:hint="eastAsia" w:ascii="宋体" w:hAnsi="宋体"/>
          <w:b/>
          <w:color w:val="auto"/>
          <w:highlight w:val="none"/>
        </w:rPr>
        <w:t>11.检验</w:t>
      </w:r>
      <w:bookmarkEnd w:id="1290"/>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1" w:name="_Toc11883_WPSOffice_Level2"/>
      <w:r>
        <w:rPr>
          <w:rFonts w:hint="eastAsia" w:ascii="宋体" w:hAnsi="宋体" w:cs="Arial"/>
          <w:color w:val="auto"/>
          <w:highlight w:val="none"/>
        </w:rPr>
        <w:t>11.1甲方或其代表有权检验修复件，以确认修复件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11.2如果任何被检验的修复件不能满足技术的要求，甲方可以拒绝接受该修复件，乙方应继续修复被拒绝的修复件，或者免费进行必要的修改以满足合同的规格要求。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11.3甲方在修复件到达甲方国家和/或合同规定的交货地点后对修复件进行检验或必要时拒绝接受修复件的权利将不会因为修复件在启运前通过了甲方或其代表的检验和认可而受到限制或放弃。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乙方负责配合甲方开展修复件功能验证测试工作。</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甲方参加到货检查、开箱检验等工作直至全部修复件验收合格。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bookmarkEnd w:id="1291"/>
    </w:p>
    <w:p>
      <w:pPr>
        <w:tabs>
          <w:tab w:val="left" w:pos="1134"/>
          <w:tab w:val="left" w:pos="8364"/>
        </w:tabs>
        <w:spacing w:before="0" w:after="0" w:afterAutospacing="0"/>
        <w:ind w:left="17" w:leftChars="8" w:right="0" w:firstLine="401" w:firstLineChars="191"/>
        <w:rPr>
          <w:rFonts w:ascii="宋体" w:hAnsi="宋体" w:cs="Arial"/>
          <w:color w:val="auto"/>
          <w:highlight w:val="none"/>
        </w:rPr>
      </w:pPr>
      <w:bookmarkStart w:id="1292" w:name="_Toc26965_WPSOffice_Level2"/>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b.修复件名称、件数；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12.2乙方应按照修复件的特点及装卸和运输上的不同要求，包装箱上应明显印刷有“轻放”、“勿倒置”和“防雨”等字样，危险品包装应有警示标志。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高盐分、高降水量和露天储存。单位包装箱的尺寸和重量应充分考虑远途运输中缺乏重型装卸修复件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12.5乙方应保证修复件在没有任何损坏和腐蚀的情况下安全运抵合同规定的交货地点。乙方应承担由于其包装或防护措施不妥而引起修复件锈蚀、损坏和丢失的任何损失的责任或费用。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12.6乙方在包装修复件时应考虑甲方现场实际条件。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12.7各种修复件的松散零部件应采用好的包装方式，装入尺寸适当的箱内。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12.8对于裸装修复件，乙方应采取特殊措施保护修复件及方便搬运。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13.交货和单据</w:t>
      </w:r>
      <w:bookmarkEnd w:id="1292"/>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3" w:name="_Toc4402_WPSOffice_Level2"/>
      <w:r>
        <w:rPr>
          <w:rFonts w:hint="eastAsia" w:ascii="宋体" w:hAnsi="宋体" w:cs="Arial"/>
          <w:color w:val="auto"/>
          <w:highlight w:val="none"/>
        </w:rPr>
        <w:t>13.1交货期：</w:t>
      </w:r>
      <w:r>
        <w:rPr>
          <w:rFonts w:hint="eastAsia" w:ascii="宋体" w:hAnsi="宋体"/>
          <w:color w:val="auto"/>
          <w:highlight w:val="none"/>
          <w:u w:val="single"/>
        </w:rPr>
        <w:t>90天（自合同签订之日起开始计算）。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13.2乙方应负责将合同修复件在双方约定的交货期内运抵甲方指定地点。乙方负责交货地点的卸货和现场存放点的就位。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13.3乙方应负责将修复件交到合同规定的交货地点并负责修复件交到交货地点的一切费用，包括包装、运输、装卸、保险、仓储等费用。乙方应提供的装运细节和/或其他单据执行合同条款的具体规定。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13.4如果修复件不能按计划进行现场交接，乙方应将修复件在其南宁市仓储场所内进行临时保管。乙方应提交的单据执行合同条款的具体规定。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bookmarkEnd w:id="1293"/>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4" w:name="_Toc2616_WPSOffice_Level2"/>
      <w:r>
        <w:rPr>
          <w:rFonts w:hint="eastAsia" w:ascii="宋体" w:hAnsi="宋体" w:cs="Arial"/>
          <w:color w:val="auto"/>
          <w:highlight w:val="none"/>
        </w:rPr>
        <w:t>14.1修复件的所有权，只有乙方将修复件运至交货地点且经甲方开箱检验无损后，甲方办理交接手续后由乙方转移至甲方。所有权的转移不免除乙方的质量责任。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14.2修复件毁损、灭失的风险在验收合格并移交完毕后由乙方转移到甲方，若带安装、调试、试运行的，则应在安装、调试、试运行验收合格后。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14.3在拒收情况下，或者解除合同的，修复件毁损、灭失的风险由乙方承担。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bookmarkEnd w:id="1294"/>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5" w:name="_Toc7681_WPSOffice_Level2"/>
      <w:r>
        <w:rPr>
          <w:rFonts w:hint="eastAsia" w:ascii="宋体" w:hAnsi="宋体" w:cs="Arial"/>
          <w:color w:val="auto"/>
          <w:highlight w:val="none"/>
        </w:rPr>
        <w:t>15.1乙方应在任何修复件运送至甲方指定现场日期前7天通知甲方。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15.2乙方按照甲方的要求负责将修复件运至甲方指定地点，并负责办理修复件运至前述交货地点全过程中的所有事项，包括保险、中转、装卸和在修复件开箱验收合格前的仓储，上述费用已包括在合同价中。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bookmarkEnd w:id="1295"/>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6" w:name="_Toc13319_WPSOffice_Level2"/>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（1）第四部分合同条款1.1.9所提及的所有服务内容，但前提条件是该服务并不能免除乙方在合同有效期内所承担的义务。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bookmarkEnd w:id="1296"/>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297" w:name="_Toc21508_WPSOffice_Level2"/>
      <w:r>
        <w:rPr>
          <w:rFonts w:hint="eastAsia" w:ascii="宋体" w:hAnsi="宋体" w:cs="Arial"/>
          <w:color w:val="auto"/>
          <w:highlight w:val="none"/>
        </w:rPr>
        <w:t>17.1乙方应保证合同项下所有故障件均已修复并测试性能正常后方可移交甲方，所有故障件均需要提供维修报告。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17.2除合同条款另有规定外，在质量保证期内，如果修复件潜在缺陷或使用不符合要求的材料等，甲方应在合同规定期限内以书面形式向乙方提出本保证下的索赔：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17.2.1乙方在收到通知后按合同规定期限免费维修故障件；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w:t>
      </w:r>
      <w:r>
        <w:rPr>
          <w:rFonts w:hint="eastAsia" w:ascii="宋体" w:hAnsi="宋体"/>
          <w:b/>
          <w:color w:val="auto"/>
          <w:highlight w:val="none"/>
        </w:rPr>
        <w:t>3</w:t>
      </w:r>
      <w:r>
        <w:rPr>
          <w:rFonts w:ascii="宋体" w:hAnsi="宋体"/>
          <w:b/>
          <w:color w:val="auto"/>
          <w:highlight w:val="none"/>
        </w:rPr>
        <w:t xml:space="preserve">.1.1 </w:t>
      </w:r>
      <w:r>
        <w:rPr>
          <w:rFonts w:hint="eastAsia" w:ascii="宋体" w:hAnsi="宋体"/>
          <w:b/>
          <w:color w:val="auto"/>
          <w:highlight w:val="none"/>
        </w:rPr>
        <w:t>正常质量保证期为：自验收合格之日起</w:t>
      </w:r>
      <w:r>
        <w:rPr>
          <w:rFonts w:hint="eastAsia" w:ascii="宋体" w:hAnsi="宋体"/>
          <w:color w:val="auto"/>
          <w:highlight w:val="none"/>
          <w:u w:val="single"/>
        </w:rPr>
        <w:t>12</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.1.</w:t>
      </w:r>
      <w:r>
        <w:rPr>
          <w:rFonts w:hint="eastAsia" w:ascii="宋体" w:hAnsi="宋体"/>
          <w:color w:val="auto"/>
          <w:highlight w:val="none"/>
        </w:rPr>
        <w:t>3若同一修复件在质量保证期内返修次数达到或超过三次的，甲方有权要求乙方重新修复，这部分修复件的质量保证期自双方确认的修复完成日起重新计算</w:t>
      </w:r>
      <w:r>
        <w:rPr>
          <w:rFonts w:hint="eastAsia" w:ascii="宋体" w:hAnsi="宋体"/>
          <w:color w:val="auto"/>
          <w:highlight w:val="none"/>
          <w:u w:val="single"/>
        </w:rPr>
        <w:t>12</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.1.</w:t>
      </w:r>
      <w:r>
        <w:rPr>
          <w:rFonts w:hint="eastAsia" w:ascii="宋体" w:hAnsi="宋体"/>
          <w:color w:val="auto"/>
          <w:highlight w:val="none"/>
        </w:rPr>
        <w:t>4质量保证期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乙方需在7天内</w:t>
      </w:r>
      <w:r>
        <w:rPr>
          <w:rFonts w:ascii="宋体" w:hAnsi="宋体"/>
          <w:color w:val="auto"/>
          <w:highlight w:val="none"/>
        </w:rPr>
        <w:t>负责包修，并承担</w:t>
      </w:r>
      <w:r>
        <w:rPr>
          <w:rFonts w:hint="eastAsia" w:ascii="宋体" w:hAnsi="宋体"/>
          <w:color w:val="auto"/>
          <w:highlight w:val="none"/>
        </w:rPr>
        <w:t>返修所产生的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不能修理，按</w:t>
      </w:r>
      <w:r>
        <w:rPr>
          <w:rFonts w:hint="eastAsia" w:ascii="宋体" w:hAnsi="宋体"/>
          <w:color w:val="auto"/>
          <w:highlight w:val="none"/>
        </w:rPr>
        <w:t>未完成修复</w:t>
      </w:r>
      <w:r>
        <w:rPr>
          <w:rFonts w:ascii="宋体" w:hAnsi="宋体"/>
          <w:color w:val="auto"/>
          <w:highlight w:val="none"/>
        </w:rPr>
        <w:t>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乙方收到通知后应在合同条款第25条规定的时间内根据甲方的要求，尽快免费修复、更换修复件中有缺陷的部分，使修复件的相应部分恢复到合同规定的状态和规格。被修理或更换的修复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保证在现场和南宁当地条件下，合同项下的修复件在修复件寿命周期内正常操作情况下不会因乙方或其零部件供应商在设计和制造过程中的缺陷、错误或材料选用及制造工艺上的缺陷而产生故障。若乙方或其零部件供应商在设计制造工艺上的缺陷（包括潜在缺陷）而导致安全事故，给甲方造成所有的损失应由乙方赔偿，且乙方应负责及时修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bookmarkEnd w:id="1297"/>
    </w:p>
    <w:p>
      <w:pPr>
        <w:tabs>
          <w:tab w:val="left" w:pos="820"/>
        </w:tabs>
        <w:adjustRightInd w:val="0"/>
        <w:spacing w:before="0" w:after="0" w:afterAutospacing="0"/>
        <w:ind w:left="0" w:right="0" w:firstLine="420" w:firstLineChars="200"/>
        <w:rPr>
          <w:rFonts w:ascii="宋体" w:hAnsi="宋体"/>
          <w:color w:val="auto"/>
          <w:highlight w:val="none"/>
        </w:rPr>
      </w:pPr>
      <w:bookmarkStart w:id="1298" w:name="_Toc2893_WPSOffice_Level2"/>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18.4.1甲方提供的故障件种类及数量。</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18.5乙方收到甲方通知后应在十天内向甲方提供变更所带来的费用变化，乙方所提的费用应是最优惠的，如果只是故障件数量的变化，则乙方按合同中规定的故障件单价计算即可。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18.6合同变更时，买卖双方按下述方式确定调整故障件合同价格：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18.6.1对合同中已有项目的删除，按合同已列明的故障件单价计算调整合同价格。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bookmarkEnd w:id="1298"/>
    </w:p>
    <w:p>
      <w:pPr>
        <w:tabs>
          <w:tab w:val="left" w:pos="1120"/>
        </w:tabs>
        <w:spacing w:before="0" w:after="0" w:afterAutospacing="0"/>
        <w:ind w:left="0" w:right="0" w:firstLine="420" w:firstLineChars="200"/>
        <w:rPr>
          <w:rFonts w:ascii="宋体" w:hAnsi="宋体"/>
          <w:color w:val="auto"/>
          <w:highlight w:val="none"/>
        </w:rPr>
      </w:pPr>
      <w:bookmarkStart w:id="1299" w:name="_Toc10088_WPSOffice_Level2"/>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19.3如乙方具有以下情形的，甲方可以中止合同履行：</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bookmarkEnd w:id="1299"/>
    </w:p>
    <w:p>
      <w:pPr>
        <w:tabs>
          <w:tab w:val="left" w:pos="1120"/>
        </w:tabs>
        <w:spacing w:before="0" w:after="0" w:afterAutospacing="0"/>
        <w:ind w:left="0" w:right="0" w:firstLine="420" w:firstLineChars="200"/>
        <w:rPr>
          <w:rFonts w:ascii="宋体" w:hAnsi="宋体"/>
          <w:color w:val="auto"/>
          <w:highlight w:val="none"/>
        </w:rPr>
      </w:pPr>
      <w:bookmarkStart w:id="1300" w:name="_Toc13861_WPSOffice_Level2"/>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bookmarkEnd w:id="1300"/>
    </w:p>
    <w:p>
      <w:pPr>
        <w:tabs>
          <w:tab w:val="left" w:pos="1120"/>
        </w:tabs>
        <w:spacing w:before="0" w:after="0" w:afterAutospacing="0"/>
        <w:ind w:left="0" w:right="0" w:firstLine="420" w:firstLineChars="200"/>
        <w:rPr>
          <w:rFonts w:ascii="宋体" w:hAnsi="宋体"/>
          <w:color w:val="auto"/>
          <w:highlight w:val="none"/>
        </w:rPr>
      </w:pPr>
      <w:bookmarkStart w:id="1301" w:name="_Toc9712_WPSOffice_Level2"/>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4"/>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4"/>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bookmarkEnd w:id="1301"/>
    </w:p>
    <w:p>
      <w:pPr>
        <w:tabs>
          <w:tab w:val="left" w:pos="1120"/>
        </w:tabs>
        <w:spacing w:before="0" w:after="0" w:afterAutospacing="0"/>
        <w:ind w:left="0" w:right="0" w:firstLine="420" w:firstLineChars="200"/>
        <w:rPr>
          <w:rFonts w:ascii="宋体" w:hAnsi="宋体"/>
          <w:color w:val="auto"/>
          <w:highlight w:val="none"/>
        </w:rPr>
      </w:pPr>
      <w:bookmarkStart w:id="1302" w:name="_Toc29436_WPSOffice_Level2"/>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bookmarkEnd w:id="1302"/>
    </w:p>
    <w:p>
      <w:pPr>
        <w:tabs>
          <w:tab w:val="left" w:pos="960"/>
        </w:tabs>
        <w:spacing w:before="0" w:after="0" w:afterAutospacing="0"/>
        <w:ind w:left="420" w:right="0" w:firstLine="0"/>
        <w:rPr>
          <w:rFonts w:ascii="宋体" w:hAnsi="宋体"/>
          <w:color w:val="auto"/>
          <w:highlight w:val="none"/>
        </w:rPr>
      </w:pPr>
      <w:bookmarkStart w:id="1303" w:name="_Toc9539_WPSOffice_Level2"/>
      <w:r>
        <w:rPr>
          <w:rFonts w:hint="eastAsia" w:ascii="宋体" w:hAnsi="宋体"/>
          <w:color w:val="auto"/>
          <w:highlight w:val="none"/>
        </w:rPr>
        <w:t>23.1合同生效后，买卖双方按合同约定提供本项目故障件或修复件。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23.2除非合同中另有约定，乙方要负责所有故障件的修复服务，包括故障件的包装、运输、检测、维修，修复件的出厂检验、运输、软硬件的调试及质保期内出现故障免费维修等。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23.3如合同里没有特别地提到，乙方应提供合同中规定的及通过合同就可以合理地推断要完成维修所要求的货物和材料。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w:t>
      </w:r>
      <w:bookmarkEnd w:id="1303"/>
      <w:r>
        <w:rPr>
          <w:rFonts w:hint="eastAsia" w:ascii="宋体" w:hAnsi="宋体"/>
          <w:b/>
          <w:color w:val="auto"/>
          <w:highlight w:val="none"/>
        </w:rPr>
        <w:t>验收要求</w:t>
      </w:r>
    </w:p>
    <w:p>
      <w:pPr>
        <w:tabs>
          <w:tab w:val="left" w:pos="420"/>
          <w:tab w:val="left" w:pos="1040"/>
        </w:tabs>
        <w:spacing w:before="0" w:after="0" w:afterAutospacing="0"/>
        <w:ind w:left="0" w:right="0" w:firstLine="424" w:firstLineChars="202"/>
        <w:rPr>
          <w:rFonts w:ascii="宋体" w:hAnsi="宋体"/>
          <w:color w:val="auto"/>
          <w:highlight w:val="none"/>
        </w:rPr>
      </w:pPr>
      <w:bookmarkStart w:id="1304" w:name="_Toc13850_WPSOffice_Level2"/>
      <w:r>
        <w:rPr>
          <w:rFonts w:hint="eastAsia" w:ascii="宋体" w:hAnsi="宋体"/>
          <w:color w:val="auto"/>
          <w:highlight w:val="none"/>
        </w:rPr>
        <w:t>24.1修复件运抵现场后，应在甲方/管理机构的监督下，由乙方进行修复件开箱验收，达到合格验收后办理修复件移交手续。如修复件不能及时进行现场就位，修复件的现场保管应由乙方负责，乙方必须提出修复件放置场所的要求，现场存放应能达到修复件存放场所宜干燥、有遮盖，应避免受到含有酸、盐、碱等腐蚀性物质的侵蚀。修复件运抵乙方仓储现场后，应在甲方/管理机构的监督下，由乙方共同进行修复件开箱验收，达到合格验收后办理修复件移交手续。乙方应负责运输及装卸。如修复件不能及时进行移交，修复件的现场保管应由乙方承担，修复件存放场所宜干燥、有遮盖，应避免受到含有酸、盐、碱等腐蚀性物质的侵蚀。修复件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24.2乙方负责实施本合同条款所述事项并负担其产生的全部费用。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24.3验收标准</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24.3.1设备维修完毕，乙方自检，准备验收报告，通知甲方验收，验收时各项技术指标应达到相关验收标准，验收时双方签据性能测试验收报告（详见附件3）。</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24.3.2甲方如提出与所供材料质量有关的问题，乙方应在1周内给予答复。</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24.3.3若现场验收中发现有诸如数量、型号和品种与规定不符或合同材料和包装外观损坏，乙方应负责更换或补齐。若产品验收不合格，乙方应立即整改，直到达到合格要求。</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bookmarkEnd w:id="1304"/>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修复件，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修复件，替换错装或损坏的修复件，除非双方另有协议，该补足或替换应在十（10）天内完成。起始日期应以乙方现场代表收到甲方以书面文件的索赔文件之日起计算。以甲方将补足的修复件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hint="eastAsia" w:ascii="宋体" w:hAnsi="宋体" w:eastAsia="宋体"/>
          <w:color w:val="auto"/>
          <w:highlight w:val="none"/>
        </w:rPr>
      </w:pPr>
      <w:r>
        <w:rPr>
          <w:rFonts w:hint="eastAsia" w:ascii="宋体" w:hAnsi="宋体" w:eastAsia="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修复件的质量不能达到用户需求书中的技术要求，如经乙方两次返修，修复件仍不能达到合同约定的质量标准，甲方有权不支付该修复件的维修费，乙方应退还所该修复件的全部维修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25.2.2修理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若返修件质保期内发生故障，则由投标方免费修复，修复应在七（7）天内完成，修复后重新计算质保期。</w:t>
      </w:r>
    </w:p>
    <w:p>
      <w:pPr>
        <w:numPr>
          <w:ilvl w:val="1"/>
          <w:numId w:val="0"/>
        </w:numPr>
        <w:tabs>
          <w:tab w:val="left" w:pos="1060"/>
        </w:tabs>
        <w:spacing w:before="0" w:after="0" w:afterAutospacing="0"/>
        <w:ind w:right="0" w:firstLine="420" w:firstLineChars="200"/>
        <w:rPr>
          <w:rFonts w:hint="eastAsia" w:ascii="宋体" w:hAnsi="宋体" w:eastAsia="宋体"/>
          <w:color w:val="auto"/>
          <w:highlight w:val="none"/>
        </w:rPr>
      </w:pPr>
      <w:r>
        <w:rPr>
          <w:rFonts w:hint="eastAsia" w:ascii="宋体" w:hAnsi="宋体" w:eastAsia="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25.4若因乙方提供的修复件不满足验收标准和技术需求，并拒绝继续维修至符合甲方技术需求的修复件，乙方须支付本批次修复件维修</w:t>
      </w:r>
      <w:r>
        <w:rPr>
          <w:rFonts w:hint="eastAsia" w:ascii="宋体" w:hAnsi="宋体"/>
          <w:color w:val="auto"/>
          <w:highlight w:val="none"/>
          <w:lang w:val="en-US" w:eastAsia="zh-CN"/>
        </w:rPr>
        <w:t>总</w:t>
      </w:r>
      <w:r>
        <w:rPr>
          <w:rFonts w:hint="eastAsia" w:ascii="宋体" w:hAnsi="宋体"/>
          <w:color w:val="auto"/>
          <w:highlight w:val="none"/>
        </w:rPr>
        <w:t>金额的20%的违约金，同时甲方重新维修因价格差所造成的损失由乙方承担。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25.5验收时，乙方需保证交付修复件满足技术需求和验收标准，否则甲方可以拒收，并要求乙方提供符合要求的修复件。</w:t>
      </w:r>
    </w:p>
    <w:p>
      <w:pPr>
        <w:pStyle w:val="39"/>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25.6若因乙方交付的修复件不满足技术需求，并继续维修至符合甲方技术需求的修复件，甲方有权追究乙方违约责任。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25.8乙方在中选文件中承诺的响应要求，而在项目实施阶段未能实现，视为乙方违约，甲方向乙方收取违约金1000元/项。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rPr>
        <w:t>25.15本合同条款规定的乙方处理修复件质量问题的时间如果与合同规定的关键节点时间有冲突，应首先满足该关键节点时间。</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25.16由于乙方提供的维修服务不符合要求或由此造成甲方损失，乙方应负责甲方的相关损失所发生的费用。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25.17乙方未按规定时间内修复完成，违约金按未完成修复的故障件合同维修总金额的10%扣除且本故障件不予计算维修费用；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25.18乙方未提供修复件的维修报告和性能测试报告，违约金按未提供材料的故障件维修</w:t>
      </w:r>
      <w:r>
        <w:rPr>
          <w:rFonts w:hint="eastAsia" w:ascii="宋体" w:hAnsi="宋体"/>
          <w:color w:val="auto"/>
          <w:highlight w:val="none"/>
          <w:lang w:val="en-US" w:eastAsia="zh-CN"/>
        </w:rPr>
        <w:t>总</w:t>
      </w:r>
      <w:r>
        <w:rPr>
          <w:rFonts w:hint="eastAsia" w:ascii="宋体" w:hAnsi="宋体"/>
          <w:color w:val="auto"/>
          <w:highlight w:val="none"/>
        </w:rPr>
        <w:t>金额的10%扣除；</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25.19故障件修复率不低于故障件送修总数量的90%，如低于90%，则扣除</w:t>
      </w:r>
      <w:r>
        <w:rPr>
          <w:rFonts w:hint="eastAsia" w:ascii="宋体" w:hAnsi="宋体"/>
          <w:color w:val="auto"/>
          <w:highlight w:val="none"/>
          <w:lang w:eastAsia="zh-CN"/>
        </w:rPr>
        <w:t>已修复</w:t>
      </w:r>
      <w:r>
        <w:rPr>
          <w:rFonts w:hint="eastAsia" w:ascii="宋体" w:hAnsi="宋体"/>
          <w:color w:val="auto"/>
          <w:highlight w:val="none"/>
        </w:rPr>
        <w:t>故障件总修复费用的10%作为违约金，如低于80%则扣除</w:t>
      </w:r>
      <w:r>
        <w:rPr>
          <w:rFonts w:hint="eastAsia" w:ascii="宋体" w:hAnsi="宋体" w:eastAsia="宋体"/>
          <w:color w:val="auto"/>
          <w:highlight w:val="none"/>
          <w:lang w:eastAsia="zh-CN"/>
        </w:rPr>
        <w:t>已修复</w:t>
      </w:r>
      <w:r>
        <w:rPr>
          <w:rFonts w:hint="eastAsia" w:ascii="宋体" w:hAnsi="宋体"/>
          <w:color w:val="auto"/>
          <w:highlight w:val="none"/>
        </w:rPr>
        <w:t>故障件总修复费用</w:t>
      </w:r>
      <w:r>
        <w:rPr>
          <w:rFonts w:hint="eastAsia" w:ascii="宋体" w:hAnsi="宋体"/>
          <w:color w:val="auto"/>
          <w:highlight w:val="none"/>
          <w:lang w:eastAsia="zh-CN"/>
        </w:rPr>
        <w:t>的</w:t>
      </w:r>
      <w:r>
        <w:rPr>
          <w:rFonts w:hint="eastAsia" w:ascii="宋体" w:hAnsi="宋体"/>
          <w:color w:val="auto"/>
          <w:highlight w:val="none"/>
        </w:rPr>
        <w:t>20%</w:t>
      </w:r>
      <w:r>
        <w:rPr>
          <w:rFonts w:hint="eastAsia" w:ascii="宋体" w:hAnsi="宋体"/>
          <w:color w:val="auto"/>
          <w:highlight w:val="none"/>
          <w:lang w:eastAsia="zh-CN"/>
        </w:rPr>
        <w:t>作为</w:t>
      </w:r>
      <w:r>
        <w:rPr>
          <w:rFonts w:hint="eastAsia" w:ascii="宋体" w:hAnsi="宋体"/>
          <w:color w:val="auto"/>
          <w:highlight w:val="none"/>
        </w:rPr>
        <w:t>违约金</w:t>
      </w:r>
      <w:r>
        <w:rPr>
          <w:rFonts w:hint="eastAsia" w:ascii="宋体" w:hAnsi="宋体"/>
          <w:color w:val="auto"/>
          <w:highlight w:val="none"/>
          <w:lang w:eastAsia="zh-CN"/>
        </w:rPr>
        <w:t>；</w:t>
      </w:r>
      <w:r>
        <w:rPr>
          <w:rFonts w:hint="eastAsia" w:ascii="宋体" w:hAnsi="宋体"/>
          <w:color w:val="auto"/>
          <w:highlight w:val="none"/>
        </w:rPr>
        <w:t>如修复率低于70%则扣除</w:t>
      </w:r>
      <w:r>
        <w:rPr>
          <w:rFonts w:hint="eastAsia" w:ascii="宋体" w:hAnsi="宋体" w:eastAsia="宋体"/>
          <w:color w:val="auto"/>
          <w:highlight w:val="none"/>
          <w:lang w:eastAsia="zh-CN"/>
        </w:rPr>
        <w:t>已修复</w:t>
      </w:r>
      <w:r>
        <w:rPr>
          <w:rFonts w:hint="eastAsia" w:ascii="宋体" w:hAnsi="宋体"/>
          <w:color w:val="auto"/>
          <w:highlight w:val="none"/>
        </w:rPr>
        <w:t>故障件总修复费用</w:t>
      </w:r>
      <w:r>
        <w:rPr>
          <w:rFonts w:hint="eastAsia" w:ascii="宋体" w:hAnsi="宋体"/>
          <w:color w:val="auto"/>
          <w:highlight w:val="none"/>
          <w:lang w:eastAsia="zh-CN"/>
        </w:rPr>
        <w:t>的</w:t>
      </w:r>
      <w:r>
        <w:rPr>
          <w:rFonts w:hint="eastAsia" w:ascii="宋体" w:hAnsi="宋体"/>
          <w:color w:val="auto"/>
          <w:highlight w:val="none"/>
        </w:rPr>
        <w:t>30%</w:t>
      </w:r>
      <w:r>
        <w:rPr>
          <w:rFonts w:hint="eastAsia" w:ascii="宋体" w:hAnsi="宋体"/>
          <w:color w:val="auto"/>
          <w:highlight w:val="none"/>
          <w:lang w:eastAsia="zh-CN"/>
        </w:rPr>
        <w:t>作为</w:t>
      </w:r>
      <w:r>
        <w:rPr>
          <w:rFonts w:hint="eastAsia" w:ascii="宋体" w:hAnsi="宋体"/>
          <w:color w:val="auto"/>
          <w:highlight w:val="none"/>
        </w:rPr>
        <w:t>违约金，且甲方有权要求</w:t>
      </w:r>
      <w:r>
        <w:rPr>
          <w:rFonts w:hint="eastAsia" w:ascii="宋体" w:hAnsi="宋体"/>
          <w:color w:val="auto"/>
          <w:highlight w:val="none"/>
          <w:lang w:eastAsia="zh-CN"/>
        </w:rPr>
        <w:t>投标方</w:t>
      </w:r>
      <w:r>
        <w:rPr>
          <w:rFonts w:hint="eastAsia" w:ascii="宋体" w:hAnsi="宋体"/>
          <w:color w:val="auto"/>
          <w:highlight w:val="none"/>
        </w:rPr>
        <w:t>将不可修复的设备送第三方检测，检测费用由</w:t>
      </w:r>
      <w:r>
        <w:rPr>
          <w:rFonts w:hint="eastAsia" w:ascii="宋体" w:hAnsi="宋体"/>
          <w:color w:val="auto"/>
          <w:highlight w:val="none"/>
          <w:lang w:eastAsia="zh-CN"/>
        </w:rPr>
        <w:t>投标方</w:t>
      </w:r>
      <w:r>
        <w:rPr>
          <w:rFonts w:hint="eastAsia" w:ascii="宋体" w:hAnsi="宋体"/>
          <w:color w:val="auto"/>
          <w:highlight w:val="none"/>
        </w:rPr>
        <w:t>负责。</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25.20故障件维修完成1个月内发生重复故障的，乙方需向甲方支付违约金500元/次，并免费修复故障件，若因该故障件导致的故障涉及运营安全等重大影响的扣除违约金10000元/次，必要时追究相关责任。此外，同一个故障件修复后一年内不得因同一质量问题返修超过3次，否则扣除该故障件修复金额50%的费用，同时要求由乙方技术经理带技术团队赴现场进行故障调查，如质量问题无法得到甲方认可的有效解决，甲方有权单方面解除合同，并追究乙方违约责任。</w:t>
      </w:r>
    </w:p>
    <w:p>
      <w:pPr>
        <w:widowControl w:val="0"/>
        <w:tabs>
          <w:tab w:val="left" w:pos="10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25.21如乙方违反上述条款的由甲方填写《合同违约处理通知单》（附件4），乙方如有意见，须在《合同违约处理通知单》送达后2个工作日内向项目主办部门提交正式申诉材料提出申诉，否则视为接受违约处理意见，项目主办部门在收到申诉材料后须在5个工作日给予回复。否则由此进度款迟延支付，由乙方承担。</w:t>
      </w:r>
    </w:p>
    <w:p>
      <w:pPr>
        <w:widowControl w:val="0"/>
        <w:tabs>
          <w:tab w:val="left" w:pos="10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25.22乙方如作出质量检验承诺后未按要求在30个工作日内完成送修件修复率＞85%承诺的，送修件修复率每低1个百分点则扣除本合同金额1%维修费，以此类推。</w:t>
      </w:r>
    </w:p>
    <w:p>
      <w:pPr>
        <w:widowControl w:val="0"/>
        <w:tabs>
          <w:tab w:val="left" w:pos="10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25.23乙方如作出售后服务承诺后未按要求建立动态修复件清单的，甲方有权扣除本合同金额5%的维修费并要求乙方在5天完成整改；如乙方未在甲方要求时限内完成整改，每延迟1天扣除本合同金额1%维修费，以此类推。</w:t>
      </w:r>
    </w:p>
    <w:p>
      <w:pPr>
        <w:widowControl w:val="0"/>
        <w:tabs>
          <w:tab w:val="left" w:pos="1060"/>
        </w:tabs>
        <w:spacing w:before="0" w:after="0" w:afterAutospacing="0"/>
        <w:ind w:left="0" w:right="0" w:firstLine="422" w:firstLineChars="200"/>
        <w:rPr>
          <w:rFonts w:ascii="宋体" w:hAnsi="宋体"/>
          <w:b/>
          <w:color w:val="auto"/>
          <w:highlight w:val="none"/>
        </w:rPr>
      </w:pPr>
      <w:bookmarkStart w:id="1305" w:name="_Toc28865_WPSOffice_Level2"/>
      <w:r>
        <w:rPr>
          <w:rFonts w:hint="eastAsia" w:ascii="宋体" w:hAnsi="宋体"/>
          <w:b/>
          <w:color w:val="auto"/>
          <w:highlight w:val="none"/>
        </w:rPr>
        <w:t>26.合同终止</w:t>
      </w:r>
      <w:bookmarkEnd w:id="1305"/>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26.1对合同条件所做出的任何修改、补充，须经双方协商达成一致意见后，签订书面协议。</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bookmarkStart w:id="1306" w:name="_Toc3251_WPSOffice_Level2"/>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bookmarkEnd w:id="1306"/>
    </w:p>
    <w:p>
      <w:pPr>
        <w:pStyle w:val="62"/>
        <w:adjustRightInd/>
        <w:spacing w:before="0" w:after="0" w:line="360" w:lineRule="auto"/>
        <w:ind w:left="0" w:right="0" w:firstLine="420" w:firstLineChars="200"/>
        <w:rPr>
          <w:rFonts w:ascii="宋体" w:hAnsi="宋体"/>
          <w:color w:val="auto"/>
          <w:sz w:val="21"/>
          <w:szCs w:val="21"/>
          <w:highlight w:val="none"/>
        </w:rPr>
      </w:pPr>
      <w:bookmarkStart w:id="1307" w:name="_Toc23260_WPSOffice_Level2"/>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bookmarkEnd w:id="1307"/>
    </w:p>
    <w:p>
      <w:pPr>
        <w:tabs>
          <w:tab w:val="left" w:pos="1020"/>
        </w:tabs>
        <w:spacing w:before="0" w:after="0" w:afterAutospacing="0"/>
        <w:ind w:left="420" w:right="0" w:firstLine="0"/>
        <w:rPr>
          <w:rFonts w:ascii="宋体" w:hAnsi="宋体"/>
          <w:color w:val="auto"/>
          <w:highlight w:val="none"/>
        </w:rPr>
      </w:pPr>
      <w:bookmarkStart w:id="1308" w:name="_Toc14677_WPSOffice_Level2"/>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bookmarkEnd w:id="1308"/>
    </w:p>
    <w:p>
      <w:pPr>
        <w:tabs>
          <w:tab w:val="left" w:pos="820"/>
        </w:tabs>
        <w:adjustRightInd w:val="0"/>
        <w:spacing w:before="0" w:after="0" w:afterAutospacing="0"/>
        <w:ind w:left="0" w:right="0" w:firstLine="420" w:firstLineChars="200"/>
        <w:rPr>
          <w:rFonts w:ascii="宋体" w:hAnsi="宋体"/>
          <w:color w:val="auto"/>
          <w:highlight w:val="none"/>
        </w:rPr>
      </w:pPr>
      <w:bookmarkStart w:id="1309" w:name="_Toc30272_WPSOffice_Level2"/>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bookmarkEnd w:id="1309"/>
    </w:p>
    <w:p>
      <w:pPr>
        <w:spacing w:before="0" w:after="0" w:afterAutospacing="0"/>
        <w:ind w:left="0" w:right="0" w:firstLine="420" w:firstLineChars="200"/>
        <w:rPr>
          <w:rFonts w:ascii="宋体" w:hAnsi="宋体"/>
          <w:color w:val="auto"/>
          <w:highlight w:val="none"/>
        </w:rPr>
      </w:pPr>
      <w:bookmarkStart w:id="1310" w:name="_Toc23785_WPSOffice_Level2"/>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bookmarkEnd w:id="1310"/>
    </w:p>
    <w:p>
      <w:pPr>
        <w:spacing w:before="0" w:after="0" w:afterAutospacing="0"/>
        <w:ind w:left="0" w:right="0" w:firstLine="420" w:firstLineChars="200"/>
        <w:rPr>
          <w:rFonts w:ascii="宋体" w:hAnsi="宋体"/>
          <w:color w:val="auto"/>
          <w:highlight w:val="none"/>
        </w:rPr>
      </w:pPr>
      <w:bookmarkStart w:id="1311" w:name="_Toc7517_WPSOffice_Level2"/>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bookmarkEnd w:id="131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pStyle w:val="14"/>
        <w:rPr>
          <w:rFonts w:hAnsi="宋体"/>
          <w:color w:val="auto"/>
          <w:highlight w:val="none"/>
        </w:rPr>
      </w:pPr>
    </w:p>
    <w:p>
      <w:pPr>
        <w:pStyle w:val="62"/>
        <w:pageBreakBefore/>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1312" w:name="_Toc32247"/>
      <w:bookmarkStart w:id="1313" w:name="_Toc92268646"/>
      <w:bookmarkStart w:id="1314" w:name="_Toc101965693"/>
      <w:bookmarkStart w:id="1315" w:name="_Toc27182_WPSOffice_Level1"/>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1312"/>
      <w:bookmarkEnd w:id="1313"/>
      <w:bookmarkEnd w:id="1314"/>
      <w:bookmarkEnd w:id="1315"/>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rPr>
          <w:rFonts w:ascii="宋体" w:hAnsi="宋体"/>
          <w:color w:val="auto"/>
          <w:highlight w:val="none"/>
        </w:rPr>
      </w:pPr>
      <w:r>
        <w:rPr>
          <w:rFonts w:hint="eastAsia" w:ascii="宋体" w:hAnsi="宋体"/>
          <w:color w:val="auto"/>
          <w:highlight w:val="none"/>
        </w:rPr>
        <w:br w:type="page"/>
      </w:r>
    </w:p>
    <w:p>
      <w:pPr>
        <w:pStyle w:val="3"/>
        <w:spacing w:before="40" w:after="40" w:afterAutospacing="0" w:line="240" w:lineRule="auto"/>
        <w:ind w:left="422" w:right="0" w:firstLine="0"/>
        <w:jc w:val="center"/>
        <w:rPr>
          <w:rFonts w:ascii="Times New Roman" w:hAnsi="Times New Roman" w:eastAsia="宋体"/>
          <w:color w:val="auto"/>
          <w:highlight w:val="none"/>
        </w:rPr>
      </w:pPr>
      <w:bookmarkStart w:id="1316" w:name="_Toc25584_WPSOffice_Level1"/>
      <w:bookmarkStart w:id="1317" w:name="_Toc39"/>
      <w:r>
        <w:rPr>
          <w:rFonts w:hint="eastAsia" w:ascii="Times New Roman" w:hAnsi="Times New Roman" w:eastAsia="宋体"/>
          <w:color w:val="auto"/>
          <w:highlight w:val="none"/>
        </w:rPr>
        <w:t xml:space="preserve">第六部分 </w:t>
      </w:r>
      <w:r>
        <w:rPr>
          <w:rFonts w:ascii="Times New Roman" w:hAnsi="Times New Roman" w:eastAsia="宋体"/>
          <w:color w:val="auto"/>
          <w:highlight w:val="none"/>
        </w:rPr>
        <w:t>合同附件及格式</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316"/>
      <w:bookmarkEnd w:id="1317"/>
    </w:p>
    <w:p>
      <w:pPr>
        <w:rPr>
          <w:color w:val="auto"/>
          <w:highlight w:val="none"/>
        </w:rPr>
      </w:pPr>
      <w:bookmarkStart w:id="1318" w:name="_Toc92268648"/>
      <w:bookmarkStart w:id="1319" w:name="_Toc22695_WPSOffice_Level2"/>
    </w:p>
    <w:p>
      <w:pPr>
        <w:pStyle w:val="4"/>
        <w:rPr>
          <w:rFonts w:ascii="宋体" w:hAnsi="宋体"/>
          <w:b w:val="0"/>
          <w:color w:val="auto"/>
          <w:highlight w:val="none"/>
        </w:rPr>
      </w:pPr>
      <w:r>
        <w:rPr>
          <w:rFonts w:hint="eastAsia" w:ascii="宋体" w:hAnsi="宋体"/>
          <w:b w:val="0"/>
          <w:color w:val="auto"/>
          <w:highlight w:val="none"/>
        </w:rPr>
        <w:t>1.履约保证金缴纳凭证（履约保函格式附后）</w:t>
      </w:r>
      <w:bookmarkEnd w:id="1318"/>
      <w:bookmarkEnd w:id="1319"/>
    </w:p>
    <w:p>
      <w:pPr>
        <w:pStyle w:val="4"/>
        <w:rPr>
          <w:rFonts w:ascii="宋体" w:hAnsi="宋体"/>
          <w:b w:val="0"/>
          <w:color w:val="auto"/>
          <w:highlight w:val="none"/>
        </w:rPr>
      </w:pPr>
      <w:bookmarkStart w:id="1320" w:name="_Toc92268649"/>
      <w:bookmarkStart w:id="1321" w:name="_Toc25351_WPSOffice_Level2"/>
      <w:r>
        <w:rPr>
          <w:rFonts w:hint="eastAsia" w:ascii="宋体" w:hAnsi="宋体"/>
          <w:b w:val="0"/>
          <w:color w:val="auto"/>
          <w:highlight w:val="none"/>
        </w:rPr>
        <w:t>2.</w:t>
      </w:r>
      <w:bookmarkEnd w:id="1320"/>
      <w:r>
        <w:rPr>
          <w:rFonts w:hint="eastAsia" w:ascii="宋体" w:hAnsi="宋体"/>
          <w:b w:val="0"/>
          <w:color w:val="auto"/>
          <w:highlight w:val="none"/>
        </w:rPr>
        <w:t>乙方营业执照或资质证书等（如有）</w:t>
      </w:r>
      <w:bookmarkEnd w:id="1321"/>
    </w:p>
    <w:p>
      <w:pPr>
        <w:pStyle w:val="4"/>
        <w:rPr>
          <w:rFonts w:ascii="宋体" w:hAnsi="宋体"/>
          <w:b w:val="0"/>
          <w:color w:val="auto"/>
          <w:highlight w:val="none"/>
        </w:rPr>
      </w:pPr>
      <w:bookmarkStart w:id="1322" w:name="_Toc14500_WPSOffice_Level2"/>
      <w:r>
        <w:rPr>
          <w:rFonts w:hint="eastAsia" w:ascii="宋体" w:hAnsi="宋体"/>
          <w:b w:val="0"/>
          <w:color w:val="auto"/>
          <w:highlight w:val="none"/>
        </w:rPr>
        <w:t>3.乙方法人授权委托书（如有）</w:t>
      </w:r>
      <w:bookmarkEnd w:id="1322"/>
    </w:p>
    <w:p>
      <w:pPr>
        <w:pStyle w:val="4"/>
        <w:rPr>
          <w:rFonts w:ascii="宋体" w:hAnsi="宋体"/>
          <w:b w:val="0"/>
          <w:color w:val="auto"/>
          <w:highlight w:val="none"/>
        </w:rPr>
      </w:pPr>
      <w:bookmarkStart w:id="1323" w:name="_Toc7492_WPSOffice_Level2"/>
      <w:r>
        <w:rPr>
          <w:rFonts w:hint="eastAsia" w:ascii="宋体" w:hAnsi="宋体"/>
          <w:b w:val="0"/>
          <w:color w:val="auto"/>
          <w:highlight w:val="none"/>
        </w:rPr>
        <w:t>4.原厂授权证明（如有）</w:t>
      </w:r>
      <w:bookmarkEnd w:id="1323"/>
    </w:p>
    <w:p>
      <w:pPr>
        <w:pStyle w:val="4"/>
        <w:rPr>
          <w:rFonts w:ascii="宋体" w:hAnsi="宋体"/>
          <w:b w:val="0"/>
          <w:color w:val="auto"/>
          <w:highlight w:val="none"/>
        </w:rPr>
      </w:pPr>
      <w:bookmarkStart w:id="1324" w:name="_Toc92268651"/>
      <w:bookmarkStart w:id="1325" w:name="_Toc912_WPSOffice_Level2"/>
      <w:r>
        <w:rPr>
          <w:rFonts w:hint="eastAsia" w:ascii="宋体" w:hAnsi="宋体"/>
          <w:b w:val="0"/>
          <w:color w:val="auto"/>
          <w:highlight w:val="none"/>
        </w:rPr>
        <w:t>5.</w:t>
      </w:r>
      <w:bookmarkEnd w:id="1324"/>
      <w:r>
        <w:rPr>
          <w:rFonts w:hint="eastAsia" w:ascii="宋体" w:hAnsi="宋体"/>
          <w:b w:val="0"/>
          <w:color w:val="auto"/>
          <w:highlight w:val="none"/>
        </w:rPr>
        <w:t>交货通知格式（如有）</w:t>
      </w:r>
      <w:bookmarkEnd w:id="1325"/>
    </w:p>
    <w:p>
      <w:pPr>
        <w:pStyle w:val="4"/>
        <w:rPr>
          <w:rFonts w:ascii="宋体" w:hAnsi="宋体"/>
          <w:b w:val="0"/>
          <w:color w:val="auto"/>
          <w:highlight w:val="none"/>
        </w:rPr>
      </w:pPr>
      <w:bookmarkStart w:id="1326" w:name="_Toc30271_WPSOffice_Level2"/>
      <w:r>
        <w:rPr>
          <w:rFonts w:hint="eastAsia" w:ascii="宋体" w:hAnsi="宋体"/>
          <w:b w:val="0"/>
          <w:color w:val="auto"/>
          <w:highlight w:val="none"/>
        </w:rPr>
        <w:t>6.送货单格式（如有）</w:t>
      </w:r>
      <w:bookmarkEnd w:id="1326"/>
    </w:p>
    <w:p>
      <w:pPr>
        <w:pStyle w:val="62"/>
        <w:adjustRightInd/>
        <w:spacing w:before="0" w:after="0" w:line="360" w:lineRule="auto"/>
        <w:ind w:left="0" w:right="0"/>
        <w:outlineLvl w:val="2"/>
        <w:rPr>
          <w:rFonts w:ascii="宋体" w:hAnsi="宋体"/>
          <w:color w:val="auto"/>
          <w:sz w:val="21"/>
          <w:szCs w:val="21"/>
          <w:highlight w:val="none"/>
        </w:rPr>
      </w:pPr>
      <w:r>
        <w:rPr>
          <w:rFonts w:hint="eastAsia" w:ascii="宋体" w:hAnsi="宋体"/>
          <w:color w:val="auto"/>
          <w:sz w:val="21"/>
          <w:szCs w:val="21"/>
          <w:highlight w:val="none"/>
        </w:rPr>
        <w:t>7.安全生产协议书</w:t>
      </w:r>
    </w:p>
    <w:p>
      <w:pPr>
        <w:pageBreakBefore/>
        <w:tabs>
          <w:tab w:val="left" w:pos="1134"/>
          <w:tab w:val="left" w:pos="8364"/>
        </w:tabs>
        <w:spacing w:before="0" w:after="0" w:afterAutospacing="0"/>
        <w:ind w:left="0" w:right="-57" w:hanging="11"/>
        <w:rPr>
          <w:rFonts w:ascii="宋体" w:hAnsi="宋体"/>
          <w:color w:val="auto"/>
          <w:sz w:val="24"/>
          <w:szCs w:val="24"/>
          <w:highlight w:val="none"/>
        </w:rPr>
      </w:pPr>
      <w:bookmarkStart w:id="1327" w:name="_Toc25617_WPSOffice_Level2"/>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bookmarkEnd w:id="1327"/>
    </w:p>
    <w:p>
      <w:pPr>
        <w:spacing w:before="0" w:after="0" w:afterAutospacing="0"/>
        <w:ind w:right="-57" w:firstLine="0"/>
        <w:jc w:val="center"/>
        <w:rPr>
          <w:rFonts w:ascii="宋体" w:hAnsi="宋体"/>
          <w:b/>
          <w:color w:val="auto"/>
          <w:sz w:val="28"/>
          <w:szCs w:val="28"/>
          <w:highlight w:val="none"/>
        </w:rPr>
      </w:pPr>
      <w:bookmarkStart w:id="1328" w:name="_Toc18669_WPSOffice_Level2"/>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bookmarkEnd w:id="1328"/>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全部修复件验收合格之日后四十五（45）天一直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14"/>
        <w:rPr>
          <w:color w:val="auto"/>
          <w:highlight w:val="none"/>
        </w:rPr>
      </w:pPr>
    </w:p>
    <w:p>
      <w:pPr>
        <w:pStyle w:val="14"/>
        <w:rPr>
          <w:color w:val="auto"/>
          <w:highlight w:val="none"/>
        </w:rPr>
      </w:pPr>
    </w:p>
    <w:p>
      <w:pPr>
        <w:ind w:right="-57" w:firstLine="0"/>
        <w:jc w:val="center"/>
        <w:rPr>
          <w:rFonts w:ascii="宋体" w:hAnsi="宋体"/>
          <w:b/>
          <w:color w:val="auto"/>
          <w:sz w:val="24"/>
          <w:szCs w:val="24"/>
          <w:highlight w:val="none"/>
        </w:rPr>
      </w:pPr>
      <w:bookmarkStart w:id="1329" w:name="_Toc20369_WPSOffice_Level2"/>
      <w:r>
        <w:rPr>
          <w:rFonts w:hint="eastAsia" w:ascii="宋体" w:hAnsi="宋体"/>
          <w:b/>
          <w:color w:val="auto"/>
          <w:sz w:val="24"/>
          <w:szCs w:val="24"/>
          <w:highlight w:val="none"/>
        </w:rPr>
        <w:t>承诺函（中标后提供）</w:t>
      </w:r>
      <w:bookmarkEnd w:id="1329"/>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ind w:right="-57" w:firstLine="200"/>
        <w:rPr>
          <w:rFonts w:ascii="宋体" w:hAnsi="宋体"/>
          <w:b/>
          <w:i/>
          <w:color w:val="auto"/>
          <w:highlight w:val="none"/>
        </w:rPr>
      </w:pP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bookmarkStart w:id="1330" w:name="_Toc12677_WPSOffice_Level2"/>
      <w:r>
        <w:rPr>
          <w:rFonts w:hint="eastAsia" w:ascii="宋体" w:hAnsi="宋体"/>
          <w:b/>
          <w:color w:val="auto"/>
          <w:sz w:val="24"/>
          <w:szCs w:val="24"/>
          <w:highlight w:val="none"/>
        </w:rPr>
        <w:t>附件6.5交货通知格式</w:t>
      </w:r>
      <w:bookmarkEnd w:id="1330"/>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14"/>
        <w:spacing w:line="240" w:lineRule="auto"/>
        <w:ind w:leftChars="200" w:right="-28" w:hanging="289" w:hangingChars="144"/>
        <w:jc w:val="center"/>
        <w:rPr>
          <w:rFonts w:hAnsi="宋体"/>
          <w:color w:val="auto"/>
          <w:highlight w:val="none"/>
        </w:rPr>
      </w:pPr>
      <w:r>
        <w:rPr>
          <w:rFonts w:hAnsi="宋体"/>
          <w:b/>
          <w:color w:val="auto"/>
          <w:kern w:val="2"/>
          <w:highlight w:val="none"/>
        </w:rPr>
        <w:t>采购项目 号线 第 批 交货通知</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031"/>
        <w:gridCol w:w="1031"/>
        <w:gridCol w:w="1031"/>
        <w:gridCol w:w="1031"/>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序号</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名称</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品牌或厂家</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型号</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ascii="宋体" w:hAnsi="宋体"/>
                <w:color w:val="auto"/>
                <w:sz w:val="15"/>
                <w:szCs w:val="15"/>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31" w:type="dxa"/>
            <w:vAlign w:val="center"/>
          </w:tcPr>
          <w:p>
            <w:pPr>
              <w:spacing w:before="0" w:after="0" w:afterAutospacing="0"/>
              <w:ind w:right="0"/>
              <w:jc w:val="center"/>
              <w:textAlignment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bl>
    <w:p>
      <w:pPr>
        <w:pStyle w:val="14"/>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14"/>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本通知加盖运营公司</w:t>
      </w:r>
      <w:r>
        <w:rPr>
          <w:rFonts w:hint="eastAsia" w:hAnsi="宋体"/>
          <w:color w:val="auto"/>
          <w:kern w:val="2"/>
          <w:highlight w:val="none"/>
        </w:rPr>
        <w:t>XX</w:t>
      </w:r>
      <w:r>
        <w:rPr>
          <w:rFonts w:hAnsi="宋体"/>
          <w:color w:val="auto"/>
          <w:kern w:val="2"/>
          <w:highlight w:val="none"/>
        </w:rPr>
        <w:t>部公章后有效，送货时携带纸质版一份。</w:t>
      </w:r>
    </w:p>
    <w:p>
      <w:pPr>
        <w:pStyle w:val="14"/>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14"/>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南宁轨道交通运营有限公司XX部</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14"/>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bookmarkStart w:id="1331" w:name="_Toc11378_WPSOffice_Level2"/>
      <w:r>
        <w:rPr>
          <w:rFonts w:hint="eastAsia" w:ascii="宋体" w:hAnsi="宋体"/>
          <w:b/>
          <w:color w:val="auto"/>
          <w:sz w:val="24"/>
          <w:szCs w:val="24"/>
          <w:highlight w:val="none"/>
        </w:rPr>
        <w:t>附件6.6 送货单格式</w:t>
      </w:r>
      <w:bookmarkEnd w:id="1331"/>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14"/>
        <w:spacing w:line="240" w:lineRule="auto"/>
        <w:ind w:left="2526" w:right="-28" w:hanging="6"/>
        <w:jc w:val="center"/>
        <w:rPr>
          <w:rFonts w:hAnsi="宋体"/>
          <w:color w:val="auto"/>
          <w:highlight w:val="none"/>
        </w:rPr>
      </w:pPr>
      <w:r>
        <w:rPr>
          <w:rFonts w:hAnsi="宋体"/>
          <w:b/>
          <w:color w:val="auto"/>
          <w:kern w:val="2"/>
          <w:highlight w:val="none"/>
        </w:rPr>
        <w:t xml:space="preserve"> 采购项目 号线 第  批 送货单</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14"/>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23"/>
        <w:gridCol w:w="1024"/>
        <w:gridCol w:w="1024"/>
        <w:gridCol w:w="1024"/>
        <w:gridCol w:w="1024"/>
        <w:gridCol w:w="1023"/>
        <w:gridCol w:w="1024"/>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序号</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名称</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品牌或厂家</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型号</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单位</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品牌或厂家</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14"/>
              <w:spacing w:line="240" w:lineRule="auto"/>
              <w:ind w:right="-28"/>
              <w:rPr>
                <w:rFonts w:hAnsi="宋体"/>
                <w:color w:val="auto"/>
                <w:highlight w:val="none"/>
              </w:rPr>
            </w:pPr>
            <w:r>
              <w:rPr>
                <w:rFonts w:hint="eastAsia" w:hAnsi="宋体"/>
                <w:color w:val="auto"/>
                <w:highlight w:val="none"/>
              </w:rPr>
              <w:t>合计</w:t>
            </w: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c>
          <w:tcPr>
            <w:tcW w:w="1031" w:type="dxa"/>
          </w:tcPr>
          <w:p>
            <w:pPr>
              <w:pStyle w:val="14"/>
              <w:spacing w:line="240" w:lineRule="auto"/>
              <w:ind w:right="-28"/>
              <w:rPr>
                <w:rFonts w:hAnsi="宋体"/>
                <w:color w:val="auto"/>
                <w:highlight w:val="none"/>
              </w:rPr>
            </w:pPr>
          </w:p>
        </w:tc>
      </w:tr>
    </w:tbl>
    <w:p>
      <w:pPr>
        <w:pStyle w:val="14"/>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14"/>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int="eastAsia" w:hAnsi="宋体" w:cs="Calibri"/>
          <w:color w:val="auto"/>
          <w:kern w:val="2"/>
          <w:highlight w:val="none"/>
        </w:rPr>
        <w:t>“</w:t>
      </w:r>
      <w:r>
        <w:rPr>
          <w:rFonts w:hint="eastAsia" w:hAnsi="宋体"/>
          <w:color w:val="auto"/>
          <w:highlight w:val="none"/>
        </w:rPr>
        <w:t>实收数量</w:t>
      </w:r>
      <w:r>
        <w:rPr>
          <w:rFonts w:hint="eastAsia" w:hAnsi="宋体" w:cs="Calibri"/>
          <w:color w:val="auto"/>
          <w:kern w:val="2"/>
          <w:highlight w:val="none"/>
        </w:rPr>
        <w:t>”</w:t>
      </w:r>
      <w:r>
        <w:rPr>
          <w:rFonts w:hint="eastAsia" w:hAnsi="宋体"/>
          <w:color w:val="auto"/>
          <w:highlight w:val="none"/>
        </w:rPr>
        <w:t>为必填项。</w:t>
      </w:r>
    </w:p>
    <w:p>
      <w:pPr>
        <w:pStyle w:val="14"/>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14"/>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14"/>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14"/>
        <w:spacing w:line="240" w:lineRule="auto"/>
        <w:ind w:left="708" w:leftChars="200" w:right="-28" w:hanging="288" w:hangingChars="144"/>
        <w:rPr>
          <w:rFonts w:hAnsi="宋体"/>
          <w:color w:val="auto"/>
          <w:highlight w:val="none"/>
        </w:rPr>
      </w:pPr>
    </w:p>
    <w:p>
      <w:pPr>
        <w:rPr>
          <w:rFonts w:ascii="宋体" w:hAnsi="宋体" w:cs="宋体"/>
          <w:b/>
          <w:color w:val="auto"/>
          <w:highlight w:val="none"/>
        </w:rPr>
      </w:pPr>
      <w:bookmarkStart w:id="1332" w:name="_Toc4568"/>
      <w:bookmarkStart w:id="1333" w:name="_Toc24568"/>
      <w:r>
        <w:rPr>
          <w:rFonts w:hint="eastAsia" w:ascii="宋体" w:hAnsi="宋体" w:cs="宋体"/>
          <w:b/>
          <w:color w:val="auto"/>
          <w:highlight w:val="none"/>
        </w:rPr>
        <w:br w:type="page"/>
      </w: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附件6.7安全生产协议书</w:t>
      </w:r>
    </w:p>
    <w:p>
      <w:pPr>
        <w:numPr>
          <w:ilvl w:val="255"/>
          <w:numId w:val="0"/>
        </w:numPr>
        <w:spacing w:after="0" w:afterAutospacing="0"/>
        <w:ind w:right="0" w:firstLine="422" w:firstLineChars="200"/>
        <w:jc w:val="center"/>
        <w:rPr>
          <w:rFonts w:ascii="宋体" w:hAnsi="宋体"/>
          <w:b/>
          <w:bCs/>
          <w:color w:val="auto"/>
          <w:highlight w:val="none"/>
        </w:rPr>
      </w:pPr>
    </w:p>
    <w:p>
      <w:pPr>
        <w:numPr>
          <w:ilvl w:val="255"/>
          <w:numId w:val="0"/>
        </w:numPr>
        <w:spacing w:after="0" w:afterAutospacing="0"/>
        <w:ind w:right="0" w:firstLine="422" w:firstLineChars="200"/>
        <w:jc w:val="center"/>
        <w:rPr>
          <w:rFonts w:ascii="宋体" w:hAnsi="宋体"/>
          <w:b/>
          <w:bCs/>
          <w:color w:val="auto"/>
          <w:highlight w:val="none"/>
        </w:rPr>
      </w:pPr>
      <w:r>
        <w:rPr>
          <w:rFonts w:hint="eastAsia" w:ascii="宋体" w:hAnsi="宋体"/>
          <w:b/>
          <w:bCs/>
          <w:color w:val="auto"/>
          <w:highlight w:val="none"/>
        </w:rPr>
        <w:t>安全生产协议书</w:t>
      </w:r>
    </w:p>
    <w:p>
      <w:pPr>
        <w:numPr>
          <w:ilvl w:val="255"/>
          <w:numId w:val="0"/>
        </w:numPr>
        <w:spacing w:after="0" w:afterAutospacing="0"/>
        <w:ind w:right="0" w:firstLine="420" w:firstLineChars="200"/>
        <w:rPr>
          <w:rFonts w:ascii="宋体" w:hAnsi="宋体"/>
          <w:color w:val="auto"/>
          <w:highlight w:val="none"/>
        </w:rPr>
      </w:pP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甲方（全称）：南宁轨道交通运营有限公司</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乙方（全称）：</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为加强地铁运营安全保护区安全文明施工管理，确保地铁设施及运营安全，维护地铁车站出入口正常通行及周边的整洁卫生，根据《建设工程安全生产管理条例》、《南宁市建设工程施工现场管理若干规定》、《南宁市建设工程文明施工管理暂行规定》、南宁轨道交通运营有限公司《运营分公司施工管理规定》《运营分公司委外单位施工管理办法》等规章，双方本着友好协商的原则，签订本协议，共同遵守。</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1 施工项目简介</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 xml:space="preserve">1.1 项目名称：南宁轨道交通1、2、3号线专用通信、AFC系统故障件委外维修服务项目（2022-2023年） </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1.2 项目位置：南宁市</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1.3 施工内容与范围：详见技术规格书</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1.4 服务期：详见技术规格书</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1.5 施工现场存在的危险因素：详见技术规格书</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 安全施工条款</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2.1通用条款</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2.1.1 乙方应建立安全施工保障体系，实行安全施工岗位责任制。</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2.1.2 乙方应委托有资质单位承担该项目施工，并采取有效措施确保施工不会对地铁设施与运营安全构成不利影响。</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2.1.3乙方牵头、组织参建单位和甲方在工程施工前对受影响范围的地铁设施工作状况调查，调查结果各方签字确认，并作为本协议附件。</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2.1.4 乙方应对施工影响的地下管线，尤其是邻近地铁设施、出入口附近的燃气管线进行妥善的安全防护和监测，确保安全。</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2.1.5乙方应根据地铁结构、设备、设施和不同自然条件，针对性地制订地铁设施保护及安全运营的各种应急预案（如暴雨、透水、变形等），应急预案需经甲方审核同意，并报南宁轨道交通运营有限公司安全监察部备案。</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2.1.6当控制指标或地铁设施实质上已受损或影响地铁正常运营时，乙方应启动应急预案，采取有效措施确保地铁设施与运营安全。</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2.1.7当需要第三方监测在地铁设施或地铁内部布点监测时，须得到甲方同意，并由甲方人员陪同方可施工。</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2.1.8进入运营分公司管辖区域施工的乙方人员，应遵守甲方《运营分公司行车组织规则》、《运营分公司生产设备管理细则》、《运营分公司安全生产管理制度》、《运营分公司外单位轨道车辆管理实施细则》、《屯里车厂运作手册》、《运营分公司接管新线建设阶段施工管理规定》、《运营分公司施工管理规定》有关规定，服从甲方工作人员的指挥；如乙方未执行甲方的安全生产规定而产生的安全管理问题，由乙方负责。</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2.1.9乙方应指派专人负责施工过程中的安全管理工作，甲方指派专人负责联系、管理、监督工作。</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2.1.10甲方指出的不符合安全管理的行为，乙方应立即改正，并进行相应处理；如乙方施工人员不服从甲方管理，甲方有权要求乙方更换。</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2.1.11乙方在现场发生意外事故，应立即向甲方报告，并保护好现场，接受调查处理。</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2.2特别条款</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详见技术规格书</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 文明施工条款</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3.1通用条款</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3.1.1乙方应建立文明施工保障体系，实行文明施工岗位责任制。</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3.1.2乙方的施工单位在编制施工组织设计时，应遵照《南宁市建设工程施工现场管理若干规定》的有关规定。施工组织设计中需有专项的文明施工方案，要求如下：</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3.1.2.1乙方施工的临时设施、场地布置、临时道路、围墙围栏等不得影响地铁出入口通行和人员安全；</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3.1.2.2乙方施工现场的污水排放不得排向地铁车站出入口、风亭、冷却塔等设施；</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3.1.2.3乙方应设置必要的导向标志和温馨提示，方便人员通行。</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3.1.3乙方应在临近地铁车站出入口的现场周边设置连续、密闭的围栏，保证围栏安全、稳固、整齐、美观。</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3.1.4乙方临时建筑物、构筑物与地铁风亭、冷却塔的净距离不应小于5米，并满足地铁通风散热要求。</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3.1.5乙方临时建筑物、构筑物与车站出入口的距离应满足地铁消防疏散要求。</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3.1.6乙方应控制施工引起的粉尘不影响车站出入口、风亭、冷却塔的正常通行与运行，否则乙方应采取洒水、场地硬化、通风措施，甚至停工处理。</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3.1.7乙方应采用低噪音的工艺和施工方法，控制施工引起的噪音不影响人员出行。</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3.1.8乙方应采用措施搞好现场卫生，清理施工遗留垃圾，维持作业区域及周边良好的环境。</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3.1.9 乙方施工围挡导致人员或其他人员需经过偏僻、狭长、视线不佳的路段，乙方有责任和义务在夜间增加现场安全保卫，确保人员及其他人员安全。</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3.2特别条款</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详见技术规格书</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 双方责任</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4.1乙方责任</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4.1.1乙方施工中对地铁结构、设备设施损坏和由此造成的后果负全部责任。乙方须严格按审定的技术方案和范围组织施工，施工中要认真落实各项安全措施和施工方案。</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4.1.2乙方向甲方提交的设计方案、施工方案，虽经甲方技术审核，不减免乙方及项目设计、施工、监理、建设各方的任何责任。</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4.1.3乙方须在施工期间制定可能影响车站运营安全及施工区域设备设施安全的应急预案，在发生可能危及地铁安全的突发事件时，需在第一时间通知甲方，并组织抢险工作。</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4.1.4进入地铁保护区范围的施工，乙方须以书面形式通知甲方进行施工监督、配合，由于乙方通知不及时而造成的一切后果由乙方负全责。</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4.1.5因乙方责任造成地铁设备设施损坏、影响使用性能的，乙方须在甲方规定的时间内出资按原规格标准或甲方同意的标准恢复，并承担相应经济损失。</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4.1.6乙方施工前须对地铁既有管线调查清楚，如有损坏由乙方按价赔偿。</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4.1.7乙方在施工过程中，要尽量减少施工噪音，采取有效措施，防止和减轻粉尘、震动的影响。</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4.1.8在协议期内，乙方应切实维护地铁运营环境，对甲方指出的不符合运营管理的行为，比如：施工人员到施工区域以外闲逛，大声喧哗；未及时清理垃圾，乙方应立即改正，并接受处理。</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4.1.10施工围挡保证站外地铁客流通道最小宽度不小于4米；确保施工围挡结构安全；地铁客流通道地面必须硬化，确保通行安全。</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4.1.11各出入口接驳应错开施工，站内施工围挡不得影响车站的整体美观，围挡应有防尘、降噪、防渗水功能，某出入口封闭期间应保证其它出入口正常通行。</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4.1.12施工前，乙方应根据地铁车站要求，做好站内外临时导向标志的设置，并在相应出入口布置安民告示。在车站出入口的站外明显处布置施工项目告示栏。封闭出入口前，需向甲方提报计划经同意后方准施工。</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4.1.13施工期间，乙方必须做好防盗措施，确保车站财产安全。</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4.1.14围挡占用地铁客流通道宽度不得大于1.0米，不影响各出入口的通行。</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4.1.15乙方应遵守甲方的各项规章制度和有关地铁运营相关的管理规定。</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4.2甲方责任、权利</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4.2.1在施工期间，甲方发现乙方有影响地铁运营安全的隐患，有权通知乙方整改，危及地铁既有设备安全时，有权责令乙方停止施工。</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4.2.2施工前，甲方应对乙方施工负责人介绍有关地铁运营相关的管理规定。</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4.2.3甲方尽可能提供施工范围内地铁所属设备、管线清单及布置情况，如有疑问现场确认。</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 考核及意外事件处理（赔偿）</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赔偿及考核费用由主办部门根据实际情况在当期或下一期进度款中扣除。</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5.1投诉。因施工造成的其他人员投诉，由乙方以书面形式（经甲方审核后）给予答复。</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5.2由乙方原因造成的地铁责任范围内的人员伤亡事件，由乙方负责赔偿。</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5.3乙方施工造成甲方设施损坏，由乙方负责在规定时间内修复，维修工作需经甲方验收合格。如由甲方维修，产生的费用从当期或下一期进度款中扣除。</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5.4乙方施工造成甲方设备丢失的，由乙方负责在规定时间内赔偿：</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赔偿费用=设备采购价+安装费（设备采购价*10%）</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5.5乙方未申报作业点进行施工作业或超范围施工作业第1次扣除1000元，第二次起每次扣除2000元，扣完为止。</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5.6乙方施工作业人员未听从劝阻或威胁劝阻人员一次扣除2000元。</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5.7乙方施工作业时未按规定办理相关作业证或作业手续的，第一次扣除1000元，第二次起每次扣除2000元，扣完为止。</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5.8擅自取消作业或擅自延长作业时间的每次扣除1000元。</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5.9施工结束未按要求完成人员、材料、工器具、垃圾等出清的一次扣除1000元。</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5.10乙方违章施工，影响行车或造成人员伤害、设备损伤的扣除10000元。</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5.11本协议中考核及意外事件处理（赔偿）与合同中违约责任冲突的以合同违约责任为准。</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6 联络制度</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6.1甲乙双方对施工期间出现或可能出现的情况须互相及时通报，必要时召开双方联席会。</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6.2双方责任部门及联系电话：</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甲方：</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乙方：</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7其它</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7.1乙方施工全过程必须接受南宁轨道交通运营有限公司的检查与监督。</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7.2其它未尽事宜，双方友好协商解决。</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7.3本协议一式份，甲方执份，乙方执份。</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7.4本协议履行过程中，双方如有争议同意向南宁仲裁委员会提出仲裁申请。</w:t>
      </w:r>
    </w:p>
    <w:p>
      <w:pPr>
        <w:numPr>
          <w:ilvl w:val="255"/>
          <w:numId w:val="0"/>
        </w:numPr>
        <w:spacing w:after="0" w:afterAutospacing="0"/>
        <w:ind w:right="0" w:firstLine="420" w:firstLineChars="200"/>
        <w:rPr>
          <w:rFonts w:ascii="宋体" w:hAnsi="宋体"/>
          <w:color w:val="auto"/>
          <w:highlight w:val="none"/>
        </w:rPr>
      </w:pPr>
    </w:p>
    <w:tbl>
      <w:tblPr>
        <w:tblStyle w:val="31"/>
        <w:tblW w:w="9287" w:type="dxa"/>
        <w:tblInd w:w="0" w:type="dxa"/>
        <w:tblLayout w:type="fixed"/>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rPr>
          <w:trHeight w:val="708" w:hRule="atLeast"/>
        </w:trPr>
        <w:tc>
          <w:tcPr>
            <w:tcW w:w="4643" w:type="dxa"/>
            <w:noWrap/>
          </w:tcPr>
          <w:p>
            <w:pPr>
              <w:rPr>
                <w:rFonts w:ascii="宋体" w:hAnsi="宋体"/>
                <w:color w:val="auto"/>
                <w:highlight w:val="none"/>
              </w:rPr>
            </w:pPr>
            <w:r>
              <w:rPr>
                <w:rFonts w:ascii="宋体" w:hAnsi="宋体"/>
                <w:color w:val="auto"/>
                <w:highlight w:val="none"/>
              </w:rPr>
              <w:t>甲方（盖章）：</w:t>
            </w:r>
            <w:r>
              <w:rPr>
                <w:rFonts w:hint="eastAsia" w:ascii="宋体" w:hAnsi="宋体"/>
                <w:color w:val="auto"/>
                <w:highlight w:val="none"/>
              </w:rPr>
              <w:t>南宁轨道交通运营有限公司</w:t>
            </w:r>
          </w:p>
        </w:tc>
        <w:tc>
          <w:tcPr>
            <w:tcW w:w="4644" w:type="dxa"/>
            <w:noWrap/>
          </w:tcPr>
          <w:p>
            <w:pPr>
              <w:rPr>
                <w:rFonts w:ascii="宋体" w:hAnsi="宋体"/>
                <w:color w:val="auto"/>
                <w:highlight w:val="none"/>
              </w:rPr>
            </w:pPr>
            <w:r>
              <w:rPr>
                <w:rFonts w:ascii="宋体" w:hAnsi="宋体"/>
                <w:color w:val="auto"/>
                <w:highlight w:val="none"/>
              </w:rPr>
              <w:t>乙方（盖章）：</w:t>
            </w:r>
          </w:p>
        </w:tc>
      </w:tr>
      <w:tr>
        <w:tblPrEx>
          <w:tblCellMar>
            <w:top w:w="0" w:type="dxa"/>
            <w:left w:w="108" w:type="dxa"/>
            <w:bottom w:w="0" w:type="dxa"/>
            <w:right w:w="108" w:type="dxa"/>
          </w:tblCellMar>
        </w:tblPrEx>
        <w:trPr>
          <w:trHeight w:val="663" w:hRule="atLeast"/>
        </w:trPr>
        <w:tc>
          <w:tcPr>
            <w:tcW w:w="4643" w:type="dxa"/>
            <w:noWrap/>
            <w:vAlign w:val="center"/>
          </w:tcPr>
          <w:p>
            <w:pPr>
              <w:rPr>
                <w:rFonts w:ascii="宋体" w:hAnsi="宋体"/>
                <w:color w:val="auto"/>
                <w:highlight w:val="none"/>
              </w:rPr>
            </w:pPr>
            <w:r>
              <w:rPr>
                <w:rFonts w:hint="eastAsia" w:ascii="宋体" w:hAnsi="宋体"/>
                <w:color w:val="auto"/>
                <w:highlight w:val="none"/>
              </w:rPr>
              <w:t>法定代表人或其委托代理人：       （签字）</w:t>
            </w:r>
          </w:p>
        </w:tc>
        <w:tc>
          <w:tcPr>
            <w:tcW w:w="4644" w:type="dxa"/>
            <w:noWrap/>
            <w:vAlign w:val="center"/>
          </w:tcPr>
          <w:p>
            <w:pPr>
              <w:rPr>
                <w:rFonts w:ascii="宋体" w:hAnsi="宋体"/>
                <w:color w:val="auto"/>
                <w:highlight w:val="none"/>
              </w:rPr>
            </w:pPr>
            <w:r>
              <w:rPr>
                <w:rFonts w:hint="eastAsia" w:ascii="宋体" w:hAnsi="宋体"/>
                <w:color w:val="auto"/>
                <w:highlight w:val="none"/>
              </w:rPr>
              <w:t>法定代表人或其委托代理人：      （签字）</w:t>
            </w:r>
          </w:p>
        </w:tc>
      </w:tr>
      <w:tr>
        <w:tblPrEx>
          <w:tblCellMar>
            <w:top w:w="0" w:type="dxa"/>
            <w:left w:w="108" w:type="dxa"/>
            <w:bottom w:w="0" w:type="dxa"/>
            <w:right w:w="108" w:type="dxa"/>
          </w:tblCellMar>
        </w:tblPrEx>
        <w:trPr>
          <w:trHeight w:val="798" w:hRule="atLeast"/>
        </w:trPr>
        <w:tc>
          <w:tcPr>
            <w:tcW w:w="4643" w:type="dxa"/>
            <w:noWrap/>
            <w:vAlign w:val="center"/>
          </w:tcPr>
          <w:p>
            <w:pPr>
              <w:ind w:firstLine="525" w:firstLineChars="250"/>
              <w:rPr>
                <w:rFonts w:ascii="宋体" w:hAnsi="宋体"/>
                <w:color w:val="auto"/>
                <w:highlight w:val="none"/>
              </w:rPr>
            </w:pPr>
            <w:r>
              <w:rPr>
                <w:rFonts w:ascii="宋体" w:hAnsi="宋体"/>
                <w:color w:val="auto"/>
                <w:highlight w:val="none"/>
              </w:rPr>
              <w:t>年月日</w:t>
            </w:r>
          </w:p>
        </w:tc>
        <w:tc>
          <w:tcPr>
            <w:tcW w:w="4644" w:type="dxa"/>
            <w:noWrap/>
            <w:vAlign w:val="center"/>
          </w:tcPr>
          <w:p>
            <w:pPr>
              <w:ind w:firstLine="525" w:firstLineChars="250"/>
              <w:rPr>
                <w:rFonts w:ascii="宋体" w:hAnsi="宋体"/>
                <w:color w:val="auto"/>
                <w:highlight w:val="none"/>
              </w:rPr>
            </w:pPr>
            <w:r>
              <w:rPr>
                <w:rFonts w:ascii="宋体" w:hAnsi="宋体"/>
                <w:color w:val="auto"/>
                <w:highlight w:val="none"/>
              </w:rPr>
              <w:t>年月日</w:t>
            </w:r>
          </w:p>
        </w:tc>
      </w:tr>
    </w:tbl>
    <w:p>
      <w:pPr>
        <w:pStyle w:val="14"/>
        <w:rPr>
          <w:color w:val="auto"/>
          <w:highlight w:val="none"/>
        </w:rPr>
      </w:pPr>
    </w:p>
    <w:p>
      <w:pPr>
        <w:pStyle w:val="62"/>
        <w:pageBreakBefore/>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1334" w:name="_Toc780_WPSOffice_Level1"/>
      <w:bookmarkStart w:id="1335" w:name="_Toc92268652"/>
      <w:bookmarkStart w:id="1336" w:name="_Toc101965695"/>
      <w:bookmarkStart w:id="1337" w:name="_Toc17903"/>
      <w:bookmarkStart w:id="1338" w:name="_Toc24244"/>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1334"/>
      <w:bookmarkEnd w:id="1335"/>
      <w:bookmarkEnd w:id="1336"/>
      <w:bookmarkEnd w:id="1337"/>
      <w:bookmarkEnd w:id="1338"/>
    </w:p>
    <w:p>
      <w:pPr>
        <w:pStyle w:val="6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bookmarkStart w:id="1339" w:name="_Toc3331_WPSOffice_Level2"/>
      <w:r>
        <w:rPr>
          <w:rFonts w:hint="eastAsia" w:ascii="宋体" w:hAnsi="宋体"/>
          <w:b/>
          <w:color w:val="auto"/>
          <w:sz w:val="28"/>
          <w:szCs w:val="28"/>
          <w:highlight w:val="none"/>
        </w:rPr>
        <w:t>（另册）</w:t>
      </w:r>
      <w:bookmarkEnd w:id="1339"/>
    </w:p>
    <w:p>
      <w:pPr>
        <w:pStyle w:val="62"/>
        <w:adjustRightInd/>
        <w:spacing w:before="0" w:after="0" w:line="360" w:lineRule="auto"/>
        <w:ind w:left="0" w:right="0"/>
        <w:rPr>
          <w:rFonts w:ascii="宋体" w:hAnsi="宋体"/>
          <w:color w:val="auto"/>
          <w:sz w:val="21"/>
          <w:szCs w:val="21"/>
          <w:highlight w:val="none"/>
        </w:rPr>
      </w:pPr>
    </w:p>
    <w:p>
      <w:pPr>
        <w:pStyle w:val="62"/>
        <w:pageBreakBefore/>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1340" w:name="_Toc101965696"/>
      <w:bookmarkStart w:id="1341" w:name="_Toc3522_WPSOffice_Level1"/>
      <w:bookmarkStart w:id="1342" w:name="_Toc9153"/>
      <w:bookmarkStart w:id="1343" w:name="_Toc21928"/>
      <w:bookmarkStart w:id="1344" w:name="_Toc92268653"/>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1340"/>
      <w:bookmarkEnd w:id="1341"/>
      <w:bookmarkEnd w:id="1342"/>
      <w:bookmarkEnd w:id="1343"/>
      <w:bookmarkEnd w:id="1344"/>
    </w:p>
    <w:p>
      <w:pPr>
        <w:pStyle w:val="6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bookmarkStart w:id="1345" w:name="_Toc8353_WPSOffice_Level2"/>
      <w:r>
        <w:rPr>
          <w:rFonts w:hint="eastAsia" w:ascii="宋体" w:hAnsi="宋体"/>
          <w:b/>
          <w:color w:val="auto"/>
          <w:sz w:val="28"/>
          <w:szCs w:val="28"/>
          <w:highlight w:val="none"/>
        </w:rPr>
        <w:t>（另册）</w:t>
      </w:r>
      <w:bookmarkEnd w:id="1345"/>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rPr>
          <w:rFonts w:ascii="宋体" w:hAnsi="宋体" w:cs="宋体"/>
          <w:b/>
          <w:color w:val="auto"/>
          <w:highlight w:val="none"/>
        </w:rPr>
      </w:pPr>
      <w:r>
        <w:rPr>
          <w:rFonts w:hint="eastAsia" w:ascii="宋体" w:hAnsi="宋体" w:cs="宋体"/>
          <w:b/>
          <w:color w:val="auto"/>
          <w:highlight w:val="none"/>
        </w:rPr>
        <w:br w:type="page"/>
      </w:r>
    </w:p>
    <w:bookmarkEnd w:id="1332"/>
    <w:bookmarkEnd w:id="1333"/>
    <w:p>
      <w:pPr>
        <w:pStyle w:val="14"/>
        <w:ind w:right="-57" w:firstLine="0"/>
        <w:jc w:val="center"/>
        <w:outlineLvl w:val="0"/>
        <w:rPr>
          <w:rStyle w:val="44"/>
          <w:rFonts w:hAnsi="宋体" w:cs="Times New Roman"/>
          <w:color w:val="auto"/>
          <w:sz w:val="44"/>
          <w:szCs w:val="44"/>
          <w:highlight w:val="none"/>
        </w:rPr>
      </w:pPr>
      <w:bookmarkStart w:id="1346" w:name="_Toc25306"/>
      <w:bookmarkStart w:id="1347" w:name="_Toc25750673"/>
      <w:bookmarkStart w:id="1348" w:name="_Toc1083_WPSOffice_Level1"/>
      <w:bookmarkStart w:id="1349" w:name="_Toc28677"/>
      <w:bookmarkStart w:id="1350" w:name="_Toc3599_WPSOffice_Level1"/>
      <w:bookmarkStart w:id="1351" w:name="_Toc29546"/>
      <w:bookmarkStart w:id="1352" w:name="_Toc11580"/>
      <w:bookmarkStart w:id="1353" w:name="_Toc32011"/>
      <w:bookmarkStart w:id="1354" w:name="_Toc30920"/>
      <w:bookmarkStart w:id="1355" w:name="_Toc11320"/>
      <w:bookmarkStart w:id="1356" w:name="_Toc17396"/>
      <w:bookmarkStart w:id="1357" w:name="_Toc195_WPSOffice_Level2"/>
      <w:bookmarkStart w:id="1358" w:name="_Toc14912"/>
      <w:bookmarkStart w:id="1359" w:name="_Toc1805"/>
      <w:bookmarkStart w:id="1360" w:name="_Toc6151"/>
      <w:bookmarkStart w:id="1361" w:name="_Toc4374"/>
      <w:bookmarkStart w:id="1362" w:name="_Toc13167"/>
      <w:bookmarkStart w:id="1363" w:name="_Toc28524"/>
      <w:bookmarkStart w:id="1364" w:name="_Toc21689"/>
      <w:bookmarkStart w:id="1365" w:name="_Toc1020"/>
      <w:bookmarkStart w:id="1366" w:name="_Toc17261"/>
      <w:bookmarkStart w:id="1367" w:name="_Toc61"/>
      <w:bookmarkStart w:id="1368" w:name="_Toc31873"/>
      <w:bookmarkStart w:id="1369" w:name="_Toc22009"/>
      <w:bookmarkStart w:id="1370" w:name="_Toc14790"/>
      <w:bookmarkStart w:id="1371" w:name="_Toc27263"/>
      <w:bookmarkStart w:id="1372" w:name="_Toc28285"/>
      <w:bookmarkStart w:id="1373" w:name="_Toc31574"/>
      <w:bookmarkStart w:id="1374" w:name="_Toc22307"/>
      <w:r>
        <w:rPr>
          <w:rStyle w:val="44"/>
          <w:rFonts w:hint="eastAsia" w:hAnsi="宋体" w:cs="Times New Roman"/>
          <w:color w:val="auto"/>
          <w:sz w:val="44"/>
          <w:szCs w:val="44"/>
          <w:highlight w:val="none"/>
        </w:rPr>
        <w:t>第四章比选申请文件格式</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2"/>
        <w:spacing w:after="100"/>
        <w:ind w:right="-57" w:firstLine="0"/>
        <w:jc w:val="center"/>
        <w:rPr>
          <w:color w:val="auto"/>
          <w:sz w:val="24"/>
          <w:szCs w:val="24"/>
          <w:highlight w:val="none"/>
        </w:rPr>
      </w:pPr>
      <w:bookmarkStart w:id="1375" w:name="_Toc532"/>
      <w:bookmarkStart w:id="1376" w:name="_Toc28430"/>
      <w:bookmarkStart w:id="1377" w:name="_Toc16034"/>
      <w:bookmarkStart w:id="1378" w:name="_Toc6405"/>
      <w:bookmarkStart w:id="1379" w:name="_Toc3967"/>
      <w:bookmarkStart w:id="1380" w:name="_Toc11784_WPSOffice_Level2"/>
      <w:bookmarkStart w:id="1381" w:name="_Toc25750674"/>
      <w:bookmarkStart w:id="1382" w:name="_Toc18214_WPSOffice_Level2"/>
      <w:bookmarkStart w:id="1383" w:name="_Toc26627"/>
      <w:bookmarkStart w:id="1384" w:name="_Toc14236"/>
      <w:bookmarkStart w:id="1385" w:name="_Toc30271"/>
      <w:bookmarkStart w:id="1386" w:name="_Toc23261"/>
      <w:bookmarkStart w:id="1387" w:name="_Toc30705"/>
      <w:bookmarkStart w:id="1388" w:name="_Toc32185"/>
      <w:bookmarkStart w:id="1389" w:name="_Toc25325"/>
      <w:bookmarkStart w:id="1390" w:name="_Toc4873"/>
      <w:bookmarkStart w:id="1391" w:name="_Toc361"/>
      <w:bookmarkStart w:id="1392" w:name="_Toc19412"/>
      <w:bookmarkStart w:id="1393" w:name="_Toc492478802"/>
      <w:bookmarkStart w:id="1394" w:name="_Toc3396"/>
      <w:bookmarkStart w:id="1395" w:name="_Toc21274"/>
      <w:bookmarkStart w:id="1396" w:name="_Toc31624"/>
      <w:bookmarkStart w:id="1397" w:name="_Toc12984805"/>
      <w:bookmarkStart w:id="1398" w:name="_Toc414290520"/>
      <w:bookmarkStart w:id="1399" w:name="_Toc6941"/>
      <w:bookmarkStart w:id="1400" w:name="_Toc31535"/>
      <w:bookmarkStart w:id="1401" w:name="_Toc24453"/>
      <w:bookmarkStart w:id="1402" w:name="_Toc16671"/>
      <w:bookmarkStart w:id="1403" w:name="_Toc4027"/>
      <w:bookmarkStart w:id="1404" w:name="_Toc22709"/>
      <w:bookmarkStart w:id="1405" w:name="_Toc24824"/>
      <w:bookmarkStart w:id="1406" w:name="_Toc12983549"/>
      <w:r>
        <w:rPr>
          <w:color w:val="auto"/>
          <w:sz w:val="24"/>
          <w:szCs w:val="24"/>
          <w:highlight w:val="none"/>
        </w:rPr>
        <w:t>A  资格审查</w:t>
      </w:r>
      <w:r>
        <w:rPr>
          <w:rFonts w:hint="eastAsia"/>
          <w:color w:val="auto"/>
          <w:sz w:val="24"/>
          <w:szCs w:val="24"/>
          <w:highlight w:val="none"/>
        </w:rPr>
        <w:t>文件</w:t>
      </w:r>
      <w:bookmarkEnd w:id="1375"/>
      <w:bookmarkEnd w:id="1376"/>
      <w:bookmarkEnd w:id="1377"/>
      <w:bookmarkEnd w:id="1378"/>
      <w:bookmarkEnd w:id="1379"/>
      <w:bookmarkEnd w:id="1380"/>
      <w:bookmarkEnd w:id="1381"/>
      <w:bookmarkEnd w:id="1382"/>
      <w:bookmarkEnd w:id="1383"/>
      <w:bookmarkEnd w:id="1384"/>
      <w:bookmarkEnd w:id="1385"/>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（4）资质证照（A4）；</w:t>
      </w:r>
    </w:p>
    <w:p>
      <w:pPr>
        <w:spacing w:before="0" w:after="0" w:afterAutospacing="0"/>
        <w:ind w:left="0" w:right="0" w:firstLine="420" w:firstLineChars="200"/>
        <w:rPr>
          <w:color w:val="auto"/>
          <w:highlight w:val="none"/>
        </w:rPr>
      </w:pPr>
      <w:r>
        <w:rPr>
          <w:rFonts w:hint="eastAsia" w:hAnsi="宋体"/>
          <w:color w:val="auto"/>
          <w:highlight w:val="none"/>
        </w:rPr>
        <w:t>（5）类似项目业绩表（A5）；</w:t>
      </w:r>
    </w:p>
    <w:p>
      <w:pPr>
        <w:spacing w:before="0" w:after="0" w:afterAutospacing="0"/>
        <w:ind w:left="0" w:right="0" w:firstLine="420" w:firstLineChars="200"/>
        <w:rPr>
          <w:color w:val="auto"/>
          <w:highlight w:val="none"/>
        </w:rPr>
      </w:pPr>
      <w:r>
        <w:rPr>
          <w:rFonts w:hint="eastAsia" w:hAnsi="宋体"/>
          <w:color w:val="auto"/>
          <w:highlight w:val="none"/>
        </w:rPr>
        <w:t>（6）比选申请人认为应提交的其他比选申请资料。</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spacing w:before="0" w:after="0" w:afterAutospacing="0"/>
        <w:ind w:left="0" w:right="0" w:firstLine="420" w:firstLineChars="200"/>
        <w:rPr>
          <w:rFonts w:hAnsi="宋体"/>
          <w:color w:val="auto"/>
          <w:highlight w:val="none"/>
        </w:rPr>
        <w:sectPr>
          <w:footerReference r:id="rId5" w:type="default"/>
          <w:pgSz w:w="11905" w:h="16838"/>
          <w:pgMar w:top="1417" w:right="1417" w:bottom="1417" w:left="1417" w:header="454" w:footer="567" w:gutter="0"/>
          <w:pgBorders>
            <w:top w:val="none" w:sz="0" w:space="0"/>
            <w:left w:val="none" w:sz="0" w:space="0"/>
            <w:bottom w:val="none" w:sz="0" w:space="0"/>
            <w:right w:val="none" w:sz="0" w:space="0"/>
          </w:pgBorders>
          <w:cols w:space="720" w:num="1"/>
          <w:docGrid w:linePitch="312" w:charSpace="0"/>
        </w:sectPr>
      </w:pPr>
    </w:p>
    <w:p>
      <w:pPr>
        <w:numPr>
          <w:ilvl w:val="1"/>
          <w:numId w:val="16"/>
        </w:numPr>
        <w:snapToGrid w:val="0"/>
        <w:spacing w:before="0" w:line="240" w:lineRule="auto"/>
        <w:ind w:right="0" w:firstLine="0"/>
        <w:jc w:val="left"/>
        <w:outlineLvl w:val="0"/>
        <w:rPr>
          <w:rFonts w:ascii="宋体" w:hAnsi="宋体"/>
          <w:b/>
          <w:color w:val="auto"/>
          <w:highlight w:val="none"/>
        </w:rPr>
      </w:pPr>
      <w:bookmarkStart w:id="1407" w:name="_Toc16089"/>
      <w:bookmarkStart w:id="1408" w:name="_Toc10238"/>
      <w:bookmarkStart w:id="1409" w:name="_Toc492478804"/>
      <w:bookmarkStart w:id="1410" w:name="_Toc630"/>
      <w:bookmarkStart w:id="1411" w:name="_Toc9658"/>
      <w:bookmarkStart w:id="1412" w:name="_Toc7057"/>
      <w:bookmarkStart w:id="1413" w:name="_Toc20029"/>
      <w:bookmarkStart w:id="1414" w:name="_Toc17004"/>
      <w:bookmarkStart w:id="1415" w:name="_Toc3499"/>
      <w:bookmarkStart w:id="1416" w:name="_Toc26959"/>
      <w:bookmarkStart w:id="1417" w:name="_Toc22533"/>
      <w:bookmarkStart w:id="1418" w:name="_Toc25750675"/>
      <w:bookmarkStart w:id="1419" w:name="_Toc4125"/>
      <w:bookmarkStart w:id="1420" w:name="_Toc414290522"/>
      <w:bookmarkStart w:id="1421" w:name="_Toc9940"/>
      <w:bookmarkStart w:id="1422" w:name="_Toc10433"/>
      <w:bookmarkStart w:id="1423" w:name="_Toc24436"/>
      <w:bookmarkStart w:id="1424" w:name="_Toc956"/>
      <w:bookmarkStart w:id="1425" w:name="_Toc8868"/>
      <w:bookmarkStart w:id="1426" w:name="_Toc17079"/>
      <w:bookmarkStart w:id="1427" w:name="_Toc21031"/>
      <w:bookmarkStart w:id="1428" w:name="_Toc20283"/>
      <w:bookmarkStart w:id="1429" w:name="_Toc10789"/>
      <w:bookmarkStart w:id="1430" w:name="_Toc375564351"/>
      <w:bookmarkStart w:id="1431" w:name="_Toc8627"/>
      <w:bookmarkStart w:id="1432" w:name="_Toc15696"/>
      <w:bookmarkStart w:id="1433" w:name="_Toc32455"/>
      <w:bookmarkStart w:id="1434" w:name="_Toc7718"/>
      <w:bookmarkStart w:id="1435" w:name="_Toc20671"/>
      <w:bookmarkStart w:id="1436" w:name="_Toc13389"/>
      <w:bookmarkStart w:id="1437" w:name="_Toc12984807"/>
      <w:bookmarkStart w:id="1438" w:name="_Toc1663"/>
      <w:bookmarkStart w:id="1439" w:name="_Toc13727"/>
      <w:r>
        <w:rPr>
          <w:rFonts w:ascii="宋体" w:hAnsi="宋体"/>
          <w:b/>
          <w:color w:val="auto"/>
          <w:highlight w:val="none"/>
        </w:rPr>
        <w:t>法定代表人授权书格式</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hint="eastAsia" w:ascii="宋体" w:hAnsi="宋体"/>
          <w:color w:val="auto"/>
          <w:highlight w:val="none"/>
        </w:rPr>
        <w:t>（</w:t>
      </w:r>
      <w:r>
        <w:rPr>
          <w:rFonts w:ascii="宋体" w:hAnsi="宋体"/>
          <w:color w:val="auto"/>
          <w:highlight w:val="none"/>
          <w:u w:val="single"/>
        </w:rPr>
        <w:t>国家或地区</w:t>
      </w:r>
      <w:r>
        <w:rPr>
          <w:rFonts w:hint="eastAsia" w:ascii="宋体" w:hAnsi="宋体"/>
          <w:color w:val="auto"/>
          <w:highlight w:val="none"/>
          <w:u w:val="single"/>
        </w:rPr>
        <w:t>）</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u w:val="single"/>
        </w:rPr>
        <w:t xml:space="preserve"> 202210280001 </w:t>
      </w:r>
      <w:r>
        <w:rPr>
          <w:rFonts w:ascii="宋体" w:hAnsi="宋体"/>
          <w:color w:val="auto"/>
          <w:highlight w:val="none"/>
        </w:rPr>
        <w:t>的</w:t>
      </w:r>
      <w:r>
        <w:rPr>
          <w:rFonts w:hint="eastAsia" w:ascii="宋体" w:hAnsi="宋体"/>
          <w:color w:val="auto"/>
          <w:highlight w:val="none"/>
          <w:u w:val="single"/>
        </w:rPr>
        <w:t>南宁轨道交通1、2、3号线专用通信、AFC系统故障件委外维修服务项目（2022-2023年）</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color w:val="auto"/>
          <w:highlight w:val="none"/>
          <w:u w:val="single"/>
        </w:rPr>
      </w:pPr>
      <w:r>
        <w:rPr>
          <w:rFonts w:hint="eastAsia" w:ascii="宋体" w:hAnsi="宋体"/>
          <w:b/>
          <w:color w:val="auto"/>
          <w:highlight w:val="none"/>
        </w:rPr>
        <w:t>附：授权代理人身份证复印件</w:t>
      </w:r>
    </w:p>
    <w:p>
      <w:pPr>
        <w:numPr>
          <w:ilvl w:val="1"/>
          <w:numId w:val="16"/>
        </w:numPr>
        <w:snapToGrid w:val="0"/>
        <w:spacing w:before="0" w:line="240" w:lineRule="auto"/>
        <w:ind w:right="0" w:firstLine="0"/>
        <w:jc w:val="left"/>
        <w:outlineLvl w:val="0"/>
        <w:rPr>
          <w:rFonts w:ascii="宋体" w:hAnsi="宋体"/>
          <w:b/>
          <w:color w:val="auto"/>
          <w:highlight w:val="none"/>
        </w:rPr>
      </w:pPr>
      <w:bookmarkStart w:id="1440" w:name="_Toc414290523"/>
      <w:bookmarkStart w:id="1441" w:name="_Toc21045"/>
      <w:bookmarkStart w:id="1442" w:name="_Toc17617"/>
      <w:bookmarkStart w:id="1443" w:name="_Toc15980"/>
      <w:bookmarkStart w:id="1444" w:name="_Toc7273"/>
      <w:bookmarkStart w:id="1445" w:name="_Toc26449"/>
      <w:bookmarkStart w:id="1446" w:name="_Toc13798"/>
      <w:bookmarkStart w:id="1447" w:name="_Toc25303"/>
      <w:bookmarkStart w:id="1448" w:name="_Toc26713"/>
      <w:bookmarkStart w:id="1449" w:name="_Toc492478805"/>
      <w:bookmarkStart w:id="1450" w:name="_Toc13634"/>
      <w:bookmarkStart w:id="1451" w:name="_Toc17964"/>
      <w:bookmarkStart w:id="1452" w:name="_Toc27657"/>
      <w:bookmarkStart w:id="1453" w:name="_Toc7753"/>
      <w:bookmarkStart w:id="1454" w:name="_Toc375564352"/>
      <w:bookmarkStart w:id="1455" w:name="_Toc8654"/>
      <w:bookmarkStart w:id="1456" w:name="_Toc13606"/>
      <w:bookmarkStart w:id="1457" w:name="_Toc15141"/>
      <w:bookmarkStart w:id="1458" w:name="_Toc12984808"/>
      <w:bookmarkStart w:id="1459" w:name="_Toc29463"/>
      <w:bookmarkStart w:id="1460" w:name="_Toc31808"/>
      <w:bookmarkStart w:id="1461" w:name="_Toc25750676"/>
      <w:bookmarkStart w:id="1462" w:name="_Toc20436"/>
      <w:bookmarkStart w:id="1463" w:name="_Toc15572"/>
      <w:bookmarkStart w:id="1464" w:name="_Toc5977"/>
      <w:bookmarkStart w:id="1465" w:name="_Toc9073"/>
      <w:bookmarkStart w:id="1466" w:name="_Toc523"/>
      <w:bookmarkStart w:id="1467" w:name="_Toc9757"/>
      <w:bookmarkStart w:id="1468" w:name="_Toc27722"/>
      <w:bookmarkStart w:id="1469" w:name="_Toc22287"/>
      <w:bookmarkStart w:id="1470" w:name="_Toc24322"/>
      <w:bookmarkStart w:id="1471" w:name="_Toc19744"/>
      <w:bookmarkStart w:id="1472" w:name="_Toc9583"/>
      <w:r>
        <w:rPr>
          <w:rFonts w:ascii="宋体" w:hAnsi="宋体"/>
          <w:b/>
          <w:color w:val="auto"/>
          <w:highlight w:val="none"/>
        </w:rPr>
        <w:t>法定代表人资格证明书格式</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473" w:name="_Toc12984809"/>
      <w:r>
        <w:rPr>
          <w:rFonts w:hint="eastAsia" w:ascii="宋体" w:hAnsi="宋体"/>
          <w:b/>
          <w:color w:val="auto"/>
          <w:highlight w:val="none"/>
        </w:rPr>
        <w:t>附：法人身份证复印件</w:t>
      </w:r>
    </w:p>
    <w:p>
      <w:pPr>
        <w:pageBreakBefore/>
        <w:snapToGrid w:val="0"/>
        <w:ind w:right="0" w:firstLine="0"/>
        <w:jc w:val="left"/>
        <w:outlineLvl w:val="0"/>
        <w:rPr>
          <w:rFonts w:ascii="宋体" w:hAnsi="宋体"/>
          <w:b/>
          <w:color w:val="auto"/>
          <w:highlight w:val="none"/>
        </w:rPr>
      </w:pPr>
      <w:bookmarkStart w:id="1474" w:name="_Toc26097"/>
      <w:bookmarkStart w:id="1475" w:name="_Toc10356"/>
      <w:bookmarkStart w:id="1476" w:name="_Toc414290524"/>
      <w:bookmarkStart w:id="1477" w:name="_Toc11425"/>
      <w:bookmarkStart w:id="1478" w:name="_Toc8301"/>
      <w:bookmarkStart w:id="1479" w:name="_Toc3426"/>
      <w:bookmarkStart w:id="1480" w:name="_Toc19721"/>
      <w:bookmarkStart w:id="1481" w:name="_Toc31448"/>
      <w:bookmarkStart w:id="1482" w:name="_Toc4803"/>
      <w:bookmarkStart w:id="1483" w:name="_Toc32062"/>
      <w:bookmarkStart w:id="1484" w:name="_Toc20754"/>
      <w:bookmarkStart w:id="1485" w:name="_Toc4894"/>
      <w:bookmarkStart w:id="1486" w:name="_Toc15609"/>
      <w:bookmarkStart w:id="1487" w:name="_Toc25750677"/>
      <w:bookmarkStart w:id="1488" w:name="_Toc744"/>
      <w:bookmarkStart w:id="1489" w:name="_Toc15394"/>
      <w:bookmarkStart w:id="1490" w:name="_Toc17745"/>
      <w:bookmarkStart w:id="1491" w:name="_Toc16996"/>
      <w:bookmarkStart w:id="1492" w:name="_Toc16467"/>
      <w:bookmarkStart w:id="1493" w:name="_Toc29246"/>
      <w:bookmarkStart w:id="1494" w:name="_Toc19870"/>
      <w:bookmarkStart w:id="1495" w:name="_Toc7712"/>
      <w:bookmarkStart w:id="1496" w:name="_Toc1932"/>
      <w:bookmarkStart w:id="1497" w:name="_Toc6033"/>
      <w:bookmarkStart w:id="1498" w:name="_Toc492478806"/>
      <w:bookmarkStart w:id="1499" w:name="_Toc24848"/>
      <w:bookmarkStart w:id="1500" w:name="_Toc375564353"/>
      <w:bookmarkStart w:id="1501" w:name="_Toc21307"/>
      <w:bookmarkStart w:id="1502" w:name="_Toc23489"/>
      <w:bookmarkStart w:id="1503" w:name="_Toc26907"/>
      <w:bookmarkStart w:id="1504" w:name="_Toc13331"/>
      <w:bookmarkStart w:id="1505" w:name="_Toc29326"/>
      <w:r>
        <w:rPr>
          <w:rFonts w:hint="eastAsia" w:ascii="宋体" w:hAnsi="宋体"/>
          <w:b/>
          <w:color w:val="auto"/>
          <w:highlight w:val="none"/>
        </w:rPr>
        <w:t xml:space="preserve">A3 </w:t>
      </w:r>
      <w:r>
        <w:rPr>
          <w:rFonts w:ascii="宋体" w:hAnsi="宋体"/>
          <w:b/>
          <w:color w:val="auto"/>
          <w:highlight w:val="none"/>
        </w:rPr>
        <w:t>承诺书格式</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spacing w:before="240" w:after="240" w:line="40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w:t>
      </w:r>
      <w:r>
        <w:rPr>
          <w:rFonts w:hint="eastAsia" w:ascii="宋体" w:hAnsi="宋体"/>
          <w:color w:val="auto"/>
          <w:highlight w:val="none"/>
          <w:u w:val="single"/>
        </w:rPr>
        <w:t>南宁轨道交通1、2、3号线专用通信、AFC系统故障件委外维修服务项目（2022-2023年）</w:t>
      </w:r>
      <w:r>
        <w:rPr>
          <w:rFonts w:hint="eastAsia" w:ascii="宋体" w:hAnsi="宋体"/>
          <w:color w:val="auto"/>
          <w:highlight w:val="none"/>
        </w:rPr>
        <w:t>比选文件</w:t>
      </w:r>
      <w:r>
        <w:rPr>
          <w:rFonts w:ascii="宋体" w:hAnsi="宋体"/>
          <w:color w:val="auto"/>
          <w:highlight w:val="none"/>
        </w:rPr>
        <w:t>后，我方经慎重考虑，郑重承诺参加</w:t>
      </w:r>
      <w:r>
        <w:rPr>
          <w:rFonts w:hint="eastAsia" w:ascii="宋体" w:hAnsi="宋体"/>
          <w:color w:val="auto"/>
          <w:highlight w:val="none"/>
          <w:u w:val="single"/>
        </w:rPr>
        <w:t>南宁轨道交通1、2、3号线专用通信、AFC系统故障件委外维修服务项目（2022-2023年）</w:t>
      </w:r>
      <w:r>
        <w:rPr>
          <w:rFonts w:hint="eastAsia" w:ascii="宋体" w:hAnsi="宋体"/>
          <w:color w:val="auto"/>
          <w:highlight w:val="none"/>
        </w:rPr>
        <w:t>的招比选申请</w:t>
      </w:r>
      <w:r>
        <w:rPr>
          <w:rFonts w:ascii="宋体" w:hAnsi="宋体"/>
          <w:color w:val="auto"/>
          <w:highlight w:val="none"/>
        </w:rPr>
        <w:t>活动。</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r>
        <w:rPr>
          <w:rFonts w:ascii="宋体" w:hAnsi="宋体"/>
          <w:b/>
          <w:color w:val="auto"/>
          <w:spacing w:val="1"/>
          <w:position w:val="-2"/>
          <w:highlight w:val="none"/>
        </w:rPr>
        <w:t>我</w:t>
      </w:r>
      <w:r>
        <w:rPr>
          <w:rFonts w:hint="eastAsia" w:ascii="宋体" w:hAnsi="宋体"/>
          <w:b/>
          <w:color w:val="auto"/>
          <w:spacing w:val="1"/>
          <w:position w:val="-2"/>
          <w:highlight w:val="none"/>
        </w:rPr>
        <w:t>方</w:t>
      </w:r>
      <w:r>
        <w:rPr>
          <w:rFonts w:ascii="宋体" w:hAnsi="宋体"/>
          <w:b/>
          <w:color w:val="auto"/>
          <w:spacing w:val="1"/>
          <w:position w:val="-2"/>
          <w:highlight w:val="none"/>
        </w:rPr>
        <w:t>与其他</w:t>
      </w:r>
      <w:r>
        <w:rPr>
          <w:rFonts w:hint="eastAsia" w:ascii="宋体" w:hAnsi="宋体"/>
          <w:b/>
          <w:color w:val="auto"/>
          <w:spacing w:val="1"/>
          <w:position w:val="-2"/>
          <w:highlight w:val="none"/>
        </w:rPr>
        <w:t>比选申请</w:t>
      </w:r>
      <w:r>
        <w:rPr>
          <w:rFonts w:ascii="宋体" w:hAnsi="宋体"/>
          <w:b/>
          <w:color w:val="auto"/>
          <w:spacing w:val="1"/>
          <w:position w:val="-2"/>
          <w:highlight w:val="none"/>
        </w:rPr>
        <w:t>人之间不存在单位负责人为同一人或者控股、管理关系的情况</w:t>
      </w:r>
      <w:r>
        <w:rPr>
          <w:rFonts w:hint="eastAsia" w:ascii="宋体" w:hAnsi="宋体"/>
          <w:b/>
          <w:color w:val="auto"/>
          <w:spacing w:val="1"/>
          <w:position w:val="-2"/>
          <w:highlight w:val="none"/>
        </w:rPr>
        <w:t>；</w:t>
      </w:r>
      <w:r>
        <w:rPr>
          <w:rFonts w:hint="eastAsia"/>
          <w:b/>
          <w:color w:val="auto"/>
          <w:spacing w:val="1"/>
          <w:position w:val="-2"/>
          <w:highlight w:val="none"/>
        </w:rPr>
        <w:t>我方未列入比选人不良信用名单。</w:t>
      </w:r>
    </w:p>
    <w:p>
      <w:pPr>
        <w:spacing w:before="0" w:after="0" w:afterAutospacing="0" w:line="400" w:lineRule="exact"/>
        <w:ind w:left="0" w:right="0" w:firstLine="420" w:firstLineChars="200"/>
        <w:jc w:val="left"/>
        <w:rPr>
          <w:rFonts w:ascii="宋体" w:hAnsi="宋体"/>
          <w:color w:val="auto"/>
          <w:highlight w:val="none"/>
        </w:rPr>
      </w:pPr>
      <w:r>
        <w:rPr>
          <w:rFonts w:hint="eastAsia" w:ascii="宋体" w:hAnsi="宋体"/>
          <w:bCs/>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hint="eastAsia" w:ascii="宋体" w:hAnsi="宋体" w:cs="Arial"/>
          <w:color w:val="auto"/>
          <w:highlight w:val="none"/>
          <w:u w:val="single"/>
        </w:rPr>
        <w:t>（填写）</w:t>
      </w:r>
      <w:r>
        <w:rPr>
          <w:rFonts w:hint="eastAsia" w:ascii="宋体" w:hAnsi="宋体"/>
          <w:color w:val="auto"/>
          <w:highlight w:val="none"/>
          <w:u w:val="single"/>
        </w:rPr>
        <w:t>（盖单位公章）</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日期：年月日</w:t>
      </w:r>
    </w:p>
    <w:p>
      <w:pPr>
        <w:pageBreakBefore/>
        <w:snapToGrid w:val="0"/>
        <w:ind w:right="0" w:firstLine="0"/>
        <w:jc w:val="left"/>
        <w:outlineLvl w:val="0"/>
        <w:rPr>
          <w:rFonts w:ascii="宋体" w:hAnsi="宋体"/>
          <w:b/>
          <w:color w:val="auto"/>
          <w:highlight w:val="none"/>
        </w:rPr>
      </w:pPr>
      <w:bookmarkStart w:id="1506" w:name="_Toc11865"/>
      <w:r>
        <w:rPr>
          <w:rFonts w:ascii="宋体" w:hAnsi="宋体"/>
          <w:b/>
          <w:color w:val="auto"/>
          <w:highlight w:val="none"/>
        </w:rPr>
        <w:t>A</w:t>
      </w:r>
      <w:r>
        <w:rPr>
          <w:rFonts w:hint="eastAsia" w:ascii="宋体" w:hAnsi="宋体"/>
          <w:b/>
          <w:color w:val="auto"/>
          <w:highlight w:val="none"/>
        </w:rPr>
        <w:t>4资质证照</w:t>
      </w:r>
      <w:bookmarkEnd w:id="1506"/>
    </w:p>
    <w:p>
      <w:pPr>
        <w:pStyle w:val="14"/>
        <w:ind w:left="0" w:right="-28" w:firstLine="400" w:firstLineChars="200"/>
        <w:rPr>
          <w:color w:val="auto"/>
          <w:highlight w:val="none"/>
        </w:rPr>
      </w:pPr>
      <w:r>
        <w:rPr>
          <w:color w:val="auto"/>
          <w:highlight w:val="none"/>
        </w:rPr>
        <w:t>【复印件并加盖公章】</w:t>
      </w:r>
    </w:p>
    <w:p>
      <w:pPr>
        <w:pStyle w:val="14"/>
        <w:rPr>
          <w:color w:val="auto"/>
          <w:highlight w:val="none"/>
        </w:rPr>
      </w:pPr>
    </w:p>
    <w:p>
      <w:pPr>
        <w:pStyle w:val="14"/>
        <w:rPr>
          <w:color w:val="auto"/>
          <w:highlight w:val="none"/>
        </w:rPr>
      </w:pPr>
    </w:p>
    <w:p>
      <w:pPr>
        <w:pageBreakBefore/>
        <w:snapToGrid w:val="0"/>
        <w:ind w:right="0" w:firstLine="0"/>
        <w:jc w:val="left"/>
        <w:outlineLvl w:val="0"/>
        <w:rPr>
          <w:rFonts w:ascii="宋体" w:hAnsi="宋体"/>
          <w:b/>
          <w:color w:val="auto"/>
          <w:highlight w:val="none"/>
        </w:rPr>
      </w:pPr>
      <w:bookmarkStart w:id="1507" w:name="_Toc24820"/>
      <w:bookmarkStart w:id="1508" w:name="_Toc13082"/>
      <w:bookmarkStart w:id="1509" w:name="_Toc31334"/>
      <w:bookmarkStart w:id="1510" w:name="_Toc25750678"/>
      <w:bookmarkStart w:id="1511" w:name="_Toc22546"/>
      <w:bookmarkStart w:id="1512" w:name="_Toc8673"/>
      <w:bookmarkStart w:id="1513" w:name="_Toc10123"/>
      <w:bookmarkStart w:id="1514" w:name="_Toc4490"/>
      <w:bookmarkStart w:id="1515" w:name="_Toc7574"/>
      <w:bookmarkStart w:id="1516" w:name="_Toc15811"/>
      <w:bookmarkStart w:id="1517" w:name="_Toc12664"/>
      <w:r>
        <w:rPr>
          <w:rFonts w:ascii="宋体" w:hAnsi="宋体"/>
          <w:b/>
          <w:color w:val="auto"/>
          <w:highlight w:val="none"/>
        </w:rPr>
        <w:t>A</w:t>
      </w:r>
      <w:r>
        <w:rPr>
          <w:rFonts w:hint="eastAsia" w:ascii="宋体" w:hAnsi="宋体"/>
          <w:b/>
          <w:color w:val="auto"/>
          <w:highlight w:val="none"/>
        </w:rPr>
        <w:t>5  类似项目</w:t>
      </w:r>
      <w:r>
        <w:rPr>
          <w:rFonts w:ascii="宋体" w:hAnsi="宋体"/>
          <w:b/>
          <w:color w:val="auto"/>
          <w:highlight w:val="none"/>
        </w:rPr>
        <w:t>业绩表格式</w:t>
      </w:r>
      <w:bookmarkEnd w:id="1507"/>
      <w:bookmarkEnd w:id="1508"/>
      <w:bookmarkEnd w:id="1509"/>
      <w:bookmarkEnd w:id="1510"/>
      <w:bookmarkEnd w:id="1511"/>
      <w:bookmarkEnd w:id="1512"/>
      <w:bookmarkEnd w:id="1513"/>
      <w:bookmarkEnd w:id="1514"/>
      <w:bookmarkEnd w:id="1515"/>
      <w:bookmarkEnd w:id="1516"/>
      <w:bookmarkEnd w:id="1517"/>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9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w:t>
            </w:r>
          </w:p>
          <w:p>
            <w:pPr>
              <w:ind w:left="0" w:firstLine="0"/>
              <w:jc w:val="center"/>
              <w:rPr>
                <w:rFonts w:ascii="宋体" w:hAnsi="宋体"/>
                <w:color w:val="auto"/>
                <w:highlight w:val="none"/>
              </w:rPr>
            </w:pPr>
            <w:r>
              <w:rPr>
                <w:rFonts w:hint="eastAsia" w:ascii="宋体" w:hAnsi="宋体"/>
                <w:color w:val="auto"/>
                <w:highlight w:val="none"/>
              </w:rPr>
              <w:t>金额</w:t>
            </w:r>
          </w:p>
        </w:tc>
        <w:tc>
          <w:tcPr>
            <w:tcW w:w="99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w:t>
            </w:r>
          </w:p>
          <w:p>
            <w:pPr>
              <w:ind w:left="0" w:firstLine="0"/>
              <w:jc w:val="center"/>
              <w:rPr>
                <w:rFonts w:ascii="宋体" w:hAnsi="宋体"/>
                <w:color w:val="auto"/>
                <w:highlight w:val="none"/>
              </w:rPr>
            </w:pPr>
            <w:r>
              <w:rPr>
                <w:rFonts w:hint="eastAsia" w:ascii="宋体" w:hAnsi="宋体"/>
                <w:color w:val="auto"/>
                <w:highlight w:val="none"/>
              </w:rPr>
              <w:t>时间</w:t>
            </w:r>
          </w:p>
        </w:tc>
        <w:tc>
          <w:tcPr>
            <w:tcW w:w="1388"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w:t>
            </w:r>
            <w:r>
              <w:rPr>
                <w:rFonts w:hint="eastAsia"/>
                <w:color w:val="auto"/>
                <w:highlight w:val="none"/>
              </w:rPr>
              <w:t>工期或服务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992" w:type="dxa"/>
          </w:tcPr>
          <w:p>
            <w:pPr>
              <w:ind w:left="0" w:firstLine="0"/>
              <w:rPr>
                <w:rFonts w:ascii="宋体" w:hAnsi="宋体"/>
                <w:color w:val="auto"/>
                <w:highlight w:val="none"/>
              </w:rPr>
            </w:pPr>
          </w:p>
        </w:tc>
        <w:tc>
          <w:tcPr>
            <w:tcW w:w="993" w:type="dxa"/>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类似项目业绩：比选申请人自2019年11月 1日至截标时间前至少具有1项已完成的类似业绩，类似业绩是指轨道交通通信或自动售检票故障件维修业绩，业绩证明材料须能反映类似业绩项目特征，否则不予认可（业绩证明材料为：合同或用户证明，用户证明须加盖证明人公章）。</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比选申请人须提供相应的业绩证明材料：合同或用户证明，用户证明须加盖证明人公章。</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pStyle w:val="2"/>
        <w:pageBreakBefore/>
        <w:spacing w:after="100"/>
        <w:ind w:left="0" w:right="-57" w:firstLine="0"/>
        <w:jc w:val="center"/>
        <w:rPr>
          <w:rFonts w:ascii="宋体" w:hAnsi="宋体"/>
          <w:color w:val="auto"/>
          <w:sz w:val="24"/>
          <w:szCs w:val="24"/>
          <w:highlight w:val="none"/>
        </w:rPr>
      </w:pPr>
      <w:bookmarkStart w:id="1518" w:name="_Toc8451"/>
      <w:bookmarkStart w:id="1519" w:name="_Toc18876"/>
      <w:bookmarkStart w:id="1520" w:name="_Toc14586"/>
      <w:bookmarkStart w:id="1521" w:name="_Toc23770"/>
      <w:bookmarkStart w:id="1522" w:name="_Toc13328"/>
      <w:bookmarkStart w:id="1523" w:name="_Toc29358"/>
      <w:bookmarkStart w:id="1524" w:name="_Toc12984811"/>
      <w:bookmarkStart w:id="1525" w:name="_Toc28662"/>
      <w:bookmarkStart w:id="1526" w:name="_Toc8874"/>
      <w:bookmarkStart w:id="1527" w:name="_Toc8914"/>
      <w:bookmarkStart w:id="1528" w:name="_Toc10812"/>
      <w:bookmarkStart w:id="1529" w:name="_Toc414290525"/>
      <w:bookmarkStart w:id="1530" w:name="_Toc24971"/>
      <w:bookmarkStart w:id="1531" w:name="_Toc27820"/>
      <w:bookmarkStart w:id="1532" w:name="_Toc12983551"/>
      <w:bookmarkStart w:id="1533" w:name="_Toc17687"/>
      <w:bookmarkStart w:id="1534" w:name="_Toc16676"/>
      <w:bookmarkStart w:id="1535" w:name="_Toc492478807"/>
      <w:bookmarkStart w:id="1536" w:name="_Toc12677"/>
      <w:bookmarkStart w:id="1537" w:name="_Toc14988"/>
      <w:bookmarkStart w:id="1538" w:name="_Toc11582"/>
      <w:bookmarkStart w:id="1539" w:name="_Toc29739"/>
      <w:bookmarkStart w:id="1540" w:name="_Toc28563"/>
      <w:bookmarkStart w:id="1541" w:name="_Toc2424"/>
      <w:bookmarkStart w:id="1542" w:name="_Toc20031"/>
      <w:bookmarkStart w:id="1543" w:name="_Toc26807_WPSOffice_Level2"/>
      <w:bookmarkStart w:id="1544" w:name="_Toc3340"/>
      <w:bookmarkStart w:id="1545" w:name="_Toc11760"/>
      <w:bookmarkStart w:id="1546" w:name="_Toc20612_WPSOffice_Level2"/>
      <w:bookmarkStart w:id="1547" w:name="_Toc25750679"/>
      <w:bookmarkStart w:id="1548" w:name="_Toc6272"/>
      <w:bookmarkStart w:id="1549" w:name="_Toc20770"/>
      <w:r>
        <w:rPr>
          <w:rFonts w:ascii="宋体" w:hAnsi="宋体"/>
          <w:color w:val="auto"/>
          <w:sz w:val="24"/>
          <w:szCs w:val="24"/>
          <w:highlight w:val="none"/>
        </w:rPr>
        <w:t xml:space="preserve">B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Fonts w:hint="eastAsia" w:ascii="宋体" w:hAnsi="宋体"/>
          <w:color w:val="auto"/>
          <w:sz w:val="24"/>
          <w:szCs w:val="24"/>
          <w:highlight w:val="none"/>
        </w:rPr>
        <w:t>价格文件</w:t>
      </w:r>
      <w:bookmarkEnd w:id="1539"/>
      <w:bookmarkEnd w:id="1540"/>
      <w:bookmarkEnd w:id="1541"/>
      <w:bookmarkEnd w:id="1542"/>
      <w:bookmarkEnd w:id="1543"/>
      <w:bookmarkEnd w:id="1544"/>
      <w:bookmarkEnd w:id="1545"/>
      <w:bookmarkEnd w:id="1546"/>
      <w:bookmarkEnd w:id="1547"/>
      <w:bookmarkEnd w:id="1548"/>
      <w:bookmarkEnd w:id="1549"/>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550" w:name="_Toc27610"/>
      <w:bookmarkStart w:id="1551" w:name="_Toc9613"/>
      <w:bookmarkStart w:id="1552" w:name="_Toc26250"/>
      <w:bookmarkStart w:id="1553" w:name="_Toc16489"/>
      <w:bookmarkStart w:id="1554" w:name="_Toc486"/>
      <w:bookmarkStart w:id="1555" w:name="_Toc29231"/>
      <w:bookmarkStart w:id="1556" w:name="_Toc31181"/>
      <w:bookmarkStart w:id="1557" w:name="_Toc18516"/>
      <w:bookmarkStart w:id="1558" w:name="_Toc25419"/>
      <w:bookmarkStart w:id="1559" w:name="_Toc5880"/>
      <w:bookmarkStart w:id="1560" w:name="_Toc13110"/>
      <w:bookmarkStart w:id="1561" w:name="_Toc7004"/>
      <w:bookmarkStart w:id="1562" w:name="_Toc1771"/>
      <w:bookmarkStart w:id="1563" w:name="_Toc10991"/>
      <w:bookmarkStart w:id="1564" w:name="_Toc29688"/>
      <w:bookmarkStart w:id="1565" w:name="_Toc25750680"/>
      <w:bookmarkStart w:id="1566" w:name="_Toc30929"/>
      <w:bookmarkStart w:id="1567" w:name="_Toc9861"/>
      <w:bookmarkStart w:id="1568" w:name="_Toc375564355"/>
      <w:bookmarkStart w:id="1569" w:name="_Toc492478808"/>
      <w:bookmarkStart w:id="1570" w:name="_Toc24326"/>
      <w:bookmarkStart w:id="1571" w:name="_Toc1158"/>
      <w:bookmarkStart w:id="1572" w:name="_Toc13980"/>
      <w:bookmarkStart w:id="1573" w:name="_Toc18340"/>
      <w:bookmarkStart w:id="1574" w:name="_Toc23615"/>
      <w:bookmarkStart w:id="1575" w:name="_Toc20291"/>
      <w:bookmarkStart w:id="1576" w:name="_Toc6992"/>
      <w:bookmarkStart w:id="1577" w:name="_Toc12983552"/>
      <w:bookmarkStart w:id="1578" w:name="_Toc12984812"/>
      <w:bookmarkStart w:id="1579" w:name="_Toc9560"/>
      <w:bookmarkStart w:id="1580" w:name="_Toc24487"/>
      <w:bookmarkStart w:id="1581" w:name="_Toc414290526"/>
      <w:bookmarkStart w:id="1582" w:name="_Toc12951"/>
      <w:r>
        <w:rPr>
          <w:rFonts w:ascii="宋体" w:hAnsi="宋体" w:eastAsia="宋体"/>
          <w:color w:val="auto"/>
          <w:sz w:val="21"/>
          <w:szCs w:val="21"/>
          <w:highlight w:val="none"/>
        </w:rPr>
        <w:t>B1比选申请报价一览表</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snapToGrid w:val="0"/>
        <w:spacing w:after="50"/>
        <w:ind w:right="-57" w:firstLine="0"/>
        <w:jc w:val="center"/>
        <w:outlineLvl w:val="0"/>
        <w:rPr>
          <w:rFonts w:ascii="宋体" w:hAnsi="宋体"/>
          <w:b/>
          <w:color w:val="auto"/>
          <w:sz w:val="24"/>
          <w:szCs w:val="24"/>
          <w:highlight w:val="none"/>
        </w:rPr>
      </w:pPr>
      <w:bookmarkStart w:id="1583" w:name="_Toc7728"/>
      <w:bookmarkStart w:id="1584" w:name="_Toc10392"/>
      <w:bookmarkStart w:id="1585" w:name="_Toc17514"/>
      <w:bookmarkStart w:id="1586" w:name="_Toc17085"/>
      <w:bookmarkStart w:id="1587" w:name="_Toc3164"/>
      <w:bookmarkStart w:id="1588" w:name="_Toc3867_WPSOffice_Level2"/>
      <w:bookmarkStart w:id="1589" w:name="_Toc27456"/>
      <w:bookmarkStart w:id="1590" w:name="_Toc23678"/>
      <w:bookmarkStart w:id="1591" w:name="_Toc30168"/>
      <w:bookmarkStart w:id="1592" w:name="_Toc2776"/>
      <w:bookmarkStart w:id="1593" w:name="_Toc9630"/>
      <w:r>
        <w:rPr>
          <w:rFonts w:hint="eastAsia" w:ascii="宋体" w:hAnsi="宋体"/>
          <w:b/>
          <w:color w:val="auto"/>
          <w:sz w:val="24"/>
          <w:szCs w:val="24"/>
          <w:highlight w:val="none"/>
        </w:rPr>
        <w:t>比选申请报价一览表</w:t>
      </w:r>
      <w:bookmarkEnd w:id="1583"/>
      <w:bookmarkEnd w:id="1584"/>
      <w:bookmarkEnd w:id="1585"/>
      <w:bookmarkEnd w:id="1586"/>
      <w:bookmarkEnd w:id="1587"/>
      <w:bookmarkEnd w:id="1588"/>
      <w:bookmarkEnd w:id="1589"/>
      <w:bookmarkEnd w:id="1590"/>
      <w:bookmarkEnd w:id="1591"/>
      <w:bookmarkEnd w:id="1592"/>
      <w:bookmarkEnd w:id="1593"/>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项目名称：南宁轨道交通1、2、3号线专用通信、AFC系统故障件委外维修服务项目（2022-2023年）项目编号：202210280001</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31"/>
        <w:tblW w:w="87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atLeast"/>
          <w:jc w:val="center"/>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 w:hRule="atLeast"/>
          <w:jc w:val="center"/>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color w:val="auto"/>
                <w:kern w:val="2"/>
                <w:highlight w:val="none"/>
              </w:rPr>
            </w:pPr>
            <w:r>
              <w:rPr>
                <w:rFonts w:hint="eastAsia" w:ascii="宋体" w:hAnsi="宋体"/>
                <w:b/>
                <w:color w:val="auto"/>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630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交货期</w:t>
            </w:r>
          </w:p>
        </w:tc>
        <w:tc>
          <w:tcPr>
            <w:tcW w:w="630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比选申请报价应包括故障件从送修至返还的全过程所产生的包装、运输、检测、维修，修复件的出厂检验、运输、软硬件的调试及质保期内出现故障免费维修等一切履行合同标的全过程产生的除增值税外所有费用。</w:t>
      </w: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594" w:name="_Toc58124833"/>
      <w:bookmarkStart w:id="1595" w:name="_Toc68859063"/>
      <w:bookmarkStart w:id="1596" w:name="_Toc61680485"/>
      <w:bookmarkStart w:id="1597" w:name="_Toc110413986"/>
      <w:bookmarkStart w:id="1598" w:name="_Toc20737"/>
      <w:bookmarkStart w:id="1599" w:name="_Toc12983553"/>
      <w:bookmarkStart w:id="1600" w:name="_Toc492478809"/>
      <w:bookmarkStart w:id="1601" w:name="_Toc11438"/>
      <w:bookmarkStart w:id="1602" w:name="_Toc20864"/>
      <w:bookmarkStart w:id="1603" w:name="_Toc27536"/>
      <w:bookmarkStart w:id="1604" w:name="_Toc21109"/>
      <w:bookmarkStart w:id="1605" w:name="_Toc14503"/>
      <w:bookmarkStart w:id="1606" w:name="_Toc15419"/>
      <w:bookmarkStart w:id="1607" w:name="_Toc375564356"/>
      <w:bookmarkStart w:id="1608" w:name="_Toc18111"/>
      <w:bookmarkStart w:id="1609" w:name="_Toc17112"/>
      <w:bookmarkStart w:id="1610" w:name="_Toc4976"/>
      <w:bookmarkStart w:id="1611" w:name="_Toc29702"/>
      <w:bookmarkStart w:id="1612" w:name="_Toc8713"/>
      <w:bookmarkStart w:id="1613" w:name="_Toc2585"/>
      <w:bookmarkStart w:id="1614" w:name="_Toc6270"/>
      <w:bookmarkStart w:id="1615" w:name="_Toc13686"/>
      <w:bookmarkStart w:id="1616" w:name="_Toc414290527"/>
      <w:bookmarkStart w:id="1617" w:name="_Toc25750681"/>
      <w:bookmarkStart w:id="1618" w:name="_Toc32224"/>
      <w:bookmarkStart w:id="1619" w:name="_Toc12984813"/>
      <w:bookmarkStart w:id="1620" w:name="_Toc241920153"/>
      <w:bookmarkStart w:id="1621" w:name="_Toc10260"/>
      <w:bookmarkStart w:id="1622" w:name="_Toc25869"/>
      <w:bookmarkStart w:id="1623" w:name="_Toc11065"/>
      <w:bookmarkStart w:id="1624" w:name="_Toc14593"/>
      <w:bookmarkStart w:id="1625" w:name="_Toc2257"/>
      <w:bookmarkStart w:id="1626" w:name="_Toc8079"/>
      <w:bookmarkStart w:id="1627" w:name="_Toc14859"/>
      <w:bookmarkStart w:id="1628" w:name="_Toc17974"/>
      <w:bookmarkStart w:id="1629" w:name="_Toc29761"/>
      <w:bookmarkStart w:id="1630" w:name="_Toc6833"/>
      <w:bookmarkStart w:id="1631" w:name="_Toc508"/>
      <w:r>
        <w:rPr>
          <w:rFonts w:ascii="宋体" w:hAnsi="宋体" w:eastAsia="宋体"/>
          <w:color w:val="auto"/>
          <w:sz w:val="21"/>
          <w:szCs w:val="21"/>
          <w:highlight w:val="none"/>
        </w:rPr>
        <w:t>B2比选申请</w:t>
      </w:r>
      <w:bookmarkEnd w:id="1594"/>
      <w:bookmarkEnd w:id="1595"/>
      <w:bookmarkEnd w:id="1596"/>
      <w:bookmarkEnd w:id="1597"/>
      <w:r>
        <w:rPr>
          <w:rFonts w:ascii="宋体" w:hAnsi="宋体" w:eastAsia="宋体"/>
          <w:color w:val="auto"/>
          <w:sz w:val="21"/>
          <w:szCs w:val="21"/>
          <w:highlight w:val="none"/>
        </w:rPr>
        <w:t>函格式</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hint="eastAsia" w:ascii="宋体" w:hAnsi="宋体"/>
          <w:color w:val="auto"/>
          <w:highlight w:val="none"/>
          <w:u w:val="single"/>
        </w:rPr>
        <w:t>南宁轨道交通1、2、3号线专用通信、AFC系统故障件委外维修服务项目（2022-2023年）</w:t>
      </w:r>
      <w:r>
        <w:rPr>
          <w:rFonts w:ascii="宋体" w:hAnsi="宋体"/>
          <w:color w:val="auto"/>
          <w:highlight w:val="none"/>
        </w:rPr>
        <w:t>比选申请邀请</w:t>
      </w:r>
      <w:r>
        <w:rPr>
          <w:rFonts w:hint="eastAsia" w:ascii="宋体" w:hAnsi="宋体"/>
          <w:color w:val="auto"/>
          <w:highlight w:val="none"/>
        </w:rPr>
        <w:t>（</w:t>
      </w:r>
      <w:r>
        <w:rPr>
          <w:rFonts w:ascii="宋体" w:hAnsi="宋体"/>
          <w:color w:val="auto"/>
          <w:highlight w:val="none"/>
        </w:rPr>
        <w:t>项目编号：</w:t>
      </w:r>
      <w:r>
        <w:rPr>
          <w:rFonts w:hint="eastAsia" w:ascii="宋体" w:hAnsi="宋体"/>
          <w:color w:val="auto"/>
          <w:highlight w:val="none"/>
        </w:rPr>
        <w:t>202210280001）</w:t>
      </w:r>
      <w:r>
        <w:rPr>
          <w:rFonts w:ascii="宋体" w:hAnsi="宋体"/>
          <w:color w:val="auto"/>
          <w:highlight w:val="none"/>
        </w:rPr>
        <w:t>，签字人</w:t>
      </w:r>
      <w:r>
        <w:rPr>
          <w:rFonts w:hint="eastAsia" w:ascii="宋体" w:hAnsi="宋体"/>
          <w:color w:val="auto"/>
          <w:highlight w:val="none"/>
        </w:rPr>
        <w:t>（</w:t>
      </w:r>
      <w:r>
        <w:rPr>
          <w:rFonts w:ascii="宋体" w:hAnsi="宋体"/>
          <w:color w:val="auto"/>
          <w:highlight w:val="none"/>
          <w:u w:val="single"/>
        </w:rPr>
        <w:t>全名、职务</w:t>
      </w:r>
      <w:r>
        <w:rPr>
          <w:rFonts w:hint="eastAsia" w:ascii="宋体" w:hAnsi="宋体"/>
          <w:color w:val="auto"/>
          <w:highlight w:val="none"/>
          <w:u w:val="single"/>
        </w:rPr>
        <w:t>）</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632" w:name="_Toc375564357"/>
      <w:r>
        <w:rPr>
          <w:rFonts w:ascii="宋体" w:hAnsi="宋体"/>
          <w:color w:val="auto"/>
          <w:highlight w:val="none"/>
        </w:rPr>
        <w:t>1. 按比选文件要求规定的应提交和交付的</w:t>
      </w:r>
      <w:r>
        <w:rPr>
          <w:rFonts w:hint="eastAsia" w:ascii="宋体" w:hAnsi="宋体"/>
          <w:color w:val="auto"/>
          <w:highlight w:val="none"/>
        </w:rPr>
        <w:t>修复件</w:t>
      </w:r>
      <w:r>
        <w:rPr>
          <w:rFonts w:ascii="宋体" w:hAnsi="宋体"/>
          <w:color w:val="auto"/>
          <w:highlight w:val="none"/>
        </w:rPr>
        <w:t>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63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7" w:type="first"/>
          <w:headerReference r:id="rId6" w:type="default"/>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1633" w:name="_Toc20353"/>
      <w:bookmarkStart w:id="1634" w:name="_Toc32679"/>
      <w:bookmarkStart w:id="1635" w:name="_Toc24000"/>
      <w:bookmarkStart w:id="1636" w:name="_Toc30121"/>
      <w:bookmarkStart w:id="1637" w:name="_Toc21539"/>
      <w:bookmarkStart w:id="1638" w:name="_Toc26731"/>
      <w:bookmarkStart w:id="1639" w:name="_Toc414290528"/>
      <w:bookmarkStart w:id="1640" w:name="_Toc8101"/>
      <w:bookmarkStart w:id="1641" w:name="_Toc23071"/>
      <w:bookmarkStart w:id="1642" w:name="_Toc12983554"/>
      <w:bookmarkStart w:id="1643" w:name="_Toc12917"/>
      <w:bookmarkStart w:id="1644" w:name="_Toc25750682"/>
      <w:bookmarkStart w:id="1645" w:name="_Toc14478"/>
      <w:bookmarkStart w:id="1646" w:name="_Toc4138"/>
      <w:bookmarkStart w:id="1647" w:name="_Toc14488"/>
      <w:bookmarkStart w:id="1648" w:name="_Toc3968"/>
      <w:bookmarkStart w:id="1649" w:name="_Toc28944"/>
      <w:bookmarkStart w:id="1650" w:name="_Toc27821"/>
      <w:bookmarkStart w:id="1651" w:name="_Toc27284"/>
      <w:bookmarkStart w:id="1652" w:name="_Toc7203"/>
      <w:bookmarkStart w:id="1653" w:name="_Toc15276"/>
      <w:bookmarkStart w:id="1654" w:name="_Toc16176"/>
      <w:bookmarkStart w:id="1655" w:name="_Toc492478810"/>
      <w:bookmarkStart w:id="1656" w:name="_Toc13611"/>
      <w:bookmarkStart w:id="1657" w:name="_Toc17092"/>
      <w:bookmarkStart w:id="1658" w:name="_Toc24785"/>
      <w:bookmarkStart w:id="1659" w:name="_Toc15469"/>
      <w:bookmarkStart w:id="1660" w:name="_Toc20116"/>
      <w:bookmarkStart w:id="1661" w:name="_Toc6910"/>
      <w:bookmarkStart w:id="1662" w:name="_Toc4583"/>
      <w:bookmarkStart w:id="1663" w:name="_Toc12984814"/>
      <w:bookmarkStart w:id="1664" w:name="_Toc12702"/>
      <w:r>
        <w:rPr>
          <w:rFonts w:ascii="宋体" w:hAnsi="宋体" w:eastAsia="宋体"/>
          <w:color w:val="auto"/>
          <w:sz w:val="21"/>
          <w:szCs w:val="21"/>
          <w:highlight w:val="none"/>
        </w:rPr>
        <w:t>B3比选申请报价表格式</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tbl>
      <w:tblPr>
        <w:tblStyle w:val="3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871"/>
        <w:gridCol w:w="850"/>
        <w:gridCol w:w="1701"/>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247"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序号</w:t>
            </w:r>
          </w:p>
        </w:tc>
        <w:tc>
          <w:tcPr>
            <w:tcW w:w="1871"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名称</w:t>
            </w:r>
          </w:p>
        </w:tc>
        <w:tc>
          <w:tcPr>
            <w:tcW w:w="850"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标注</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品牌或厂家</w:t>
            </w:r>
          </w:p>
        </w:tc>
        <w:tc>
          <w:tcPr>
            <w:tcW w:w="1701"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规格型号</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单位</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数量①</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不含税单价（元）②</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不含税合价（元）③=①×②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基站PSU电源备件</w:t>
            </w:r>
          </w:p>
        </w:tc>
        <w:tc>
          <w:tcPr>
            <w:tcW w:w="850" w:type="dxa"/>
            <w:tcBorders>
              <w:tl2br w:val="nil"/>
              <w:tr2bl w:val="nil"/>
            </w:tcBorders>
            <w:vAlign w:val="center"/>
          </w:tcPr>
          <w:p>
            <w:pPr>
              <w:ind w:left="0" w:firstLine="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摩托罗拉</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WAPN4335</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台</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10</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周界报警前端处理单元</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迈高</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G6EM0102</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个</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F型交叉时钟板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中兴通讯</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CSF</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数字中继板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远东通信</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4DTU</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内嵌RPR交换处理板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中兴通讯</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RSEB</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6</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硬币单元主控板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高见泽</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3PCB100030A-01-10</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10</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7</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纸币找零主控板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CDM6240-ZKB001</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25</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8</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网络节点控制器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天津北海</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BHP-N-200</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个</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9</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接口控制器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天津北海</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BHP-N-100</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个</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10</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发行单元主控板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中软</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YT7.820.0866</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11</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扇门（宽通道）</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中软</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PDC-300</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组</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12</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纸币找零模块</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CDM6240</w:t>
            </w:r>
            <w:r>
              <w:rPr>
                <w:rFonts w:ascii="宋体" w:hAnsi="宋体"/>
                <w:color w:val="auto"/>
                <w:highlight w:val="none"/>
              </w:rPr>
              <w:t>N</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13</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硬币识别器</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701" w:type="dxa"/>
            <w:tcBorders>
              <w:tl2br w:val="nil"/>
              <w:tr2bl w:val="nil"/>
            </w:tcBorders>
            <w:vAlign w:val="center"/>
          </w:tcPr>
          <w:p>
            <w:pPr>
              <w:ind w:left="0" w:firstLine="0"/>
              <w:jc w:val="center"/>
              <w:rPr>
                <w:rFonts w:ascii="宋体" w:hAnsi="宋体"/>
                <w:color w:val="auto"/>
                <w:highlight w:val="none"/>
              </w:rPr>
            </w:pPr>
            <w:r>
              <w:rPr>
                <w:rFonts w:ascii="宋体" w:hAnsi="宋体"/>
                <w:color w:val="auto"/>
                <w:highlight w:val="none"/>
              </w:rPr>
              <w:t>POCO3-CN-00001</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14</w:t>
            </w:r>
          </w:p>
        </w:tc>
        <w:tc>
          <w:tcPr>
            <w:tcW w:w="187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钞票识别模块(NV)</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701" w:type="dxa"/>
            <w:tcBorders>
              <w:tl2br w:val="nil"/>
              <w:tr2bl w:val="nil"/>
            </w:tcBorders>
            <w:vAlign w:val="center"/>
          </w:tcPr>
          <w:p>
            <w:pPr>
              <w:ind w:left="0" w:firstLine="0"/>
              <w:jc w:val="center"/>
              <w:rPr>
                <w:rFonts w:ascii="宋体" w:hAnsi="宋体"/>
                <w:color w:val="auto"/>
                <w:highlight w:val="none"/>
              </w:rPr>
            </w:pPr>
            <w:r>
              <w:rPr>
                <w:rFonts w:ascii="宋体" w:hAnsi="宋体"/>
                <w:color w:val="auto"/>
                <w:highlight w:val="none"/>
              </w:rPr>
              <w:t>NV-100</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701" w:type="dxa"/>
            <w:tcBorders>
              <w:tl2br w:val="nil"/>
              <w:tr2bl w:val="nil"/>
            </w:tcBorders>
            <w:vAlign w:val="center"/>
          </w:tcPr>
          <w:p>
            <w:pPr>
              <w:ind w:left="0" w:firstLine="0"/>
              <w:jc w:val="center"/>
              <w:rPr>
                <w:rFonts w:ascii="宋体" w:hAnsi="宋体"/>
                <w:color w:val="auto"/>
                <w:highlight w:val="none"/>
              </w:rPr>
            </w:pPr>
          </w:p>
        </w:tc>
        <w:tc>
          <w:tcPr>
            <w:tcW w:w="1701" w:type="dxa"/>
            <w:tcBorders>
              <w:tl2br w:val="nil"/>
              <w:tr2bl w:val="nil"/>
            </w:tcBorders>
            <w:vAlign w:val="center"/>
          </w:tcPr>
          <w:p>
            <w:pPr>
              <w:ind w:lef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7"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合计</w:t>
            </w:r>
          </w:p>
        </w:tc>
        <w:tc>
          <w:tcPr>
            <w:tcW w:w="1871" w:type="dxa"/>
            <w:tcBorders>
              <w:tl2br w:val="nil"/>
              <w:tr2bl w:val="nil"/>
            </w:tcBorders>
            <w:vAlign w:val="center"/>
          </w:tcPr>
          <w:p>
            <w:pPr>
              <w:jc w:val="center"/>
              <w:rPr>
                <w:rFonts w:ascii="宋体" w:hAnsi="宋体"/>
                <w:color w:val="auto"/>
                <w:highlight w:val="none"/>
              </w:rPr>
            </w:pPr>
            <w:r>
              <w:rPr>
                <w:rFonts w:hint="eastAsia" w:ascii="宋体" w:hAnsi="宋体"/>
                <w:color w:val="auto"/>
                <w:sz w:val="18"/>
                <w:szCs w:val="18"/>
                <w:highlight w:val="none"/>
              </w:rPr>
              <w:t>/</w:t>
            </w:r>
          </w:p>
        </w:tc>
        <w:tc>
          <w:tcPr>
            <w:tcW w:w="850" w:type="dxa"/>
            <w:tcBorders>
              <w:tl2br w:val="nil"/>
              <w:tr2bl w:val="nil"/>
            </w:tcBorders>
            <w:vAlign w:val="center"/>
          </w:tcPr>
          <w:p>
            <w:pPr>
              <w:jc w:val="center"/>
              <w:rPr>
                <w:rFonts w:hint="eastAsia" w:ascii="宋体" w:hAnsi="宋体"/>
                <w:color w:val="auto"/>
                <w:sz w:val="18"/>
                <w:szCs w:val="18"/>
                <w:highlight w:val="none"/>
              </w:rPr>
            </w:pPr>
          </w:p>
        </w:tc>
        <w:tc>
          <w:tcPr>
            <w:tcW w:w="1701" w:type="dxa"/>
            <w:tcBorders>
              <w:tl2br w:val="nil"/>
              <w:tr2bl w:val="nil"/>
            </w:tcBorders>
            <w:vAlign w:val="center"/>
          </w:tcPr>
          <w:p>
            <w:pPr>
              <w:jc w:val="center"/>
              <w:rPr>
                <w:rFonts w:ascii="宋体" w:hAnsi="宋体"/>
                <w:color w:val="auto"/>
                <w:highlight w:val="none"/>
              </w:rPr>
            </w:pPr>
            <w:r>
              <w:rPr>
                <w:rFonts w:hint="eastAsia" w:ascii="宋体" w:hAnsi="宋体"/>
                <w:color w:val="auto"/>
                <w:sz w:val="18"/>
                <w:szCs w:val="18"/>
                <w:highlight w:val="none"/>
              </w:rPr>
              <w:t>/</w:t>
            </w:r>
          </w:p>
        </w:tc>
        <w:tc>
          <w:tcPr>
            <w:tcW w:w="1701" w:type="dxa"/>
            <w:tcBorders>
              <w:tl2br w:val="nil"/>
              <w:tr2bl w:val="nil"/>
            </w:tcBorders>
            <w:vAlign w:val="center"/>
          </w:tcPr>
          <w:p>
            <w:pPr>
              <w:jc w:val="center"/>
              <w:rPr>
                <w:rFonts w:ascii="宋体" w:hAnsi="宋体"/>
                <w:color w:val="auto"/>
                <w:highlight w:val="none"/>
              </w:rPr>
            </w:pPr>
            <w:r>
              <w:rPr>
                <w:rFonts w:hint="eastAsia" w:ascii="宋体" w:hAnsi="宋体"/>
                <w:color w:val="auto"/>
                <w:sz w:val="18"/>
                <w:szCs w:val="18"/>
                <w:highlight w:val="none"/>
              </w:rPr>
              <w:t>/</w:t>
            </w:r>
          </w:p>
        </w:tc>
        <w:tc>
          <w:tcPr>
            <w:tcW w:w="1701" w:type="dxa"/>
            <w:tcBorders>
              <w:tl2br w:val="nil"/>
              <w:tr2bl w:val="nil"/>
            </w:tcBorders>
            <w:vAlign w:val="center"/>
          </w:tcPr>
          <w:p>
            <w:pPr>
              <w:jc w:val="center"/>
              <w:rPr>
                <w:rFonts w:ascii="宋体" w:hAnsi="宋体"/>
                <w:color w:val="auto"/>
                <w:highlight w:val="none"/>
              </w:rPr>
            </w:pPr>
            <w:r>
              <w:rPr>
                <w:rFonts w:hint="eastAsia" w:ascii="宋体" w:hAnsi="宋体"/>
                <w:color w:val="auto"/>
                <w:sz w:val="18"/>
                <w:szCs w:val="18"/>
                <w:highlight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fldChar w:fldCharType="begin"/>
            </w:r>
            <w:r>
              <w:rPr>
                <w:rFonts w:hint="eastAsia" w:ascii="宋体" w:hAnsi="宋体"/>
                <w:color w:val="auto"/>
                <w:highlight w:val="none"/>
              </w:rPr>
              <w:instrText xml:space="preserve"> = sum(F3:F16) \* MERGEFORMAT </w:instrText>
            </w:r>
            <w:r>
              <w:rPr>
                <w:rFonts w:hint="eastAsia" w:ascii="宋体" w:hAnsi="宋体"/>
                <w:color w:val="auto"/>
                <w:highlight w:val="none"/>
              </w:rPr>
              <w:fldChar w:fldCharType="separate"/>
            </w:r>
            <w:r>
              <w:rPr>
                <w:rFonts w:hint="eastAsia" w:ascii="宋体" w:hAnsi="宋体"/>
                <w:color w:val="auto"/>
                <w:highlight w:val="none"/>
              </w:rPr>
              <w:t>65</w:t>
            </w:r>
            <w:r>
              <w:rPr>
                <w:rFonts w:hint="eastAsia" w:ascii="宋体" w:hAnsi="宋体"/>
                <w:color w:val="auto"/>
                <w:highlight w:val="none"/>
              </w:rPr>
              <w:fldChar w:fldCharType="end"/>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sz w:val="18"/>
                <w:szCs w:val="18"/>
                <w:highlight w:val="none"/>
              </w:rPr>
              <w:t>/</w:t>
            </w:r>
          </w:p>
        </w:tc>
        <w:tc>
          <w:tcPr>
            <w:tcW w:w="1701" w:type="dxa"/>
            <w:tcBorders>
              <w:tl2br w:val="nil"/>
              <w:tr2bl w:val="nil"/>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pStyle w:val="30"/>
        <w:ind w:firstLine="48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pStyle w:val="30"/>
        <w:numPr>
          <w:ilvl w:val="0"/>
          <w:numId w:val="17"/>
        </w:numPr>
        <w:ind w:firstLine="960" w:firstLineChars="400"/>
        <w:rPr>
          <w:rFonts w:hint="eastAsia" w:ascii="宋体" w:hAnsi="宋体"/>
          <w:color w:val="auto"/>
          <w:highlight w:val="none"/>
        </w:rPr>
      </w:pPr>
      <w:r>
        <w:rPr>
          <w:rFonts w:hint="eastAsia" w:ascii="宋体" w:hAnsi="宋体"/>
          <w:color w:val="auto"/>
          <w:highlight w:val="none"/>
        </w:rPr>
        <w:t>同一规格、型号的故障件在各分项报价中应为同一单价。比选申请人对每种故障件（指完全相同的同一故障件）只允许有一个报价，如有不同报价，则以最低报价为准。</w:t>
      </w:r>
    </w:p>
    <w:p>
      <w:pPr>
        <w:pStyle w:val="30"/>
        <w:numPr>
          <w:ilvl w:val="0"/>
          <w:numId w:val="17"/>
        </w:numPr>
        <w:ind w:firstLine="960" w:firstLineChars="400"/>
        <w:rPr>
          <w:rFonts w:hint="eastAsia" w:ascii="宋体" w:hAnsi="宋体"/>
          <w:color w:val="auto"/>
          <w:highlight w:val="none"/>
        </w:rPr>
      </w:pPr>
      <w:r>
        <w:rPr>
          <w:rFonts w:hint="eastAsia" w:ascii="宋体" w:hAnsi="宋体" w:eastAsia="宋体"/>
          <w:color w:val="auto"/>
          <w:highlight w:val="none"/>
          <w:lang w:eastAsia="zh-CN"/>
        </w:rPr>
        <w:t>标注</w:t>
      </w:r>
      <w:r>
        <w:rPr>
          <w:rFonts w:hint="eastAsia" w:ascii="宋体" w:hAnsi="宋体"/>
          <w:color w:val="auto"/>
          <w:highlight w:val="none"/>
        </w:rPr>
        <w:t>带</w:t>
      </w:r>
      <w:r>
        <w:rPr>
          <w:rFonts w:hint="eastAsia" w:ascii="宋体" w:hAnsi="宋体" w:eastAsia="宋体"/>
          <w:color w:val="auto"/>
          <w:highlight w:val="none"/>
          <w:lang w:eastAsia="zh-CN"/>
        </w:rPr>
        <w:t>“</w:t>
      </w:r>
      <w:r>
        <w:rPr>
          <w:rFonts w:hint="eastAsia" w:ascii="宋体" w:hAnsi="宋体"/>
          <w:color w:val="auto"/>
          <w:highlight w:val="none"/>
        </w:rPr>
        <w:t>△</w:t>
      </w:r>
      <w:r>
        <w:rPr>
          <w:rFonts w:hint="eastAsia" w:ascii="宋体" w:hAnsi="宋体" w:eastAsia="宋体"/>
          <w:color w:val="auto"/>
          <w:highlight w:val="none"/>
          <w:lang w:eastAsia="zh-CN"/>
        </w:rPr>
        <w:t>”</w:t>
      </w:r>
      <w:r>
        <w:rPr>
          <w:rFonts w:hint="eastAsia" w:ascii="宋体" w:hAnsi="宋体"/>
          <w:color w:val="auto"/>
          <w:highlight w:val="none"/>
        </w:rPr>
        <w:t>的故障件每一项的单项报价均不能</w:t>
      </w:r>
      <w:r>
        <w:rPr>
          <w:rFonts w:hint="eastAsia" w:ascii="宋体" w:hAnsi="宋体" w:eastAsia="宋体"/>
          <w:color w:val="auto"/>
          <w:highlight w:val="none"/>
          <w:lang w:eastAsia="zh-CN"/>
        </w:rPr>
        <w:t>高于</w:t>
      </w:r>
      <w:r>
        <w:rPr>
          <w:rFonts w:hint="eastAsia" w:ascii="宋体" w:hAnsi="宋体"/>
          <w:color w:val="auto"/>
          <w:highlight w:val="none"/>
        </w:rPr>
        <w:t>第七章</w:t>
      </w:r>
      <w:r>
        <w:rPr>
          <w:rFonts w:hint="eastAsia" w:ascii="宋体" w:hAnsi="宋体" w:eastAsia="宋体"/>
          <w:color w:val="auto"/>
          <w:highlight w:val="none"/>
          <w:lang w:val="en-US" w:eastAsia="zh-CN"/>
        </w:rPr>
        <w:t xml:space="preserve"> </w:t>
      </w:r>
      <w:r>
        <w:rPr>
          <w:rFonts w:hint="eastAsia" w:ascii="宋体" w:hAnsi="宋体"/>
          <w:color w:val="auto"/>
          <w:highlight w:val="none"/>
        </w:rPr>
        <w:t>比选控制价中设置的不含增值税控制价单价(元)</w:t>
      </w:r>
      <w:r>
        <w:rPr>
          <w:rFonts w:hint="eastAsia" w:ascii="宋体" w:hAnsi="宋体" w:eastAsia="宋体"/>
          <w:color w:val="auto"/>
          <w:highlight w:val="none"/>
          <w:lang w:eastAsia="zh-CN"/>
        </w:rPr>
        <w:t>，否则将按否决比选处理。</w:t>
      </w:r>
    </w:p>
    <w:p>
      <w:pPr>
        <w:pStyle w:val="30"/>
        <w:ind w:firstLine="480"/>
        <w:rPr>
          <w:color w:val="auto"/>
          <w:highlight w:val="none"/>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b/>
          <w:color w:val="auto"/>
          <w:highlight w:val="none"/>
        </w:rPr>
      </w:pPr>
      <w:r>
        <w:rPr>
          <w:rFonts w:hint="eastAsia" w:ascii="宋体" w:hAnsi="宋体"/>
          <w:color w:val="auto"/>
          <w:highlight w:val="none"/>
        </w:rPr>
        <w:t>日期：    年  月  日</w:t>
      </w:r>
    </w:p>
    <w:p>
      <w:pPr>
        <w:snapToGrid w:val="0"/>
        <w:spacing w:before="0" w:after="0" w:afterAutospacing="0"/>
        <w:ind w:left="0" w:right="-57" w:firstLine="0"/>
        <w:jc w:val="center"/>
        <w:rPr>
          <w:rFonts w:ascii="宋体" w:hAnsi="宋体"/>
          <w:b/>
          <w:color w:val="auto"/>
          <w:highlight w:val="none"/>
        </w:rPr>
        <w:sectPr>
          <w:pgSz w:w="16838" w:h="11905" w:orient="landscape"/>
          <w:pgMar w:top="1418" w:right="1418" w:bottom="1418" w:left="1304" w:header="454" w:footer="567" w:gutter="0"/>
          <w:pgBorders>
            <w:top w:val="none" w:sz="0" w:space="0"/>
            <w:left w:val="none" w:sz="0" w:space="0"/>
            <w:bottom w:val="none" w:sz="0" w:space="0"/>
            <w:right w:val="none" w:sz="0" w:space="0"/>
          </w:pgBorders>
          <w:cols w:space="720" w:num="1"/>
          <w:docGrid w:linePitch="312" w:charSpace="0"/>
        </w:sectPr>
      </w:pPr>
    </w:p>
    <w:p>
      <w:pPr>
        <w:pStyle w:val="2"/>
        <w:pageBreakBefore/>
        <w:spacing w:after="100"/>
        <w:ind w:right="-57" w:firstLine="0"/>
        <w:jc w:val="center"/>
        <w:rPr>
          <w:rFonts w:ascii="宋体" w:hAnsi="宋体"/>
          <w:color w:val="auto"/>
          <w:sz w:val="24"/>
          <w:szCs w:val="24"/>
          <w:highlight w:val="none"/>
        </w:rPr>
      </w:pPr>
      <w:bookmarkStart w:id="1665" w:name="_Toc492478827"/>
      <w:bookmarkStart w:id="1666" w:name="_Toc414290562"/>
      <w:bookmarkStart w:id="1667" w:name="_Toc19107"/>
      <w:bookmarkStart w:id="1668" w:name="_Toc15451"/>
      <w:bookmarkStart w:id="1669" w:name="_Toc25635"/>
      <w:bookmarkStart w:id="1670" w:name="_Toc26136"/>
      <w:bookmarkStart w:id="1671" w:name="_Toc17664"/>
      <w:bookmarkStart w:id="1672" w:name="_Toc24186"/>
      <w:bookmarkStart w:id="1673" w:name="_Toc22378"/>
      <w:bookmarkStart w:id="1674" w:name="_Toc13870"/>
      <w:bookmarkStart w:id="1675" w:name="_Toc518"/>
      <w:bookmarkStart w:id="1676" w:name="_Toc29577"/>
      <w:bookmarkStart w:id="1677" w:name="_Toc19413"/>
      <w:bookmarkStart w:id="1678" w:name="_Toc14091"/>
      <w:bookmarkStart w:id="1679" w:name="_Toc15783"/>
      <w:bookmarkStart w:id="1680" w:name="_Toc25750683"/>
      <w:bookmarkStart w:id="1681" w:name="_Toc6034"/>
      <w:bookmarkStart w:id="1682" w:name="_Toc32381"/>
      <w:bookmarkStart w:id="1683" w:name="_Toc30812"/>
      <w:bookmarkStart w:id="1684" w:name="_Toc22423"/>
      <w:bookmarkStart w:id="1685" w:name="_Toc3307"/>
      <w:bookmarkStart w:id="1686" w:name="_Toc8563"/>
      <w:bookmarkStart w:id="1687" w:name="_Toc9876"/>
      <w:bookmarkStart w:id="1688" w:name="_Toc6352_WPSOffice_Level2"/>
      <w:bookmarkStart w:id="1689" w:name="_Toc10453"/>
      <w:bookmarkStart w:id="1690" w:name="_Toc25220"/>
      <w:bookmarkStart w:id="1691" w:name="_Toc8058"/>
      <w:bookmarkStart w:id="1692" w:name="_Toc15108"/>
      <w:bookmarkStart w:id="1693" w:name="_Toc2327"/>
      <w:r>
        <w:rPr>
          <w:rFonts w:ascii="宋体" w:hAnsi="宋体"/>
          <w:color w:val="auto"/>
          <w:sz w:val="24"/>
          <w:szCs w:val="24"/>
          <w:highlight w:val="none"/>
        </w:rPr>
        <w:t>C技术</w:t>
      </w:r>
      <w:bookmarkEnd w:id="1665"/>
      <w:bookmarkEnd w:id="1666"/>
      <w:bookmarkEnd w:id="1667"/>
      <w:bookmarkStart w:id="1694" w:name="_Toc17887241"/>
      <w:bookmarkStart w:id="1695" w:name="_Toc224010320"/>
      <w:bookmarkStart w:id="1696" w:name="_Toc99697927"/>
      <w:bookmarkStart w:id="1697" w:name="_Toc18770050"/>
      <w:bookmarkStart w:id="1698" w:name="_Toc74938308"/>
      <w:r>
        <w:rPr>
          <w:rFonts w:ascii="宋体" w:hAnsi="宋体"/>
          <w:color w:val="auto"/>
          <w:sz w:val="24"/>
          <w:szCs w:val="24"/>
          <w:highlight w:val="none"/>
        </w:rPr>
        <w:t>文件</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numPr>
          <w:ilvl w:val="0"/>
          <w:numId w:val="18"/>
        </w:numPr>
        <w:bidi w:val="0"/>
        <w:rPr>
          <w:color w:val="auto"/>
          <w:highlight w:val="none"/>
        </w:rPr>
      </w:pPr>
      <w:bookmarkStart w:id="1699" w:name="_Toc31562"/>
      <w:bookmarkStart w:id="1700" w:name="_Toc1876"/>
      <w:bookmarkStart w:id="1701" w:name="_Toc12659"/>
      <w:bookmarkStart w:id="1702" w:name="_Toc28403"/>
      <w:bookmarkStart w:id="1703" w:name="_Toc10656"/>
      <w:bookmarkStart w:id="1704" w:name="_Toc8794"/>
      <w:bookmarkStart w:id="1705" w:name="_Toc11867"/>
      <w:bookmarkStart w:id="1706" w:name="_Toc1518"/>
      <w:bookmarkStart w:id="1707" w:name="_Toc22823"/>
      <w:bookmarkStart w:id="1708" w:name="_Toc25871"/>
      <w:r>
        <w:rPr>
          <w:rFonts w:hint="eastAsia"/>
          <w:color w:val="auto"/>
          <w:highlight w:val="none"/>
        </w:rPr>
        <w:t>技术响应表（格式见C1）；</w:t>
      </w:r>
      <w:bookmarkEnd w:id="1699"/>
      <w:bookmarkEnd w:id="1700"/>
      <w:bookmarkEnd w:id="1701"/>
      <w:bookmarkEnd w:id="1702"/>
      <w:bookmarkEnd w:id="1703"/>
      <w:bookmarkEnd w:id="1704"/>
      <w:bookmarkEnd w:id="1705"/>
      <w:bookmarkEnd w:id="1706"/>
      <w:bookmarkEnd w:id="1707"/>
      <w:bookmarkEnd w:id="1708"/>
    </w:p>
    <w:p>
      <w:pPr>
        <w:numPr>
          <w:ilvl w:val="0"/>
          <w:numId w:val="18"/>
        </w:numPr>
        <w:bidi w:val="0"/>
        <w:rPr>
          <w:color w:val="auto"/>
          <w:highlight w:val="none"/>
        </w:rPr>
      </w:pPr>
      <w:bookmarkStart w:id="1709" w:name="_Toc31066"/>
      <w:bookmarkStart w:id="1710" w:name="_Toc7974"/>
      <w:bookmarkStart w:id="1711" w:name="_Toc31096"/>
      <w:bookmarkStart w:id="1712" w:name="_Toc17485"/>
      <w:bookmarkStart w:id="1713" w:name="_Toc15678"/>
      <w:bookmarkStart w:id="1714" w:name="_Toc27011"/>
      <w:bookmarkStart w:id="1715" w:name="_Toc21180"/>
      <w:bookmarkStart w:id="1716" w:name="_Toc10136"/>
      <w:bookmarkStart w:id="1717" w:name="_Toc18939"/>
      <w:bookmarkStart w:id="1718" w:name="_Toc25673"/>
      <w:r>
        <w:rPr>
          <w:rFonts w:hint="eastAsia"/>
          <w:color w:val="auto"/>
          <w:highlight w:val="none"/>
        </w:rPr>
        <w:t>按期完成承诺书（格式见C2）；</w:t>
      </w:r>
      <w:bookmarkEnd w:id="1709"/>
      <w:bookmarkEnd w:id="1710"/>
      <w:bookmarkEnd w:id="1711"/>
      <w:bookmarkEnd w:id="1712"/>
      <w:bookmarkEnd w:id="1713"/>
      <w:bookmarkEnd w:id="1714"/>
      <w:bookmarkEnd w:id="1715"/>
      <w:bookmarkEnd w:id="1716"/>
      <w:bookmarkEnd w:id="1717"/>
      <w:bookmarkEnd w:id="1718"/>
    </w:p>
    <w:p>
      <w:pPr>
        <w:numPr>
          <w:ilvl w:val="0"/>
          <w:numId w:val="18"/>
        </w:numPr>
        <w:bidi w:val="0"/>
        <w:rPr>
          <w:color w:val="auto"/>
          <w:highlight w:val="none"/>
        </w:rPr>
      </w:pPr>
      <w:bookmarkStart w:id="1719" w:name="_Toc23434"/>
      <w:bookmarkStart w:id="1720" w:name="_Toc11512"/>
      <w:bookmarkStart w:id="1721" w:name="_Toc28305"/>
      <w:bookmarkStart w:id="1722" w:name="_Toc11695"/>
      <w:bookmarkStart w:id="1723" w:name="_Toc11105"/>
      <w:bookmarkStart w:id="1724" w:name="_Toc26843"/>
      <w:bookmarkStart w:id="1725" w:name="_Toc14732"/>
      <w:bookmarkStart w:id="1726" w:name="_Toc4018"/>
      <w:bookmarkStart w:id="1727" w:name="_Toc14937"/>
      <w:bookmarkStart w:id="1728" w:name="_Toc24565"/>
      <w:r>
        <w:rPr>
          <w:rFonts w:hint="eastAsia"/>
          <w:color w:val="auto"/>
          <w:highlight w:val="none"/>
        </w:rPr>
        <w:t>售后服务承诺书（格式见C3）；</w:t>
      </w:r>
      <w:bookmarkEnd w:id="1719"/>
      <w:bookmarkEnd w:id="1720"/>
      <w:bookmarkEnd w:id="1721"/>
      <w:bookmarkEnd w:id="1722"/>
      <w:bookmarkEnd w:id="1723"/>
      <w:bookmarkEnd w:id="1724"/>
      <w:bookmarkEnd w:id="1725"/>
      <w:bookmarkEnd w:id="1726"/>
      <w:bookmarkEnd w:id="1727"/>
      <w:bookmarkEnd w:id="1728"/>
    </w:p>
    <w:p>
      <w:pPr>
        <w:numPr>
          <w:ilvl w:val="0"/>
          <w:numId w:val="18"/>
        </w:numPr>
        <w:bidi w:val="0"/>
        <w:rPr>
          <w:color w:val="auto"/>
          <w:highlight w:val="none"/>
        </w:rPr>
      </w:pPr>
      <w:bookmarkStart w:id="1729" w:name="_Toc9614"/>
      <w:bookmarkStart w:id="1730" w:name="_Toc15960"/>
      <w:bookmarkStart w:id="1731" w:name="_Toc20857"/>
      <w:bookmarkStart w:id="1732" w:name="_Toc24644"/>
      <w:bookmarkStart w:id="1733" w:name="_Toc11046"/>
      <w:bookmarkStart w:id="1734" w:name="_Toc25183"/>
      <w:bookmarkStart w:id="1735" w:name="_Toc25989"/>
      <w:bookmarkStart w:id="1736" w:name="_Toc12579"/>
      <w:bookmarkStart w:id="1737" w:name="_Toc5085"/>
      <w:bookmarkStart w:id="1738" w:name="_Toc26637"/>
      <w:r>
        <w:rPr>
          <w:rFonts w:hint="eastAsia"/>
          <w:color w:val="auto"/>
          <w:highlight w:val="none"/>
        </w:rPr>
        <w:t>商务响应表（格式见C4）</w:t>
      </w:r>
      <w:bookmarkEnd w:id="1729"/>
      <w:bookmarkEnd w:id="1730"/>
      <w:bookmarkEnd w:id="1731"/>
      <w:bookmarkEnd w:id="1732"/>
      <w:bookmarkEnd w:id="1733"/>
      <w:bookmarkEnd w:id="1734"/>
      <w:bookmarkEnd w:id="1735"/>
      <w:bookmarkEnd w:id="1736"/>
      <w:bookmarkEnd w:id="1737"/>
      <w:r>
        <w:rPr>
          <w:rFonts w:hint="eastAsia"/>
          <w:color w:val="auto"/>
          <w:highlight w:val="none"/>
        </w:rPr>
        <w:t>；</w:t>
      </w:r>
      <w:bookmarkEnd w:id="1738"/>
    </w:p>
    <w:p>
      <w:pPr>
        <w:numPr>
          <w:ilvl w:val="0"/>
          <w:numId w:val="18"/>
        </w:numPr>
        <w:bidi w:val="0"/>
        <w:rPr>
          <w:color w:val="auto"/>
          <w:highlight w:val="none"/>
        </w:rPr>
      </w:pPr>
      <w:bookmarkStart w:id="1739" w:name="_Toc7219"/>
      <w:r>
        <w:rPr>
          <w:rFonts w:hint="eastAsia"/>
          <w:color w:val="auto"/>
          <w:highlight w:val="none"/>
        </w:rPr>
        <w:t>企业业绩 (格式见A5)；</w:t>
      </w:r>
      <w:bookmarkEnd w:id="1739"/>
    </w:p>
    <w:p>
      <w:pPr>
        <w:numPr>
          <w:ilvl w:val="0"/>
          <w:numId w:val="18"/>
        </w:numPr>
        <w:bidi w:val="0"/>
        <w:rPr>
          <w:color w:val="auto"/>
          <w:highlight w:val="none"/>
        </w:rPr>
      </w:pPr>
      <w:bookmarkStart w:id="1740" w:name="_Toc18256"/>
      <w:r>
        <w:rPr>
          <w:rFonts w:hint="eastAsia"/>
          <w:color w:val="auto"/>
          <w:highlight w:val="none"/>
        </w:rPr>
        <w:t>质量控制文件(如有，格式自拟 ) ；</w:t>
      </w:r>
      <w:bookmarkEnd w:id="1740"/>
    </w:p>
    <w:p>
      <w:pPr>
        <w:numPr>
          <w:ilvl w:val="0"/>
          <w:numId w:val="18"/>
        </w:numPr>
        <w:bidi w:val="0"/>
        <w:rPr>
          <w:color w:val="auto"/>
          <w:highlight w:val="none"/>
        </w:rPr>
      </w:pPr>
      <w:bookmarkStart w:id="1741" w:name="_Toc12734"/>
      <w:r>
        <w:rPr>
          <w:rFonts w:hint="eastAsia"/>
          <w:color w:val="auto"/>
          <w:highlight w:val="none"/>
        </w:rPr>
        <w:t>质量检验承诺(如有，格式自拟 )；</w:t>
      </w:r>
      <w:bookmarkEnd w:id="1741"/>
    </w:p>
    <w:p>
      <w:pPr>
        <w:numPr>
          <w:ilvl w:val="0"/>
          <w:numId w:val="18"/>
        </w:numPr>
        <w:bidi w:val="0"/>
        <w:rPr>
          <w:color w:val="auto"/>
          <w:highlight w:val="none"/>
        </w:rPr>
      </w:pPr>
      <w:bookmarkStart w:id="1742" w:name="_Toc10193"/>
      <w:r>
        <w:rPr>
          <w:rFonts w:hint="eastAsia"/>
          <w:color w:val="auto"/>
          <w:highlight w:val="none"/>
        </w:rPr>
        <w:t>售后服务承诺(如有，格式自拟 )；</w:t>
      </w:r>
      <w:bookmarkEnd w:id="1742"/>
    </w:p>
    <w:p>
      <w:pPr>
        <w:numPr>
          <w:ilvl w:val="0"/>
          <w:numId w:val="18"/>
        </w:numPr>
        <w:bidi w:val="0"/>
        <w:rPr>
          <w:color w:val="auto"/>
          <w:highlight w:val="none"/>
        </w:rPr>
      </w:pPr>
      <w:bookmarkStart w:id="1743" w:name="_Toc31601"/>
      <w:r>
        <w:rPr>
          <w:rFonts w:hint="eastAsia"/>
          <w:color w:val="auto"/>
          <w:highlight w:val="none"/>
        </w:rPr>
        <w:t>比选申请人认为应提交的其他比选申请资料（如有）。</w:t>
      </w:r>
      <w:r>
        <w:rPr>
          <w:rFonts w:hint="eastAsia"/>
          <w:color w:val="auto"/>
          <w:highlight w:val="none"/>
        </w:rPr>
        <w:br w:type="page"/>
      </w:r>
      <w:bookmarkEnd w:id="1743"/>
    </w:p>
    <w:p>
      <w:pPr>
        <w:spacing w:before="0" w:after="0" w:afterAutospacing="0"/>
        <w:ind w:left="0" w:right="0" w:firstLine="315" w:firstLineChars="150"/>
        <w:rPr>
          <w:color w:val="auto"/>
          <w:highlight w:val="none"/>
        </w:rPr>
      </w:pPr>
    </w:p>
    <w:bookmarkEnd w:id="1694"/>
    <w:bookmarkEnd w:id="1695"/>
    <w:bookmarkEnd w:id="1696"/>
    <w:bookmarkEnd w:id="1697"/>
    <w:bookmarkEnd w:id="1698"/>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744" w:name="_Toc25750684"/>
      <w:bookmarkStart w:id="1745" w:name="_Toc12332"/>
      <w:bookmarkStart w:id="1746" w:name="_Toc25741"/>
      <w:bookmarkStart w:id="1747" w:name="_Toc24587"/>
      <w:bookmarkStart w:id="1748" w:name="_Toc15132"/>
      <w:bookmarkStart w:id="1749" w:name="_Toc11886"/>
      <w:bookmarkStart w:id="1750" w:name="_Toc19961"/>
      <w:bookmarkStart w:id="1751" w:name="_Toc21917"/>
      <w:bookmarkStart w:id="1752" w:name="_Toc5218"/>
      <w:bookmarkStart w:id="1753" w:name="_Toc7475"/>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744"/>
      <w:bookmarkEnd w:id="1745"/>
      <w:bookmarkEnd w:id="1746"/>
      <w:bookmarkEnd w:id="1747"/>
      <w:bookmarkEnd w:id="1748"/>
      <w:bookmarkEnd w:id="1749"/>
      <w:bookmarkEnd w:id="1750"/>
      <w:bookmarkEnd w:id="1751"/>
      <w:bookmarkEnd w:id="1752"/>
      <w:bookmarkEnd w:id="1753"/>
    </w:p>
    <w:p>
      <w:pPr>
        <w:widowControl w:val="0"/>
        <w:spacing w:beforeLines="100" w:afterLines="100"/>
        <w:ind w:right="-57" w:rightChars="-27"/>
        <w:jc w:val="center"/>
        <w:rPr>
          <w:rFonts w:hAnsi="宋体"/>
          <w:bCs/>
          <w:color w:val="auto"/>
          <w:kern w:val="2"/>
          <w:sz w:val="28"/>
          <w:szCs w:val="28"/>
          <w:highlight w:val="none"/>
        </w:rPr>
      </w:pPr>
      <w:bookmarkStart w:id="1754" w:name="_Toc22129"/>
      <w:bookmarkStart w:id="1755" w:name="_Toc24710"/>
      <w:bookmarkStart w:id="1756" w:name="_Toc29202"/>
      <w:bookmarkStart w:id="1757" w:name="_Toc18089"/>
      <w:bookmarkStart w:id="1758" w:name="_Toc7658"/>
      <w:bookmarkStart w:id="1759" w:name="_Toc28684"/>
      <w:bookmarkStart w:id="1760" w:name="_Toc26410"/>
      <w:bookmarkStart w:id="1761" w:name="_Toc10772"/>
      <w:bookmarkStart w:id="1762" w:name="_Toc32348"/>
      <w:r>
        <w:rPr>
          <w:rFonts w:hint="eastAsia" w:hAnsi="宋体"/>
          <w:b/>
          <w:color w:val="auto"/>
          <w:kern w:val="2"/>
          <w:sz w:val="32"/>
          <w:szCs w:val="32"/>
          <w:highlight w:val="none"/>
        </w:rPr>
        <w:t>技术响应表</w:t>
      </w:r>
      <w:r>
        <w:rPr>
          <w:rFonts w:hint="eastAsia" w:hAnsi="宋体"/>
          <w:bCs/>
          <w:color w:val="auto"/>
          <w:kern w:val="2"/>
          <w:sz w:val="28"/>
          <w:szCs w:val="28"/>
          <w:highlight w:val="none"/>
        </w:rPr>
        <w:t>（不论有无偏离，均须逐项填写偏离情况）</w:t>
      </w:r>
      <w:bookmarkEnd w:id="1754"/>
      <w:bookmarkEnd w:id="1755"/>
      <w:bookmarkEnd w:id="1756"/>
      <w:bookmarkEnd w:id="1757"/>
      <w:bookmarkEnd w:id="1758"/>
      <w:bookmarkEnd w:id="1759"/>
      <w:bookmarkEnd w:id="1760"/>
      <w:bookmarkEnd w:id="1761"/>
      <w:bookmarkEnd w:id="1762"/>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p>
    <w:tbl>
      <w:tblPr>
        <w:tblStyle w:val="3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1"/>
        <w:gridCol w:w="1492"/>
        <w:gridCol w:w="3900"/>
        <w:gridCol w:w="1290"/>
        <w:gridCol w:w="96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ind w:left="0" w:right="-28" w:firstLine="0"/>
              <w:jc w:val="center"/>
              <w:rPr>
                <w:rFonts w:ascii="宋体" w:hAnsi="宋体"/>
                <w:color w:val="auto"/>
                <w:highlight w:val="none"/>
              </w:rPr>
            </w:pPr>
            <w:r>
              <w:rPr>
                <w:rFonts w:hint="eastAsia" w:ascii="宋体" w:hAnsi="宋体"/>
                <w:color w:val="auto"/>
                <w:highlight w:val="none"/>
              </w:rPr>
              <w:t>序号</w:t>
            </w:r>
          </w:p>
        </w:tc>
        <w:tc>
          <w:tcPr>
            <w:tcW w:w="1492"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用户需求书条目号</w:t>
            </w:r>
          </w:p>
        </w:tc>
        <w:tc>
          <w:tcPr>
            <w:tcW w:w="3900"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比选申请文件响应</w:t>
            </w:r>
          </w:p>
        </w:tc>
        <w:tc>
          <w:tcPr>
            <w:tcW w:w="968"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偏离</w:t>
            </w:r>
          </w:p>
        </w:tc>
        <w:tc>
          <w:tcPr>
            <w:tcW w:w="689"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jc w:val="center"/>
              <w:rPr>
                <w:rFonts w:ascii="宋体" w:hAnsi="宋体" w:cs="宋体"/>
                <w:color w:val="auto"/>
                <w:kern w:val="2"/>
                <w:highlight w:val="none"/>
              </w:rPr>
            </w:pPr>
            <w:r>
              <w:rPr>
                <w:rFonts w:hint="eastAsia" w:ascii="宋体" w:hAnsi="宋体" w:cs="宋体"/>
                <w:color w:val="auto"/>
                <w:kern w:val="2"/>
                <w:highlight w:val="none"/>
              </w:rPr>
              <w:t>1</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3.2计划服务期</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90天</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jc w:val="center"/>
              <w:rPr>
                <w:rFonts w:ascii="宋体" w:hAnsi="宋体" w:cs="宋体"/>
                <w:color w:val="auto"/>
                <w:kern w:val="2"/>
                <w:highlight w:val="none"/>
              </w:rPr>
            </w:pPr>
            <w:r>
              <w:rPr>
                <w:rFonts w:hint="eastAsia" w:ascii="宋体" w:hAnsi="宋体" w:cs="宋体"/>
                <w:color w:val="auto"/>
                <w:kern w:val="2"/>
                <w:highlight w:val="none"/>
              </w:rPr>
              <w:t>2</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3.2.2质保期</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验收通过后开始1年内为质保期</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jc w:val="center"/>
              <w:rPr>
                <w:rFonts w:ascii="宋体" w:hAnsi="宋体" w:cs="宋体"/>
                <w:color w:val="auto"/>
                <w:kern w:val="2"/>
                <w:highlight w:val="none"/>
              </w:rPr>
            </w:pPr>
            <w:r>
              <w:rPr>
                <w:rFonts w:hint="eastAsia" w:ascii="宋体" w:hAnsi="宋体" w:cs="宋体"/>
                <w:color w:val="auto"/>
                <w:kern w:val="2"/>
                <w:highlight w:val="none"/>
              </w:rPr>
              <w:t>3</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4.2 乙方人员要求</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jc w:val="center"/>
              <w:rPr>
                <w:rFonts w:ascii="宋体" w:hAnsi="宋体" w:cs="宋体"/>
                <w:color w:val="auto"/>
                <w:kern w:val="2"/>
                <w:highlight w:val="none"/>
              </w:rPr>
            </w:pPr>
            <w:r>
              <w:rPr>
                <w:rFonts w:hint="eastAsia" w:ascii="宋体" w:hAnsi="宋体" w:cs="宋体"/>
                <w:color w:val="auto"/>
                <w:kern w:val="2"/>
                <w:highlight w:val="none"/>
              </w:rPr>
              <w:t>4</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5.1 维修要求</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jc w:val="center"/>
              <w:rPr>
                <w:rFonts w:ascii="宋体" w:hAnsi="宋体" w:cs="宋体"/>
                <w:color w:val="auto"/>
                <w:kern w:val="2"/>
                <w:highlight w:val="none"/>
              </w:rPr>
            </w:pPr>
            <w:r>
              <w:rPr>
                <w:rFonts w:hint="eastAsia" w:ascii="宋体" w:hAnsi="宋体" w:cs="宋体"/>
                <w:color w:val="auto"/>
                <w:kern w:val="2"/>
                <w:highlight w:val="none"/>
              </w:rPr>
              <w:t>5</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5.2 维修标准</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jc w:val="center"/>
              <w:rPr>
                <w:rFonts w:ascii="宋体" w:hAnsi="宋体" w:cs="宋体"/>
                <w:color w:val="auto"/>
                <w:kern w:val="2"/>
                <w:highlight w:val="none"/>
              </w:rPr>
            </w:pPr>
            <w:r>
              <w:rPr>
                <w:rFonts w:hint="eastAsia" w:ascii="宋体" w:hAnsi="宋体" w:cs="宋体"/>
                <w:color w:val="auto"/>
                <w:kern w:val="2"/>
                <w:highlight w:val="none"/>
              </w:rPr>
              <w:t>6</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5.3 质量要求</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color w:val="auto"/>
                <w:kern w:val="2"/>
                <w:highlight w:val="none"/>
              </w:rPr>
            </w:pPr>
            <w:r>
              <w:rPr>
                <w:rFonts w:hint="eastAsia" w:cs="Arial"/>
                <w:color w:val="auto"/>
                <w:highlight w:val="none"/>
              </w:rPr>
              <w:t>我方确认：除了表中所列的条款外，我方的比选申请函将依从比选文件对于技术的全部要求和规定。</w:t>
            </w:r>
          </w:p>
        </w:tc>
      </w:tr>
    </w:tbl>
    <w:p>
      <w:pPr>
        <w:spacing w:before="0" w:after="0" w:afterAutospacing="0"/>
        <w:ind w:right="0"/>
        <w:rPr>
          <w:rFonts w:ascii="宋体" w:hAnsi="宋体"/>
          <w:color w:val="auto"/>
          <w:highlight w:val="none"/>
          <w:u w:val="singl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rPr>
        <w:t>上</w:t>
      </w:r>
      <w:r>
        <w:rPr>
          <w:rFonts w:ascii="宋体" w:hAnsi="宋体"/>
          <w:color w:val="auto"/>
          <w:highlight w:val="none"/>
        </w:rPr>
        <w:t>表。</w:t>
      </w:r>
    </w:p>
    <w:p>
      <w:pPr>
        <w:pStyle w:val="39"/>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bookmarkStart w:id="1763"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764" w:name="_Toc8199"/>
      <w:bookmarkStart w:id="1765" w:name="_Toc13665"/>
      <w:bookmarkStart w:id="1766" w:name="_Toc25710"/>
      <w:bookmarkStart w:id="1767" w:name="_Toc30537"/>
      <w:bookmarkStart w:id="1768" w:name="_Toc26486"/>
      <w:bookmarkStart w:id="1769" w:name="_Toc5035"/>
      <w:bookmarkStart w:id="1770" w:name="_Toc32323"/>
      <w:bookmarkStart w:id="1771" w:name="_Toc16655"/>
      <w:bookmarkStart w:id="1772" w:name="_Toc25434"/>
      <w:r>
        <w:rPr>
          <w:rFonts w:hint="eastAsia" w:ascii="宋体" w:hAnsi="宋体" w:eastAsia="宋体"/>
          <w:color w:val="auto"/>
          <w:sz w:val="21"/>
          <w:szCs w:val="21"/>
          <w:highlight w:val="none"/>
        </w:rPr>
        <w:t>C2</w:t>
      </w:r>
      <w:bookmarkEnd w:id="1763"/>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bookmarkEnd w:id="1764"/>
      <w:bookmarkEnd w:id="1765"/>
      <w:bookmarkEnd w:id="1766"/>
      <w:bookmarkEnd w:id="1767"/>
      <w:bookmarkEnd w:id="1768"/>
      <w:bookmarkEnd w:id="1769"/>
      <w:bookmarkEnd w:id="1770"/>
      <w:bookmarkEnd w:id="1771"/>
      <w:bookmarkEnd w:id="1772"/>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color w:val="auto"/>
          <w:highlight w:val="none"/>
          <w:u w:val="single"/>
        </w:rPr>
        <w:t>南宁轨道交通1、2、3号线专用通信、AFC系统故障件委外维修服务项目（2022-2023年）</w:t>
      </w:r>
      <w:r>
        <w:rPr>
          <w:rFonts w:hAnsi="宋体"/>
          <w:color w:val="auto"/>
          <w:kern w:val="2"/>
          <w:highlight w:val="none"/>
        </w:rPr>
        <w:t>（项目编号</w:t>
      </w:r>
      <w:r>
        <w:rPr>
          <w:rFonts w:hint="eastAsia" w:hAnsi="宋体"/>
          <w:color w:val="auto"/>
          <w:kern w:val="2"/>
          <w:highlight w:val="none"/>
          <w:u w:val="single"/>
        </w:rPr>
        <w:t xml:space="preserve"> 202210280001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每天加收合同总价的0.5%的违约金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   年  月  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773" w:name="_Toc19091"/>
      <w:bookmarkStart w:id="1774" w:name="_Toc473"/>
      <w:bookmarkStart w:id="1775" w:name="_Toc23272"/>
      <w:bookmarkStart w:id="1776" w:name="_Toc25750686"/>
      <w:bookmarkStart w:id="1777" w:name="_Toc18223"/>
      <w:bookmarkStart w:id="1778" w:name="_Toc10695"/>
      <w:bookmarkStart w:id="1779" w:name="_Toc5998"/>
      <w:bookmarkStart w:id="1780" w:name="_Toc18726"/>
      <w:bookmarkStart w:id="1781" w:name="_Toc6087"/>
      <w:bookmarkStart w:id="1782" w:name="_Toc9905"/>
      <w:r>
        <w:rPr>
          <w:rFonts w:hint="eastAsia" w:ascii="宋体" w:hAnsi="宋体" w:eastAsia="宋体"/>
          <w:color w:val="auto"/>
          <w:sz w:val="21"/>
          <w:szCs w:val="21"/>
          <w:highlight w:val="none"/>
        </w:rPr>
        <w:t>C3售后服务承诺书</w:t>
      </w:r>
      <w:bookmarkEnd w:id="1773"/>
      <w:bookmarkEnd w:id="1774"/>
      <w:bookmarkEnd w:id="1775"/>
      <w:bookmarkEnd w:id="1776"/>
      <w:bookmarkEnd w:id="1777"/>
      <w:bookmarkEnd w:id="1778"/>
      <w:bookmarkEnd w:id="1779"/>
      <w:bookmarkEnd w:id="1780"/>
      <w:bookmarkEnd w:id="1781"/>
      <w:bookmarkEnd w:id="1782"/>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南宁轨道交通运营有限公司：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9"/>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1.我方</w:t>
      </w:r>
      <w:r>
        <w:rPr>
          <w:rFonts w:ascii="宋体" w:hAnsi="宋体" w:cstheme="minorBidi"/>
          <w:color w:val="auto"/>
          <w:highlight w:val="none"/>
        </w:rPr>
        <w:t>知悉，本次</w:t>
      </w:r>
      <w:r>
        <w:rPr>
          <w:rFonts w:hint="eastAsia" w:ascii="宋体" w:hAnsi="宋体" w:cstheme="minorBidi"/>
          <w:color w:val="auto"/>
          <w:highlight w:val="none"/>
        </w:rPr>
        <w:t>各故障件的数量为贵方</w:t>
      </w:r>
      <w:r>
        <w:rPr>
          <w:rFonts w:ascii="宋体" w:hAnsi="宋体" w:cstheme="minorBidi"/>
          <w:color w:val="auto"/>
          <w:highlight w:val="none"/>
        </w:rPr>
        <w:t>的</w:t>
      </w:r>
      <w:r>
        <w:rPr>
          <w:rFonts w:hint="eastAsia" w:ascii="宋体" w:hAnsi="宋体" w:cstheme="minorBidi"/>
          <w:color w:val="auto"/>
          <w:highlight w:val="none"/>
        </w:rPr>
        <w:t>预计维修数量，如有调整以贵方发出的交货通知为准。贵方可以根据实际使用情况及需求变更情况对未修复故障件数量进行部分或全部调整，包括增加或减少，不论实际数量大于或低于预计数量，均按照成交单价执行。</w:t>
      </w:r>
    </w:p>
    <w:p>
      <w:pPr>
        <w:pStyle w:val="39"/>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2.质保期内修复件出现故障我公司承诺在7天内再次修复。质保期内的修复件再次维修均为免费保修，修复后质保期重新计算。</w:t>
      </w:r>
    </w:p>
    <w:p>
      <w:pPr>
        <w:pStyle w:val="39"/>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若我方因自身原因导致修复件的质量不能达到用户需求书中的技术要求，如经我方两次返修，修复件仍不能达到合同约定的质量标准，甲方有权不支付该修复件的维修费，我方应退还所该修复件的全部维修费用。</w:t>
      </w:r>
    </w:p>
    <w:p>
      <w:pPr>
        <w:pStyle w:val="39"/>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9"/>
        <w:widowControl w:val="0"/>
        <w:spacing w:before="0" w:after="0" w:afterAutospacing="0"/>
        <w:ind w:left="0" w:right="0" w:firstLine="420" w:firstLineChars="200"/>
        <w:rPr>
          <w:rFonts w:ascii="宋体" w:hAnsi="宋体" w:cstheme="minorBidi"/>
          <w:color w:val="auto"/>
          <w:highlight w:val="none"/>
        </w:rPr>
      </w:pPr>
    </w:p>
    <w:p>
      <w:pPr>
        <w:pStyle w:val="39"/>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联系人：</w:t>
      </w:r>
    </w:p>
    <w:p>
      <w:pPr>
        <w:pStyle w:val="39"/>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联系方式：</w:t>
      </w:r>
    </w:p>
    <w:p>
      <w:pPr>
        <w:pStyle w:val="39"/>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身份证号：</w:t>
      </w: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u w:val="single"/>
        </w:rPr>
        <w:t>）</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783" w:name="_Toc12186"/>
      <w:bookmarkStart w:id="1784" w:name="_Toc29131"/>
      <w:bookmarkStart w:id="1785" w:name="_Toc12833"/>
      <w:bookmarkStart w:id="1786" w:name="_Toc26526"/>
      <w:bookmarkStart w:id="1787" w:name="_Toc12412"/>
      <w:bookmarkStart w:id="1788" w:name="_Toc23161"/>
      <w:bookmarkStart w:id="1789" w:name="_Toc25750687"/>
      <w:bookmarkStart w:id="1790" w:name="_Toc16772"/>
      <w:bookmarkStart w:id="1791" w:name="_Toc17269"/>
      <w:bookmarkStart w:id="1792" w:name="_Toc19172"/>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783"/>
      <w:bookmarkEnd w:id="1784"/>
      <w:bookmarkEnd w:id="1785"/>
      <w:bookmarkEnd w:id="1786"/>
      <w:bookmarkEnd w:id="1787"/>
      <w:bookmarkEnd w:id="1788"/>
      <w:bookmarkEnd w:id="1789"/>
      <w:bookmarkEnd w:id="1790"/>
      <w:bookmarkEnd w:id="1791"/>
      <w:bookmarkEnd w:id="1792"/>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left="0" w:right="-57" w:firstLine="420" w:firstLineChars="200"/>
        <w:jc w:val="left"/>
        <w:rPr>
          <w:rFonts w:ascii="宋体" w:hAnsi="宋体"/>
          <w:color w:val="auto"/>
          <w:highlight w:val="none"/>
          <w:u w:val="single"/>
        </w:rPr>
      </w:pPr>
      <w:r>
        <w:rPr>
          <w:rFonts w:hint="eastAsia" w:ascii="宋体" w:hAnsi="宋体"/>
          <w:color w:val="auto"/>
          <w:highlight w:val="none"/>
        </w:rPr>
        <w:t>项目名称：南宁轨道交通1、2、3号线专用通信、AFC系统故障件委外维修服务项目（2022-2023年）</w:t>
      </w:r>
    </w:p>
    <w:tbl>
      <w:tblPr>
        <w:tblStyle w:val="31"/>
        <w:tblW w:w="852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36"/>
        <w:gridCol w:w="2680"/>
        <w:gridCol w:w="2170"/>
        <w:gridCol w:w="1659"/>
        <w:gridCol w:w="12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left="0" w:right="-57" w:firstLine="0"/>
        <w:jc w:val="center"/>
        <w:rPr>
          <w:rFonts w:ascii="宋体" w:hAnsi="宋体"/>
          <w:color w:val="auto"/>
          <w:highlight w:val="none"/>
        </w:rPr>
      </w:pPr>
      <w:r>
        <w:rPr>
          <w:rFonts w:hint="eastAsia" w:ascii="宋体" w:hAnsi="宋体"/>
          <w:color w:val="auto"/>
          <w:highlight w:val="none"/>
        </w:rPr>
        <w:t>日期：年月日</w:t>
      </w:r>
    </w:p>
    <w:p>
      <w:pPr>
        <w:rPr>
          <w:rFonts w:ascii="宋体" w:hAnsi="宋体"/>
          <w:color w:val="auto"/>
          <w:highlight w:val="none"/>
        </w:rPr>
      </w:pPr>
      <w:r>
        <w:rPr>
          <w:rFonts w:hint="eastAsia" w:ascii="宋体" w:hAnsi="宋体"/>
          <w:color w:val="auto"/>
          <w:highlight w:val="none"/>
        </w:rPr>
        <w:br w:type="page"/>
      </w:r>
    </w:p>
    <w:p>
      <w:pPr>
        <w:pStyle w:val="14"/>
        <w:pageBreakBefore/>
        <w:ind w:right="-57"/>
        <w:jc w:val="center"/>
        <w:outlineLvl w:val="0"/>
        <w:rPr>
          <w:rStyle w:val="44"/>
          <w:rFonts w:ascii="宋体" w:hAnsi="宋体" w:eastAsia="宋体" w:cs="Times New Roman"/>
          <w:color w:val="auto"/>
          <w:highlight w:val="none"/>
        </w:rPr>
      </w:pPr>
      <w:bookmarkStart w:id="1793" w:name="_Toc24720"/>
      <w:r>
        <w:rPr>
          <w:rStyle w:val="44"/>
          <w:rFonts w:hint="eastAsia" w:ascii="宋体" w:hAnsi="宋体" w:eastAsia="宋体" w:cs="Times New Roman"/>
          <w:color w:val="auto"/>
          <w:highlight w:val="none"/>
        </w:rPr>
        <w:t>第五章用户需求书</w:t>
      </w:r>
      <w:bookmarkEnd w:id="1793"/>
    </w:p>
    <w:p>
      <w:pPr>
        <w:keepNext/>
        <w:keepLines/>
        <w:widowControl w:val="0"/>
        <w:numPr>
          <w:ilvl w:val="0"/>
          <w:numId w:val="1"/>
        </w:numPr>
        <w:spacing w:before="0" w:after="0" w:afterAutospacing="0"/>
        <w:ind w:right="0"/>
        <w:jc w:val="left"/>
        <w:outlineLvl w:val="0"/>
        <w:rPr>
          <w:rFonts w:ascii="黑体" w:hAnsi="黑体" w:eastAsia="黑体" w:cs="宋体"/>
          <w:color w:val="auto"/>
          <w:kern w:val="44"/>
          <w:sz w:val="32"/>
          <w:highlight w:val="none"/>
        </w:rPr>
      </w:pPr>
      <w:bookmarkStart w:id="1794" w:name="_Toc19484_WPSOffice_Level1"/>
      <w:bookmarkStart w:id="1795" w:name="_Toc18854"/>
      <w:bookmarkStart w:id="1796" w:name="_Toc9882"/>
      <w:bookmarkStart w:id="1797" w:name="_Toc19849"/>
      <w:bookmarkStart w:id="1798" w:name="_Toc19639_WPSOffice_Level2"/>
      <w:bookmarkStart w:id="1799" w:name="_Toc9385"/>
      <w:bookmarkStart w:id="1800" w:name="_Toc14107"/>
      <w:bookmarkStart w:id="1801" w:name="_Toc18385"/>
      <w:bookmarkStart w:id="1802" w:name="_Toc25359"/>
      <w:bookmarkStart w:id="1803" w:name="_Toc10021"/>
      <w:bookmarkStart w:id="1804" w:name="_Toc15404"/>
      <w:bookmarkStart w:id="1805" w:name="_Toc24806_WPSOffice_Level2"/>
      <w:bookmarkStart w:id="1806" w:name="_Toc16774"/>
      <w:r>
        <w:rPr>
          <w:rFonts w:hint="eastAsia" w:ascii="黑体" w:hAnsi="黑体" w:eastAsia="黑体" w:cs="宋体"/>
          <w:color w:val="auto"/>
          <w:kern w:val="44"/>
          <w:sz w:val="32"/>
          <w:highlight w:val="none"/>
        </w:rPr>
        <w:t>项目概况</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07" w:name="_Toc27904"/>
      <w:bookmarkStart w:id="1808" w:name="_Toc13194"/>
      <w:bookmarkStart w:id="1809" w:name="_Toc31878"/>
      <w:bookmarkStart w:id="1810" w:name="_Toc19629_WPSOffice_Level2"/>
      <w:bookmarkStart w:id="1811" w:name="_Toc1790"/>
      <w:bookmarkStart w:id="1812" w:name="_Toc16203"/>
      <w:bookmarkStart w:id="1813" w:name="_Toc28341"/>
      <w:bookmarkStart w:id="1814" w:name="_Toc14779"/>
      <w:bookmarkStart w:id="1815" w:name="_Toc1203"/>
      <w:bookmarkStart w:id="1816" w:name="_Toc21538"/>
      <w:bookmarkStart w:id="1817" w:name="_Toc28723"/>
      <w:r>
        <w:rPr>
          <w:rFonts w:hint="eastAsia" w:ascii="黑体" w:hAnsi="黑体" w:eastAsia="黑体" w:cs="黑体"/>
          <w:color w:val="auto"/>
          <w:kern w:val="2"/>
          <w:sz w:val="28"/>
          <w:szCs w:val="28"/>
          <w:highlight w:val="none"/>
        </w:rPr>
        <w:t>项目名称</w:t>
      </w:r>
      <w:bookmarkEnd w:id="1807"/>
      <w:bookmarkEnd w:id="1808"/>
      <w:bookmarkEnd w:id="1809"/>
      <w:bookmarkEnd w:id="1810"/>
      <w:bookmarkEnd w:id="1811"/>
      <w:bookmarkEnd w:id="1812"/>
      <w:bookmarkEnd w:id="1813"/>
      <w:bookmarkEnd w:id="1814"/>
      <w:bookmarkEnd w:id="1815"/>
      <w:bookmarkEnd w:id="1816"/>
      <w:bookmarkEnd w:id="1817"/>
    </w:p>
    <w:p>
      <w:pPr>
        <w:widowControl w:val="0"/>
        <w:spacing w:before="0" w:after="0" w:afterAutospacing="0"/>
        <w:ind w:left="0" w:right="0" w:firstLine="420" w:firstLineChars="200"/>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南宁轨道交通1、2、3号线专用通信、AFC系统故障件委外维修服务项目（2022-2023年）。</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18" w:name="_Toc30573"/>
      <w:bookmarkStart w:id="1819" w:name="_Toc15837"/>
      <w:bookmarkStart w:id="1820" w:name="_Toc23438"/>
      <w:bookmarkStart w:id="1821" w:name="_Toc15219"/>
      <w:bookmarkStart w:id="1822" w:name="_Toc8036_WPSOffice_Level2"/>
      <w:bookmarkStart w:id="1823" w:name="_Toc20288"/>
      <w:bookmarkStart w:id="1824" w:name="_Toc10086"/>
      <w:bookmarkStart w:id="1825" w:name="_Toc27970"/>
      <w:bookmarkStart w:id="1826" w:name="_Toc6559"/>
      <w:bookmarkStart w:id="1827" w:name="_Toc2166"/>
      <w:bookmarkStart w:id="1828" w:name="_Toc25492"/>
      <w:r>
        <w:rPr>
          <w:rFonts w:hint="eastAsia" w:ascii="黑体" w:hAnsi="黑体" w:eastAsia="黑体" w:cs="黑体"/>
          <w:color w:val="auto"/>
          <w:kern w:val="2"/>
          <w:sz w:val="28"/>
          <w:szCs w:val="28"/>
          <w:highlight w:val="none"/>
        </w:rPr>
        <w:t>南宁轨道交通1、2、3号线线路概况</w:t>
      </w:r>
      <w:bookmarkEnd w:id="1818"/>
      <w:bookmarkEnd w:id="1819"/>
      <w:bookmarkEnd w:id="1820"/>
      <w:bookmarkEnd w:id="1821"/>
      <w:bookmarkEnd w:id="1822"/>
      <w:bookmarkEnd w:id="1823"/>
      <w:bookmarkEnd w:id="1824"/>
      <w:bookmarkEnd w:id="1825"/>
      <w:bookmarkEnd w:id="1826"/>
      <w:bookmarkEnd w:id="1827"/>
      <w:bookmarkEnd w:id="1828"/>
    </w:p>
    <w:p>
      <w:pPr>
        <w:spacing w:before="0" w:after="0" w:afterAutospacing="0"/>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南宁市轨道交通1号线西起石埠站，途经西乡塘区、兴宁区、青秀区，东至火车东站。1号线全长约32.1千米，共设25座车站，均为地下站，其中广西大学站、火车站、朝阳广场站、金湖广场站4座车站为换乘车站。设屯里车辆段和西乡塘停车场各1座，设万力主变电站和秋屋主变电站各1座，控制中心1座。</w:t>
      </w:r>
    </w:p>
    <w:p>
      <w:pPr>
        <w:spacing w:before="0" w:after="0" w:afterAutospacing="0"/>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南宁市轨道交通2号线南起坛泽站，途经良庆区、江南区、兴宁区和西乡塘区，北至西津站。2号线全长21.2千米，共设23座车站，均为地下站，其中安吉客运站、明秀路站、火车站、朝阳广场站、大沙田站、平良立交站6座车站为换乘站。设安吉车辆段1座，与3号线共用新村停车场1座，设朋云主变电站和秀灵主变电站各1座，与1号线共用控制中心。</w:t>
      </w:r>
    </w:p>
    <w:p>
      <w:pPr>
        <w:spacing w:before="0" w:after="0" w:afterAutospacing="0"/>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南宁市轨道交通3号线北起科园大道站，途经西乡塘区、兴宁区、青秀区、良庆区，南至平良立交站。3号线全长约27.9千米，共设23座车站，均为地下站，其中安吉客运站、小鸡村站、金湖广场站、总部基地站、平良立交站5座车站为换乘站。设心圩车辆段1座，与2号线共用新村停车场1座，设荔园主变电站和乐荣主变电站各1座，与1号线共用控制中心。</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29" w:name="_Toc17404"/>
      <w:bookmarkStart w:id="1830" w:name="_Toc16086"/>
      <w:bookmarkStart w:id="1831" w:name="_Toc7075"/>
      <w:r>
        <w:rPr>
          <w:rFonts w:hint="eastAsia" w:ascii="黑体" w:hAnsi="黑体" w:eastAsia="黑体" w:cs="黑体"/>
          <w:color w:val="auto"/>
          <w:kern w:val="2"/>
          <w:sz w:val="28"/>
          <w:szCs w:val="28"/>
          <w:highlight w:val="none"/>
        </w:rPr>
        <w:t>专用通信、AFC系统概况</w:t>
      </w:r>
      <w:bookmarkEnd w:id="1829"/>
      <w:bookmarkEnd w:id="1830"/>
      <w:bookmarkEnd w:id="1831"/>
    </w:p>
    <w:p>
      <w:pPr>
        <w:spacing w:before="0" w:after="0" w:afterAutospacing="0"/>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专用通信系统含专用传输、专用无线、专用电话、公务电话、广播、时钟、电源、视频监控、乘客信息、门禁等10个子系统，是轨道交通运营指挥、生产管理、乘客服务、治安反恐、应急指挥的网络平台，是轨道交通正常运转的神经系统。</w:t>
      </w:r>
    </w:p>
    <w:p>
      <w:pPr>
        <w:spacing w:before="0" w:after="0" w:afterAutospacing="0"/>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自动售检票系统（以下简称“AFC系统”）是一个计程、计时的封闭式收费系统。系统采用自动、半自动售票，以自动售票为主，人工售票为辅，自动检票，使用非接触式IC卡、二维码作为车票媒体。自动售检票系统主要由各车站计算机系统SC、各车站终端自动售票机、自动充值机、半自动售票机、自动检票机、票务工作站、维修工作站、维修系统设备及培训系统设备、其他辅助配套设备及相关接口等组成。</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32" w:name="_Toc18523"/>
      <w:bookmarkStart w:id="1833" w:name="_Toc4031"/>
      <w:r>
        <w:rPr>
          <w:rFonts w:hint="eastAsia" w:ascii="黑体" w:hAnsi="黑体" w:eastAsia="黑体" w:cs="黑体"/>
          <w:color w:val="auto"/>
          <w:kern w:val="2"/>
          <w:sz w:val="28"/>
          <w:szCs w:val="28"/>
          <w:highlight w:val="none"/>
        </w:rPr>
        <w:t>甲乙双方</w:t>
      </w:r>
      <w:bookmarkEnd w:id="1832"/>
      <w:bookmarkEnd w:id="1833"/>
    </w:p>
    <w:p>
      <w:pPr>
        <w:spacing w:before="0" w:after="0" w:afterAutospacing="0"/>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甲方：南宁轨道交通运营有限公司。</w:t>
      </w:r>
    </w:p>
    <w:p>
      <w:pPr>
        <w:spacing w:before="0" w:after="0" w:afterAutospacing="0" w:line="240" w:lineRule="auto"/>
        <w:ind w:left="0" w:right="0" w:firstLine="420" w:firstLineChars="200"/>
        <w:jc w:val="left"/>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乙方：响应比选、参加比选申请竞争的法人或组织。</w:t>
      </w:r>
    </w:p>
    <w:p>
      <w:pPr>
        <w:keepNext/>
        <w:keepLines/>
        <w:widowControl w:val="0"/>
        <w:numPr>
          <w:ilvl w:val="0"/>
          <w:numId w:val="1"/>
        </w:numPr>
        <w:spacing w:before="0" w:after="0" w:afterAutospacing="0"/>
        <w:ind w:right="0"/>
        <w:jc w:val="left"/>
        <w:outlineLvl w:val="0"/>
        <w:rPr>
          <w:rFonts w:ascii="黑体" w:hAnsi="黑体" w:eastAsia="黑体" w:cs="宋体"/>
          <w:color w:val="auto"/>
          <w:kern w:val="44"/>
          <w:sz w:val="32"/>
          <w:highlight w:val="none"/>
        </w:rPr>
      </w:pPr>
      <w:bookmarkStart w:id="1834" w:name="_Toc32627"/>
      <w:bookmarkStart w:id="1835" w:name="_Toc25498"/>
      <w:bookmarkStart w:id="1836" w:name="_Toc28217"/>
      <w:bookmarkStart w:id="1837" w:name="_Toc19629_WPSOffice_Level1"/>
      <w:bookmarkStart w:id="1838" w:name="_Toc20292"/>
      <w:bookmarkStart w:id="1839" w:name="_Toc19326"/>
      <w:bookmarkStart w:id="1840" w:name="_Toc11371"/>
      <w:bookmarkStart w:id="1841" w:name="_Toc16745"/>
      <w:bookmarkStart w:id="1842" w:name="_Toc13543_WPSOffice_Level2"/>
      <w:bookmarkStart w:id="1843" w:name="_Toc22550_WPSOffice_Level2"/>
      <w:bookmarkStart w:id="1844" w:name="_Toc16756"/>
      <w:bookmarkStart w:id="1845" w:name="_Toc8734"/>
      <w:bookmarkStart w:id="1846" w:name="_Toc13359"/>
      <w:r>
        <w:rPr>
          <w:rFonts w:hint="eastAsia" w:ascii="黑体" w:hAnsi="黑体" w:eastAsia="黑体" w:cs="宋体"/>
          <w:color w:val="auto"/>
          <w:kern w:val="44"/>
          <w:sz w:val="32"/>
          <w:highlight w:val="none"/>
        </w:rPr>
        <w:t>项目范围</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47" w:name="_Toc3711"/>
      <w:bookmarkStart w:id="1848" w:name="_Toc273"/>
      <w:bookmarkStart w:id="1849" w:name="_Toc19092"/>
      <w:bookmarkStart w:id="1850" w:name="_Toc21131"/>
      <w:bookmarkStart w:id="1851" w:name="_Toc4657"/>
      <w:bookmarkStart w:id="1852" w:name="_Toc4915"/>
      <w:bookmarkStart w:id="1853" w:name="_Toc32763"/>
      <w:bookmarkStart w:id="1854" w:name="_Toc17850_WPSOffice_Level2"/>
      <w:bookmarkStart w:id="1855" w:name="_Toc17982"/>
      <w:bookmarkStart w:id="1856" w:name="_Toc2943"/>
      <w:bookmarkStart w:id="1857" w:name="_Toc26032"/>
      <w:r>
        <w:rPr>
          <w:rFonts w:hint="eastAsia" w:ascii="黑体" w:hAnsi="黑体" w:eastAsia="黑体" w:cs="黑体"/>
          <w:color w:val="auto"/>
          <w:kern w:val="2"/>
          <w:sz w:val="28"/>
          <w:szCs w:val="28"/>
          <w:highlight w:val="none"/>
        </w:rPr>
        <w:t>项目范围及内容</w:t>
      </w:r>
      <w:bookmarkEnd w:id="1847"/>
      <w:bookmarkEnd w:id="1848"/>
      <w:bookmarkEnd w:id="1849"/>
      <w:bookmarkEnd w:id="1850"/>
      <w:bookmarkEnd w:id="1851"/>
      <w:bookmarkEnd w:id="1852"/>
      <w:bookmarkEnd w:id="1853"/>
      <w:bookmarkEnd w:id="1854"/>
      <w:bookmarkEnd w:id="1855"/>
      <w:bookmarkEnd w:id="1856"/>
      <w:bookmarkEnd w:id="1857"/>
    </w:p>
    <w:p>
      <w:pPr>
        <w:numPr>
          <w:ilvl w:val="255"/>
          <w:numId w:val="0"/>
        </w:numPr>
        <w:spacing w:before="0" w:after="0" w:afterAutospacing="0"/>
        <w:ind w:right="0" w:firstLine="420" w:firstLineChars="200"/>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委外维修项目范围及内容包括南宁轨道交通1、2、3号线专用通信、AFC系统故障件共计14项65件故障件的维修及修后质保服务工作，故障件清单详见附件1。故障件的维修包含故障件的包装、运输、检测、维修，修复件的出厂检验、运输、软硬件的调试及质保期内出现故障免费维修等。</w:t>
      </w:r>
      <w:bookmarkStart w:id="1858" w:name="_Toc2555_WPSOffice_Level2"/>
      <w:bookmarkStart w:id="1859" w:name="_Toc13553_WPSOffice_Level2"/>
      <w:bookmarkStart w:id="1860" w:name="_Toc5703"/>
      <w:bookmarkStart w:id="1861" w:name="_Toc8137"/>
      <w:bookmarkStart w:id="1862" w:name="_Toc26418"/>
      <w:bookmarkStart w:id="1863" w:name="_Toc11349"/>
      <w:bookmarkStart w:id="1864" w:name="_Toc14209"/>
      <w:bookmarkStart w:id="1865" w:name="_Toc25562"/>
      <w:bookmarkStart w:id="1866" w:name="_Toc31451"/>
      <w:bookmarkStart w:id="1867" w:name="_Toc29013"/>
      <w:bookmarkStart w:id="1868" w:name="_Toc8036_WPSOffice_Level1"/>
      <w:bookmarkStart w:id="1869" w:name="_Toc22075"/>
    </w:p>
    <w:bookmarkEnd w:id="1858"/>
    <w:bookmarkEnd w:id="1859"/>
    <w:bookmarkEnd w:id="1860"/>
    <w:bookmarkEnd w:id="1861"/>
    <w:bookmarkEnd w:id="1862"/>
    <w:bookmarkEnd w:id="1863"/>
    <w:bookmarkEnd w:id="1864"/>
    <w:bookmarkEnd w:id="1865"/>
    <w:bookmarkEnd w:id="1866"/>
    <w:bookmarkEnd w:id="1867"/>
    <w:bookmarkEnd w:id="1868"/>
    <w:bookmarkEnd w:id="1869"/>
    <w:p>
      <w:pPr>
        <w:keepNext/>
        <w:keepLines/>
        <w:widowControl w:val="0"/>
        <w:numPr>
          <w:ilvl w:val="0"/>
          <w:numId w:val="1"/>
        </w:numPr>
        <w:spacing w:before="0" w:after="0" w:afterAutospacing="0"/>
        <w:ind w:right="0"/>
        <w:jc w:val="left"/>
        <w:outlineLvl w:val="0"/>
        <w:rPr>
          <w:rFonts w:ascii="黑体" w:hAnsi="黑体" w:eastAsia="黑体" w:cs="宋体"/>
          <w:color w:val="auto"/>
          <w:kern w:val="44"/>
          <w:sz w:val="32"/>
          <w:highlight w:val="none"/>
        </w:rPr>
      </w:pPr>
      <w:bookmarkStart w:id="1870" w:name="_Toc26751"/>
      <w:bookmarkStart w:id="1871" w:name="_Toc14848"/>
      <w:bookmarkStart w:id="1872" w:name="_Toc11204"/>
      <w:bookmarkStart w:id="1873" w:name="_Toc16726"/>
      <w:r>
        <w:rPr>
          <w:rFonts w:hint="eastAsia" w:ascii="黑体" w:hAnsi="黑体" w:eastAsia="黑体" w:cs="宋体"/>
          <w:color w:val="auto"/>
          <w:kern w:val="44"/>
          <w:sz w:val="32"/>
          <w:highlight w:val="none"/>
        </w:rPr>
        <w:t>项目承包方式及服务期</w:t>
      </w:r>
      <w:bookmarkEnd w:id="1870"/>
      <w:bookmarkEnd w:id="1871"/>
      <w:bookmarkEnd w:id="1872"/>
      <w:bookmarkEnd w:id="1873"/>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74" w:name="_Toc17773"/>
      <w:bookmarkStart w:id="1875" w:name="_Toc21578"/>
      <w:bookmarkStart w:id="1876" w:name="_Toc20968"/>
      <w:bookmarkStart w:id="1877" w:name="_Toc303"/>
      <w:bookmarkStart w:id="1878" w:name="_Toc1147"/>
      <w:bookmarkStart w:id="1879" w:name="_Toc29628"/>
      <w:r>
        <w:rPr>
          <w:rFonts w:hint="eastAsia" w:ascii="黑体" w:hAnsi="黑体" w:eastAsia="黑体" w:cs="黑体"/>
          <w:color w:val="auto"/>
          <w:kern w:val="2"/>
          <w:sz w:val="28"/>
          <w:szCs w:val="28"/>
          <w:highlight w:val="none"/>
        </w:rPr>
        <w:t>承包方式</w:t>
      </w:r>
      <w:bookmarkEnd w:id="1874"/>
      <w:bookmarkEnd w:id="1875"/>
      <w:bookmarkEnd w:id="1876"/>
      <w:bookmarkEnd w:id="1877"/>
      <w:bookmarkEnd w:id="1878"/>
    </w:p>
    <w:p>
      <w:pPr>
        <w:numPr>
          <w:ilvl w:val="255"/>
          <w:numId w:val="0"/>
        </w:numPr>
        <w:spacing w:before="0" w:after="0" w:afterAutospacing="0"/>
        <w:ind w:right="0" w:firstLine="420" w:firstLineChars="200"/>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本项目故障件维修拟采用包工包料的承包方式，包工包料的内容包括：南宁轨道交通1、2、3号线专用通信、AFC系统故障件从送修至返还的全过程所产生的包装、运输、检测、维修，修复件的出厂检验、运输、软硬件的调试及质保期内出现故障免费维修等一切费用。此期间发生的所有费用统一按合同签订的每种故障件固定修复单价来按件结算，投标方必须保证送修的故障件修复率不低于故障件总数量的90%，个别不能修复的故障件投标方必须返还招标方，并提供故障件无法修复的分析说明。</w:t>
      </w:r>
    </w:p>
    <w:p>
      <w:pPr>
        <w:numPr>
          <w:ilvl w:val="255"/>
          <w:numId w:val="0"/>
        </w:numPr>
        <w:spacing w:before="0" w:after="0" w:afterAutospacing="0"/>
        <w:ind w:right="0" w:firstLine="420" w:firstLineChars="200"/>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本项目的故障件修复以“固定单价”的方式进行计价，最终以实际发生的数量进行结算。</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80" w:name="_Toc31720"/>
      <w:bookmarkStart w:id="1881" w:name="_Toc19749"/>
      <w:bookmarkStart w:id="1882" w:name="_Toc6562"/>
      <w:bookmarkStart w:id="1883" w:name="_Toc12075"/>
      <w:bookmarkStart w:id="1884" w:name="_Toc5546"/>
      <w:r>
        <w:rPr>
          <w:rFonts w:hint="eastAsia" w:ascii="黑体" w:hAnsi="黑体" w:eastAsia="黑体" w:cs="黑体"/>
          <w:color w:val="auto"/>
          <w:kern w:val="2"/>
          <w:sz w:val="28"/>
          <w:szCs w:val="28"/>
          <w:highlight w:val="none"/>
        </w:rPr>
        <w:t>计划服务期</w:t>
      </w:r>
      <w:bookmarkEnd w:id="1880"/>
      <w:bookmarkEnd w:id="1881"/>
      <w:bookmarkEnd w:id="1882"/>
      <w:bookmarkEnd w:id="1883"/>
      <w:bookmarkEnd w:id="1884"/>
    </w:p>
    <w:p>
      <w:pPr>
        <w:numPr>
          <w:ilvl w:val="0"/>
          <w:numId w:val="19"/>
        </w:numPr>
        <w:tabs>
          <w:tab w:val="left" w:pos="-261"/>
        </w:tabs>
        <w:jc w:val="left"/>
        <w:rPr>
          <w:rFonts w:cs="宋体"/>
          <w:bCs/>
          <w:snapToGrid w:val="0"/>
          <w:color w:val="auto"/>
          <w:highlight w:val="none"/>
        </w:rPr>
      </w:pPr>
      <w:r>
        <w:rPr>
          <w:rFonts w:hint="eastAsia"/>
          <w:color w:val="auto"/>
          <w:highlight w:val="none"/>
        </w:rPr>
        <w:t>本项目计划服务期为90天（自合同签订之日起开始计算）。</w:t>
      </w:r>
    </w:p>
    <w:p>
      <w:pPr>
        <w:numPr>
          <w:ilvl w:val="0"/>
          <w:numId w:val="19"/>
        </w:numPr>
        <w:tabs>
          <w:tab w:val="left" w:pos="-261"/>
        </w:tabs>
        <w:jc w:val="left"/>
        <w:rPr>
          <w:color w:val="auto"/>
          <w:highlight w:val="none"/>
        </w:rPr>
      </w:pPr>
      <w:r>
        <w:rPr>
          <w:rFonts w:hint="eastAsia"/>
          <w:color w:val="auto"/>
          <w:highlight w:val="none"/>
        </w:rPr>
        <w:t>修复件</w:t>
      </w:r>
      <w:r>
        <w:rPr>
          <w:rFonts w:hint="eastAsia" w:cs="宋体"/>
          <w:bCs/>
          <w:snapToGrid w:val="0"/>
          <w:color w:val="auto"/>
          <w:highlight w:val="none"/>
        </w:rPr>
        <w:t>的质保期为完成双方签字验收之日起，往后推算1年，每件返修件单独计算质保期。若返修件质保期内发生故障，则由投标方免费修复后重新计算质保期。</w:t>
      </w:r>
    </w:p>
    <w:p>
      <w:pPr>
        <w:keepNext/>
        <w:keepLines/>
        <w:widowControl w:val="0"/>
        <w:numPr>
          <w:ilvl w:val="0"/>
          <w:numId w:val="1"/>
        </w:numPr>
        <w:spacing w:before="0" w:after="0" w:afterAutospacing="0"/>
        <w:ind w:right="0"/>
        <w:jc w:val="left"/>
        <w:outlineLvl w:val="0"/>
        <w:rPr>
          <w:rFonts w:ascii="黑体" w:hAnsi="黑体" w:eastAsia="黑体" w:cs="宋体"/>
          <w:color w:val="auto"/>
          <w:kern w:val="44"/>
          <w:sz w:val="32"/>
          <w:highlight w:val="none"/>
        </w:rPr>
      </w:pPr>
      <w:bookmarkStart w:id="1885" w:name="_Toc1910"/>
      <w:bookmarkStart w:id="1886" w:name="_Toc46"/>
      <w:bookmarkStart w:id="1887" w:name="_Toc6060"/>
      <w:bookmarkStart w:id="1888" w:name="_Toc14356"/>
      <w:r>
        <w:rPr>
          <w:rFonts w:hint="eastAsia" w:ascii="黑体" w:hAnsi="黑体" w:eastAsia="黑体" w:cs="宋体"/>
          <w:color w:val="auto"/>
          <w:kern w:val="44"/>
          <w:sz w:val="32"/>
          <w:highlight w:val="none"/>
        </w:rPr>
        <w:t>项目管理</w:t>
      </w:r>
      <w:bookmarkEnd w:id="1885"/>
      <w:bookmarkEnd w:id="1886"/>
      <w:bookmarkEnd w:id="1887"/>
      <w:bookmarkEnd w:id="1888"/>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89" w:name="_Toc523247450"/>
      <w:bookmarkStart w:id="1890" w:name="_Toc29298"/>
      <w:bookmarkStart w:id="1891" w:name="_Toc12938"/>
      <w:bookmarkStart w:id="1892" w:name="_Toc17938"/>
      <w:bookmarkStart w:id="1893" w:name="_Toc8892"/>
      <w:bookmarkStart w:id="1894" w:name="_Toc9960"/>
      <w:bookmarkStart w:id="1895" w:name="_Toc2864"/>
      <w:bookmarkStart w:id="1896" w:name="_Toc5645"/>
      <w:r>
        <w:rPr>
          <w:rFonts w:hint="eastAsia" w:ascii="黑体" w:hAnsi="黑体" w:eastAsia="黑体" w:cs="黑体"/>
          <w:color w:val="auto"/>
          <w:kern w:val="2"/>
          <w:sz w:val="28"/>
          <w:szCs w:val="28"/>
          <w:highlight w:val="none"/>
        </w:rPr>
        <w:t>乙方资质</w:t>
      </w:r>
      <w:bookmarkEnd w:id="1889"/>
      <w:r>
        <w:rPr>
          <w:rFonts w:hint="eastAsia" w:ascii="黑体" w:hAnsi="黑体" w:eastAsia="黑体" w:cs="黑体"/>
          <w:color w:val="auto"/>
          <w:kern w:val="2"/>
          <w:sz w:val="28"/>
          <w:szCs w:val="28"/>
          <w:highlight w:val="none"/>
        </w:rPr>
        <w:t>要求</w:t>
      </w:r>
      <w:bookmarkEnd w:id="1890"/>
      <w:bookmarkEnd w:id="1891"/>
      <w:bookmarkEnd w:id="1892"/>
      <w:bookmarkEnd w:id="1893"/>
      <w:bookmarkEnd w:id="1894"/>
      <w:bookmarkEnd w:id="1895"/>
      <w:bookmarkEnd w:id="1896"/>
    </w:p>
    <w:p>
      <w:pPr>
        <w:numPr>
          <w:ilvl w:val="0"/>
          <w:numId w:val="20"/>
        </w:numPr>
        <w:tabs>
          <w:tab w:val="left" w:pos="-261"/>
        </w:tabs>
        <w:jc w:val="left"/>
        <w:rPr>
          <w:rFonts w:ascii="宋体" w:hAnsi="宋体"/>
          <w:color w:val="auto"/>
          <w:highlight w:val="none"/>
        </w:rPr>
      </w:pPr>
      <w:r>
        <w:rPr>
          <w:rFonts w:hint="eastAsia"/>
          <w:color w:val="auto"/>
          <w:highlight w:val="none"/>
        </w:rPr>
        <w:t>乙方为中华人民共和国境内依法设立的法人或其他组织（若以分公司名义参与比选申请，必须出具总公司授权参与的证明。）</w:t>
      </w:r>
    </w:p>
    <w:p>
      <w:pPr>
        <w:numPr>
          <w:ilvl w:val="0"/>
          <w:numId w:val="20"/>
        </w:numPr>
        <w:tabs>
          <w:tab w:val="left" w:pos="-261"/>
        </w:tabs>
        <w:jc w:val="left"/>
        <w:rPr>
          <w:rFonts w:ascii="宋体" w:hAnsi="宋体"/>
          <w:color w:val="auto"/>
          <w:highlight w:val="none"/>
        </w:rPr>
      </w:pPr>
      <w:r>
        <w:rPr>
          <w:rFonts w:hint="eastAsia"/>
          <w:color w:val="auto"/>
          <w:highlight w:val="none"/>
        </w:rPr>
        <w:t>乙方</w:t>
      </w:r>
      <w:r>
        <w:rPr>
          <w:rFonts w:hint="eastAsia" w:ascii="宋体" w:hAnsi="宋体"/>
          <w:color w:val="auto"/>
          <w:highlight w:val="none"/>
        </w:rPr>
        <w:t>自</w:t>
      </w:r>
      <w:r>
        <w:rPr>
          <w:rFonts w:hint="eastAsia" w:ascii="宋体" w:hAnsi="宋体"/>
          <w:color w:val="auto"/>
          <w:highlight w:val="none"/>
          <w:u w:val="single"/>
        </w:rPr>
        <w:t>2019</w:t>
      </w:r>
      <w:r>
        <w:rPr>
          <w:rFonts w:hint="eastAsia" w:ascii="宋体" w:hAnsi="宋体"/>
          <w:color w:val="auto"/>
          <w:highlight w:val="none"/>
        </w:rPr>
        <w:t>年</w:t>
      </w:r>
      <w:r>
        <w:rPr>
          <w:rFonts w:hint="eastAsia" w:ascii="宋体" w:hAnsi="宋体"/>
          <w:color w:val="auto"/>
          <w:highlight w:val="none"/>
          <w:u w:val="single"/>
        </w:rPr>
        <w:t>11</w:t>
      </w:r>
      <w:r>
        <w:rPr>
          <w:rFonts w:hint="eastAsia" w:ascii="宋体" w:hAnsi="宋体"/>
          <w:color w:val="auto"/>
          <w:highlight w:val="none"/>
        </w:rPr>
        <w:t xml:space="preserve">月 </w:t>
      </w:r>
      <w:r>
        <w:rPr>
          <w:rFonts w:hint="eastAsia" w:ascii="宋体" w:hAnsi="宋体"/>
          <w:color w:val="auto"/>
          <w:highlight w:val="none"/>
          <w:u w:val="single"/>
        </w:rPr>
        <w:t>1</w:t>
      </w:r>
      <w:r>
        <w:rPr>
          <w:rFonts w:hint="eastAsia" w:ascii="宋体" w:hAnsi="宋体"/>
          <w:color w:val="auto"/>
          <w:highlight w:val="none"/>
        </w:rPr>
        <w:t>日至截标时间前至少具有1项已完成的类似业绩，类似业绩是指轨道交通通信或自动售检票故障件维修业绩，业绩证明材料须能反映类似业绩项目特征，否则不予认可（业绩证明材料为：合同或用户证明，用户证明须加盖证明人公章）。</w:t>
      </w:r>
    </w:p>
    <w:p>
      <w:pPr>
        <w:numPr>
          <w:ilvl w:val="0"/>
          <w:numId w:val="20"/>
        </w:numPr>
        <w:tabs>
          <w:tab w:val="left" w:pos="-261"/>
        </w:tabs>
        <w:jc w:val="left"/>
        <w:rPr>
          <w:color w:val="auto"/>
          <w:highlight w:val="none"/>
        </w:rPr>
      </w:pPr>
      <w:r>
        <w:rPr>
          <w:rFonts w:hint="eastAsia"/>
          <w:color w:val="auto"/>
          <w:highlight w:val="none"/>
        </w:rPr>
        <w:t>乙方没有处于行政主管部门或业主取消投标资格的处罚期内，且没有被责令停业，财产被接管，破产状态；在投标截止时间前3年内没有骗取中标、严重违约或重大质量安全责任事故的情况。</w:t>
      </w:r>
    </w:p>
    <w:p>
      <w:pPr>
        <w:numPr>
          <w:ilvl w:val="0"/>
          <w:numId w:val="20"/>
        </w:numPr>
        <w:tabs>
          <w:tab w:val="left" w:pos="-261"/>
        </w:tabs>
        <w:jc w:val="left"/>
        <w:rPr>
          <w:color w:val="auto"/>
          <w:highlight w:val="none"/>
        </w:rPr>
      </w:pPr>
      <w:r>
        <w:rPr>
          <w:rFonts w:hint="eastAsia"/>
          <w:color w:val="auto"/>
          <w:highlight w:val="none"/>
        </w:rPr>
        <w:t>单位负责人为同一人或者存在控股、管理关系的不同单位，不得参加同一标段投标或者未划分标段的同一招标项目投标。</w:t>
      </w:r>
    </w:p>
    <w:p>
      <w:pPr>
        <w:numPr>
          <w:ilvl w:val="0"/>
          <w:numId w:val="20"/>
        </w:numPr>
        <w:tabs>
          <w:tab w:val="left" w:pos="-261"/>
        </w:tabs>
        <w:jc w:val="left"/>
        <w:rPr>
          <w:color w:val="auto"/>
          <w:highlight w:val="none"/>
        </w:rPr>
      </w:pPr>
      <w:r>
        <w:rPr>
          <w:rFonts w:hint="eastAsia"/>
          <w:color w:val="auto"/>
          <w:highlight w:val="none"/>
        </w:rPr>
        <w:t>本项目不接受联合体投标。</w:t>
      </w:r>
    </w:p>
    <w:p>
      <w:pPr>
        <w:numPr>
          <w:ilvl w:val="0"/>
          <w:numId w:val="20"/>
        </w:numPr>
        <w:tabs>
          <w:tab w:val="left" w:pos="-261"/>
        </w:tabs>
        <w:jc w:val="left"/>
        <w:rPr>
          <w:color w:val="auto"/>
          <w:highlight w:val="none"/>
        </w:rPr>
      </w:pPr>
      <w:r>
        <w:rPr>
          <w:rFonts w:hint="eastAsia"/>
          <w:color w:val="auto"/>
          <w:highlight w:val="none"/>
        </w:rPr>
        <w:t>乙方未列入甲方不良信用名单的。</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897" w:name="_Toc8948"/>
      <w:bookmarkStart w:id="1898" w:name="_Toc825"/>
      <w:bookmarkStart w:id="1899" w:name="_Toc16808"/>
      <w:bookmarkStart w:id="1900" w:name="_Toc17265"/>
      <w:r>
        <w:rPr>
          <w:rFonts w:hint="eastAsia" w:ascii="黑体" w:hAnsi="黑体" w:eastAsia="黑体" w:cs="黑体"/>
          <w:color w:val="auto"/>
          <w:kern w:val="2"/>
          <w:sz w:val="28"/>
          <w:szCs w:val="28"/>
          <w:highlight w:val="none"/>
        </w:rPr>
        <w:t>乙方人员要求</w:t>
      </w:r>
      <w:bookmarkEnd w:id="1897"/>
      <w:bookmarkEnd w:id="1898"/>
      <w:bookmarkEnd w:id="1899"/>
    </w:p>
    <w:bookmarkEnd w:id="1879"/>
    <w:bookmarkEnd w:id="1900"/>
    <w:p>
      <w:pPr>
        <w:numPr>
          <w:ilvl w:val="255"/>
          <w:numId w:val="0"/>
        </w:numPr>
        <w:spacing w:before="0" w:after="0" w:afterAutospacing="0"/>
        <w:ind w:right="0" w:firstLine="420" w:firstLineChars="200"/>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项目人员应具备如下条件，但不限于此：</w:t>
      </w:r>
    </w:p>
    <w:p>
      <w:pPr>
        <w:numPr>
          <w:ilvl w:val="0"/>
          <w:numId w:val="21"/>
        </w:numPr>
        <w:tabs>
          <w:tab w:val="left" w:pos="-261"/>
        </w:tabs>
        <w:jc w:val="left"/>
        <w:rPr>
          <w:color w:val="auto"/>
          <w:highlight w:val="none"/>
        </w:rPr>
      </w:pPr>
      <w:r>
        <w:rPr>
          <w:rFonts w:hint="eastAsia"/>
          <w:color w:val="auto"/>
          <w:highlight w:val="none"/>
        </w:rPr>
        <w:t>熟悉城市轨道交通通信系统设备的工作原理和参数设置，能够熟练地完成城市轨道交通通信系统故障件的维修任务。</w:t>
      </w:r>
    </w:p>
    <w:p>
      <w:pPr>
        <w:numPr>
          <w:ilvl w:val="0"/>
          <w:numId w:val="21"/>
        </w:numPr>
        <w:tabs>
          <w:tab w:val="left" w:pos="-261"/>
        </w:tabs>
        <w:jc w:val="left"/>
        <w:rPr>
          <w:color w:val="auto"/>
          <w:highlight w:val="none"/>
        </w:rPr>
      </w:pPr>
      <w:r>
        <w:rPr>
          <w:rFonts w:hint="eastAsia"/>
          <w:color w:val="auto"/>
          <w:highlight w:val="none"/>
        </w:rPr>
        <w:t>熟悉城市轨道交通AFC系统设备的工作原理和参数设置，能够熟练地完成AFC系统故障件的维修任务。</w:t>
      </w:r>
    </w:p>
    <w:p>
      <w:pPr>
        <w:numPr>
          <w:ilvl w:val="0"/>
          <w:numId w:val="21"/>
        </w:numPr>
        <w:tabs>
          <w:tab w:val="left" w:pos="-261"/>
        </w:tabs>
        <w:jc w:val="left"/>
        <w:rPr>
          <w:color w:val="auto"/>
          <w:highlight w:val="none"/>
        </w:rPr>
      </w:pPr>
      <w:r>
        <w:rPr>
          <w:rFonts w:hint="eastAsia"/>
          <w:color w:val="auto"/>
          <w:highlight w:val="none"/>
        </w:rPr>
        <w:t>熟悉城市轨道交通通信系统、AFC系统设备故障件维修工艺。</w:t>
      </w:r>
    </w:p>
    <w:p>
      <w:pPr>
        <w:numPr>
          <w:ilvl w:val="0"/>
          <w:numId w:val="21"/>
        </w:numPr>
        <w:tabs>
          <w:tab w:val="left" w:pos="-261"/>
        </w:tabs>
        <w:jc w:val="left"/>
        <w:rPr>
          <w:color w:val="auto"/>
          <w:highlight w:val="none"/>
        </w:rPr>
      </w:pPr>
      <w:r>
        <w:rPr>
          <w:rFonts w:hint="eastAsia"/>
          <w:color w:val="auto"/>
          <w:highlight w:val="none"/>
        </w:rPr>
        <w:t>熟悉城市轨道交通通信系统、AFC系统设备故障检测方法。</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901" w:name="_Toc705"/>
      <w:bookmarkStart w:id="1902" w:name="_Toc23026"/>
      <w:bookmarkStart w:id="1903" w:name="_Toc22113"/>
      <w:bookmarkStart w:id="1904" w:name="_Toc11213"/>
      <w:r>
        <w:rPr>
          <w:rFonts w:hint="eastAsia" w:ascii="黑体" w:hAnsi="黑体" w:eastAsia="黑体" w:cs="黑体"/>
          <w:color w:val="auto"/>
          <w:kern w:val="2"/>
          <w:sz w:val="28"/>
          <w:szCs w:val="28"/>
          <w:highlight w:val="none"/>
        </w:rPr>
        <w:t>知识产权</w:t>
      </w:r>
      <w:bookmarkEnd w:id="1901"/>
      <w:bookmarkEnd w:id="1902"/>
      <w:bookmarkEnd w:id="1903"/>
      <w:bookmarkEnd w:id="1904"/>
    </w:p>
    <w:p>
      <w:pPr>
        <w:numPr>
          <w:ilvl w:val="0"/>
          <w:numId w:val="22"/>
        </w:numPr>
        <w:tabs>
          <w:tab w:val="left" w:pos="-261"/>
        </w:tabs>
        <w:jc w:val="left"/>
        <w:rPr>
          <w:color w:val="auto"/>
          <w:highlight w:val="none"/>
        </w:rPr>
      </w:pPr>
      <w:bookmarkStart w:id="1905" w:name="_Toc3672"/>
      <w:bookmarkStart w:id="1906" w:name="_Toc330220430"/>
      <w:bookmarkStart w:id="1907" w:name="_Toc13486"/>
      <w:r>
        <w:rPr>
          <w:rFonts w:hint="eastAsia"/>
          <w:color w:val="auto"/>
          <w:highlight w:val="none"/>
        </w:rPr>
        <w:t>乙方保证依据本合同所提供的任何产品、资料、物件及服务均不构成对第三方合法权益的侵犯，包括但不限于知识产权，即甲方在中国使用乙方提供的产品及产品的任何一部分、资料或服务无产权纠纷。</w:t>
      </w:r>
    </w:p>
    <w:p>
      <w:pPr>
        <w:numPr>
          <w:ilvl w:val="0"/>
          <w:numId w:val="22"/>
        </w:numPr>
        <w:tabs>
          <w:tab w:val="left" w:pos="-261"/>
        </w:tabs>
        <w:jc w:val="left"/>
        <w:rPr>
          <w:color w:val="auto"/>
          <w:highlight w:val="none"/>
        </w:rPr>
      </w:pPr>
      <w:r>
        <w:rPr>
          <w:rFonts w:hint="eastAsia"/>
          <w:color w:val="auto"/>
          <w:highlight w:val="none"/>
        </w:rPr>
        <w:t>在乙方履行合同过程中，需使用第三人专利、专有技术、技术秘密、商业秘密、著作权、商标权等知识产权的，乙方应取得甲方同意，所使用的知识产权应支付的费用由乙方承担。</w:t>
      </w:r>
    </w:p>
    <w:p>
      <w:pPr>
        <w:numPr>
          <w:ilvl w:val="0"/>
          <w:numId w:val="22"/>
        </w:numPr>
        <w:tabs>
          <w:tab w:val="left" w:pos="-261"/>
        </w:tabs>
        <w:jc w:val="left"/>
        <w:rPr>
          <w:color w:val="auto"/>
          <w:highlight w:val="none"/>
        </w:rPr>
      </w:pPr>
      <w:r>
        <w:rPr>
          <w:rFonts w:hint="eastAsia"/>
          <w:color w:val="auto"/>
          <w:highlight w:val="none"/>
        </w:rPr>
        <w:t>因乙方提供的任何产品、资料、物件及服务引起的知识产权纠纷，由乙方负责与第三人交涉、参加诉讼、进行辩护，并承担由此引起的一切法律和经济上的责任。上述纠纷包括但不限于因乙方拥有或者有权许可的知识产权存在瑕疵导致产品瑕疵引起的索赔、诉讼或损失，因上述知识产权未在中国申请知识产权保护或海关备案而引起的侵权纠纷。</w:t>
      </w:r>
    </w:p>
    <w:p>
      <w:pPr>
        <w:numPr>
          <w:ilvl w:val="0"/>
          <w:numId w:val="22"/>
        </w:numPr>
        <w:tabs>
          <w:tab w:val="left" w:pos="-261"/>
        </w:tabs>
        <w:jc w:val="left"/>
        <w:rPr>
          <w:color w:val="auto"/>
          <w:highlight w:val="none"/>
        </w:rPr>
      </w:pPr>
      <w:r>
        <w:rPr>
          <w:rFonts w:hint="eastAsia"/>
          <w:color w:val="auto"/>
          <w:highlight w:val="none"/>
        </w:rPr>
        <w:t>如乙方拒绝、怠于履行上述义务或出现知识产权纠纷，甲方有权解除合同。甲方被第三方起诉或以其他方式追究责任，乙方应赔偿因甲方被第三方索赔所引起的一切损失，包括但不限于甲方所支付的侵权损害赔偿费、律师费、诉讼费、仲裁费、办案差旅费等因应诉、沟通协调所发的一切费用。</w:t>
      </w:r>
    </w:p>
    <w:bookmarkEnd w:id="1905"/>
    <w:p>
      <w:pPr>
        <w:keepNext/>
        <w:keepLines/>
        <w:widowControl w:val="0"/>
        <w:numPr>
          <w:ilvl w:val="0"/>
          <w:numId w:val="1"/>
        </w:numPr>
        <w:spacing w:before="0" w:after="0" w:afterAutospacing="0"/>
        <w:ind w:right="0"/>
        <w:jc w:val="left"/>
        <w:outlineLvl w:val="0"/>
        <w:rPr>
          <w:rFonts w:ascii="黑体" w:hAnsi="黑体" w:eastAsia="黑体" w:cs="宋体"/>
          <w:color w:val="auto"/>
          <w:kern w:val="44"/>
          <w:sz w:val="32"/>
          <w:highlight w:val="none"/>
        </w:rPr>
      </w:pPr>
      <w:bookmarkStart w:id="1908" w:name="_Toc13295"/>
      <w:bookmarkStart w:id="1909" w:name="_Toc22480"/>
      <w:bookmarkStart w:id="1910" w:name="_Toc15539"/>
      <w:r>
        <w:rPr>
          <w:rFonts w:hint="eastAsia" w:ascii="黑体" w:hAnsi="黑体" w:eastAsia="黑体" w:cs="宋体"/>
          <w:color w:val="auto"/>
          <w:kern w:val="44"/>
          <w:sz w:val="32"/>
          <w:highlight w:val="none"/>
        </w:rPr>
        <w:t>项目要求</w:t>
      </w:r>
      <w:bookmarkEnd w:id="1908"/>
      <w:bookmarkEnd w:id="1909"/>
      <w:bookmarkEnd w:id="1910"/>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911" w:name="_Toc6357"/>
      <w:bookmarkStart w:id="1912" w:name="_Toc7362"/>
      <w:bookmarkStart w:id="1913" w:name="_Toc23230"/>
      <w:r>
        <w:rPr>
          <w:rFonts w:hint="eastAsia" w:ascii="黑体" w:hAnsi="黑体" w:eastAsia="黑体" w:cs="黑体"/>
          <w:color w:val="auto"/>
          <w:kern w:val="2"/>
          <w:sz w:val="28"/>
          <w:szCs w:val="28"/>
          <w:highlight w:val="none"/>
        </w:rPr>
        <w:t>维修要求</w:t>
      </w:r>
      <w:bookmarkEnd w:id="1911"/>
      <w:bookmarkEnd w:id="1912"/>
      <w:bookmarkEnd w:id="1913"/>
    </w:p>
    <w:p>
      <w:pPr>
        <w:numPr>
          <w:ilvl w:val="0"/>
          <w:numId w:val="23"/>
        </w:numPr>
        <w:tabs>
          <w:tab w:val="left" w:pos="-261"/>
        </w:tabs>
        <w:rPr>
          <w:color w:val="auto"/>
          <w:highlight w:val="none"/>
        </w:rPr>
      </w:pPr>
      <w:r>
        <w:rPr>
          <w:rFonts w:hint="eastAsia"/>
          <w:color w:val="auto"/>
          <w:highlight w:val="none"/>
        </w:rPr>
        <w:t>自合同签订后10个工作日内，由甲方负责向乙方以现场交付的形式一次提供全部故障件。自合同签订之日起90天内，乙方完成修复全部故障件。</w:t>
      </w:r>
    </w:p>
    <w:p>
      <w:pPr>
        <w:numPr>
          <w:ilvl w:val="0"/>
          <w:numId w:val="23"/>
        </w:numPr>
        <w:tabs>
          <w:tab w:val="left" w:pos="-261"/>
        </w:tabs>
        <w:rPr>
          <w:color w:val="auto"/>
          <w:highlight w:val="none"/>
        </w:rPr>
      </w:pPr>
      <w:r>
        <w:rPr>
          <w:rFonts w:hint="eastAsia"/>
          <w:color w:val="auto"/>
          <w:highlight w:val="none"/>
        </w:rPr>
        <w:t>乙方修复故障件后，须将完成修复的故障件送达甲方指定地址。</w:t>
      </w:r>
    </w:p>
    <w:p>
      <w:pPr>
        <w:numPr>
          <w:ilvl w:val="0"/>
          <w:numId w:val="23"/>
        </w:numPr>
        <w:tabs>
          <w:tab w:val="left" w:pos="-261"/>
        </w:tabs>
        <w:rPr>
          <w:color w:val="auto"/>
          <w:highlight w:val="none"/>
        </w:rPr>
      </w:pPr>
      <w:r>
        <w:rPr>
          <w:rFonts w:hint="eastAsia"/>
          <w:color w:val="auto"/>
          <w:highlight w:val="none"/>
        </w:rPr>
        <w:t>货物运输、包装应按国家相关标准规定执行，由于运输、包装不善引起的货物损坏和损失均由乙方承担。</w:t>
      </w:r>
    </w:p>
    <w:p>
      <w:pPr>
        <w:numPr>
          <w:ilvl w:val="0"/>
          <w:numId w:val="23"/>
        </w:numPr>
        <w:tabs>
          <w:tab w:val="left" w:pos="-261"/>
        </w:tabs>
        <w:rPr>
          <w:color w:val="auto"/>
          <w:highlight w:val="none"/>
        </w:rPr>
      </w:pPr>
      <w:r>
        <w:rPr>
          <w:rFonts w:hint="eastAsia"/>
          <w:color w:val="auto"/>
          <w:highlight w:val="none"/>
        </w:rPr>
        <w:t>乙方要建立健全设备档案，保存本项目委外维修故障件的返修记录、故障分析报告、更换备件记录、返修件出厂检测报告等，并提交甲方。</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914" w:name="_Toc576"/>
      <w:bookmarkStart w:id="1915" w:name="_Toc4643"/>
      <w:bookmarkStart w:id="1916" w:name="_Toc1118"/>
      <w:r>
        <w:rPr>
          <w:rFonts w:hint="eastAsia" w:ascii="黑体" w:hAnsi="黑体" w:eastAsia="黑体" w:cs="黑体"/>
          <w:color w:val="auto"/>
          <w:kern w:val="2"/>
          <w:sz w:val="28"/>
          <w:szCs w:val="28"/>
          <w:highlight w:val="none"/>
        </w:rPr>
        <w:t>维修标准</w:t>
      </w:r>
      <w:bookmarkEnd w:id="1914"/>
      <w:bookmarkEnd w:id="1915"/>
      <w:bookmarkEnd w:id="1916"/>
    </w:p>
    <w:p>
      <w:pPr>
        <w:numPr>
          <w:ilvl w:val="0"/>
          <w:numId w:val="24"/>
        </w:numPr>
        <w:tabs>
          <w:tab w:val="left" w:pos="-261"/>
        </w:tabs>
        <w:rPr>
          <w:color w:val="auto"/>
          <w:highlight w:val="none"/>
        </w:rPr>
      </w:pPr>
      <w:r>
        <w:rPr>
          <w:rFonts w:hint="eastAsia"/>
          <w:color w:val="auto"/>
          <w:highlight w:val="none"/>
        </w:rPr>
        <w:t>乙方应当派遣技术熟练、经验丰富的技术人员对甲方的设备进行检测、维修。检测维修需要的工具、仪器均由乙方负责提供。</w:t>
      </w:r>
    </w:p>
    <w:p>
      <w:pPr>
        <w:numPr>
          <w:ilvl w:val="0"/>
          <w:numId w:val="24"/>
        </w:numPr>
        <w:tabs>
          <w:tab w:val="left" w:pos="-261"/>
        </w:tabs>
        <w:rPr>
          <w:color w:val="auto"/>
          <w:highlight w:val="none"/>
        </w:rPr>
      </w:pPr>
      <w:r>
        <w:rPr>
          <w:rFonts w:hint="eastAsia"/>
          <w:color w:val="auto"/>
          <w:highlight w:val="none"/>
        </w:rPr>
        <w:t>乙方保证所更换的零部件未侵犯任何第三方的知识产权，包括但不限于著作权、商标权、专利权、商业秘密权及其他合法权益。</w:t>
      </w:r>
    </w:p>
    <w:p>
      <w:pPr>
        <w:numPr>
          <w:ilvl w:val="0"/>
          <w:numId w:val="24"/>
        </w:numPr>
        <w:tabs>
          <w:tab w:val="left" w:pos="-261"/>
        </w:tabs>
        <w:rPr>
          <w:color w:val="auto"/>
          <w:highlight w:val="none"/>
        </w:rPr>
      </w:pPr>
      <w:r>
        <w:rPr>
          <w:rFonts w:hint="eastAsia"/>
          <w:color w:val="auto"/>
          <w:highlight w:val="none"/>
        </w:rPr>
        <w:t>乙方不得更换不需维修的部件，不得损坏甲方的设备。</w:t>
      </w:r>
    </w:p>
    <w:p>
      <w:pPr>
        <w:numPr>
          <w:ilvl w:val="0"/>
          <w:numId w:val="24"/>
        </w:numPr>
        <w:tabs>
          <w:tab w:val="left" w:pos="-261"/>
        </w:tabs>
        <w:rPr>
          <w:color w:val="auto"/>
          <w:highlight w:val="none"/>
        </w:rPr>
      </w:pPr>
      <w:r>
        <w:rPr>
          <w:rFonts w:hint="eastAsia"/>
          <w:color w:val="auto"/>
          <w:highlight w:val="none"/>
        </w:rPr>
        <w:t>如因乙方对故障判断错误、更换了不该更换的部件，乙方承担全部费用。</w:t>
      </w:r>
    </w:p>
    <w:p>
      <w:pPr>
        <w:numPr>
          <w:ilvl w:val="0"/>
          <w:numId w:val="24"/>
        </w:numPr>
        <w:tabs>
          <w:tab w:val="left" w:pos="-261"/>
        </w:tabs>
        <w:rPr>
          <w:color w:val="auto"/>
          <w:highlight w:val="none"/>
        </w:rPr>
      </w:pPr>
      <w:r>
        <w:rPr>
          <w:rFonts w:hint="eastAsia"/>
          <w:color w:val="auto"/>
          <w:highlight w:val="none"/>
        </w:rPr>
        <w:t>在维修过程中，造成设备损坏的，乙方承担赔偿责任。</w:t>
      </w:r>
    </w:p>
    <w:p>
      <w:pPr>
        <w:numPr>
          <w:ilvl w:val="0"/>
          <w:numId w:val="24"/>
        </w:numPr>
        <w:tabs>
          <w:tab w:val="left" w:pos="-261"/>
        </w:tabs>
        <w:rPr>
          <w:color w:val="auto"/>
          <w:highlight w:val="none"/>
        </w:rPr>
      </w:pPr>
      <w:r>
        <w:rPr>
          <w:rFonts w:hint="eastAsia"/>
          <w:color w:val="auto"/>
          <w:highlight w:val="none"/>
        </w:rPr>
        <w:t>在维修过程中，如涉及软件处理的，包括对软件的删除、更改、重装等需要征得甲方相关人员的同意。</w:t>
      </w:r>
    </w:p>
    <w:p>
      <w:pPr>
        <w:numPr>
          <w:ilvl w:val="0"/>
          <w:numId w:val="24"/>
        </w:numPr>
        <w:tabs>
          <w:tab w:val="left" w:pos="-261"/>
        </w:tabs>
        <w:rPr>
          <w:color w:val="auto"/>
          <w:highlight w:val="none"/>
        </w:rPr>
      </w:pPr>
      <w:r>
        <w:rPr>
          <w:rFonts w:hint="eastAsia"/>
          <w:color w:val="auto"/>
          <w:highlight w:val="none"/>
        </w:rPr>
        <w:t>乙方在维修过程中，非经甲方相关人员的签字认可，不得删除或者更改甲方设备中的任何信息。</w:t>
      </w:r>
    </w:p>
    <w:p>
      <w:pPr>
        <w:numPr>
          <w:ilvl w:val="0"/>
          <w:numId w:val="24"/>
        </w:numPr>
        <w:tabs>
          <w:tab w:val="left" w:pos="-261"/>
        </w:tabs>
        <w:rPr>
          <w:color w:val="auto"/>
          <w:highlight w:val="none"/>
        </w:rPr>
      </w:pPr>
      <w:r>
        <w:rPr>
          <w:rFonts w:hint="eastAsia"/>
          <w:color w:val="auto"/>
          <w:highlight w:val="none"/>
        </w:rPr>
        <w:t>乙方保证通过维修后，设备能够正常工作。</w:t>
      </w:r>
    </w:p>
    <w:p>
      <w:pPr>
        <w:numPr>
          <w:ilvl w:val="0"/>
          <w:numId w:val="24"/>
        </w:numPr>
        <w:tabs>
          <w:tab w:val="left" w:pos="-261"/>
        </w:tabs>
        <w:rPr>
          <w:color w:val="auto"/>
          <w:highlight w:val="none"/>
        </w:rPr>
      </w:pPr>
      <w:r>
        <w:rPr>
          <w:rFonts w:hint="eastAsia"/>
          <w:color w:val="auto"/>
          <w:highlight w:val="none"/>
        </w:rPr>
        <w:t>乙方人员的财产与人身安全由乙方自行负责，乙方应当爱护甲方财物，如乙方造成甲方财产损失或者造成甲方及第三方人员伤亡事故的，乙方承担全部责任。</w:t>
      </w:r>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917" w:name="_Toc13215"/>
      <w:bookmarkStart w:id="1918" w:name="_Toc14683"/>
      <w:bookmarkStart w:id="1919" w:name="_Toc18967"/>
      <w:r>
        <w:rPr>
          <w:rFonts w:hint="eastAsia" w:ascii="黑体" w:hAnsi="黑体" w:eastAsia="黑体" w:cs="黑体"/>
          <w:color w:val="auto"/>
          <w:kern w:val="2"/>
          <w:sz w:val="28"/>
          <w:szCs w:val="28"/>
          <w:highlight w:val="none"/>
        </w:rPr>
        <w:t>质量要求</w:t>
      </w:r>
      <w:bookmarkEnd w:id="1917"/>
      <w:bookmarkEnd w:id="1918"/>
      <w:bookmarkEnd w:id="1919"/>
    </w:p>
    <w:p>
      <w:pPr>
        <w:numPr>
          <w:ilvl w:val="0"/>
          <w:numId w:val="25"/>
        </w:numPr>
        <w:tabs>
          <w:tab w:val="left" w:pos="-261"/>
        </w:tabs>
        <w:rPr>
          <w:color w:val="auto"/>
          <w:highlight w:val="none"/>
        </w:rPr>
      </w:pPr>
      <w:r>
        <w:rPr>
          <w:rFonts w:hint="eastAsia"/>
          <w:color w:val="auto"/>
          <w:highlight w:val="none"/>
        </w:rPr>
        <w:t>乙方应按法律、行政法规或国家关于服务质量保修的相关规定，对交付使用的修复件在质量保修期内承担质量保修责任。</w:t>
      </w:r>
    </w:p>
    <w:p>
      <w:pPr>
        <w:numPr>
          <w:ilvl w:val="0"/>
          <w:numId w:val="25"/>
        </w:numPr>
        <w:tabs>
          <w:tab w:val="left" w:pos="-261"/>
        </w:tabs>
        <w:rPr>
          <w:color w:val="auto"/>
          <w:highlight w:val="none"/>
        </w:rPr>
      </w:pPr>
      <w:r>
        <w:rPr>
          <w:rFonts w:hint="eastAsia"/>
          <w:color w:val="auto"/>
          <w:highlight w:val="none"/>
        </w:rPr>
        <w:t>乙方对</w:t>
      </w:r>
      <w:r>
        <w:rPr>
          <w:color w:val="auto"/>
          <w:highlight w:val="none"/>
        </w:rPr>
        <w:t>修复</w:t>
      </w:r>
      <w:r>
        <w:rPr>
          <w:rFonts w:hint="eastAsia"/>
          <w:color w:val="auto"/>
          <w:highlight w:val="none"/>
        </w:rPr>
        <w:t>件进行检测，确保其各项指标达到要求，</w:t>
      </w:r>
      <w:r>
        <w:rPr>
          <w:color w:val="auto"/>
          <w:highlight w:val="none"/>
        </w:rPr>
        <w:t>并</w:t>
      </w:r>
      <w:r>
        <w:rPr>
          <w:rFonts w:hint="eastAsia"/>
          <w:color w:val="auto"/>
          <w:highlight w:val="none"/>
        </w:rPr>
        <w:t>提供维修报告（详见附件2</w:t>
      </w:r>
      <w:r>
        <w:rPr>
          <w:color w:val="auto"/>
          <w:highlight w:val="none"/>
        </w:rPr>
        <w:t>）。</w:t>
      </w:r>
      <w:r>
        <w:rPr>
          <w:rFonts w:hint="eastAsia"/>
          <w:color w:val="auto"/>
          <w:highlight w:val="none"/>
        </w:rPr>
        <w:t>甲方收到修复件</w:t>
      </w:r>
      <w:r>
        <w:rPr>
          <w:color w:val="auto"/>
          <w:highlight w:val="none"/>
        </w:rPr>
        <w:t>后开展现场功能测试，如验收不合格则</w:t>
      </w:r>
      <w:r>
        <w:rPr>
          <w:rFonts w:hint="eastAsia"/>
          <w:color w:val="auto"/>
          <w:highlight w:val="none"/>
        </w:rPr>
        <w:t>再次返修。</w:t>
      </w:r>
    </w:p>
    <w:p>
      <w:pPr>
        <w:numPr>
          <w:ilvl w:val="0"/>
          <w:numId w:val="25"/>
        </w:numPr>
        <w:tabs>
          <w:tab w:val="left" w:pos="-261"/>
        </w:tabs>
        <w:rPr>
          <w:color w:val="auto"/>
          <w:highlight w:val="none"/>
        </w:rPr>
      </w:pPr>
      <w:r>
        <w:rPr>
          <w:rFonts w:hint="eastAsia"/>
          <w:color w:val="auto"/>
          <w:highlight w:val="none"/>
        </w:rPr>
        <w:t>没有通过现场功能测试确认的</w:t>
      </w:r>
      <w:r>
        <w:rPr>
          <w:color w:val="auto"/>
          <w:highlight w:val="none"/>
        </w:rPr>
        <w:t>修复</w:t>
      </w:r>
      <w:r>
        <w:rPr>
          <w:rFonts w:hint="eastAsia"/>
          <w:color w:val="auto"/>
          <w:highlight w:val="none"/>
        </w:rPr>
        <w:t>件，由乙方负责再次修复工作并承担所有费用。再次送修的故障件的修复时限和质保期按照以上确定的办法重复循环。</w:t>
      </w:r>
    </w:p>
    <w:p>
      <w:pPr>
        <w:numPr>
          <w:ilvl w:val="0"/>
          <w:numId w:val="25"/>
        </w:numPr>
        <w:tabs>
          <w:tab w:val="left" w:pos="-261"/>
        </w:tabs>
        <w:rPr>
          <w:color w:val="auto"/>
          <w:highlight w:val="none"/>
        </w:rPr>
      </w:pPr>
      <w:r>
        <w:rPr>
          <w:rFonts w:hint="eastAsia"/>
          <w:color w:val="auto"/>
          <w:highlight w:val="none"/>
        </w:rPr>
        <w:t>乙方如因备件采购周期较长等原因无法在90天内修复的，应在15个自然日内告知甲方，并向甲方提供替代品，待故障件修复后再行更换，等待修复最长期限为30个自然日。</w:t>
      </w:r>
    </w:p>
    <w:p>
      <w:pPr>
        <w:numPr>
          <w:ilvl w:val="0"/>
          <w:numId w:val="25"/>
        </w:numPr>
        <w:tabs>
          <w:tab w:val="left" w:pos="-261"/>
        </w:tabs>
        <w:rPr>
          <w:color w:val="auto"/>
          <w:highlight w:val="none"/>
        </w:rPr>
      </w:pPr>
      <w:r>
        <w:rPr>
          <w:rFonts w:hint="eastAsia"/>
          <w:color w:val="auto"/>
          <w:highlight w:val="none"/>
        </w:rPr>
        <w:t>在质保期内，修复件出现故障或损坏，均由乙方免费负责维修，质保期重新计算。</w:t>
      </w:r>
    </w:p>
    <w:p>
      <w:pPr>
        <w:numPr>
          <w:ilvl w:val="0"/>
          <w:numId w:val="25"/>
        </w:numPr>
        <w:tabs>
          <w:tab w:val="left" w:pos="-261"/>
        </w:tabs>
        <w:rPr>
          <w:color w:val="auto"/>
          <w:highlight w:val="none"/>
        </w:rPr>
      </w:pPr>
      <w:r>
        <w:rPr>
          <w:rFonts w:hint="eastAsia"/>
          <w:color w:val="auto"/>
          <w:highlight w:val="none"/>
        </w:rPr>
        <w:t>对于无法修复的故障件，返回时应出具说明材料。</w:t>
      </w:r>
    </w:p>
    <w:bookmarkEnd w:id="1906"/>
    <w:bookmarkEnd w:id="1907"/>
    <w:p>
      <w:pPr>
        <w:keepNext/>
        <w:keepLines/>
        <w:widowControl w:val="0"/>
        <w:numPr>
          <w:ilvl w:val="0"/>
          <w:numId w:val="1"/>
        </w:numPr>
        <w:spacing w:before="0" w:after="0" w:afterAutospacing="0"/>
        <w:ind w:right="0"/>
        <w:jc w:val="left"/>
        <w:outlineLvl w:val="0"/>
        <w:rPr>
          <w:rFonts w:hint="eastAsia" w:ascii="黑体" w:hAnsi="黑体" w:eastAsia="黑体" w:cs="宋体"/>
          <w:color w:val="auto"/>
          <w:kern w:val="44"/>
          <w:sz w:val="32"/>
          <w:highlight w:val="none"/>
        </w:rPr>
      </w:pPr>
      <w:bookmarkStart w:id="1920" w:name="_Toc18144"/>
      <w:bookmarkStart w:id="1921" w:name="_Toc5966"/>
      <w:bookmarkStart w:id="1922" w:name="_Toc4038"/>
      <w:bookmarkStart w:id="1923" w:name="_Toc14024"/>
      <w:bookmarkStart w:id="1924" w:name="_Toc2233"/>
      <w:r>
        <w:rPr>
          <w:rFonts w:hint="eastAsia" w:ascii="黑体" w:hAnsi="黑体" w:eastAsia="黑体" w:cs="宋体"/>
          <w:color w:val="auto"/>
          <w:kern w:val="44"/>
          <w:sz w:val="32"/>
          <w:highlight w:val="none"/>
        </w:rPr>
        <w:t>考核</w:t>
      </w:r>
      <w:bookmarkEnd w:id="1920"/>
      <w:bookmarkEnd w:id="1921"/>
      <w:bookmarkEnd w:id="1922"/>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925" w:name="_Toc21869"/>
      <w:bookmarkStart w:id="1926" w:name="_Toc7749"/>
      <w:bookmarkStart w:id="1927" w:name="_Toc7941"/>
      <w:r>
        <w:rPr>
          <w:rFonts w:hint="eastAsia" w:ascii="黑体" w:hAnsi="黑体" w:eastAsia="黑体" w:cs="黑体"/>
          <w:color w:val="auto"/>
          <w:kern w:val="2"/>
          <w:sz w:val="28"/>
          <w:szCs w:val="28"/>
          <w:highlight w:val="none"/>
        </w:rPr>
        <w:t>合同期违约处理</w:t>
      </w:r>
      <w:bookmarkEnd w:id="1925"/>
      <w:bookmarkEnd w:id="1926"/>
      <w:bookmarkEnd w:id="1927"/>
    </w:p>
    <w:bookmarkEnd w:id="1923"/>
    <w:bookmarkEnd w:id="1924"/>
    <w:p>
      <w:pPr>
        <w:widowControl w:val="0"/>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乙方应严格执行《南宁轨道交通1、2、3号线专用通信、AFC系统故障件维修委外服务项目》合同，自觉履行合同约定的相关义务，因乙方责任造成解除合同的，由乙方承担相应的责任，并赔偿相应损失。</w:t>
      </w:r>
    </w:p>
    <w:p>
      <w:pPr>
        <w:widowControl w:val="0"/>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在合同期内，乙方应按项目要求对故障电路板、设备零部件进行维修，对于违反项目要求的，依下述条款执行：</w:t>
      </w:r>
    </w:p>
    <w:p>
      <w:pPr>
        <w:numPr>
          <w:ilvl w:val="0"/>
          <w:numId w:val="26"/>
        </w:numPr>
        <w:tabs>
          <w:tab w:val="left" w:pos="-261"/>
        </w:tabs>
        <w:rPr>
          <w:color w:val="auto"/>
          <w:highlight w:val="none"/>
        </w:rPr>
      </w:pPr>
      <w:r>
        <w:rPr>
          <w:rFonts w:hint="eastAsia"/>
          <w:color w:val="auto"/>
          <w:highlight w:val="none"/>
        </w:rPr>
        <w:t>由于投标方提供的维修服务不符合要求或由此造成招标方损失，投标方应负责招标方的相关损失所发生的费用。</w:t>
      </w:r>
    </w:p>
    <w:p>
      <w:pPr>
        <w:numPr>
          <w:ilvl w:val="0"/>
          <w:numId w:val="26"/>
        </w:numPr>
        <w:tabs>
          <w:tab w:val="left" w:pos="-261"/>
        </w:tabs>
        <w:rPr>
          <w:color w:val="auto"/>
          <w:highlight w:val="none"/>
        </w:rPr>
      </w:pPr>
      <w:r>
        <w:rPr>
          <w:rFonts w:hint="eastAsia"/>
          <w:color w:val="auto"/>
          <w:highlight w:val="none"/>
        </w:rPr>
        <w:t>乙方未按规定时间内修复完成，违约金按未完成修复的故障件合同维修</w:t>
      </w:r>
      <w:r>
        <w:rPr>
          <w:rFonts w:hint="eastAsia"/>
          <w:color w:val="auto"/>
          <w:highlight w:val="none"/>
          <w:lang w:eastAsia="zh-CN"/>
        </w:rPr>
        <w:t>总</w:t>
      </w:r>
      <w:r>
        <w:rPr>
          <w:rFonts w:hint="eastAsia"/>
          <w:color w:val="auto"/>
          <w:highlight w:val="none"/>
        </w:rPr>
        <w:t>金额的10%扣除且本故障件不予计算维修费用；</w:t>
      </w:r>
    </w:p>
    <w:p>
      <w:pPr>
        <w:numPr>
          <w:ilvl w:val="0"/>
          <w:numId w:val="26"/>
        </w:numPr>
        <w:tabs>
          <w:tab w:val="left" w:pos="-261"/>
        </w:tabs>
        <w:rPr>
          <w:color w:val="auto"/>
          <w:highlight w:val="none"/>
        </w:rPr>
      </w:pPr>
      <w:r>
        <w:rPr>
          <w:rFonts w:hint="eastAsia"/>
          <w:color w:val="auto"/>
          <w:highlight w:val="none"/>
        </w:rPr>
        <w:t>乙方未提供修复件的维修报告和性能测试报告，违约金按未提供材料的故障件合同维修</w:t>
      </w:r>
      <w:r>
        <w:rPr>
          <w:rFonts w:hint="eastAsia"/>
          <w:color w:val="auto"/>
          <w:highlight w:val="none"/>
          <w:lang w:eastAsia="zh-CN"/>
        </w:rPr>
        <w:t>总</w:t>
      </w:r>
      <w:r>
        <w:rPr>
          <w:rFonts w:hint="eastAsia"/>
          <w:color w:val="auto"/>
          <w:highlight w:val="none"/>
        </w:rPr>
        <w:t>金额的10%扣除；</w:t>
      </w:r>
    </w:p>
    <w:p>
      <w:pPr>
        <w:numPr>
          <w:ilvl w:val="0"/>
          <w:numId w:val="26"/>
        </w:numPr>
        <w:tabs>
          <w:tab w:val="left" w:pos="-261"/>
        </w:tabs>
        <w:rPr>
          <w:color w:val="auto"/>
          <w:highlight w:val="none"/>
        </w:rPr>
      </w:pPr>
      <w:r>
        <w:rPr>
          <w:rFonts w:hint="eastAsia"/>
          <w:color w:val="auto"/>
          <w:highlight w:val="none"/>
        </w:rPr>
        <w:t>故障件修复率不低于故障件送修总数量的90%，如低于90%，则扣除</w:t>
      </w:r>
      <w:r>
        <w:rPr>
          <w:rFonts w:hint="eastAsia"/>
          <w:color w:val="auto"/>
          <w:highlight w:val="none"/>
          <w:lang w:eastAsia="zh-CN"/>
        </w:rPr>
        <w:t>已修复</w:t>
      </w:r>
      <w:r>
        <w:rPr>
          <w:rFonts w:hint="eastAsia"/>
          <w:color w:val="auto"/>
          <w:highlight w:val="none"/>
        </w:rPr>
        <w:t>故障件总修复费用的10%作为违约金</w:t>
      </w:r>
      <w:r>
        <w:rPr>
          <w:rFonts w:hint="eastAsia"/>
          <w:color w:val="auto"/>
          <w:highlight w:val="none"/>
          <w:lang w:eastAsia="zh-CN"/>
        </w:rPr>
        <w:t>；</w:t>
      </w:r>
      <w:r>
        <w:rPr>
          <w:rFonts w:hint="eastAsia"/>
          <w:color w:val="auto"/>
          <w:highlight w:val="none"/>
        </w:rPr>
        <w:t>如低于80%则扣除</w:t>
      </w:r>
      <w:r>
        <w:rPr>
          <w:rFonts w:hint="eastAsia"/>
          <w:color w:val="auto"/>
          <w:highlight w:val="none"/>
          <w:lang w:eastAsia="zh-CN"/>
        </w:rPr>
        <w:t>已修复</w:t>
      </w:r>
      <w:r>
        <w:rPr>
          <w:rFonts w:hint="eastAsia"/>
          <w:color w:val="auto"/>
          <w:highlight w:val="none"/>
        </w:rPr>
        <w:t>故障件总修复费用</w:t>
      </w:r>
      <w:r>
        <w:rPr>
          <w:rFonts w:hint="eastAsia"/>
          <w:color w:val="auto"/>
          <w:highlight w:val="none"/>
          <w:lang w:eastAsia="zh-CN"/>
        </w:rPr>
        <w:t>的</w:t>
      </w:r>
      <w:r>
        <w:rPr>
          <w:rFonts w:hint="eastAsia"/>
          <w:color w:val="auto"/>
          <w:highlight w:val="none"/>
        </w:rPr>
        <w:t>20%</w:t>
      </w:r>
      <w:r>
        <w:rPr>
          <w:rFonts w:hint="eastAsia"/>
          <w:color w:val="auto"/>
          <w:highlight w:val="none"/>
          <w:lang w:eastAsia="zh-CN"/>
        </w:rPr>
        <w:t>作为</w:t>
      </w:r>
      <w:r>
        <w:rPr>
          <w:rFonts w:hint="eastAsia"/>
          <w:color w:val="auto"/>
          <w:highlight w:val="none"/>
        </w:rPr>
        <w:t>违约金</w:t>
      </w:r>
      <w:r>
        <w:rPr>
          <w:rFonts w:hint="eastAsia"/>
          <w:color w:val="auto"/>
          <w:highlight w:val="none"/>
          <w:lang w:eastAsia="zh-CN"/>
        </w:rPr>
        <w:t>；</w:t>
      </w:r>
      <w:r>
        <w:rPr>
          <w:rFonts w:hint="eastAsia"/>
          <w:color w:val="auto"/>
          <w:highlight w:val="none"/>
        </w:rPr>
        <w:t>如修复率低于70%则扣除</w:t>
      </w:r>
      <w:r>
        <w:rPr>
          <w:rFonts w:hint="eastAsia"/>
          <w:color w:val="auto"/>
          <w:highlight w:val="none"/>
          <w:lang w:eastAsia="zh-CN"/>
        </w:rPr>
        <w:t>已修复</w:t>
      </w:r>
      <w:r>
        <w:rPr>
          <w:rFonts w:hint="eastAsia"/>
          <w:color w:val="auto"/>
          <w:highlight w:val="none"/>
        </w:rPr>
        <w:t>故障件总修复费用</w:t>
      </w:r>
      <w:r>
        <w:rPr>
          <w:rFonts w:hint="eastAsia"/>
          <w:color w:val="auto"/>
          <w:highlight w:val="none"/>
          <w:lang w:eastAsia="zh-CN"/>
        </w:rPr>
        <w:t>的</w:t>
      </w:r>
      <w:r>
        <w:rPr>
          <w:rFonts w:hint="eastAsia"/>
          <w:color w:val="auto"/>
          <w:highlight w:val="none"/>
        </w:rPr>
        <w:t>30%</w:t>
      </w:r>
      <w:r>
        <w:rPr>
          <w:rFonts w:hint="eastAsia"/>
          <w:color w:val="auto"/>
          <w:highlight w:val="none"/>
          <w:lang w:eastAsia="zh-CN"/>
        </w:rPr>
        <w:t>作为</w:t>
      </w:r>
      <w:r>
        <w:rPr>
          <w:rFonts w:hint="eastAsia"/>
          <w:color w:val="auto"/>
          <w:highlight w:val="none"/>
        </w:rPr>
        <w:t>违约金，且招标方有权要求投标方将不可修复的设备送第三方检测，检测费用由投标方负责。</w:t>
      </w:r>
    </w:p>
    <w:p>
      <w:pPr>
        <w:numPr>
          <w:ilvl w:val="0"/>
          <w:numId w:val="26"/>
        </w:numPr>
        <w:tabs>
          <w:tab w:val="left" w:pos="-261"/>
        </w:tabs>
        <w:rPr>
          <w:color w:val="auto"/>
          <w:highlight w:val="none"/>
        </w:rPr>
      </w:pPr>
      <w:r>
        <w:rPr>
          <w:rFonts w:hint="eastAsia"/>
          <w:color w:val="auto"/>
          <w:highlight w:val="none"/>
        </w:rPr>
        <w:t>故障件维修完成1个月内发生重复故障的，投标方需向招标方支付违约金500元/次，并免费修复故障件，若因该故障件导致的故障涉及运营安全等重大影响的扣除违约金10000元/次，必要时追究相关责任。此外，同一个故障件修复后一年内不得因同一质量问题返修超过3次，否则扣除该故障件修复金额50%的费用，同时要求由投标方技术经理带技术团队赴现场进行故障调查，如质量问题无法得到招标方认可的有效解决，招标方有权单方面解除合同，并追究投标方违约责任。</w:t>
      </w:r>
    </w:p>
    <w:p>
      <w:pPr>
        <w:widowControl w:val="0"/>
        <w:spacing w:before="0" w:after="0" w:afterAutospacing="0"/>
        <w:ind w:left="0" w:right="0" w:firstLine="420" w:firstLineChars="200"/>
        <w:rPr>
          <w:rFonts w:ascii="宋体" w:hAnsi="宋体" w:cs="宋体"/>
          <w:color w:val="auto"/>
          <w:highlight w:val="none"/>
        </w:rPr>
      </w:pPr>
      <w:bookmarkStart w:id="1928" w:name="_Toc14257660"/>
      <w:bookmarkStart w:id="1929" w:name="_Toc14261383"/>
      <w:r>
        <w:rPr>
          <w:rFonts w:hint="eastAsia" w:ascii="宋体" w:hAnsi="宋体" w:cs="宋体"/>
          <w:color w:val="auto"/>
          <w:highlight w:val="none"/>
        </w:rPr>
        <w:t>如乙方违反上述条款的由甲方填写《合同违约处理通知单》（附件4），乙方如有意见，须在《合同违约处理通知单》送达后2个工作日内向项目主办部门提交正式申诉材料提出申诉，否则视为接受违约处理意见，项目主办部门在收到申诉材料后须在5个工作日给予回复。否则由此进度款迟延支付，由乙方承担。</w:t>
      </w:r>
    </w:p>
    <w:bookmarkEnd w:id="1928"/>
    <w:bookmarkEnd w:id="1929"/>
    <w:p>
      <w:pPr>
        <w:keepNext/>
        <w:keepLines/>
        <w:widowControl w:val="0"/>
        <w:numPr>
          <w:ilvl w:val="0"/>
          <w:numId w:val="1"/>
        </w:numPr>
        <w:spacing w:before="0" w:after="0" w:afterAutospacing="0"/>
        <w:ind w:right="0"/>
        <w:jc w:val="left"/>
        <w:outlineLvl w:val="0"/>
        <w:rPr>
          <w:rFonts w:hint="eastAsia" w:ascii="黑体" w:hAnsi="黑体" w:eastAsia="黑体" w:cs="宋体"/>
          <w:color w:val="auto"/>
          <w:kern w:val="44"/>
          <w:sz w:val="32"/>
          <w:highlight w:val="none"/>
        </w:rPr>
      </w:pPr>
      <w:bookmarkStart w:id="1930" w:name="_Toc11139"/>
      <w:bookmarkStart w:id="1931" w:name="_Toc4835"/>
      <w:bookmarkStart w:id="1932" w:name="_Toc2286"/>
      <w:r>
        <w:rPr>
          <w:rFonts w:hint="eastAsia" w:ascii="黑体" w:hAnsi="黑体" w:eastAsia="黑体" w:cs="宋体"/>
          <w:color w:val="auto"/>
          <w:kern w:val="44"/>
          <w:sz w:val="32"/>
          <w:highlight w:val="none"/>
        </w:rPr>
        <w:t>验收</w:t>
      </w:r>
      <w:bookmarkEnd w:id="1930"/>
      <w:bookmarkEnd w:id="1931"/>
      <w:bookmarkEnd w:id="1932"/>
    </w:p>
    <w:p>
      <w:pPr>
        <w:keepNext/>
        <w:keepLines/>
        <w:widowControl w:val="0"/>
        <w:numPr>
          <w:ilvl w:val="1"/>
          <w:numId w:val="1"/>
        </w:numPr>
        <w:spacing w:before="0" w:after="0" w:afterAutospacing="0"/>
        <w:ind w:right="0"/>
        <w:jc w:val="left"/>
        <w:outlineLvl w:val="1"/>
        <w:rPr>
          <w:rFonts w:ascii="黑体" w:hAnsi="黑体" w:eastAsia="黑体" w:cs="黑体"/>
          <w:color w:val="auto"/>
          <w:kern w:val="2"/>
          <w:sz w:val="28"/>
          <w:szCs w:val="28"/>
          <w:highlight w:val="none"/>
        </w:rPr>
      </w:pPr>
      <w:bookmarkStart w:id="1933" w:name="_Toc11782"/>
      <w:bookmarkStart w:id="1934" w:name="_Toc22230"/>
      <w:bookmarkStart w:id="1935" w:name="_Toc3111"/>
      <w:r>
        <w:rPr>
          <w:rFonts w:hint="eastAsia" w:ascii="黑体" w:hAnsi="黑体" w:eastAsia="黑体" w:cs="黑体"/>
          <w:color w:val="auto"/>
          <w:kern w:val="2"/>
          <w:sz w:val="28"/>
          <w:szCs w:val="28"/>
          <w:highlight w:val="none"/>
        </w:rPr>
        <w:t>验收标准</w:t>
      </w:r>
      <w:bookmarkEnd w:id="1933"/>
      <w:bookmarkEnd w:id="1934"/>
      <w:bookmarkEnd w:id="1935"/>
    </w:p>
    <w:p>
      <w:pPr>
        <w:numPr>
          <w:ilvl w:val="0"/>
          <w:numId w:val="27"/>
        </w:numPr>
        <w:tabs>
          <w:tab w:val="left" w:pos="-261"/>
        </w:tabs>
        <w:rPr>
          <w:color w:val="auto"/>
          <w:highlight w:val="none"/>
        </w:rPr>
      </w:pPr>
      <w:r>
        <w:rPr>
          <w:rFonts w:hint="eastAsia"/>
          <w:color w:val="auto"/>
          <w:highlight w:val="none"/>
        </w:rPr>
        <w:t>设备维修完毕，乙方自检，准备验收报告，通知甲方验收，验收时各项技术指标应达到相关验收标准，验收时双方签据性能测试验收报告（详见附件3）。</w:t>
      </w:r>
    </w:p>
    <w:p>
      <w:pPr>
        <w:numPr>
          <w:ilvl w:val="0"/>
          <w:numId w:val="27"/>
        </w:numPr>
        <w:tabs>
          <w:tab w:val="left" w:pos="-261"/>
        </w:tabs>
        <w:rPr>
          <w:color w:val="auto"/>
          <w:highlight w:val="none"/>
        </w:rPr>
      </w:pPr>
      <w:r>
        <w:rPr>
          <w:rFonts w:hint="eastAsia"/>
          <w:color w:val="auto"/>
          <w:highlight w:val="none"/>
        </w:rPr>
        <w:t>甲方如提出与所供材料质量有关的问题，乙方应在1周内给予答复。</w:t>
      </w:r>
    </w:p>
    <w:p>
      <w:pPr>
        <w:numPr>
          <w:ilvl w:val="0"/>
          <w:numId w:val="27"/>
        </w:numPr>
        <w:tabs>
          <w:tab w:val="left" w:pos="-261"/>
        </w:tabs>
        <w:rPr>
          <w:color w:val="auto"/>
          <w:highlight w:val="none"/>
        </w:rPr>
      </w:pPr>
      <w:r>
        <w:rPr>
          <w:rFonts w:hint="eastAsia"/>
          <w:color w:val="auto"/>
          <w:highlight w:val="none"/>
        </w:rPr>
        <w:t>若现场验收中发现有诸如数量、型号和品种与规定不符或合同材料和包装外观损坏，乙方应负责更换或补齐。若产品验收不合格，乙方应立即整改，直到达到合格要求。</w:t>
      </w:r>
    </w:p>
    <w:p>
      <w:pPr>
        <w:keepNext/>
        <w:keepLines/>
        <w:widowControl w:val="0"/>
        <w:numPr>
          <w:ilvl w:val="0"/>
          <w:numId w:val="1"/>
        </w:numPr>
        <w:spacing w:before="0" w:after="0" w:afterAutospacing="0"/>
        <w:ind w:right="0"/>
        <w:jc w:val="left"/>
        <w:outlineLvl w:val="0"/>
        <w:rPr>
          <w:rFonts w:hint="eastAsia" w:ascii="黑体" w:hAnsi="黑体" w:eastAsia="黑体" w:cs="宋体"/>
          <w:color w:val="auto"/>
          <w:kern w:val="44"/>
          <w:sz w:val="32"/>
          <w:highlight w:val="none"/>
        </w:rPr>
      </w:pPr>
      <w:bookmarkStart w:id="1936" w:name="_Toc25119"/>
      <w:bookmarkStart w:id="1937" w:name="_Toc24896"/>
      <w:bookmarkStart w:id="1938" w:name="_Toc24225"/>
      <w:bookmarkStart w:id="1939" w:name="_Toc13780"/>
      <w:bookmarkStart w:id="1940" w:name="_Toc6430"/>
      <w:r>
        <w:rPr>
          <w:rFonts w:hint="eastAsia" w:ascii="黑体" w:hAnsi="黑体" w:eastAsia="黑体" w:cs="宋体"/>
          <w:color w:val="auto"/>
          <w:kern w:val="44"/>
          <w:sz w:val="32"/>
          <w:highlight w:val="none"/>
        </w:rPr>
        <w:t>附件</w:t>
      </w:r>
      <w:bookmarkEnd w:id="1936"/>
      <w:bookmarkEnd w:id="1937"/>
      <w:bookmarkEnd w:id="1938"/>
      <w:bookmarkEnd w:id="1939"/>
    </w:p>
    <w:p>
      <w:pPr>
        <w:widowControl w:val="0"/>
        <w:spacing w:before="0" w:after="0" w:afterAutospacing="0"/>
        <w:ind w:left="0" w:right="0" w:firstLine="0"/>
        <w:rPr>
          <w:rFonts w:ascii="宋体" w:hAnsi="宋体" w:cs="宋体"/>
          <w:color w:val="auto"/>
          <w:highlight w:val="none"/>
        </w:rPr>
      </w:pPr>
      <w:bookmarkStart w:id="1941" w:name="_Toc29733"/>
      <w:bookmarkStart w:id="1942" w:name="_Toc349"/>
      <w:bookmarkStart w:id="1943" w:name="_Toc9420"/>
      <w:bookmarkStart w:id="1944" w:name="_Toc30769"/>
      <w:bookmarkStart w:id="1945" w:name="_Toc19249"/>
      <w:r>
        <w:rPr>
          <w:rFonts w:hint="eastAsia" w:ascii="宋体" w:hAnsi="宋体" w:cs="宋体"/>
          <w:color w:val="auto"/>
          <w:highlight w:val="none"/>
        </w:rPr>
        <w:t>附件1：故障件清单</w:t>
      </w:r>
      <w:bookmarkEnd w:id="1941"/>
    </w:p>
    <w:p>
      <w:pPr>
        <w:widowControl w:val="0"/>
        <w:spacing w:before="0" w:after="0" w:afterAutospacing="0"/>
        <w:ind w:left="0" w:right="0" w:firstLine="0"/>
        <w:rPr>
          <w:rFonts w:ascii="宋体" w:hAnsi="宋体" w:cs="宋体"/>
          <w:color w:val="auto"/>
          <w:highlight w:val="none"/>
        </w:rPr>
      </w:pPr>
      <w:bookmarkStart w:id="1946" w:name="_Toc20193"/>
      <w:r>
        <w:rPr>
          <w:rFonts w:hint="eastAsia" w:ascii="宋体" w:hAnsi="宋体" w:cs="宋体"/>
          <w:color w:val="auto"/>
          <w:highlight w:val="none"/>
        </w:rPr>
        <w:t>附件2：维修报告</w:t>
      </w:r>
      <w:bookmarkEnd w:id="1942"/>
      <w:bookmarkEnd w:id="1943"/>
      <w:bookmarkEnd w:id="1944"/>
      <w:bookmarkEnd w:id="1945"/>
      <w:bookmarkEnd w:id="1946"/>
    </w:p>
    <w:p>
      <w:pPr>
        <w:widowControl w:val="0"/>
        <w:spacing w:before="0" w:after="0" w:afterAutospacing="0"/>
        <w:ind w:left="0" w:right="0" w:firstLine="0"/>
        <w:rPr>
          <w:rFonts w:ascii="宋体" w:hAnsi="宋体" w:cs="宋体"/>
          <w:color w:val="auto"/>
          <w:highlight w:val="none"/>
        </w:rPr>
      </w:pPr>
      <w:bookmarkStart w:id="1947" w:name="_Toc32623"/>
      <w:bookmarkStart w:id="1948" w:name="_Toc7316"/>
      <w:bookmarkStart w:id="1949" w:name="_Toc25993"/>
      <w:bookmarkStart w:id="1950" w:name="_Toc6453"/>
      <w:r>
        <w:rPr>
          <w:rFonts w:hint="eastAsia" w:ascii="宋体" w:hAnsi="宋体" w:cs="宋体"/>
          <w:color w:val="auto"/>
          <w:highlight w:val="none"/>
        </w:rPr>
        <w:t>附件3：性能测试报告</w:t>
      </w:r>
      <w:bookmarkEnd w:id="1947"/>
      <w:bookmarkEnd w:id="1948"/>
      <w:bookmarkEnd w:id="1949"/>
      <w:bookmarkEnd w:id="1950"/>
    </w:p>
    <w:p>
      <w:pPr>
        <w:widowControl w:val="0"/>
        <w:spacing w:before="0" w:after="0" w:afterAutospacing="0"/>
        <w:ind w:left="0" w:right="0" w:firstLine="0"/>
        <w:rPr>
          <w:rFonts w:ascii="宋体" w:hAnsi="宋体" w:cs="宋体"/>
          <w:color w:val="auto"/>
          <w:highlight w:val="none"/>
        </w:rPr>
      </w:pPr>
      <w:bookmarkStart w:id="1951" w:name="_Toc5537"/>
      <w:bookmarkStart w:id="1952" w:name="_Toc17640"/>
      <w:bookmarkStart w:id="1953" w:name="_Toc25524"/>
      <w:bookmarkStart w:id="1954" w:name="_Toc23796"/>
      <w:bookmarkStart w:id="1955" w:name="_Toc24562"/>
      <w:r>
        <w:rPr>
          <w:rFonts w:hint="eastAsia" w:ascii="宋体" w:hAnsi="宋体" w:cs="宋体"/>
          <w:color w:val="auto"/>
          <w:highlight w:val="none"/>
        </w:rPr>
        <w:t>附件4：合同违约处罚通知单</w:t>
      </w:r>
      <w:bookmarkEnd w:id="1951"/>
      <w:bookmarkEnd w:id="1952"/>
      <w:bookmarkEnd w:id="1953"/>
      <w:bookmarkEnd w:id="1954"/>
      <w:bookmarkEnd w:id="1955"/>
    </w:p>
    <w:p>
      <w:pPr>
        <w:rPr>
          <w:color w:val="auto"/>
          <w:highlight w:val="none"/>
        </w:rPr>
      </w:pPr>
      <w:r>
        <w:rPr>
          <w:rFonts w:hint="eastAsia"/>
          <w:color w:val="auto"/>
          <w:highlight w:val="none"/>
        </w:rPr>
        <w:br w:type="page"/>
      </w:r>
    </w:p>
    <w:bookmarkEnd w:id="1940"/>
    <w:p>
      <w:pPr>
        <w:pStyle w:val="3"/>
        <w:numPr>
          <w:ilvl w:val="1"/>
          <w:numId w:val="0"/>
        </w:numPr>
        <w:spacing w:line="240" w:lineRule="auto"/>
        <w:ind w:right="-28"/>
        <w:rPr>
          <w:rFonts w:asciiTheme="minorEastAsia" w:hAnsiTheme="minorEastAsia" w:eastAsiaTheme="minorEastAsia" w:cstheme="minorEastAsia"/>
          <w:b w:val="0"/>
          <w:bCs/>
          <w:color w:val="auto"/>
          <w:sz w:val="21"/>
          <w:szCs w:val="21"/>
          <w:highlight w:val="none"/>
        </w:rPr>
      </w:pPr>
      <w:bookmarkStart w:id="1956" w:name="_Toc22900"/>
      <w:bookmarkStart w:id="1957" w:name="_Toc13815"/>
      <w:bookmarkStart w:id="1958" w:name="_Toc20565"/>
      <w:bookmarkStart w:id="1959" w:name="_Toc22840"/>
      <w:bookmarkStart w:id="1960" w:name="_Toc30263"/>
      <w:r>
        <w:rPr>
          <w:rFonts w:hint="eastAsia" w:asciiTheme="minorEastAsia" w:hAnsiTheme="minorEastAsia" w:eastAsiaTheme="minorEastAsia" w:cstheme="minorEastAsia"/>
          <w:b w:val="0"/>
          <w:bCs/>
          <w:color w:val="auto"/>
          <w:sz w:val="21"/>
          <w:szCs w:val="21"/>
          <w:highlight w:val="none"/>
        </w:rPr>
        <w:t>附件1：故障件清单</w:t>
      </w:r>
      <w:bookmarkEnd w:id="1956"/>
      <w:bookmarkEnd w:id="1957"/>
      <w:bookmarkEnd w:id="1958"/>
      <w:bookmarkEnd w:id="1959"/>
    </w:p>
    <w:tbl>
      <w:tblPr>
        <w:tblStyle w:val="31"/>
        <w:tblW w:w="10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34"/>
        <w:gridCol w:w="1134"/>
        <w:gridCol w:w="4365"/>
        <w:gridCol w:w="850"/>
        <w:gridCol w:w="1077"/>
        <w:gridCol w:w="655"/>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24"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序号</w:t>
            </w:r>
          </w:p>
        </w:tc>
        <w:tc>
          <w:tcPr>
            <w:tcW w:w="1134"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备件名称</w:t>
            </w:r>
          </w:p>
        </w:tc>
        <w:tc>
          <w:tcPr>
            <w:tcW w:w="1134"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规格型号</w:t>
            </w:r>
          </w:p>
        </w:tc>
        <w:tc>
          <w:tcPr>
            <w:tcW w:w="4365"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技术参数</w:t>
            </w:r>
          </w:p>
        </w:tc>
        <w:tc>
          <w:tcPr>
            <w:tcW w:w="850"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品牌</w:t>
            </w:r>
          </w:p>
        </w:tc>
        <w:tc>
          <w:tcPr>
            <w:tcW w:w="1077"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所属系统</w:t>
            </w:r>
          </w:p>
        </w:tc>
        <w:tc>
          <w:tcPr>
            <w:tcW w:w="655"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单位</w:t>
            </w:r>
          </w:p>
        </w:tc>
        <w:tc>
          <w:tcPr>
            <w:tcW w:w="668" w:type="dxa"/>
            <w:vAlign w:val="center"/>
          </w:tcPr>
          <w:p>
            <w:pPr>
              <w:spacing w:before="0" w:after="0" w:afterAutospacing="0" w:line="240" w:lineRule="auto"/>
              <w:ind w:left="0" w:right="0" w:firstLine="0"/>
              <w:jc w:val="center"/>
              <w:textAlignment w:val="center"/>
              <w:rPr>
                <w:rFonts w:ascii="宋体" w:hAnsi="宋体" w:cs="宋体"/>
                <w:b/>
                <w:color w:val="auto"/>
                <w:sz w:val="20"/>
                <w:szCs w:val="20"/>
                <w:highlight w:val="none"/>
              </w:rPr>
            </w:pPr>
            <w:r>
              <w:rPr>
                <w:rFonts w:hint="eastAsia" w:ascii="宋体" w:hAnsi="宋体" w:cs="宋体"/>
                <w:b/>
                <w:color w:val="auto"/>
                <w:sz w:val="20"/>
                <w:szCs w:val="2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基站PSU电源备件</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WAPN4335</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1、规格尺寸：长*宽*高：335mm*95mm*245mm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2、额度输入电压为-48VDC或220VAC</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3、端口类型：交流电源端口*1、14针直流电源端口*1、2针直流电源端口*1、RJ45端口*2、4针FAN端口*3</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4、输出：DC 28.5V、DC 12-24V</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5、适用于MOTOROLA MTS4基站</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摩托罗拉</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专用无线系统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台</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周界报警前端处理单元</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G6EM0102</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1.防区数字信号处理器通用规格：</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1）每台处理器可控制并定位长达600米的感应电缆；</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2）入侵定位精度为3m；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3）环境推导自适应处理技术（EDAPT）通过消除风雨影响降低误报率（NAR）；</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4）通过UCM软件进行配置和工作参数的设置；</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2.工作环境：</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1）工作温度：-40°C～70°C；</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2）湿度：100%（凝露）</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3）坚固的全天候喷涂铝机箱，NEMA 4X型（IP66）机箱，带铰链、锁盖；</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3.电气规格：</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1）输入电压：DC 10～60V；</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2）功耗：2.0W（仅处理器），2.5W（处理器带通讯卡）；</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3）感应电缆供电：DC 48V ，50W电源；</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4）辅助电源输出：DC 34～60V/2.0W；</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5）防雷保护：所有输入、输出及电源都带有瞬态电压保护；</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4.物理规格：</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1）尺寸：高31.6×宽18.6×深9.0 cm，包括电缆接口和安装架；</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2）重量：1.2kg；</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5.5个带密封缩口的电缆接口；</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6.包含外部接地端子。</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迈高</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安防系统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个</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F型交叉时钟板</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CSF</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1、外形尺寸（mm）:320.0（高）×210.0（深）×2.0（厚）</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 xml:space="preserve">2、重量（kg）:1.46 </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3、最大空分交叉容量（Gbit/s）：240</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最大时分交叉容量（</w:t>
            </w:r>
            <w:r>
              <w:rPr>
                <w:rFonts w:ascii="宋体" w:hAnsi="宋体" w:cs="宋体"/>
                <w:color w:val="auto"/>
                <w:sz w:val="20"/>
                <w:szCs w:val="20"/>
                <w:highlight w:val="none"/>
              </w:rPr>
              <w:t>Gbit/s）：40</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4、与中兴ZXMP S385配套使用</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中兴通讯</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专用传输系统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数字中继板</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4DTU</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1、尺寸：长340mmx宽233.4mm；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2、供电电压：DC -48V</w:t>
            </w:r>
            <w:r>
              <w:rPr>
                <w:rFonts w:hint="eastAsia" w:ascii="宋体" w:hAnsi="宋体" w:cs="宋体"/>
                <w:color w:val="auto"/>
                <w:sz w:val="20"/>
                <w:szCs w:val="20"/>
                <w:highlight w:val="none"/>
              </w:rPr>
              <w:t>，</w:t>
            </w:r>
            <w:r>
              <w:rPr>
                <w:rFonts w:ascii="宋体" w:hAnsi="宋体" w:cs="宋体"/>
                <w:color w:val="auto"/>
                <w:sz w:val="20"/>
                <w:szCs w:val="20"/>
                <w:highlight w:val="none"/>
              </w:rPr>
              <w:t>范围DC -40V~-57V（国标）</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3、工作电流：&lt;0.1A</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 xml:space="preserve">4、功耗：&lt;5W </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5、标称速率</w:t>
            </w:r>
            <w:r>
              <w:rPr>
                <w:rFonts w:hint="eastAsia" w:ascii="宋体" w:hAnsi="宋体" w:cs="宋体"/>
                <w:color w:val="auto"/>
                <w:sz w:val="20"/>
                <w:szCs w:val="20"/>
                <w:highlight w:val="none"/>
              </w:rPr>
              <w:t>：</w:t>
            </w:r>
            <w:r>
              <w:rPr>
                <w:rFonts w:ascii="宋体" w:hAnsi="宋体" w:cs="宋体"/>
                <w:color w:val="auto"/>
                <w:sz w:val="20"/>
                <w:szCs w:val="20"/>
                <w:highlight w:val="none"/>
              </w:rPr>
              <w:t>2048kbit/s</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6、比特率容差</w:t>
            </w:r>
            <w:r>
              <w:rPr>
                <w:rFonts w:hint="eastAsia" w:ascii="宋体" w:hAnsi="宋体" w:cs="宋体"/>
                <w:color w:val="auto"/>
                <w:sz w:val="20"/>
                <w:szCs w:val="20"/>
                <w:highlight w:val="none"/>
              </w:rPr>
              <w:t>：</w:t>
            </w:r>
            <w:r>
              <w:rPr>
                <w:rFonts w:ascii="宋体" w:hAnsi="宋体" w:cs="宋体"/>
                <w:color w:val="auto"/>
                <w:sz w:val="20"/>
                <w:szCs w:val="20"/>
                <w:highlight w:val="none"/>
              </w:rPr>
              <w:t xml:space="preserve">50x10-6 </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7、负载阻抗：分为两种75Ω用同轴线对传输；120Ω用对称线对传输</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8、线路信号脉冲高度：DC 2.37V(75Ω)；DC 3.00V(120Ω)</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9、无脉冲的峰值电压</w:t>
            </w:r>
            <w:r>
              <w:rPr>
                <w:rFonts w:hint="eastAsia" w:ascii="宋体" w:hAnsi="宋体" w:cs="宋体"/>
                <w:color w:val="auto"/>
                <w:sz w:val="20"/>
                <w:szCs w:val="20"/>
                <w:highlight w:val="none"/>
              </w:rPr>
              <w:t>：</w:t>
            </w:r>
            <w:r>
              <w:rPr>
                <w:rFonts w:ascii="宋体" w:hAnsi="宋体" w:cs="宋体"/>
                <w:color w:val="auto"/>
                <w:sz w:val="20"/>
                <w:szCs w:val="20"/>
                <w:highlight w:val="none"/>
              </w:rPr>
              <w:t>DC 0±0.237V(75Ω)；DC 0±0.3V(120Ω)</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10.线路信号脉冲宽度：244ns</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11、传输码型：HDB-3码</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远东通信</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专用电话系统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5</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内嵌RPR交换处理板</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RSEB</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1、外形尺寸（mm）:320.0（高）×210.0（深）×2.0（厚）</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2、重量（kg）:0.98</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3、最大功耗（25 ℃）（W）:29、4</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4、与中兴ZXMP S385配套使用</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中兴通讯</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专用传输系统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6</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硬币单元主控板</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3PCB100030A-01-10</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尺寸：长</w:t>
            </w:r>
            <w:r>
              <w:rPr>
                <w:rFonts w:ascii="宋体" w:hAnsi="宋体" w:cs="宋体"/>
                <w:color w:val="auto"/>
                <w:sz w:val="20"/>
                <w:szCs w:val="20"/>
                <w:highlight w:val="none"/>
              </w:rPr>
              <w:t>23cm*宽16cm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工作电压：</w:t>
            </w:r>
            <w:r>
              <w:rPr>
                <w:rFonts w:ascii="宋体" w:hAnsi="宋体" w:cs="宋体"/>
                <w:color w:val="auto"/>
                <w:sz w:val="20"/>
                <w:szCs w:val="20"/>
                <w:highlight w:val="none"/>
              </w:rPr>
              <w:t>DC24V</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内置固件版本：</w:t>
            </w:r>
            <w:r>
              <w:rPr>
                <w:rFonts w:ascii="宋体" w:hAnsi="宋体" w:cs="宋体"/>
                <w:color w:val="auto"/>
                <w:sz w:val="20"/>
                <w:szCs w:val="20"/>
                <w:highlight w:val="none"/>
              </w:rPr>
              <w:t>ESM-1.0.4.0</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接口协议：</w:t>
            </w:r>
            <w:r>
              <w:rPr>
                <w:rFonts w:ascii="宋体" w:hAnsi="宋体" w:cs="宋体"/>
                <w:color w:val="auto"/>
                <w:sz w:val="20"/>
                <w:szCs w:val="20"/>
                <w:highlight w:val="none"/>
              </w:rPr>
              <w:t>RS232</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高见泽</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7</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纸币找零主控板</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CDM6240-ZKB001</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电压：</w:t>
            </w:r>
            <w:r>
              <w:rPr>
                <w:rFonts w:ascii="宋体" w:hAnsi="宋体" w:cs="宋体"/>
                <w:color w:val="auto"/>
                <w:sz w:val="20"/>
                <w:szCs w:val="20"/>
                <w:highlight w:val="none"/>
              </w:rPr>
              <w:t>24V DC</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携带软件版本：</w:t>
            </w:r>
            <w:r>
              <w:rPr>
                <w:rFonts w:ascii="宋体" w:hAnsi="宋体" w:cs="宋体"/>
                <w:color w:val="auto"/>
                <w:sz w:val="20"/>
                <w:szCs w:val="20"/>
                <w:highlight w:val="none"/>
              </w:rPr>
              <w:t>V2.0b02</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物料号：</w:t>
            </w:r>
            <w:r>
              <w:rPr>
                <w:rFonts w:ascii="宋体" w:hAnsi="宋体" w:cs="宋体"/>
                <w:color w:val="auto"/>
                <w:sz w:val="20"/>
                <w:szCs w:val="20"/>
                <w:highlight w:val="none"/>
              </w:rPr>
              <w:t>301010125</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适用于</w:t>
            </w:r>
            <w:r>
              <w:rPr>
                <w:rFonts w:ascii="宋体" w:hAnsi="宋体" w:cs="宋体"/>
                <w:color w:val="auto"/>
                <w:sz w:val="20"/>
                <w:szCs w:val="20"/>
                <w:highlight w:val="none"/>
              </w:rPr>
              <w:t>CDM6240纸币找零单元。</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广电运通</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8</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网络节点控制器</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BHP-N-200</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1、电源：DC 24V±2</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2、用电量：≈80mA</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3、额定音频输入/输出电平：0dB</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4、频率响应：60Hz～16kHz ≤0.5dB</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5、失真度：≤ 0.5%</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6、设备尺寸：长265mm×宽46mm×高132mm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7、线路板尺寸：≈长258mm× 宽103mm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8、设备重量：≈0.4kg</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9、使用温度：0-40℃</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天津北海</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广播系统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个</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9</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接口控制器</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BHP-N-100</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1、电源：DC24V±2V</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2、用电量：80mA</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3、额定音频输入/输出电平：0dB</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4、频率响应：60Hz～16kHz ≤0.5dB</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5、失真度：≤ 0.5%</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6、设备尺寸：132（高）*46（宽）*265（深）mm，线路板尺寸</w:t>
            </w:r>
            <w:r>
              <w:rPr>
                <w:rFonts w:hint="eastAsia" w:ascii="宋体" w:hAnsi="宋体" w:cs="宋体"/>
                <w:color w:val="auto"/>
                <w:sz w:val="20"/>
                <w:szCs w:val="20"/>
                <w:highlight w:val="none"/>
              </w:rPr>
              <w:t>：</w:t>
            </w:r>
            <w:r>
              <w:rPr>
                <w:rFonts w:ascii="宋体" w:hAnsi="宋体" w:cs="宋体"/>
                <w:color w:val="auto"/>
                <w:sz w:val="20"/>
                <w:szCs w:val="20"/>
                <w:highlight w:val="none"/>
              </w:rPr>
              <w:t>103（宽）* 258（长）mm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7、设备重量：0.4kg，使用温度：0-40℃</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天津北海</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广播系统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个</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10</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发行单元主控板</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YT7.820.0866</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1.电压：24V DC；</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2.携带软件版本：V1.2b03</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为TIM-001C系列票卡发售模块控制板；</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适用于南宁地铁1、2、4、5号线广电运通TIM-001C、TIM-001K、TIM-005A单程票处理模块。</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中软</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11</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扇门（宽通道）</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PDC-300</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1.定制：非规则模块</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2.尺寸：497*292mm*50mm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适用于</w:t>
            </w:r>
            <w:r>
              <w:rPr>
                <w:rFonts w:ascii="宋体" w:hAnsi="宋体" w:cs="宋体"/>
                <w:color w:val="auto"/>
                <w:sz w:val="20"/>
                <w:szCs w:val="20"/>
                <w:highlight w:val="none"/>
              </w:rPr>
              <w:t>PDC-300扇门模块使用</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中软</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组</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12</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纸币找零模块</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CDM6240</w:t>
            </w:r>
            <w:r>
              <w:rPr>
                <w:rFonts w:ascii="宋体" w:hAnsi="宋体" w:cs="宋体"/>
                <w:color w:val="auto"/>
                <w:sz w:val="20"/>
                <w:szCs w:val="20"/>
                <w:highlight w:val="none"/>
              </w:rPr>
              <w:t>N</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纸币找零模块主要包含纸币找零钱箱、吸钞模块、纸币找零模块控制板等。</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1.纸币找零模块控制板：尺寸：21.7cm*14cm，工作电压：DC24V，软件程序：ToolPlusD。</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2.纸币找零钱箱：</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尺寸：长230mm*宽123mm*高103mm，容量：2000张/个，内置</w:t>
            </w:r>
            <w:r>
              <w:rPr>
                <w:rFonts w:hint="eastAsia" w:ascii="宋体" w:hAnsi="宋体" w:cs="宋体"/>
                <w:color w:val="auto"/>
                <w:sz w:val="20"/>
                <w:szCs w:val="20"/>
                <w:highlight w:val="none"/>
              </w:rPr>
              <w:t>机械锁</w:t>
            </w:r>
            <w:r>
              <w:rPr>
                <w:rFonts w:ascii="宋体" w:hAnsi="宋体" w:cs="宋体"/>
                <w:color w:val="auto"/>
                <w:sz w:val="20"/>
                <w:szCs w:val="20"/>
                <w:highlight w:val="none"/>
              </w:rPr>
              <w:t xml:space="preserve">、RFID </w:t>
            </w:r>
            <w:r>
              <w:rPr>
                <w:rFonts w:hint="eastAsia" w:ascii="宋体" w:hAnsi="宋体" w:cs="宋体"/>
                <w:color w:val="auto"/>
                <w:sz w:val="20"/>
                <w:szCs w:val="20"/>
                <w:highlight w:val="none"/>
              </w:rPr>
              <w:t>读卡及电子标签</w:t>
            </w:r>
            <w:r>
              <w:rPr>
                <w:rFonts w:ascii="宋体" w:hAnsi="宋体" w:cs="宋体"/>
                <w:color w:val="auto"/>
                <w:sz w:val="20"/>
                <w:szCs w:val="20"/>
                <w:highlight w:val="none"/>
              </w:rPr>
              <w:t>；</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3.吸钞方式为摩擦式，单张宽边送钞，出钞速度4张/秒。</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适用于广电运通CDM6240N纸币找零模块。</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广电运通</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13</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硬币识别器</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ascii="宋体" w:hAnsi="宋体" w:cs="宋体"/>
                <w:color w:val="auto"/>
                <w:sz w:val="20"/>
                <w:szCs w:val="20"/>
                <w:highlight w:val="none"/>
              </w:rPr>
              <w:t>POCO3-CN-00001</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1.假币识别率＞99.9%</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2.识别速度：5枚/s</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3.可接收硬币种数：16</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4.定制：非规则形状模块</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5.尺寸：12cm*13cm*14.5cm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适用于南宁地铁</w:t>
            </w:r>
            <w:r>
              <w:rPr>
                <w:rFonts w:ascii="宋体" w:hAnsi="宋体" w:cs="宋体"/>
                <w:color w:val="auto"/>
                <w:sz w:val="20"/>
                <w:szCs w:val="20"/>
                <w:highlight w:val="none"/>
              </w:rPr>
              <w:t>2号线/4号线广电运通CAS-006D、CAS-006F硬币处理模块。</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广电运通</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14</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钞票识别模块(NV)</w:t>
            </w:r>
          </w:p>
        </w:tc>
        <w:tc>
          <w:tcPr>
            <w:tcW w:w="113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ascii="宋体" w:hAnsi="宋体" w:cs="宋体"/>
                <w:color w:val="auto"/>
                <w:sz w:val="20"/>
                <w:szCs w:val="20"/>
                <w:highlight w:val="none"/>
              </w:rPr>
              <w:t>NV-100</w:t>
            </w:r>
          </w:p>
        </w:tc>
        <w:tc>
          <w:tcPr>
            <w:tcW w:w="4365"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1.定制：非规则形状模块；</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2.尺寸：15.3cm*15.5cm*12.2cm；</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3.检测手段：全幅面图象传感器检测，包括白光、红外光钞票冠字码追踪，全幅面磁性传感器检测；</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4.真币识别率≥96%，假币识别率：99.9%；</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ascii="宋体" w:hAnsi="宋体" w:cs="宋体"/>
                <w:color w:val="auto"/>
                <w:sz w:val="20"/>
                <w:szCs w:val="20"/>
                <w:highlight w:val="none"/>
              </w:rPr>
              <w:t>5.测试、升级工具：BA15ToolPlusStd</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适用于</w:t>
            </w:r>
            <w:r>
              <w:rPr>
                <w:rFonts w:ascii="宋体" w:hAnsi="宋体" w:cs="宋体"/>
                <w:color w:val="auto"/>
                <w:sz w:val="20"/>
                <w:szCs w:val="20"/>
                <w:highlight w:val="none"/>
              </w:rPr>
              <w:t>BA-15C纸币识别模块。</w:t>
            </w:r>
          </w:p>
        </w:tc>
        <w:tc>
          <w:tcPr>
            <w:tcW w:w="850"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广电运通</w:t>
            </w:r>
          </w:p>
        </w:tc>
        <w:tc>
          <w:tcPr>
            <w:tcW w:w="1077"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自动售检票系统</w:t>
            </w:r>
          </w:p>
        </w:tc>
        <w:tc>
          <w:tcPr>
            <w:tcW w:w="655"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4"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15</w:t>
            </w:r>
          </w:p>
        </w:tc>
        <w:tc>
          <w:tcPr>
            <w:tcW w:w="9215" w:type="dxa"/>
            <w:gridSpan w:val="6"/>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合计</w:t>
            </w:r>
          </w:p>
        </w:tc>
        <w:tc>
          <w:tcPr>
            <w:tcW w:w="668" w:type="dxa"/>
            <w:vAlign w:val="center"/>
          </w:tcPr>
          <w:p>
            <w:pPr>
              <w:spacing w:before="0" w:after="0" w:afterAutospacing="0" w:line="240" w:lineRule="auto"/>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65</w:t>
            </w:r>
          </w:p>
        </w:tc>
      </w:tr>
    </w:tbl>
    <w:p>
      <w:pPr>
        <w:rPr>
          <w:rFonts w:asciiTheme="minorEastAsia" w:hAnsiTheme="minorEastAsia" w:eastAsiaTheme="minorEastAsia" w:cstheme="minorEastAsia"/>
          <w:bCs/>
          <w:color w:val="auto"/>
          <w:highlight w:val="none"/>
        </w:rPr>
      </w:pPr>
      <w:bookmarkStart w:id="1961" w:name="_Toc32601"/>
      <w:bookmarkStart w:id="1962" w:name="_Toc28003"/>
      <w:bookmarkStart w:id="1963" w:name="_Toc2885"/>
      <w:r>
        <w:rPr>
          <w:rFonts w:hint="eastAsia" w:asciiTheme="minorEastAsia" w:hAnsiTheme="minorEastAsia" w:eastAsiaTheme="minorEastAsia" w:cstheme="minorEastAsia"/>
          <w:bCs/>
          <w:color w:val="auto"/>
          <w:highlight w:val="none"/>
        </w:rPr>
        <w:br w:type="page"/>
      </w:r>
    </w:p>
    <w:p>
      <w:pPr>
        <w:pStyle w:val="3"/>
        <w:numPr>
          <w:ilvl w:val="1"/>
          <w:numId w:val="0"/>
        </w:numPr>
        <w:spacing w:line="240" w:lineRule="auto"/>
        <w:ind w:right="-28"/>
        <w:rPr>
          <w:rFonts w:asciiTheme="minorEastAsia" w:hAnsiTheme="minorEastAsia" w:eastAsiaTheme="minorEastAsia" w:cstheme="minorEastAsia"/>
          <w:b w:val="0"/>
          <w:bCs/>
          <w:color w:val="auto"/>
          <w:sz w:val="21"/>
          <w:szCs w:val="21"/>
          <w:highlight w:val="none"/>
        </w:rPr>
      </w:pPr>
      <w:bookmarkStart w:id="1964" w:name="_Toc31097"/>
      <w:r>
        <w:rPr>
          <w:rFonts w:hint="eastAsia" w:asciiTheme="minorEastAsia" w:hAnsiTheme="minorEastAsia" w:eastAsiaTheme="minorEastAsia" w:cstheme="minorEastAsia"/>
          <w:b w:val="0"/>
          <w:bCs/>
          <w:color w:val="auto"/>
          <w:sz w:val="21"/>
          <w:szCs w:val="21"/>
          <w:highlight w:val="none"/>
        </w:rPr>
        <w:t>附件2：维修报告</w:t>
      </w:r>
      <w:bookmarkEnd w:id="1961"/>
      <w:bookmarkEnd w:id="1962"/>
      <w:bookmarkEnd w:id="1963"/>
      <w:bookmarkEnd w:id="1964"/>
    </w:p>
    <w:p>
      <w:pPr>
        <w:spacing w:before="0" w:after="0" w:afterAutospacing="0"/>
        <w:ind w:left="0" w:right="0" w:firstLine="420" w:firstLineChars="200"/>
        <w:jc w:val="center"/>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维修报告（每个故障件需提供一份维修报告）</w:t>
      </w:r>
    </w:p>
    <w:tbl>
      <w:tblPr>
        <w:tblStyle w:val="31"/>
        <w:tblW w:w="9032" w:type="dxa"/>
        <w:jc w:val="center"/>
        <w:tblLayout w:type="fixed"/>
        <w:tblCellMar>
          <w:top w:w="0" w:type="dxa"/>
          <w:left w:w="108" w:type="dxa"/>
          <w:bottom w:w="0" w:type="dxa"/>
          <w:right w:w="108" w:type="dxa"/>
        </w:tblCellMar>
      </w:tblPr>
      <w:tblGrid>
        <w:gridCol w:w="5384"/>
        <w:gridCol w:w="3648"/>
      </w:tblGrid>
      <w:tr>
        <w:tblPrEx>
          <w:tblCellMar>
            <w:top w:w="0" w:type="dxa"/>
            <w:left w:w="108" w:type="dxa"/>
            <w:bottom w:w="0" w:type="dxa"/>
            <w:right w:w="108" w:type="dxa"/>
          </w:tblCellMar>
        </w:tblPrEx>
        <w:trPr>
          <w:trHeight w:val="631" w:hRule="atLeast"/>
          <w:jc w:val="center"/>
        </w:trPr>
        <w:tc>
          <w:tcPr>
            <w:tcW w:w="9032"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维修单位：</w:t>
            </w:r>
          </w:p>
        </w:tc>
      </w:tr>
      <w:tr>
        <w:tblPrEx>
          <w:tblCellMar>
            <w:top w:w="0" w:type="dxa"/>
            <w:left w:w="108" w:type="dxa"/>
            <w:bottom w:w="0" w:type="dxa"/>
            <w:right w:w="108" w:type="dxa"/>
          </w:tblCellMar>
        </w:tblPrEx>
        <w:trPr>
          <w:trHeight w:val="1128" w:hRule="atLeast"/>
          <w:jc w:val="center"/>
        </w:trPr>
        <w:tc>
          <w:tcPr>
            <w:tcW w:w="5384" w:type="dxa"/>
            <w:tcBorders>
              <w:top w:val="nil"/>
              <w:left w:val="single" w:color="auto" w:sz="8" w:space="0"/>
              <w:bottom w:val="single" w:color="auto" w:sz="8" w:space="0"/>
              <w:right w:val="single" w:color="auto" w:sz="8" w:space="0"/>
            </w:tcBorders>
            <w:shd w:val="clear" w:color="auto" w:fill="auto"/>
            <w:noWrap/>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故障件归属系统：</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故障件名称型号：</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序列号：</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软件版本号：</w:t>
            </w:r>
          </w:p>
        </w:tc>
        <w:tc>
          <w:tcPr>
            <w:tcW w:w="3648" w:type="dxa"/>
            <w:tcBorders>
              <w:top w:val="nil"/>
              <w:left w:val="single" w:color="auto" w:sz="8" w:space="0"/>
              <w:bottom w:val="single" w:color="auto" w:sz="8" w:space="0"/>
              <w:right w:val="single" w:color="auto" w:sz="8" w:space="0"/>
            </w:tcBorders>
            <w:shd w:val="clear" w:color="auto" w:fill="auto"/>
            <w:noWrap/>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接收时间：</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修复时间：</w:t>
            </w:r>
          </w:p>
        </w:tc>
      </w:tr>
      <w:tr>
        <w:tblPrEx>
          <w:tblCellMar>
            <w:top w:w="0" w:type="dxa"/>
            <w:left w:w="108" w:type="dxa"/>
            <w:bottom w:w="0" w:type="dxa"/>
            <w:right w:w="108" w:type="dxa"/>
          </w:tblCellMar>
        </w:tblPrEx>
        <w:trPr>
          <w:trHeight w:val="1748" w:hRule="atLeast"/>
          <w:jc w:val="center"/>
        </w:trPr>
        <w:tc>
          <w:tcPr>
            <w:tcW w:w="9032" w:type="dxa"/>
            <w:gridSpan w:val="2"/>
            <w:tcBorders>
              <w:top w:val="nil"/>
              <w:left w:val="single" w:color="auto" w:sz="8" w:space="0"/>
              <w:bottom w:val="single" w:color="000000" w:sz="8" w:space="0"/>
              <w:right w:val="single" w:color="auto" w:sz="8" w:space="0"/>
            </w:tcBorders>
            <w:shd w:val="clear" w:color="auto" w:fill="auto"/>
            <w:noWrap/>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故障件故障现象：</w:t>
            </w: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591" w:hRule="atLeast"/>
          <w:jc w:val="center"/>
        </w:trPr>
        <w:tc>
          <w:tcPr>
            <w:tcW w:w="9032"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故障件的维修测试说明（包含故障点描述）：</w:t>
            </w: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1124" w:hRule="atLeast"/>
          <w:jc w:val="center"/>
        </w:trPr>
        <w:tc>
          <w:tcPr>
            <w:tcW w:w="9032" w:type="dxa"/>
            <w:gridSpan w:val="2"/>
            <w:vMerge w:val="continue"/>
            <w:tcBorders>
              <w:top w:val="single" w:color="auto" w:sz="8" w:space="0"/>
              <w:left w:val="single" w:color="auto" w:sz="8" w:space="0"/>
              <w:bottom w:val="single" w:color="000000" w:sz="8" w:space="0"/>
              <w:right w:val="single" w:color="000000" w:sz="8" w:space="0"/>
            </w:tcBorders>
            <w:noWrap/>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90" w:hRule="atLeast"/>
          <w:jc w:val="center"/>
        </w:trPr>
        <w:tc>
          <w:tcPr>
            <w:tcW w:w="9032" w:type="dxa"/>
            <w:gridSpan w:val="2"/>
            <w:tcBorders>
              <w:top w:val="single" w:color="auto" w:sz="8" w:space="0"/>
              <w:left w:val="single" w:color="auto" w:sz="8" w:space="0"/>
              <w:bottom w:val="single" w:color="auto" w:sz="8" w:space="0"/>
              <w:right w:val="single" w:color="000000" w:sz="8" w:space="0"/>
            </w:tcBorders>
            <w:shd w:val="clear" w:color="auto" w:fill="auto"/>
            <w:noWrap/>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故障件的软硬件更换记录：</w:t>
            </w: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1047" w:hRule="atLeast"/>
          <w:jc w:val="center"/>
        </w:trPr>
        <w:tc>
          <w:tcPr>
            <w:tcW w:w="9032" w:type="dxa"/>
            <w:gridSpan w:val="2"/>
            <w:tcBorders>
              <w:top w:val="single" w:color="auto" w:sz="8" w:space="0"/>
              <w:left w:val="single" w:color="auto" w:sz="8" w:space="0"/>
              <w:bottom w:val="single" w:color="auto" w:sz="8" w:space="0"/>
              <w:right w:val="single" w:color="000000" w:sz="8" w:space="0"/>
            </w:tcBorders>
            <w:shd w:val="clear" w:color="auto" w:fill="auto"/>
            <w:noWrap/>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故障件维修结果：</w:t>
            </w: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1047" w:hRule="atLeast"/>
          <w:jc w:val="center"/>
        </w:trPr>
        <w:tc>
          <w:tcPr>
            <w:tcW w:w="9032" w:type="dxa"/>
            <w:gridSpan w:val="2"/>
            <w:tcBorders>
              <w:top w:val="single" w:color="auto" w:sz="8" w:space="0"/>
              <w:left w:val="single" w:color="auto" w:sz="8" w:space="0"/>
              <w:bottom w:val="single" w:color="auto" w:sz="8" w:space="0"/>
              <w:right w:val="single" w:color="000000" w:sz="8" w:space="0"/>
            </w:tcBorders>
            <w:shd w:val="clear" w:color="auto" w:fill="auto"/>
            <w:noWrap/>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使用建议、维护注意事项：</w:t>
            </w: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1231" w:hRule="atLeast"/>
          <w:jc w:val="center"/>
        </w:trPr>
        <w:tc>
          <w:tcPr>
            <w:tcW w:w="9032" w:type="dxa"/>
            <w:gridSpan w:val="2"/>
            <w:tcBorders>
              <w:top w:val="single" w:color="auto" w:sz="8" w:space="0"/>
              <w:left w:val="single" w:color="auto" w:sz="8" w:space="0"/>
              <w:bottom w:val="single" w:color="auto" w:sz="8" w:space="0"/>
              <w:right w:val="single" w:color="000000" w:sz="8" w:space="0"/>
            </w:tcBorders>
            <w:shd w:val="clear" w:color="auto" w:fill="auto"/>
            <w:noWrap/>
          </w:tcPr>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维修工程师签名：                                  盖章</w:t>
            </w:r>
          </w:p>
          <w:p>
            <w:pPr>
              <w:spacing w:before="0" w:after="0" w:afterAutospacing="0" w:line="240" w:lineRule="auto"/>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维修日期：</w:t>
            </w:r>
          </w:p>
        </w:tc>
      </w:tr>
    </w:tbl>
    <w:p>
      <w:pPr>
        <w:rPr>
          <w:rFonts w:asciiTheme="minorEastAsia" w:hAnsiTheme="minorEastAsia" w:eastAsiaTheme="minorEastAsia" w:cstheme="minorEastAsia"/>
          <w:bCs/>
          <w:color w:val="auto"/>
          <w:highlight w:val="none"/>
        </w:rPr>
      </w:pPr>
      <w:bookmarkStart w:id="1965" w:name="_Toc22600"/>
      <w:bookmarkStart w:id="1966" w:name="_Toc9136"/>
      <w:bookmarkStart w:id="1967" w:name="_Toc6801"/>
      <w:r>
        <w:rPr>
          <w:rFonts w:hint="eastAsia" w:asciiTheme="minorEastAsia" w:hAnsiTheme="minorEastAsia" w:eastAsiaTheme="minorEastAsia" w:cstheme="minorEastAsia"/>
          <w:bCs/>
          <w:color w:val="auto"/>
          <w:highlight w:val="none"/>
        </w:rPr>
        <w:br w:type="page"/>
      </w:r>
    </w:p>
    <w:p>
      <w:pPr>
        <w:pStyle w:val="3"/>
        <w:numPr>
          <w:ilvl w:val="1"/>
          <w:numId w:val="0"/>
        </w:numPr>
        <w:spacing w:line="240" w:lineRule="auto"/>
        <w:ind w:right="-28"/>
        <w:rPr>
          <w:rFonts w:asciiTheme="minorEastAsia" w:hAnsiTheme="minorEastAsia" w:eastAsiaTheme="minorEastAsia" w:cstheme="minorEastAsia"/>
          <w:b w:val="0"/>
          <w:bCs/>
          <w:color w:val="auto"/>
          <w:sz w:val="21"/>
          <w:szCs w:val="21"/>
          <w:highlight w:val="none"/>
        </w:rPr>
      </w:pPr>
      <w:bookmarkStart w:id="1968" w:name="_Toc30317"/>
      <w:r>
        <w:rPr>
          <w:rFonts w:hint="eastAsia" w:asciiTheme="minorEastAsia" w:hAnsiTheme="minorEastAsia" w:eastAsiaTheme="minorEastAsia" w:cstheme="minorEastAsia"/>
          <w:b w:val="0"/>
          <w:bCs/>
          <w:color w:val="auto"/>
          <w:sz w:val="21"/>
          <w:szCs w:val="21"/>
          <w:highlight w:val="none"/>
        </w:rPr>
        <w:t>附件3：性能测试验收报告</w:t>
      </w:r>
      <w:bookmarkEnd w:id="1960"/>
      <w:bookmarkEnd w:id="1965"/>
      <w:bookmarkEnd w:id="1966"/>
      <w:bookmarkEnd w:id="1967"/>
      <w:bookmarkEnd w:id="1968"/>
    </w:p>
    <w:p>
      <w:pPr>
        <w:spacing w:before="0" w:after="0" w:afterAutospacing="0"/>
        <w:ind w:left="0" w:right="0" w:firstLine="420" w:firstLineChars="200"/>
        <w:jc w:val="center"/>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性能测试验收报告</w:t>
      </w:r>
    </w:p>
    <w:tbl>
      <w:tblPr>
        <w:tblStyle w:val="32"/>
        <w:tblW w:w="10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37"/>
        <w:gridCol w:w="1077"/>
        <w:gridCol w:w="1077"/>
        <w:gridCol w:w="1361"/>
        <w:gridCol w:w="3402"/>
        <w:gridCol w:w="124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0290" w:type="dxa"/>
            <w:gridSpan w:val="8"/>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测试验收时间：</w:t>
            </w:r>
          </w:p>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测试验收地点：</w:t>
            </w:r>
          </w:p>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测试验收人员：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归属系统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名称</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型号</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序列号</w:t>
            </w:r>
          </w:p>
        </w:tc>
        <w:tc>
          <w:tcPr>
            <w:tcW w:w="3402"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测试验收内容及标准</w:t>
            </w:r>
          </w:p>
        </w:tc>
        <w:tc>
          <w:tcPr>
            <w:tcW w:w="1246"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测试结果</w:t>
            </w:r>
          </w:p>
        </w:tc>
        <w:tc>
          <w:tcPr>
            <w:tcW w:w="710"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专用无线系统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基站PSU电源备件</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WAPN4335</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2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2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2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能正常输出48V直流电压和12V直流电压；</w:t>
            </w:r>
            <w:r>
              <w:rPr>
                <w:rFonts w:hint="eastAsia" w:ascii="宋体" w:hAnsi="宋体" w:cstheme="minorBidi"/>
                <w:color w:val="auto"/>
                <w:highlight w:val="none"/>
              </w:rPr>
              <w:sym w:font="Wingdings" w:char="00A8"/>
            </w:r>
          </w:p>
          <w:p>
            <w:pPr>
              <w:widowControl w:val="0"/>
              <w:numPr>
                <w:ilvl w:val="0"/>
                <w:numId w:val="2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序列号能正常被基站控制器识别。</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spacing w:before="0" w:after="0" w:afterAutospacing="0" w:line="240" w:lineRule="auto"/>
              <w:ind w:left="0" w:right="0" w:firstLine="0"/>
              <w:jc w:val="left"/>
              <w:textAlignment w:val="center"/>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安防系统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周界报警前端处理单元</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G6EM0102</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能精确连接振动电缆；</w:t>
            </w:r>
            <w:r>
              <w:rPr>
                <w:rFonts w:hint="eastAsia" w:ascii="宋体" w:hAnsi="宋体" w:cstheme="minorBidi"/>
                <w:color w:val="auto"/>
                <w:highlight w:val="none"/>
              </w:rPr>
              <w:sym w:font="Wingdings" w:char="00A8"/>
            </w:r>
          </w:p>
          <w:p>
            <w:pPr>
              <w:widowControl w:val="0"/>
              <w:numPr>
                <w:ilvl w:val="0"/>
                <w:numId w:val="3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能处理振动电缆的联动信息。</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专用传输系统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F型交叉时钟板</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CSF</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板卡倒换时间在50ms内完成；</w:t>
            </w:r>
            <w:r>
              <w:rPr>
                <w:rFonts w:hint="eastAsia" w:ascii="宋体" w:hAnsi="宋体" w:cstheme="minorBidi"/>
                <w:color w:val="auto"/>
                <w:highlight w:val="none"/>
              </w:rPr>
              <w:sym w:font="Wingdings" w:char="00A8"/>
            </w:r>
          </w:p>
          <w:p>
            <w:pPr>
              <w:widowControl w:val="0"/>
              <w:numPr>
                <w:ilvl w:val="0"/>
                <w:numId w:val="3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业务和开销的交叉功能及系统时钟功能正常；</w:t>
            </w:r>
            <w:r>
              <w:rPr>
                <w:rFonts w:hint="eastAsia" w:ascii="宋体" w:hAnsi="宋体" w:cstheme="minorBidi"/>
                <w:color w:val="auto"/>
                <w:highlight w:val="none"/>
              </w:rPr>
              <w:sym w:font="Wingdings" w:char="00A8"/>
            </w:r>
          </w:p>
          <w:p>
            <w:pPr>
              <w:widowControl w:val="0"/>
              <w:numPr>
                <w:ilvl w:val="0"/>
                <w:numId w:val="3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系统全网时钟同步功能正常。</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专用电话系统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数字中继板</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4DTU</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2"/>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2"/>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2"/>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网管检测板卡无告警。</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专用传输系统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内嵌RPR交换处理板</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RSEB</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3"/>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3"/>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3"/>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以太网业务到弹性分组环（RPR）的映射正常；</w:t>
            </w:r>
            <w:r>
              <w:rPr>
                <w:rFonts w:hint="eastAsia" w:ascii="宋体" w:hAnsi="宋体" w:cstheme="minorBidi"/>
                <w:color w:val="auto"/>
                <w:highlight w:val="none"/>
              </w:rPr>
              <w:sym w:font="Wingdings" w:char="00A8"/>
            </w:r>
          </w:p>
          <w:p>
            <w:pPr>
              <w:widowControl w:val="0"/>
              <w:numPr>
                <w:ilvl w:val="0"/>
                <w:numId w:val="33"/>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提供RPR所需的双环拓扑结构，完成RPR节点的环形正常互连。</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硬币单元主控板</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3PCB100030A-01-10</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4"/>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4"/>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4"/>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测试设备各项功能均正常；</w:t>
            </w:r>
            <w:r>
              <w:rPr>
                <w:rFonts w:hint="eastAsia" w:ascii="宋体" w:hAnsi="宋体" w:cstheme="minorBidi"/>
                <w:color w:val="auto"/>
                <w:highlight w:val="none"/>
              </w:rPr>
              <w:sym w:font="Wingdings" w:char="00A8"/>
            </w:r>
          </w:p>
          <w:p>
            <w:pPr>
              <w:widowControl w:val="0"/>
              <w:numPr>
                <w:ilvl w:val="0"/>
                <w:numId w:val="34"/>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使用PC测试软件可正常检测各功能、设置参数。</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纸币找零单元主控板</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CDM6240-ZKB001</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5"/>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5"/>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5"/>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测试设备各项功能均正常；</w:t>
            </w:r>
            <w:r>
              <w:rPr>
                <w:rFonts w:hint="eastAsia" w:ascii="宋体" w:hAnsi="宋体" w:cstheme="minorBidi"/>
                <w:color w:val="auto"/>
                <w:highlight w:val="none"/>
              </w:rPr>
              <w:sym w:font="Wingdings" w:char="00A8"/>
            </w:r>
          </w:p>
          <w:p>
            <w:pPr>
              <w:widowControl w:val="0"/>
              <w:numPr>
                <w:ilvl w:val="0"/>
                <w:numId w:val="35"/>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使用PC测试软件可正常检测各功能、设置参数。</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广播系统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网络节点控制器</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BHP-N-200</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6"/>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6"/>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6"/>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能接收信号ATS发送的列车到站信息并发送给正线；</w:t>
            </w:r>
            <w:r>
              <w:rPr>
                <w:rFonts w:hint="eastAsia" w:ascii="宋体" w:hAnsi="宋体" w:cstheme="minorBidi"/>
                <w:color w:val="auto"/>
                <w:highlight w:val="none"/>
              </w:rPr>
              <w:sym w:font="Wingdings" w:char="00A8"/>
            </w:r>
          </w:p>
          <w:p>
            <w:pPr>
              <w:widowControl w:val="0"/>
              <w:numPr>
                <w:ilvl w:val="0"/>
                <w:numId w:val="36"/>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能接收控制中心下发的指令并下发各车站（远程登录车站模块）。</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广播系统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接口控制器</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BHP-N-100</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7"/>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7"/>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7"/>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能接收综合监控发送的数据并触发自动广播。</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发行单元主控板</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YT7.820.0866</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8"/>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38"/>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指示灯显示正常；</w:t>
            </w:r>
            <w:r>
              <w:rPr>
                <w:rFonts w:hint="eastAsia" w:ascii="宋体" w:hAnsi="宋体" w:cstheme="minorBidi"/>
                <w:color w:val="auto"/>
                <w:highlight w:val="none"/>
              </w:rPr>
              <w:sym w:font="Wingdings" w:char="00A8"/>
            </w:r>
          </w:p>
          <w:p>
            <w:pPr>
              <w:widowControl w:val="0"/>
              <w:numPr>
                <w:ilvl w:val="0"/>
                <w:numId w:val="38"/>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测试设备各项功能均正常；</w:t>
            </w:r>
            <w:r>
              <w:rPr>
                <w:rFonts w:hint="eastAsia" w:ascii="宋体" w:hAnsi="宋体" w:cstheme="minorBidi"/>
                <w:color w:val="auto"/>
                <w:highlight w:val="none"/>
              </w:rPr>
              <w:sym w:font="Wingdings" w:char="00A8"/>
            </w:r>
          </w:p>
          <w:p>
            <w:pPr>
              <w:widowControl w:val="0"/>
              <w:numPr>
                <w:ilvl w:val="0"/>
                <w:numId w:val="38"/>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使用PC测试软件可正常检测各功能、设置参数。</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pStyle w:val="14"/>
              <w:spacing w:before="0" w:after="0" w:afterAutospacing="0"/>
              <w:ind w:left="0" w:right="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扇门（宽通道）</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PDC-300</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3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扇门外观完好无损；</w:t>
            </w:r>
            <w:r>
              <w:rPr>
                <w:rFonts w:hint="eastAsia" w:ascii="宋体" w:hAnsi="宋体" w:cstheme="minorBidi"/>
                <w:color w:val="auto"/>
                <w:highlight w:val="none"/>
              </w:rPr>
              <w:sym w:font="Wingdings" w:char="00A8"/>
            </w:r>
          </w:p>
          <w:p>
            <w:pPr>
              <w:widowControl w:val="0"/>
              <w:numPr>
                <w:ilvl w:val="0"/>
                <w:numId w:val="3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扇门安装牢固，与连接组件稳合；</w:t>
            </w:r>
            <w:r>
              <w:rPr>
                <w:rFonts w:hint="eastAsia" w:ascii="宋体" w:hAnsi="宋体" w:cstheme="minorBidi"/>
                <w:color w:val="auto"/>
                <w:highlight w:val="none"/>
              </w:rPr>
              <w:sym w:font="Wingdings" w:char="00A8"/>
            </w:r>
          </w:p>
          <w:p>
            <w:pPr>
              <w:widowControl w:val="0"/>
              <w:numPr>
                <w:ilvl w:val="0"/>
                <w:numId w:val="39"/>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测试扇门正常打开，运行过程中与维修门无刮擦现象。</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spacing w:before="0" w:after="0" w:afterAutospacing="0"/>
              <w:ind w:left="0" w:right="0"/>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纸币找零模块</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CDM6240N</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4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4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维修面板无相关故障代码；</w:t>
            </w:r>
            <w:r>
              <w:rPr>
                <w:rFonts w:hint="eastAsia" w:ascii="宋体" w:hAnsi="宋体" w:cstheme="minorBidi"/>
                <w:color w:val="auto"/>
                <w:highlight w:val="none"/>
              </w:rPr>
              <w:sym w:font="Wingdings" w:char="00A8"/>
            </w:r>
          </w:p>
          <w:p>
            <w:pPr>
              <w:widowControl w:val="0"/>
              <w:numPr>
                <w:ilvl w:val="0"/>
                <w:numId w:val="4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测试主控板可正常检测找零模块各部件功能及参数；</w:t>
            </w:r>
            <w:r>
              <w:rPr>
                <w:rFonts w:hint="eastAsia" w:ascii="宋体" w:hAnsi="宋体" w:cstheme="minorBidi"/>
                <w:color w:val="auto"/>
                <w:highlight w:val="none"/>
              </w:rPr>
              <w:sym w:font="Wingdings" w:char="00A8"/>
            </w:r>
          </w:p>
          <w:p>
            <w:pPr>
              <w:widowControl w:val="0"/>
              <w:numPr>
                <w:ilvl w:val="0"/>
                <w:numId w:val="40"/>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测试找零模块各项功能均正常。</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spacing w:before="0" w:after="0" w:afterAutospacing="0"/>
              <w:ind w:left="0" w:right="0"/>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硬币识别器</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POCO3-CN-00001</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4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4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维修面板无相关故障代码；</w:t>
            </w:r>
            <w:r>
              <w:rPr>
                <w:rFonts w:hint="eastAsia" w:ascii="宋体" w:hAnsi="宋体" w:cstheme="minorBidi"/>
                <w:color w:val="auto"/>
                <w:highlight w:val="none"/>
              </w:rPr>
              <w:sym w:font="Wingdings" w:char="00A8"/>
            </w:r>
          </w:p>
          <w:p>
            <w:pPr>
              <w:widowControl w:val="0"/>
              <w:numPr>
                <w:ilvl w:val="0"/>
                <w:numId w:val="41"/>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测试硬币识别及硬币接收等各项功能均正常。</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spacing w:before="0" w:after="0" w:afterAutospacing="0"/>
              <w:ind w:left="0" w:right="0"/>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numPr>
                <w:ilvl w:val="0"/>
                <w:numId w:val="28"/>
              </w:numPr>
              <w:spacing w:before="0" w:after="0" w:afterAutospacing="0"/>
              <w:ind w:right="0"/>
              <w:jc w:val="center"/>
              <w:rPr>
                <w:color w:val="auto"/>
                <w:sz w:val="22"/>
                <w:szCs w:val="22"/>
                <w:highlight w:val="none"/>
              </w:rPr>
            </w:pPr>
          </w:p>
        </w:tc>
        <w:tc>
          <w:tcPr>
            <w:tcW w:w="73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AFC系统</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钞票识别模块(NV)</w:t>
            </w:r>
          </w:p>
        </w:tc>
        <w:tc>
          <w:tcPr>
            <w:tcW w:w="1077"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r>
              <w:rPr>
                <w:color w:val="auto"/>
                <w:highlight w:val="none"/>
              </w:rPr>
              <w:t>NV-100</w:t>
            </w:r>
          </w:p>
        </w:tc>
        <w:tc>
          <w:tcPr>
            <w:tcW w:w="1361" w:type="dxa"/>
            <w:vAlign w:val="center"/>
          </w:tcPr>
          <w:p>
            <w:pPr>
              <w:spacing w:before="0" w:after="0" w:afterAutospacing="0" w:line="240" w:lineRule="auto"/>
              <w:ind w:left="0" w:right="0" w:firstLine="0"/>
              <w:jc w:val="left"/>
              <w:textAlignment w:val="center"/>
              <w:rPr>
                <w:rFonts w:asciiTheme="minorEastAsia" w:hAnsiTheme="minorEastAsia" w:eastAsiaTheme="minorEastAsia" w:cstheme="minorEastAsia"/>
                <w:color w:val="auto"/>
                <w:highlight w:val="none"/>
              </w:rPr>
            </w:pPr>
          </w:p>
        </w:tc>
        <w:tc>
          <w:tcPr>
            <w:tcW w:w="3402" w:type="dxa"/>
            <w:vAlign w:val="center"/>
          </w:tcPr>
          <w:p>
            <w:pPr>
              <w:widowControl w:val="0"/>
              <w:numPr>
                <w:ilvl w:val="0"/>
                <w:numId w:val="42"/>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上电时正常工作；</w:t>
            </w:r>
            <w:r>
              <w:rPr>
                <w:rFonts w:hint="eastAsia" w:ascii="宋体" w:hAnsi="宋体" w:cstheme="minorBidi"/>
                <w:color w:val="auto"/>
                <w:highlight w:val="none"/>
              </w:rPr>
              <w:sym w:font="Wingdings" w:char="00A8"/>
            </w:r>
          </w:p>
          <w:p>
            <w:pPr>
              <w:widowControl w:val="0"/>
              <w:numPr>
                <w:ilvl w:val="0"/>
                <w:numId w:val="42"/>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维修面板无相关故障代码；</w:t>
            </w:r>
            <w:r>
              <w:rPr>
                <w:rFonts w:hint="eastAsia" w:ascii="宋体" w:hAnsi="宋体" w:cstheme="minorBidi"/>
                <w:color w:val="auto"/>
                <w:highlight w:val="none"/>
              </w:rPr>
              <w:sym w:font="Wingdings" w:char="00A8"/>
            </w:r>
          </w:p>
          <w:p>
            <w:pPr>
              <w:widowControl w:val="0"/>
              <w:numPr>
                <w:ilvl w:val="0"/>
                <w:numId w:val="42"/>
              </w:numPr>
              <w:spacing w:before="0" w:after="0" w:afterAutospacing="0"/>
              <w:ind w:left="0" w:right="0" w:firstLine="0"/>
              <w:jc w:val="left"/>
              <w:rPr>
                <w:rFonts w:ascii="宋体" w:hAnsi="宋体" w:cstheme="minorBidi"/>
                <w:color w:val="auto"/>
                <w:highlight w:val="none"/>
              </w:rPr>
            </w:pPr>
            <w:r>
              <w:rPr>
                <w:rFonts w:hint="eastAsia" w:ascii="宋体" w:hAnsi="宋体" w:cstheme="minorBidi"/>
                <w:color w:val="auto"/>
                <w:highlight w:val="none"/>
              </w:rPr>
              <w:t>测试钞票识别及钞票接收等各项功能均正常。</w:t>
            </w:r>
            <w:r>
              <w:rPr>
                <w:rFonts w:hint="eastAsia" w:ascii="宋体" w:hAnsi="宋体" w:cstheme="minorBidi"/>
                <w:color w:val="auto"/>
                <w:highlight w:val="none"/>
              </w:rPr>
              <w:sym w:font="Wingdings" w:char="00A8"/>
            </w:r>
          </w:p>
        </w:tc>
        <w:tc>
          <w:tcPr>
            <w:tcW w:w="1246" w:type="dxa"/>
            <w:vAlign w:val="center"/>
          </w:tcPr>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通过</w:t>
            </w:r>
          </w:p>
          <w:p>
            <w:pPr>
              <w:pStyle w:val="14"/>
              <w:widowControl w:val="0"/>
              <w:spacing w:before="0" w:after="0" w:afterAutospacing="0"/>
              <w:ind w:left="0" w:right="0" w:firstLine="0"/>
              <w:jc w:val="left"/>
              <w:rPr>
                <w:rFonts w:cs="Courier New"/>
                <w:color w:val="auto"/>
                <w:sz w:val="21"/>
                <w:szCs w:val="21"/>
                <w:highlight w:val="none"/>
              </w:rPr>
            </w:pPr>
            <w:r>
              <w:rPr>
                <w:rFonts w:hint="eastAsia" w:cs="Courier New"/>
                <w:color w:val="auto"/>
                <w:sz w:val="21"/>
                <w:szCs w:val="21"/>
                <w:highlight w:val="none"/>
              </w:rPr>
              <w:sym w:font="Wingdings" w:char="00A8"/>
            </w:r>
            <w:r>
              <w:rPr>
                <w:rFonts w:hint="eastAsia" w:cs="Courier New"/>
                <w:color w:val="auto"/>
                <w:sz w:val="21"/>
                <w:szCs w:val="21"/>
                <w:highlight w:val="none"/>
              </w:rPr>
              <w:t>不通过</w:t>
            </w:r>
          </w:p>
        </w:tc>
        <w:tc>
          <w:tcPr>
            <w:tcW w:w="710" w:type="dxa"/>
            <w:vAlign w:val="center"/>
          </w:tcPr>
          <w:p>
            <w:pPr>
              <w:spacing w:before="0" w:after="0" w:afterAutospacing="0"/>
              <w:ind w:left="0" w:right="0"/>
              <w:jc w:val="center"/>
              <w:rPr>
                <w:color w:val="auto"/>
                <w:sz w:val="22"/>
                <w:szCs w:val="22"/>
                <w:highlight w:val="none"/>
              </w:rPr>
            </w:pPr>
          </w:p>
        </w:tc>
      </w:tr>
    </w:tbl>
    <w:p>
      <w:pPr>
        <w:rPr>
          <w:rFonts w:asciiTheme="minorEastAsia" w:hAnsiTheme="minorEastAsia" w:eastAsiaTheme="minorEastAsia" w:cstheme="minorEastAsia"/>
          <w:bCs/>
          <w:color w:val="auto"/>
          <w:highlight w:val="none"/>
        </w:rPr>
      </w:pPr>
      <w:bookmarkStart w:id="1969" w:name="_Toc12691"/>
      <w:bookmarkStart w:id="1970" w:name="_Toc1922"/>
      <w:bookmarkStart w:id="1971" w:name="_Toc19974"/>
      <w:bookmarkStart w:id="1972" w:name="_Toc23569"/>
      <w:r>
        <w:rPr>
          <w:rFonts w:hint="eastAsia" w:asciiTheme="minorEastAsia" w:hAnsiTheme="minorEastAsia" w:eastAsiaTheme="minorEastAsia" w:cstheme="minorEastAsia"/>
          <w:bCs/>
          <w:color w:val="auto"/>
          <w:highlight w:val="none"/>
        </w:rPr>
        <w:br w:type="page"/>
      </w:r>
    </w:p>
    <w:p>
      <w:pPr>
        <w:pStyle w:val="3"/>
        <w:numPr>
          <w:ilvl w:val="1"/>
          <w:numId w:val="0"/>
        </w:numPr>
        <w:spacing w:line="240" w:lineRule="auto"/>
        <w:ind w:right="-28"/>
        <w:rPr>
          <w:rFonts w:asciiTheme="minorEastAsia" w:hAnsiTheme="minorEastAsia" w:eastAsiaTheme="minorEastAsia" w:cstheme="minorEastAsia"/>
          <w:b w:val="0"/>
          <w:bCs/>
          <w:color w:val="auto"/>
          <w:sz w:val="21"/>
          <w:szCs w:val="21"/>
          <w:highlight w:val="none"/>
        </w:rPr>
      </w:pPr>
      <w:bookmarkStart w:id="1973" w:name="_Toc17367"/>
      <w:r>
        <w:rPr>
          <w:rFonts w:hint="eastAsia" w:asciiTheme="minorEastAsia" w:hAnsiTheme="minorEastAsia" w:eastAsiaTheme="minorEastAsia" w:cstheme="minorEastAsia"/>
          <w:b w:val="0"/>
          <w:bCs/>
          <w:color w:val="auto"/>
          <w:sz w:val="21"/>
          <w:szCs w:val="21"/>
          <w:highlight w:val="none"/>
        </w:rPr>
        <w:t>附件4：合同违约处理通知单</w:t>
      </w:r>
      <w:bookmarkEnd w:id="1969"/>
      <w:bookmarkEnd w:id="1970"/>
      <w:bookmarkEnd w:id="1971"/>
      <w:bookmarkEnd w:id="1972"/>
      <w:bookmarkEnd w:id="1973"/>
    </w:p>
    <w:p>
      <w:pPr>
        <w:widowControl w:val="0"/>
        <w:spacing w:before="0" w:after="0" w:afterAutospacing="0"/>
        <w:ind w:left="0" w:right="0" w:firstLine="0"/>
        <w:jc w:val="center"/>
        <w:rPr>
          <w:rFonts w:ascii="宋体" w:hAnsi="宋体" w:cs="宋体"/>
          <w:b/>
          <w:color w:val="auto"/>
          <w:sz w:val="28"/>
          <w:szCs w:val="28"/>
          <w:highlight w:val="none"/>
        </w:rPr>
      </w:pPr>
      <w:r>
        <w:rPr>
          <w:rFonts w:hint="eastAsia" w:ascii="宋体" w:hAnsi="宋体" w:cs="宋体"/>
          <w:b/>
          <w:color w:val="auto"/>
          <w:sz w:val="28"/>
          <w:szCs w:val="28"/>
          <w:highlight w:val="none"/>
        </w:rPr>
        <w:t>合同违约处理通知单</w:t>
      </w:r>
    </w:p>
    <w:tbl>
      <w:tblPr>
        <w:tblStyle w:val="31"/>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2904"/>
        <w:gridCol w:w="815"/>
        <w:gridCol w:w="1969"/>
        <w:gridCol w:w="72"/>
        <w:gridCol w:w="511"/>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52" w:type="dxa"/>
            <w:tcBorders>
              <w:top w:val="thinThickSmallGap" w:color="auto" w:sz="18" w:space="0"/>
              <w:left w:val="thinThickSmallGap" w:color="auto" w:sz="18"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项目名称</w:t>
            </w:r>
          </w:p>
        </w:tc>
        <w:tc>
          <w:tcPr>
            <w:tcW w:w="3719"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p>
        </w:tc>
        <w:tc>
          <w:tcPr>
            <w:tcW w:w="2552" w:type="dxa"/>
            <w:gridSpan w:val="3"/>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合同编号</w:t>
            </w:r>
          </w:p>
        </w:tc>
        <w:tc>
          <w:tcPr>
            <w:tcW w:w="2512" w:type="dxa"/>
            <w:tcBorders>
              <w:top w:val="thinThickSmallGap" w:color="auto" w:sz="18" w:space="0"/>
              <w:left w:val="single" w:color="auto" w:sz="4" w:space="0"/>
              <w:right w:val="thinThickSmallGap" w:color="auto" w:sz="18" w:space="0"/>
            </w:tcBorders>
            <w:vAlign w:val="center"/>
          </w:tcPr>
          <w:p>
            <w:pPr>
              <w:widowControl w:val="0"/>
              <w:spacing w:before="0" w:after="0" w:afterAutospacing="0"/>
              <w:ind w:left="0" w:right="0" w:firstLine="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52" w:type="dxa"/>
            <w:tcBorders>
              <w:left w:val="thinThickSmallGap" w:color="auto" w:sz="18"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乙方</w:t>
            </w:r>
          </w:p>
        </w:tc>
        <w:tc>
          <w:tcPr>
            <w:tcW w:w="3719" w:type="dxa"/>
            <w:gridSpan w:val="2"/>
            <w:tcBorders>
              <w:left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p>
        </w:tc>
        <w:tc>
          <w:tcPr>
            <w:tcW w:w="2552" w:type="dxa"/>
            <w:gridSpan w:val="3"/>
            <w:tcBorders>
              <w:left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甲方主办部门</w:t>
            </w:r>
          </w:p>
        </w:tc>
        <w:tc>
          <w:tcPr>
            <w:tcW w:w="2512" w:type="dxa"/>
            <w:tcBorders>
              <w:left w:val="single" w:color="auto" w:sz="4" w:space="0"/>
              <w:right w:val="thinThickSmallGap" w:color="auto" w:sz="18" w:space="0"/>
            </w:tcBorders>
            <w:vAlign w:val="center"/>
          </w:tcPr>
          <w:p>
            <w:pPr>
              <w:widowControl w:val="0"/>
              <w:spacing w:before="0" w:after="0" w:afterAutospacing="0"/>
              <w:ind w:left="0" w:right="0" w:firstLine="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1752" w:type="dxa"/>
            <w:tcBorders>
              <w:left w:val="thinThickSmallGap" w:color="auto" w:sz="18"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违</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约</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情</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况</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及</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处</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理</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意</w:t>
            </w:r>
          </w:p>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向</w:t>
            </w:r>
          </w:p>
        </w:tc>
        <w:tc>
          <w:tcPr>
            <w:tcW w:w="8783" w:type="dxa"/>
            <w:gridSpan w:val="6"/>
            <w:tcBorders>
              <w:left w:val="single" w:color="auto" w:sz="4" w:space="0"/>
              <w:right w:val="thinThickSmallGap" w:color="auto" w:sz="18" w:space="0"/>
            </w:tcBorders>
            <w:vAlign w:val="center"/>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1.违约情况：</w:t>
            </w:r>
          </w:p>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合同违约条款：</w:t>
            </w:r>
          </w:p>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违约处理意见：</w:t>
            </w: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业主（公章）：</w:t>
            </w:r>
            <w:r>
              <w:rPr>
                <w:rFonts w:ascii="宋体" w:hAnsi="宋体" w:cs="宋体"/>
                <w:color w:val="auto"/>
                <w:highlight w:val="none"/>
              </w:rPr>
              <w:t>年    月    日</w:t>
            </w:r>
          </w:p>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752" w:type="dxa"/>
            <w:tcBorders>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主办部门审核意见</w:t>
            </w:r>
          </w:p>
        </w:tc>
        <w:tc>
          <w:tcPr>
            <w:tcW w:w="2904" w:type="dxa"/>
            <w:tcBorders>
              <w:top w:val="single" w:color="auto" w:sz="4" w:space="0"/>
              <w:left w:val="single" w:color="auto" w:sz="4" w:space="0"/>
              <w:bottom w:val="single" w:color="auto" w:sz="4" w:space="0"/>
              <w:right w:val="single" w:color="auto" w:sz="4" w:space="0"/>
            </w:tcBorders>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分中心：</w:t>
            </w: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c>
          <w:tcPr>
            <w:tcW w:w="2856" w:type="dxa"/>
            <w:gridSpan w:val="3"/>
            <w:tcBorders>
              <w:top w:val="single" w:color="auto" w:sz="4" w:space="0"/>
              <w:left w:val="single" w:color="auto" w:sz="4" w:space="0"/>
              <w:bottom w:val="single" w:color="auto" w:sz="4" w:space="0"/>
              <w:right w:val="single" w:color="auto" w:sz="4" w:space="0"/>
            </w:tcBorders>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技术室：</w:t>
            </w: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c>
          <w:tcPr>
            <w:tcW w:w="3023" w:type="dxa"/>
            <w:gridSpan w:val="2"/>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中心负责人：</w:t>
            </w: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752" w:type="dxa"/>
            <w:tcBorders>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相关部门</w:t>
            </w:r>
          </w:p>
        </w:tc>
        <w:tc>
          <w:tcPr>
            <w:tcW w:w="8783" w:type="dxa"/>
            <w:gridSpan w:val="6"/>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752" w:type="dxa"/>
            <w:tcBorders>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公司分管领导</w:t>
            </w:r>
          </w:p>
        </w:tc>
        <w:tc>
          <w:tcPr>
            <w:tcW w:w="8783" w:type="dxa"/>
            <w:gridSpan w:val="6"/>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752" w:type="dxa"/>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公司总经理</w:t>
            </w:r>
          </w:p>
        </w:tc>
        <w:tc>
          <w:tcPr>
            <w:tcW w:w="8783" w:type="dxa"/>
            <w:gridSpan w:val="6"/>
            <w:tcBorders>
              <w:top w:val="single" w:color="auto" w:sz="4" w:space="0"/>
              <w:left w:val="single" w:color="auto" w:sz="4" w:space="0"/>
              <w:bottom w:val="thinThickSmallGap" w:color="auto" w:sz="18"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1752" w:type="dxa"/>
            <w:tcBorders>
              <w:top w:val="thinThickSmallGap" w:color="auto" w:sz="18" w:space="0"/>
              <w:left w:val="thinThickSmallGap" w:color="auto" w:sz="18" w:space="0"/>
              <w:bottom w:val="thinThickSmallGap" w:color="auto" w:sz="18"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申诉意见</w:t>
            </w:r>
          </w:p>
        </w:tc>
        <w:tc>
          <w:tcPr>
            <w:tcW w:w="8783" w:type="dxa"/>
            <w:gridSpan w:val="6"/>
            <w:tcBorders>
              <w:top w:val="thinThickSmallGap" w:color="auto" w:sz="18" w:space="0"/>
              <w:left w:val="single" w:color="auto" w:sz="4" w:space="0"/>
              <w:bottom w:val="thinThickSmallGap" w:color="auto" w:sz="18"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乙方项目负责人（签章）：            乙方（公章）：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jc w:val="center"/>
        </w:trPr>
        <w:tc>
          <w:tcPr>
            <w:tcW w:w="1752" w:type="dxa"/>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违约处理决定</w:t>
            </w:r>
          </w:p>
        </w:tc>
        <w:tc>
          <w:tcPr>
            <w:tcW w:w="8783" w:type="dxa"/>
            <w:gridSpan w:val="6"/>
            <w:tcBorders>
              <w:top w:val="thinThickSmallGap" w:color="auto" w:sz="18" w:space="0"/>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业主审批领导（签章）：                 业主（公章）: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主办部门审核意见</w:t>
            </w:r>
          </w:p>
        </w:tc>
        <w:tc>
          <w:tcPr>
            <w:tcW w:w="2904" w:type="dxa"/>
            <w:tcBorders>
              <w:top w:val="single" w:color="auto" w:sz="4" w:space="0"/>
              <w:left w:val="single" w:color="auto" w:sz="4" w:space="0"/>
              <w:bottom w:val="single" w:color="auto" w:sz="4" w:space="0"/>
              <w:right w:val="single" w:color="auto" w:sz="6" w:space="0"/>
            </w:tcBorders>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分中心：</w:t>
            </w:r>
          </w:p>
          <w:p>
            <w:pPr>
              <w:widowControl w:val="0"/>
              <w:spacing w:before="0" w:after="0" w:afterAutospacing="0"/>
              <w:ind w:left="0" w:right="113" w:firstLine="0"/>
              <w:rPr>
                <w:rFonts w:ascii="宋体" w:hAnsi="宋体" w:cs="宋体"/>
                <w:color w:val="auto"/>
                <w:highlight w:val="none"/>
              </w:rPr>
            </w:pPr>
          </w:p>
        </w:tc>
        <w:tc>
          <w:tcPr>
            <w:tcW w:w="2784" w:type="dxa"/>
            <w:gridSpan w:val="2"/>
            <w:tcBorders>
              <w:top w:val="single" w:color="auto" w:sz="4" w:space="0"/>
              <w:left w:val="single" w:color="auto" w:sz="6" w:space="0"/>
              <w:bottom w:val="single" w:color="auto" w:sz="4" w:space="0"/>
              <w:right w:val="single" w:color="auto" w:sz="4" w:space="0"/>
            </w:tcBorders>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技术室：</w:t>
            </w:r>
          </w:p>
          <w:p>
            <w:pPr>
              <w:widowControl w:val="0"/>
              <w:spacing w:before="0" w:after="0" w:afterAutospacing="0"/>
              <w:ind w:left="0" w:right="113" w:firstLine="0"/>
              <w:rPr>
                <w:rFonts w:ascii="宋体" w:hAnsi="宋体" w:cs="宋体"/>
                <w:color w:val="auto"/>
                <w:highlight w:val="none"/>
              </w:rPr>
            </w:pPr>
          </w:p>
        </w:tc>
        <w:tc>
          <w:tcPr>
            <w:tcW w:w="3095" w:type="dxa"/>
            <w:gridSpan w:val="3"/>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r>
              <w:rPr>
                <w:rFonts w:hint="eastAsia" w:ascii="宋体" w:hAnsi="宋体" w:cs="宋体"/>
                <w:color w:val="auto"/>
                <w:highlight w:val="none"/>
              </w:rPr>
              <w:t>中心负责人：</w:t>
            </w:r>
          </w:p>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相关部门</w:t>
            </w:r>
          </w:p>
        </w:tc>
        <w:tc>
          <w:tcPr>
            <w:tcW w:w="8783" w:type="dxa"/>
            <w:gridSpan w:val="6"/>
            <w:tcBorders>
              <w:top w:val="nil"/>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公司分管领导</w:t>
            </w:r>
          </w:p>
        </w:tc>
        <w:tc>
          <w:tcPr>
            <w:tcW w:w="8783" w:type="dxa"/>
            <w:gridSpan w:val="6"/>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52" w:type="dxa"/>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ind w:left="0" w:right="0" w:firstLine="0"/>
              <w:jc w:val="center"/>
              <w:rPr>
                <w:rFonts w:ascii="宋体" w:hAnsi="宋体" w:cs="宋体"/>
                <w:b/>
                <w:color w:val="auto"/>
                <w:highlight w:val="none"/>
              </w:rPr>
            </w:pPr>
            <w:r>
              <w:rPr>
                <w:rFonts w:hint="eastAsia" w:ascii="宋体" w:hAnsi="宋体" w:cs="宋体"/>
                <w:b/>
                <w:color w:val="auto"/>
                <w:highlight w:val="none"/>
              </w:rPr>
              <w:t>公司总经理</w:t>
            </w:r>
          </w:p>
        </w:tc>
        <w:tc>
          <w:tcPr>
            <w:tcW w:w="8783" w:type="dxa"/>
            <w:gridSpan w:val="6"/>
            <w:tcBorders>
              <w:top w:val="single" w:color="auto" w:sz="4" w:space="0"/>
              <w:left w:val="single" w:color="auto" w:sz="4" w:space="0"/>
              <w:bottom w:val="thinThickSmallGap" w:color="auto" w:sz="18" w:space="0"/>
              <w:right w:val="thinThickSmallGap" w:color="auto" w:sz="18" w:space="0"/>
            </w:tcBorders>
          </w:tcPr>
          <w:p>
            <w:pPr>
              <w:widowControl w:val="0"/>
              <w:spacing w:before="0" w:after="0" w:afterAutospacing="0"/>
              <w:ind w:left="0" w:right="113" w:firstLine="0"/>
              <w:rPr>
                <w:rFonts w:ascii="宋体" w:hAnsi="宋体" w:cs="宋体"/>
                <w:color w:val="auto"/>
                <w:highlight w:val="none"/>
              </w:rPr>
            </w:pPr>
          </w:p>
          <w:p>
            <w:pPr>
              <w:widowControl w:val="0"/>
              <w:spacing w:before="0" w:after="0" w:afterAutospacing="0"/>
              <w:ind w:left="0" w:right="113" w:firstLine="0"/>
              <w:rPr>
                <w:rFonts w:ascii="宋体" w:hAnsi="宋体" w:cs="宋体"/>
                <w:color w:val="auto"/>
                <w:highlight w:val="none"/>
              </w:rPr>
            </w:pPr>
          </w:p>
        </w:tc>
      </w:tr>
    </w:tbl>
    <w:p>
      <w:pPr>
        <w:spacing w:line="240" w:lineRule="auto"/>
        <w:ind w:right="-28"/>
        <w:rPr>
          <w:color w:val="auto"/>
          <w:highlight w:val="none"/>
        </w:rPr>
      </w:pPr>
    </w:p>
    <w:p>
      <w:pPr>
        <w:spacing w:line="240" w:lineRule="auto"/>
        <w:ind w:right="-28"/>
        <w:rPr>
          <w:color w:val="auto"/>
          <w:highlight w:val="none"/>
        </w:rPr>
      </w:pPr>
      <w:r>
        <w:rPr>
          <w:rFonts w:hint="eastAsia"/>
          <w:color w:val="auto"/>
          <w:highlight w:val="none"/>
        </w:rPr>
        <w:t>送达回执：</w:t>
      </w:r>
    </w:p>
    <w:p>
      <w:pPr>
        <w:spacing w:line="240" w:lineRule="auto"/>
        <w:ind w:right="-28"/>
        <w:rPr>
          <w:color w:val="auto"/>
          <w:highlight w:val="none"/>
        </w:rPr>
      </w:pPr>
    </w:p>
    <w:p>
      <w:pPr>
        <w:spacing w:line="240" w:lineRule="auto"/>
        <w:ind w:right="-28"/>
        <w:jc w:val="right"/>
        <w:rPr>
          <w:color w:val="auto"/>
          <w:highlight w:val="none"/>
        </w:rPr>
      </w:pPr>
      <w:r>
        <w:rPr>
          <w:rFonts w:hint="eastAsia"/>
          <w:color w:val="auto"/>
          <w:highlight w:val="none"/>
        </w:rPr>
        <w:t>乙方签收（签章）</w:t>
      </w:r>
      <w:r>
        <w:rPr>
          <w:color w:val="auto"/>
          <w:highlight w:val="none"/>
        </w:rPr>
        <w:t xml:space="preserve">    年    月    日</w:t>
      </w:r>
    </w:p>
    <w:p>
      <w:pPr>
        <w:pStyle w:val="14"/>
        <w:rPr>
          <w:color w:val="auto"/>
          <w:highlight w:val="none"/>
        </w:rPr>
      </w:pPr>
    </w:p>
    <w:p>
      <w:pPr>
        <w:widowControl w:val="0"/>
        <w:spacing w:before="0" w:after="0" w:afterAutospacing="0"/>
        <w:ind w:left="489" w:right="0" w:hanging="565"/>
        <w:rPr>
          <w:rFonts w:ascii="宋体" w:hAnsi="宋体"/>
          <w:color w:val="auto"/>
          <w:szCs w:val="24"/>
          <w:highlight w:val="none"/>
        </w:rPr>
      </w:pPr>
      <w:r>
        <w:rPr>
          <w:rFonts w:hint="eastAsia" w:ascii="宋体" w:hAnsi="宋体"/>
          <w:color w:val="auto"/>
          <w:szCs w:val="24"/>
          <w:highlight w:val="none"/>
        </w:rPr>
        <w:t>说明：</w:t>
      </w:r>
    </w:p>
    <w:p>
      <w:pPr>
        <w:widowControl w:val="0"/>
        <w:spacing w:before="0" w:after="0" w:afterAutospacing="0"/>
        <w:ind w:left="0" w:right="0" w:firstLine="420" w:firstLineChars="200"/>
        <w:rPr>
          <w:rFonts w:ascii="宋体" w:hAnsi="宋体" w:cs="宋体"/>
          <w:color w:val="auto"/>
          <w:szCs w:val="24"/>
          <w:highlight w:val="none"/>
        </w:rPr>
      </w:pPr>
      <w:r>
        <w:rPr>
          <w:rFonts w:ascii="宋体" w:hAnsi="宋体" w:cs="宋体"/>
          <w:color w:val="auto"/>
          <w:szCs w:val="24"/>
          <w:highlight w:val="none"/>
        </w:rPr>
        <w:t>1.本通知单一式三份，业主执两份，</w:t>
      </w:r>
      <w:r>
        <w:rPr>
          <w:rFonts w:hint="eastAsia" w:ascii="宋体" w:hAnsi="宋体" w:cs="宋体"/>
          <w:color w:val="auto"/>
          <w:szCs w:val="24"/>
          <w:highlight w:val="none"/>
        </w:rPr>
        <w:t>乙方</w:t>
      </w:r>
      <w:r>
        <w:rPr>
          <w:rFonts w:ascii="宋体" w:hAnsi="宋体" w:cs="宋体"/>
          <w:color w:val="auto"/>
          <w:szCs w:val="24"/>
          <w:highlight w:val="none"/>
        </w:rPr>
        <w:t>执一份；业主在合同执行过程中发现问题时填写；业主主办部门及合同预算部各保存一份，第三份交</w:t>
      </w:r>
      <w:r>
        <w:rPr>
          <w:rFonts w:hint="eastAsia" w:ascii="宋体" w:hAnsi="宋体" w:cs="宋体"/>
          <w:color w:val="auto"/>
          <w:szCs w:val="24"/>
          <w:highlight w:val="none"/>
        </w:rPr>
        <w:t>乙方</w:t>
      </w:r>
      <w:r>
        <w:rPr>
          <w:rFonts w:ascii="宋体" w:hAnsi="宋体" w:cs="宋体"/>
          <w:color w:val="auto"/>
          <w:szCs w:val="24"/>
          <w:highlight w:val="none"/>
        </w:rPr>
        <w:t>；</w:t>
      </w:r>
    </w:p>
    <w:p>
      <w:pPr>
        <w:widowControl w:val="0"/>
        <w:spacing w:before="0" w:after="0" w:afterAutospacing="0"/>
        <w:ind w:left="0" w:right="0" w:firstLine="420" w:firstLineChars="200"/>
        <w:rPr>
          <w:rFonts w:ascii="宋体" w:hAnsi="宋体" w:cs="宋体"/>
          <w:color w:val="auto"/>
          <w:szCs w:val="24"/>
          <w:highlight w:val="none"/>
        </w:rPr>
      </w:pPr>
      <w:r>
        <w:rPr>
          <w:rFonts w:ascii="宋体" w:hAnsi="宋体" w:cs="宋体"/>
          <w:color w:val="auto"/>
          <w:szCs w:val="24"/>
          <w:highlight w:val="none"/>
        </w:rPr>
        <w:t>2.</w:t>
      </w:r>
      <w:r>
        <w:rPr>
          <w:rFonts w:hint="eastAsia" w:ascii="宋体" w:hAnsi="宋体" w:cs="宋体"/>
          <w:color w:val="auto"/>
          <w:szCs w:val="24"/>
          <w:highlight w:val="none"/>
        </w:rPr>
        <w:t>乙方</w:t>
      </w:r>
      <w:r>
        <w:rPr>
          <w:rFonts w:ascii="宋体" w:hAnsi="宋体" w:cs="宋体"/>
          <w:color w:val="auto"/>
          <w:szCs w:val="24"/>
          <w:highlight w:val="none"/>
        </w:rPr>
        <w:t>若对本合同执行考核处理有意见，则须在收到本通知后2个工作日内，在本通知上填写申诉意见向业主主办部门提出申诉，否则视为接受违约处理意见，业主主办部门在收到申诉意见后须在5个工作日给予回复；</w:t>
      </w:r>
    </w:p>
    <w:p>
      <w:pPr>
        <w:widowControl w:val="0"/>
        <w:spacing w:before="0" w:after="0" w:afterAutospacing="0"/>
        <w:ind w:left="420" w:right="-340" w:firstLine="0"/>
        <w:rPr>
          <w:rFonts w:ascii="宋体" w:hAnsi="宋体" w:cs="宋体"/>
          <w:color w:val="auto"/>
          <w:szCs w:val="24"/>
          <w:highlight w:val="none"/>
        </w:rPr>
      </w:pPr>
      <w:r>
        <w:rPr>
          <w:rFonts w:ascii="宋体" w:hAnsi="宋体" w:cs="宋体"/>
          <w:color w:val="auto"/>
          <w:szCs w:val="24"/>
          <w:highlight w:val="none"/>
        </w:rPr>
        <w:t>3.本通知单自送达之日起生效。</w:t>
      </w:r>
    </w:p>
    <w:p>
      <w:pPr>
        <w:rPr>
          <w:rFonts w:ascii="宋体" w:hAnsi="宋体" w:cs="宋体"/>
          <w:color w:val="auto"/>
          <w:szCs w:val="24"/>
          <w:highlight w:val="none"/>
        </w:rPr>
      </w:pPr>
      <w:r>
        <w:rPr>
          <w:rFonts w:ascii="宋体" w:hAnsi="宋体" w:cs="宋体"/>
          <w:color w:val="auto"/>
          <w:szCs w:val="24"/>
          <w:highlight w:val="none"/>
        </w:rPr>
        <w:br w:type="page"/>
      </w:r>
    </w:p>
    <w:p>
      <w:pPr>
        <w:pStyle w:val="14"/>
        <w:pageBreakBefore/>
        <w:ind w:right="-57"/>
        <w:jc w:val="center"/>
        <w:outlineLvl w:val="0"/>
        <w:rPr>
          <w:rStyle w:val="44"/>
          <w:rFonts w:ascii="宋体" w:hAnsi="宋体" w:eastAsia="宋体"/>
          <w:color w:val="auto"/>
          <w:highlight w:val="none"/>
        </w:rPr>
      </w:pPr>
      <w:bookmarkStart w:id="1974" w:name="_Toc31558"/>
      <w:bookmarkStart w:id="1975" w:name="_Toc10294"/>
      <w:bookmarkStart w:id="1976" w:name="_Toc26656"/>
      <w:bookmarkStart w:id="1977" w:name="_Toc16555_WPSOffice_Level2"/>
      <w:bookmarkStart w:id="1978" w:name="_Toc24439"/>
      <w:bookmarkStart w:id="1979" w:name="_Toc29853"/>
      <w:bookmarkStart w:id="1980" w:name="_Toc13943"/>
      <w:bookmarkStart w:id="1981" w:name="_Toc13195"/>
      <w:bookmarkStart w:id="1982" w:name="_Toc23643_WPSOffice_Level1"/>
      <w:bookmarkStart w:id="1983" w:name="_Toc2673_WPSOffice_Level1"/>
      <w:bookmarkStart w:id="1984" w:name="_Toc5917_WPSOffice_Level1"/>
      <w:r>
        <w:rPr>
          <w:rStyle w:val="44"/>
          <w:rFonts w:hint="eastAsia" w:ascii="宋体" w:hAnsi="宋体" w:eastAsia="宋体" w:cs="Times New Roman"/>
          <w:color w:val="auto"/>
          <w:highlight w:val="none"/>
        </w:rPr>
        <w:t>第六章评分办法</w:t>
      </w:r>
      <w:bookmarkEnd w:id="1974"/>
      <w:bookmarkEnd w:id="1975"/>
      <w:bookmarkEnd w:id="1976"/>
      <w:bookmarkEnd w:id="1977"/>
      <w:bookmarkEnd w:id="1978"/>
      <w:bookmarkEnd w:id="1979"/>
      <w:bookmarkEnd w:id="1980"/>
      <w:bookmarkEnd w:id="1981"/>
      <w:bookmarkEnd w:id="1982"/>
      <w:bookmarkEnd w:id="1983"/>
      <w:bookmarkEnd w:id="1984"/>
    </w:p>
    <w:p>
      <w:pPr>
        <w:spacing w:before="0" w:after="0" w:afterAutospacing="0"/>
        <w:ind w:left="0" w:right="0" w:firstLine="562" w:firstLineChars="200"/>
        <w:outlineLvl w:val="1"/>
        <w:rPr>
          <w:rFonts w:ascii="宋体" w:hAnsi="宋体" w:cs="Arial"/>
          <w:b/>
          <w:bCs/>
          <w:color w:val="auto"/>
          <w:sz w:val="28"/>
          <w:szCs w:val="28"/>
          <w:highlight w:val="none"/>
        </w:rPr>
      </w:pPr>
      <w:bookmarkStart w:id="1985" w:name="_Toc14813"/>
      <w:bookmarkStart w:id="1986" w:name="_Toc25750692"/>
      <w:bookmarkStart w:id="1987" w:name="_Toc18587"/>
      <w:bookmarkStart w:id="1988" w:name="_Toc21498_WPSOffice_Level2"/>
      <w:bookmarkStart w:id="1989" w:name="_Toc2473"/>
      <w:bookmarkStart w:id="1990" w:name="_Toc5870"/>
      <w:bookmarkStart w:id="1991" w:name="_Toc28153"/>
      <w:bookmarkStart w:id="1992" w:name="_Toc31832_WPSOffice_Level2"/>
      <w:bookmarkStart w:id="1993" w:name="_Toc3630"/>
      <w:bookmarkStart w:id="1994" w:name="_Toc8452"/>
      <w:r>
        <w:rPr>
          <w:rFonts w:hint="eastAsia" w:ascii="宋体" w:hAnsi="宋体" w:cs="Arial"/>
          <w:b/>
          <w:bCs/>
          <w:color w:val="auto"/>
          <w:sz w:val="28"/>
          <w:szCs w:val="28"/>
          <w:highlight w:val="none"/>
        </w:rPr>
        <w:t>一、评审原则</w:t>
      </w:r>
      <w:bookmarkEnd w:id="1985"/>
      <w:bookmarkEnd w:id="1986"/>
      <w:bookmarkEnd w:id="1987"/>
      <w:bookmarkEnd w:id="1988"/>
      <w:bookmarkEnd w:id="1989"/>
      <w:bookmarkEnd w:id="1990"/>
      <w:bookmarkEnd w:id="1991"/>
      <w:bookmarkEnd w:id="1992"/>
      <w:bookmarkEnd w:id="1993"/>
      <w:bookmarkEnd w:id="1994"/>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评审委员会成员构成：本项目由南宁轨道交通运营有限公司3人及以上单数组成评审小组，对比选申请文件按评审标准进行评审；由南宁轨道交通运营有限公司纪检监察部门进行监督。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995" w:name="_Toc25191"/>
      <w:bookmarkStart w:id="1996" w:name="_Toc11611"/>
      <w:bookmarkStart w:id="1997" w:name="_Toc15880"/>
      <w:bookmarkStart w:id="1998" w:name="_Toc10270"/>
      <w:bookmarkStart w:id="1999" w:name="_Toc11240"/>
      <w:bookmarkStart w:id="2000" w:name="_Toc30719_WPSOffice_Level2"/>
      <w:bookmarkStart w:id="2001" w:name="_Toc27487_WPSOffice_Level2"/>
      <w:bookmarkStart w:id="2002" w:name="_Toc1102"/>
      <w:bookmarkStart w:id="2003" w:name="_Toc25750693"/>
      <w:bookmarkStart w:id="2004" w:name="_Toc29000"/>
      <w:bookmarkStart w:id="2005" w:name="_Toc12174"/>
      <w:bookmarkStart w:id="2006" w:name="_Toc478566177"/>
      <w:bookmarkStart w:id="2007" w:name="_Toc12723"/>
      <w:bookmarkStart w:id="2008" w:name="_Toc5136"/>
      <w:bookmarkStart w:id="2009" w:name="_Toc26646"/>
      <w:r>
        <w:rPr>
          <w:rFonts w:hint="eastAsia" w:ascii="宋体" w:hAnsi="宋体" w:cs="Arial"/>
          <w:b/>
          <w:bCs/>
          <w:color w:val="auto"/>
          <w:sz w:val="28"/>
          <w:szCs w:val="28"/>
          <w:highlight w:val="none"/>
        </w:rPr>
        <w:t>二、评定方法</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2.1对资格性和符合性检查合格的比选申请文件，采用综合评分法进行评审；</w:t>
      </w:r>
      <w:r>
        <w:rPr>
          <w:rFonts w:hint="eastAsia"/>
          <w:color w:val="auto"/>
          <w:highlight w:val="none"/>
        </w:rPr>
        <w:t>满分100分，其中技术满分20分，价格满分80分。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2.2评审委员会将依照本比选文件相关要求，对照比选申请文件的应答进行比较，并对各比选申请文件的技术、价格内容进行评审打分。</w:t>
      </w:r>
    </w:p>
    <w:p>
      <w:pPr>
        <w:spacing w:before="0" w:after="0" w:afterAutospacing="0"/>
        <w:ind w:left="0" w:right="0" w:firstLine="420" w:firstLineChars="200"/>
        <w:rPr>
          <w:color w:val="auto"/>
          <w:highlight w:val="none"/>
        </w:rPr>
      </w:pPr>
      <w:r>
        <w:rPr>
          <w:rFonts w:hint="eastAsia" w:ascii="宋体" w:hAnsi="宋体" w:cs="Arial"/>
          <w:color w:val="auto"/>
          <w:highlight w:val="none"/>
        </w:rPr>
        <w:t>2.3</w:t>
      </w:r>
      <w:r>
        <w:rPr>
          <w:rFonts w:hint="eastAsia"/>
          <w:color w:val="auto"/>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color w:val="auto"/>
          <w:highlight w:val="none"/>
        </w:rPr>
      </w:pPr>
      <w:r>
        <w:rPr>
          <w:rFonts w:hint="eastAsia" w:ascii="宋体" w:hAnsi="宋体" w:cs="宋体"/>
          <w:color w:val="auto"/>
          <w:highlight w:val="none"/>
        </w:rPr>
        <w:t>2.4总分=技术得分</w:t>
      </w:r>
      <w:r>
        <w:rPr>
          <w:rFonts w:hint="eastAsia"/>
          <w:color w:val="auto"/>
          <w:highlight w:val="none"/>
        </w:rPr>
        <w:t>+价格得分。各项指标的分数计算四舍五入，取小数点后两位。计算比选申请人综合评分，并按照总分（综合得分）由高到低的顺序提出1-3名中选候选人，并编写评审报告。</w:t>
      </w:r>
      <w:r>
        <w:rPr>
          <w:rFonts w:hint="eastAsia" w:ascii="宋体" w:hAnsi="宋体" w:cs="Arial"/>
          <w:color w:val="auto"/>
          <w:highlight w:val="none"/>
        </w:rPr>
        <w:t>若比选申请人的综合得分相等时，技术评分高者优先；技术评分也相等的，比选报价评分高者优先，比选报价评分也相等的，以评审委</w:t>
      </w:r>
      <w:r>
        <w:rPr>
          <w:rFonts w:hint="eastAsia" w:ascii="宋体" w:hAnsi="宋体"/>
          <w:color w:val="auto"/>
          <w:highlight w:val="none"/>
        </w:rPr>
        <w:t>员会记名投票的方式按少数服从多数的原则决定其排名顺序。</w:t>
      </w:r>
    </w:p>
    <w:p>
      <w:pPr>
        <w:spacing w:before="0" w:after="0" w:afterAutospacing="0"/>
        <w:ind w:left="0" w:right="0" w:firstLine="562" w:firstLineChars="200"/>
        <w:outlineLvl w:val="1"/>
        <w:rPr>
          <w:rFonts w:ascii="宋体" w:hAnsi="宋体" w:cs="Arial"/>
          <w:b/>
          <w:bCs/>
          <w:color w:val="auto"/>
          <w:sz w:val="28"/>
          <w:szCs w:val="28"/>
          <w:highlight w:val="none"/>
        </w:rPr>
      </w:pPr>
      <w:bookmarkStart w:id="2010" w:name="_Toc30212_WPSOffice_Level2"/>
      <w:bookmarkStart w:id="2011" w:name="_Toc10661_WPSOffice_Level2"/>
      <w:bookmarkStart w:id="2012" w:name="_Toc18906"/>
      <w:bookmarkStart w:id="2013" w:name="_Toc31331"/>
      <w:bookmarkStart w:id="2014" w:name="_Toc15705"/>
      <w:bookmarkStart w:id="2015" w:name="_Toc17241"/>
      <w:bookmarkStart w:id="2016" w:name="_Toc10520"/>
      <w:bookmarkStart w:id="2017" w:name="_Toc20336"/>
      <w:r>
        <w:rPr>
          <w:rFonts w:hint="eastAsia" w:ascii="宋体" w:hAnsi="宋体" w:cs="Arial"/>
          <w:b/>
          <w:bCs/>
          <w:color w:val="auto"/>
          <w:sz w:val="28"/>
          <w:szCs w:val="28"/>
          <w:highlight w:val="none"/>
        </w:rPr>
        <w:t>三、评审流程</w:t>
      </w:r>
      <w:bookmarkEnd w:id="2010"/>
      <w:bookmarkEnd w:id="2011"/>
      <w:bookmarkEnd w:id="2012"/>
      <w:bookmarkEnd w:id="2013"/>
      <w:bookmarkEnd w:id="2014"/>
      <w:bookmarkEnd w:id="2015"/>
      <w:bookmarkEnd w:id="2016"/>
      <w:bookmarkEnd w:id="2017"/>
    </w:p>
    <w:p>
      <w:pPr>
        <w:tabs>
          <w:tab w:val="left" w:pos="567"/>
        </w:tabs>
        <w:spacing w:before="0" w:after="0" w:afterAutospacing="0"/>
        <w:ind w:left="422" w:right="0" w:firstLine="0"/>
        <w:rPr>
          <w:rFonts w:ascii="宋体" w:hAnsi="宋体"/>
          <w:b/>
          <w:color w:val="auto"/>
          <w:highlight w:val="none"/>
        </w:rPr>
      </w:pPr>
      <w:bookmarkStart w:id="2018" w:name="_Toc10661_WPSOffice_Level3"/>
      <w:r>
        <w:rPr>
          <w:rFonts w:hint="eastAsia" w:ascii="宋体" w:hAnsi="宋体"/>
          <w:b/>
          <w:color w:val="auto"/>
          <w:highlight w:val="none"/>
        </w:rPr>
        <w:t>3.1资格审查</w:t>
      </w:r>
      <w:bookmarkEnd w:id="201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bookmarkStart w:id="2019" w:name="_Toc27221_WPSOffice_Level3"/>
      <w:r>
        <w:rPr>
          <w:rFonts w:hint="eastAsia" w:ascii="宋体" w:hAnsi="宋体"/>
          <w:b/>
          <w:color w:val="auto"/>
          <w:highlight w:val="none"/>
        </w:rPr>
        <w:t>3.2初步评审</w:t>
      </w:r>
      <w:bookmarkEnd w:id="2019"/>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符合性</w:t>
      </w:r>
      <w:r>
        <w:rPr>
          <w:rFonts w:hAnsi="宋体"/>
          <w:color w:val="auto"/>
          <w:highlight w:val="none"/>
        </w:rPr>
        <w:t>评审表》。</w:t>
      </w:r>
    </w:p>
    <w:p>
      <w:pPr>
        <w:tabs>
          <w:tab w:val="left" w:pos="851"/>
          <w:tab w:val="left" w:pos="1134"/>
        </w:tabs>
        <w:spacing w:before="0" w:after="0" w:afterAutospacing="0"/>
        <w:ind w:left="422" w:right="0" w:firstLine="0"/>
        <w:rPr>
          <w:rFonts w:ascii="宋体" w:hAnsi="宋体"/>
          <w:b/>
          <w:color w:val="auto"/>
          <w:highlight w:val="none"/>
        </w:rPr>
      </w:pPr>
      <w:bookmarkStart w:id="2020" w:name="_Toc7439_WPSOffice_Level3"/>
      <w:r>
        <w:rPr>
          <w:rFonts w:hint="eastAsia" w:ascii="宋体" w:hAnsi="宋体"/>
          <w:b/>
          <w:color w:val="auto"/>
          <w:highlight w:val="none"/>
        </w:rPr>
        <w:t>3.3详细评审</w:t>
      </w:r>
      <w:bookmarkEnd w:id="2020"/>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3.3.1评审委员会对通过初步评审的投标文件的资信文件和技术文件进行详细评审。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3.3.2评审委员会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3.3.3价格评审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3.3.3.1</w:t>
      </w:r>
      <w:r>
        <w:rPr>
          <w:rFonts w:hint="eastAsia" w:hAnsi="宋体"/>
          <w:color w:val="auto"/>
          <w:highlight w:val="none"/>
        </w:rPr>
        <w:t>评审委员会对通过初步评审的投标文件的报价文件进行详细评审。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3.3.3.2</w:t>
      </w:r>
      <w:r>
        <w:rPr>
          <w:rFonts w:hint="eastAsia" w:hAnsi="宋体"/>
          <w:color w:val="auto"/>
          <w:highlight w:val="none"/>
        </w:rPr>
        <w:t>投标报价有算术错误的，评标委员会按以下原则对投标报价进行修正，修正的价格经比选申请人书面确认后具有约束力。比选申请人不接受修正价格的，其投标作否决投标处理：</w:t>
      </w:r>
    </w:p>
    <w:p>
      <w:pPr>
        <w:numPr>
          <w:ilvl w:val="0"/>
          <w:numId w:val="43"/>
        </w:num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比选申请文件中的大写金额与小写金额不一致的，以大写金额为准；</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（2）总价金额与依据单价计算出的结果不一致的，以单价金额为准修正总价，但单价金额小数点有明显错误的除外；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（3）若修正后的总价与投标报价不相等，则评标总价和中标价均以修正后的总价为准，如</w:t>
      </w:r>
      <w:r>
        <w:rPr>
          <w:rFonts w:hint="eastAsia" w:hAnsi="宋体"/>
          <w:color w:val="auto"/>
          <w:highlight w:val="none"/>
        </w:rPr>
        <w:t>比选申请人</w:t>
      </w:r>
      <w:r>
        <w:rPr>
          <w:rFonts w:hint="eastAsia" w:ascii="宋体" w:hAnsi="宋体" w:cs="宋体"/>
          <w:color w:val="auto"/>
          <w:highlight w:val="none"/>
        </w:rPr>
        <w:t>不接受按以上规则确定的评标总价和中标价，则其投标将被拒绝。</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3.3.3.3出现下列情况的比选申请文件将予以否决：</w:t>
      </w:r>
    </w:p>
    <w:p>
      <w:pPr>
        <w:tabs>
          <w:tab w:val="left" w:pos="851"/>
          <w:tab w:val="left" w:pos="1134"/>
        </w:tabs>
        <w:spacing w:before="0" w:after="0" w:afterAutospacing="0"/>
        <w:ind w:left="0" w:right="0" w:firstLine="420" w:firstLineChars="200"/>
        <w:jc w:val="left"/>
        <w:rPr>
          <w:rFonts w:ascii="宋体" w:hAnsi="宋体" w:cs="宋体"/>
          <w:bCs/>
          <w:color w:val="auto"/>
          <w:highlight w:val="none"/>
        </w:rPr>
      </w:pPr>
      <w:r>
        <w:rPr>
          <w:rFonts w:hint="eastAsia" w:ascii="宋体" w:hAnsi="宋体" w:cs="宋体"/>
          <w:color w:val="auto"/>
          <w:highlight w:val="none"/>
        </w:rPr>
        <w:t>（1）评审委员会</w:t>
      </w:r>
      <w:r>
        <w:rPr>
          <w:rFonts w:hint="eastAsia" w:ascii="宋体" w:hAnsi="宋体" w:cs="宋体"/>
          <w:bCs/>
          <w:color w:val="auto"/>
          <w:highlight w:val="none"/>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rFonts w:hint="eastAsia" w:ascii="宋体" w:hAnsi="宋体" w:cs="宋体"/>
          <w:color w:val="auto"/>
          <w:highlight w:val="none"/>
        </w:rPr>
        <w:t>评审</w:t>
      </w:r>
      <w:r>
        <w:rPr>
          <w:rFonts w:hint="eastAsia" w:ascii="宋体" w:hAnsi="宋体" w:cs="宋体"/>
          <w:bCs/>
          <w:color w:val="auto"/>
          <w:highlight w:val="none"/>
        </w:rPr>
        <w:t>委员会应当认定该比选申请人以低于成本报价投标，否决其投标。</w:t>
      </w:r>
    </w:p>
    <w:p>
      <w:pPr>
        <w:tabs>
          <w:tab w:val="left" w:pos="851"/>
          <w:tab w:val="left" w:pos="1134"/>
        </w:tabs>
        <w:spacing w:before="0" w:after="0" w:afterAutospacing="0"/>
        <w:ind w:left="0" w:right="0" w:firstLine="420" w:firstLineChars="200"/>
        <w:jc w:val="left"/>
        <w:rPr>
          <w:rFonts w:ascii="宋体" w:hAnsi="宋体" w:cs="宋体"/>
          <w:b/>
          <w:bCs/>
          <w:color w:val="auto"/>
          <w:highlight w:val="none"/>
        </w:rPr>
      </w:pPr>
      <w:bookmarkStart w:id="2021" w:name="_Hlk36511445"/>
      <w:r>
        <w:rPr>
          <w:rFonts w:hint="eastAsia" w:ascii="宋体" w:hAnsi="宋体" w:cs="宋体"/>
          <w:bCs/>
          <w:color w:val="auto"/>
          <w:highlight w:val="none"/>
        </w:rPr>
        <w:t>（2）</w:t>
      </w:r>
      <w:r>
        <w:rPr>
          <w:rFonts w:hint="eastAsia" w:ascii="宋体" w:hAnsi="宋体" w:cs="宋体"/>
          <w:b/>
          <w:bCs/>
          <w:color w:val="auto"/>
          <w:highlight w:val="none"/>
        </w:rPr>
        <w:t>投标报价清单如有漏项的投标文件，将予以否决。</w:t>
      </w:r>
      <w:bookmarkEnd w:id="2021"/>
    </w:p>
    <w:p>
      <w:pPr>
        <w:tabs>
          <w:tab w:val="left" w:pos="851"/>
        </w:tabs>
        <w:spacing w:before="0" w:after="0" w:afterAutospacing="0"/>
        <w:ind w:left="0" w:right="0" w:firstLine="420" w:firstLineChars="200"/>
        <w:rPr>
          <w:rFonts w:ascii="宋体" w:hAnsi="宋体" w:cs="宋体"/>
          <w:color w:val="auto"/>
          <w:highlight w:val="none"/>
        </w:rPr>
      </w:pPr>
      <w:r>
        <w:rPr>
          <w:rFonts w:hint="eastAsia" w:ascii="宋体" w:hAnsi="宋体" w:cs="宋体"/>
          <w:bCs/>
          <w:color w:val="auto"/>
          <w:highlight w:val="none"/>
        </w:rPr>
        <w:t>3.3.4.4</w:t>
      </w:r>
      <w:r>
        <w:rPr>
          <w:rFonts w:hint="eastAsia" w:ascii="宋体" w:hAnsi="宋体" w:cs="宋体"/>
          <w:color w:val="auto"/>
          <w:highlight w:val="none"/>
        </w:rPr>
        <w:t>评审委员会按照附表四《比选报价评分表》规定的量化因素和分值，对各比选申请人的投标报价评审，并计算出价格得分（得分出现小数点，保留小数点后二位，第三位小数四舍五入）。</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3.3.5评审结果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通过价格评审计算出比选申请人的实际评审总价，填写《比选申请评审表》（见附表五），由评审委员会根据通过资格审查及符合性评审的比选申请人</w:t>
      </w:r>
      <w:r>
        <w:rPr>
          <w:rFonts w:ascii="宋体" w:hAnsi="宋体"/>
          <w:color w:val="auto"/>
          <w:highlight w:val="none"/>
        </w:rPr>
        <w:t>综合评分按照由高到低的顺序进行排序</w:t>
      </w:r>
      <w:r>
        <w:rPr>
          <w:rFonts w:hint="eastAsia" w:ascii="宋体" w:hAnsi="宋体" w:cs="Arial"/>
          <w:color w:val="auto"/>
          <w:highlight w:val="none"/>
        </w:rPr>
        <w:t>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bookmarkStart w:id="2022" w:name="_Toc1392_WPSOffice_Level3"/>
      <w:r>
        <w:rPr>
          <w:rFonts w:hint="eastAsia" w:ascii="宋体" w:hAnsi="宋体"/>
          <w:b/>
          <w:color w:val="auto"/>
          <w:highlight w:val="none"/>
        </w:rPr>
        <w:t>3.4</w:t>
      </w:r>
      <w:r>
        <w:rPr>
          <w:rFonts w:ascii="宋体" w:hAnsi="宋体"/>
          <w:b/>
          <w:color w:val="auto"/>
          <w:highlight w:val="none"/>
        </w:rPr>
        <w:t>澄清或补正</w:t>
      </w:r>
      <w:bookmarkEnd w:id="2022"/>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ascii="宋体" w:hAnsi="宋体"/>
          <w:color w:val="auto"/>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bookmarkStart w:id="2023" w:name="_Toc28111_WPSOffice_Level3"/>
      <w:r>
        <w:rPr>
          <w:rFonts w:hint="eastAsia" w:ascii="宋体" w:hAnsi="宋体"/>
          <w:b/>
          <w:color w:val="auto"/>
          <w:highlight w:val="none"/>
        </w:rPr>
        <w:t>3.5</w:t>
      </w:r>
      <w:r>
        <w:rPr>
          <w:rFonts w:ascii="宋体" w:hAnsi="宋体"/>
          <w:b/>
          <w:color w:val="auto"/>
          <w:highlight w:val="none"/>
        </w:rPr>
        <w:t>评审报告</w:t>
      </w:r>
      <w:bookmarkEnd w:id="2023"/>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）评审委员会根据综合评分由高到低顺序推荐中选候选人。综合评分相同时，则技术得分较高的排名靠前；如技术得分也相同，则价格得分较高的排名靠前；如价格得分也相同，</w:t>
      </w:r>
      <w:bookmarkStart w:id="2024" w:name="_Hlk31877730"/>
      <w:r>
        <w:rPr>
          <w:rFonts w:hint="eastAsia" w:ascii="宋体" w:hAnsi="宋体"/>
          <w:color w:val="auto"/>
          <w:highlight w:val="none"/>
        </w:rPr>
        <w:t>则由</w:t>
      </w:r>
      <w:bookmarkEnd w:id="2024"/>
      <w:r>
        <w:rPr>
          <w:rFonts w:hint="eastAsia" w:ascii="宋体" w:hAnsi="宋体"/>
          <w:color w:val="auto"/>
          <w:highlight w:val="none"/>
        </w:rPr>
        <w:t>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bookmarkStart w:id="2025" w:name="_Toc9883_WPSOffice_Level3"/>
      <w:r>
        <w:rPr>
          <w:rFonts w:hint="eastAsia" w:ascii="宋体" w:hAnsi="宋体"/>
          <w:b/>
          <w:color w:val="auto"/>
          <w:highlight w:val="none"/>
        </w:rPr>
        <w:t>3.6</w:t>
      </w:r>
      <w:r>
        <w:rPr>
          <w:rFonts w:ascii="宋体" w:hAnsi="宋体"/>
          <w:b/>
          <w:color w:val="auto"/>
          <w:highlight w:val="none"/>
        </w:rPr>
        <w:t>否决比选申请条件</w:t>
      </w:r>
      <w:bookmarkEnd w:id="2025"/>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40" w:right="1803" w:bottom="1440" w:left="1803" w:header="850" w:footer="992" w:gutter="0"/>
          <w:pgBorders>
            <w:top w:val="none" w:sz="0" w:space="0"/>
            <w:left w:val="none" w:sz="0" w:space="0"/>
            <w:bottom w:val="none" w:sz="0" w:space="0"/>
            <w:right w:val="none" w:sz="0" w:space="0"/>
          </w:pgBorders>
          <w:cols w:space="0" w:num="1"/>
          <w:docGrid w:type="lines" w:linePitch="319" w:charSpace="0"/>
        </w:sectPr>
      </w:pPr>
    </w:p>
    <w:p>
      <w:pPr>
        <w:pStyle w:val="2"/>
        <w:spacing w:after="0" w:line="360" w:lineRule="auto"/>
        <w:ind w:right="-57" w:firstLine="0"/>
        <w:rPr>
          <w:color w:val="auto"/>
          <w:sz w:val="21"/>
          <w:szCs w:val="21"/>
          <w:highlight w:val="none"/>
        </w:rPr>
      </w:pPr>
      <w:bookmarkStart w:id="2026" w:name="_Toc1286_WPSOffice_Level1"/>
      <w:bookmarkStart w:id="2027" w:name="_Toc20294"/>
      <w:bookmarkStart w:id="2028" w:name="_Toc27271"/>
      <w:bookmarkStart w:id="2029" w:name="_Toc22464"/>
      <w:bookmarkStart w:id="2030" w:name="_Toc32279"/>
      <w:bookmarkStart w:id="2031" w:name="_Toc29190"/>
      <w:bookmarkStart w:id="2032" w:name="_Toc21113"/>
      <w:bookmarkStart w:id="2033" w:name="_Toc19557"/>
      <w:bookmarkStart w:id="2034" w:name="_Toc8139"/>
      <w:bookmarkStart w:id="2035" w:name="_Toc9730"/>
      <w:bookmarkStart w:id="2036" w:name="_Toc25750694"/>
      <w:bookmarkStart w:id="2037" w:name="_Toc29923"/>
      <w:bookmarkStart w:id="2038" w:name="_Toc29642"/>
      <w:bookmarkStart w:id="2039" w:name="_Toc20237"/>
      <w:bookmarkStart w:id="2040" w:name="_Toc28500"/>
      <w:bookmarkStart w:id="2041" w:name="_Toc10968"/>
      <w:bookmarkStart w:id="2042" w:name="_Toc434"/>
      <w:bookmarkStart w:id="2043" w:name="_Toc414290583"/>
      <w:bookmarkStart w:id="2044" w:name="_Toc23314"/>
      <w:bookmarkStart w:id="2045" w:name="_Toc15073"/>
      <w:bookmarkStart w:id="2046" w:name="_Toc29245"/>
      <w:bookmarkStart w:id="2047" w:name="_Toc1685_WPSOffice_Level1"/>
      <w:bookmarkStart w:id="2048" w:name="_Toc5435"/>
      <w:bookmarkStart w:id="2049" w:name="_Toc12639"/>
      <w:bookmarkStart w:id="2050" w:name="_Toc9588"/>
      <w:bookmarkStart w:id="2051" w:name="_Toc15435_WPSOffice_Level1"/>
      <w:bookmarkStart w:id="2052" w:name="_Toc31611"/>
      <w:bookmarkStart w:id="2053" w:name="_Toc17692_WPSOffice_Level1"/>
      <w:bookmarkStart w:id="2054" w:name="_Toc28404"/>
      <w:bookmarkStart w:id="2055" w:name="_Toc9189"/>
      <w:bookmarkStart w:id="2056" w:name="_Toc18096"/>
      <w:bookmarkStart w:id="2057" w:name="_Toc16364"/>
      <w:bookmarkStart w:id="2058" w:name="_Toc19950_WPSOffice_Level1"/>
      <w:bookmarkStart w:id="2059" w:name="_Toc492478849"/>
      <w:bookmarkStart w:id="2060" w:name="_Toc15224"/>
      <w:r>
        <w:rPr>
          <w:rFonts w:hint="eastAsia"/>
          <w:color w:val="auto"/>
          <w:sz w:val="21"/>
          <w:szCs w:val="21"/>
          <w:highlight w:val="none"/>
        </w:rPr>
        <w:t>附表一 资格审查表</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snapToGrid w:val="0"/>
        <w:spacing w:before="0" w:line="360" w:lineRule="exact"/>
        <w:ind w:left="420" w:right="240" w:firstLine="0"/>
        <w:jc w:val="center"/>
        <w:rPr>
          <w:rFonts w:ascii="宋体" w:hAnsi="宋体"/>
          <w:b/>
          <w:color w:val="auto"/>
          <w:sz w:val="24"/>
          <w:szCs w:val="24"/>
          <w:highlight w:val="none"/>
        </w:rPr>
      </w:pPr>
      <w:bookmarkStart w:id="2061" w:name="_Toc29364_WPSOffice_Level2"/>
      <w:bookmarkStart w:id="2062" w:name="_Toc27221_WPSOffice_Level2"/>
      <w:bookmarkStart w:id="2063" w:name="_Toc4549_WPSOffice_Level2"/>
      <w:bookmarkStart w:id="2064" w:name="_Toc22586_WPSOffice_Level2"/>
      <w:r>
        <w:rPr>
          <w:rFonts w:hint="eastAsia" w:ascii="宋体" w:hAnsi="宋体"/>
          <w:b/>
          <w:color w:val="auto"/>
          <w:sz w:val="24"/>
          <w:szCs w:val="24"/>
          <w:highlight w:val="none"/>
        </w:rPr>
        <w:t>资格审查表</w:t>
      </w:r>
      <w:bookmarkEnd w:id="2061"/>
      <w:bookmarkEnd w:id="2062"/>
      <w:bookmarkEnd w:id="2063"/>
      <w:bookmarkEnd w:id="2064"/>
    </w:p>
    <w:tbl>
      <w:tblPr>
        <w:tblStyle w:val="31"/>
        <w:tblW w:w="95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820"/>
        <w:gridCol w:w="3129"/>
        <w:gridCol w:w="1379"/>
        <w:gridCol w:w="1094"/>
        <w:gridCol w:w="27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820"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312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72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身份证明材料</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比选申请人资格</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16"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820" w:type="dxa"/>
            <w:vAlign w:val="center"/>
          </w:tcPr>
          <w:p>
            <w:pPr>
              <w:spacing w:before="0" w:after="0" w:afterAutospacing="0"/>
              <w:ind w:left="0" w:right="0" w:firstLine="0"/>
              <w:rPr>
                <w:color w:val="auto"/>
                <w:highlight w:val="none"/>
              </w:rPr>
            </w:pPr>
            <w:r>
              <w:rPr>
                <w:rFonts w:hint="eastAsia"/>
                <w:color w:val="auto"/>
                <w:highlight w:val="none"/>
              </w:rPr>
              <w:t>比选申请人业绩条件</w:t>
            </w:r>
          </w:p>
        </w:tc>
        <w:tc>
          <w:tcPr>
            <w:tcW w:w="3129" w:type="dxa"/>
            <w:vAlign w:val="center"/>
          </w:tcPr>
          <w:p>
            <w:pPr>
              <w:spacing w:before="0" w:after="0" w:afterAutospacing="0"/>
              <w:ind w:left="0" w:right="0" w:firstLine="0"/>
              <w:rPr>
                <w:color w:val="auto"/>
                <w:highlight w:val="none"/>
              </w:rPr>
            </w:pPr>
            <w:r>
              <w:rPr>
                <w:rFonts w:hint="eastAsia"/>
                <w:color w:val="auto"/>
                <w:highlight w:val="none"/>
              </w:rPr>
              <w:t>要求比选申请自2019年11月 1日至截标时间前至少具有1项类似业绩，类似业绩是指轨道交通通信或自动售检票故障件维修业绩，业绩证明材料须能反映类似业绩项目特征，否则不予认可（业绩证明材料为：合同或用户证明，用户证明须加盖证明人公章）。</w:t>
            </w:r>
          </w:p>
        </w:tc>
        <w:tc>
          <w:tcPr>
            <w:tcW w:w="1379" w:type="dxa"/>
            <w:vAlign w:val="center"/>
          </w:tcPr>
          <w:p>
            <w:pPr>
              <w:spacing w:before="0" w:after="0" w:afterAutospacing="0"/>
              <w:ind w:left="0" w:right="0" w:firstLine="0"/>
              <w:rPr>
                <w:color w:val="auto"/>
                <w:highlight w:val="none"/>
              </w:rPr>
            </w:pPr>
            <w:r>
              <w:rPr>
                <w:rFonts w:hint="eastAsia"/>
                <w:color w:val="auto"/>
                <w:highlight w:val="none"/>
              </w:rPr>
              <w:t>比选申请人相应的业绩证明</w:t>
            </w:r>
          </w:p>
        </w:tc>
        <w:tc>
          <w:tcPr>
            <w:tcW w:w="1094" w:type="dxa"/>
            <w:vAlign w:val="center"/>
          </w:tcPr>
          <w:p>
            <w:pPr>
              <w:spacing w:before="0" w:after="0" w:afterAutospacing="0"/>
              <w:ind w:left="0" w:right="0" w:firstLine="0"/>
              <w:rPr>
                <w:color w:val="auto"/>
                <w:highlight w:val="none"/>
              </w:rPr>
            </w:pPr>
          </w:p>
        </w:tc>
        <w:tc>
          <w:tcPr>
            <w:tcW w:w="2721" w:type="dxa"/>
            <w:vAlign w:val="center"/>
          </w:tcPr>
          <w:p>
            <w:pPr>
              <w:spacing w:before="0" w:after="0" w:afterAutospacing="0"/>
              <w:ind w:left="0" w:right="0" w:firstLine="0"/>
              <w:rPr>
                <w:color w:val="auto"/>
                <w:highlight w:val="none"/>
              </w:rPr>
            </w:pPr>
            <w:r>
              <w:rPr>
                <w:rFonts w:hint="eastAsia" w:ascii="宋体" w:hAnsi="宋体"/>
                <w:color w:val="auto"/>
                <w:highlight w:val="none"/>
              </w:rPr>
              <w:t>提供</w:t>
            </w:r>
            <w:r>
              <w:rPr>
                <w:rFonts w:hint="eastAsia"/>
                <w:color w:val="auto"/>
                <w:highlight w:val="none"/>
              </w:rPr>
              <w:t>比选申请人</w:t>
            </w:r>
            <w:r>
              <w:rPr>
                <w:rFonts w:hint="eastAsia" w:ascii="宋体" w:hAnsi="宋体"/>
                <w:color w:val="auto"/>
                <w:highlight w:val="none"/>
              </w:rPr>
              <w:t>的</w:t>
            </w:r>
            <w:r>
              <w:rPr>
                <w:rFonts w:hint="eastAsia"/>
                <w:color w:val="auto"/>
                <w:highlight w:val="none"/>
              </w:rPr>
              <w:t>业绩证明等文件，并加盖公章。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4</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r>
              <w:rPr>
                <w:rFonts w:ascii="宋体" w:hAnsi="宋体"/>
                <w:b/>
                <w:color w:val="auto"/>
                <w:spacing w:val="1"/>
                <w:position w:val="-2"/>
                <w:highlight w:val="none"/>
              </w:rPr>
              <w:t>与其他</w:t>
            </w:r>
            <w:r>
              <w:rPr>
                <w:rFonts w:hint="eastAsia" w:ascii="宋体" w:hAnsi="宋体"/>
                <w:b/>
                <w:color w:val="auto"/>
                <w:spacing w:val="1"/>
                <w:position w:val="-2"/>
                <w:highlight w:val="none"/>
              </w:rPr>
              <w:t>比选申请</w:t>
            </w:r>
            <w:r>
              <w:rPr>
                <w:rFonts w:ascii="宋体" w:hAnsi="宋体"/>
                <w:b/>
                <w:color w:val="auto"/>
                <w:spacing w:val="1"/>
                <w:position w:val="-2"/>
                <w:highlight w:val="none"/>
              </w:rPr>
              <w:t>人之间不存在单位负责人为同一人或者控股、管理关系的情况。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bookmarkStart w:id="2065" w:name="_Toc25393_WPSOffice_Level3"/>
      <w:r>
        <w:rPr>
          <w:rFonts w:hint="eastAsia" w:ascii="宋体" w:hAnsi="宋体"/>
          <w:b/>
          <w:color w:val="auto"/>
          <w:highlight w:val="none"/>
        </w:rPr>
        <w:t>注：</w:t>
      </w:r>
      <w:bookmarkEnd w:id="2065"/>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2066" w:name="_Toc5413"/>
      <w:bookmarkStart w:id="2067" w:name="_Toc21165"/>
      <w:bookmarkStart w:id="2068" w:name="_Toc12949_WPSOffice_Level1"/>
      <w:bookmarkStart w:id="2069" w:name="_Toc3671"/>
      <w:bookmarkStart w:id="2070" w:name="_Toc22472"/>
      <w:bookmarkStart w:id="2071" w:name="_Toc19120"/>
      <w:bookmarkStart w:id="2072" w:name="_Toc7500_WPSOffice_Level1"/>
      <w:bookmarkStart w:id="2073" w:name="_Toc31210"/>
      <w:bookmarkStart w:id="2074" w:name="_Toc25750695"/>
      <w:bookmarkStart w:id="2075" w:name="_Toc11148"/>
      <w:bookmarkStart w:id="2076" w:name="_Toc12550"/>
      <w:bookmarkStart w:id="2077" w:name="_Toc322_WPSOffice_Level1"/>
      <w:bookmarkStart w:id="2078" w:name="_Toc17023"/>
      <w:bookmarkStart w:id="2079" w:name="_Toc2812_WPSOffice_Level1"/>
      <w:bookmarkStart w:id="2080" w:name="_Toc25393_WPSOffice_Level1"/>
      <w:bookmarkStart w:id="2081" w:name="_Toc2601"/>
      <w:bookmarkStart w:id="2082" w:name="_Toc191"/>
      <w:bookmarkStart w:id="2083" w:name="_Toc8945"/>
      <w:bookmarkStart w:id="2084" w:name="_Toc20215"/>
      <w:bookmarkStart w:id="2085" w:name="_Toc492478850"/>
      <w:bookmarkStart w:id="2086" w:name="_Toc6612"/>
      <w:bookmarkStart w:id="2087" w:name="_Toc5737"/>
      <w:bookmarkStart w:id="2088" w:name="_Toc12984826"/>
      <w:bookmarkStart w:id="2089" w:name="_Toc5811"/>
      <w:bookmarkStart w:id="2090" w:name="_Toc6102"/>
      <w:bookmarkStart w:id="2091" w:name="_Toc1459"/>
      <w:bookmarkStart w:id="2092" w:name="_Toc31487"/>
      <w:bookmarkStart w:id="2093" w:name="_Toc15103"/>
      <w:bookmarkStart w:id="2094" w:name="_Toc25123"/>
      <w:bookmarkStart w:id="2095" w:name="_Toc22635"/>
      <w:bookmarkStart w:id="2096" w:name="_Toc7852"/>
      <w:bookmarkStart w:id="2097" w:name="_Toc19299"/>
      <w:bookmarkStart w:id="2098" w:name="_Toc12983557"/>
      <w:bookmarkStart w:id="2099" w:name="_Toc9343"/>
      <w:bookmarkStart w:id="2100" w:name="_Toc3409"/>
      <w:bookmarkStart w:id="2101" w:name="_Toc29670"/>
      <w:r>
        <w:rPr>
          <w:color w:val="auto"/>
          <w:sz w:val="21"/>
          <w:szCs w:val="21"/>
          <w:highlight w:val="none"/>
        </w:rPr>
        <w:t>附表二</w:t>
      </w:r>
      <w:r>
        <w:rPr>
          <w:rFonts w:hint="eastAsia"/>
          <w:color w:val="auto"/>
          <w:sz w:val="21"/>
          <w:szCs w:val="21"/>
          <w:highlight w:val="none"/>
        </w:rPr>
        <w:t xml:space="preserve"> 符合性</w:t>
      </w:r>
      <w:r>
        <w:rPr>
          <w:color w:val="auto"/>
          <w:sz w:val="21"/>
          <w:szCs w:val="21"/>
          <w:highlight w:val="none"/>
        </w:rPr>
        <w:t>评审表</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spacing w:before="0"/>
        <w:ind w:right="0" w:firstLine="0"/>
        <w:jc w:val="center"/>
        <w:rPr>
          <w:b/>
          <w:color w:val="auto"/>
          <w:sz w:val="24"/>
          <w:szCs w:val="24"/>
          <w:highlight w:val="none"/>
        </w:rPr>
      </w:pPr>
      <w:bookmarkStart w:id="2102" w:name="_Toc18472_WPSOffice_Level2"/>
      <w:bookmarkStart w:id="2103" w:name="_Toc7439_WPSOffice_Level2"/>
      <w:bookmarkStart w:id="2104" w:name="_Toc16614_WPSOffice_Level2"/>
      <w:bookmarkStart w:id="2105" w:name="_Toc15442_WPSOffice_Level2"/>
      <w:r>
        <w:rPr>
          <w:rFonts w:hint="eastAsia" w:hAnsi="宋体"/>
          <w:b/>
          <w:color w:val="auto"/>
          <w:sz w:val="24"/>
          <w:szCs w:val="24"/>
          <w:highlight w:val="none"/>
        </w:rPr>
        <w:t>符合性</w:t>
      </w:r>
      <w:r>
        <w:rPr>
          <w:rFonts w:hAnsi="宋体"/>
          <w:b/>
          <w:color w:val="auto"/>
          <w:sz w:val="24"/>
          <w:szCs w:val="24"/>
          <w:highlight w:val="none"/>
        </w:rPr>
        <w:t>评审表</w:t>
      </w:r>
      <w:bookmarkEnd w:id="2102"/>
      <w:bookmarkEnd w:id="2103"/>
      <w:bookmarkEnd w:id="2104"/>
      <w:bookmarkEnd w:id="2105"/>
    </w:p>
    <w:tbl>
      <w:tblPr>
        <w:tblStyle w:val="3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比选申请文件按规定签署和盖章</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比选申请人在资格审查文件或技术文件中未透露有关报价的信息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ind w:left="0" w:firstLine="0"/>
              <w:rPr>
                <w:color w:val="auto"/>
                <w:highlight w:val="none"/>
              </w:rPr>
            </w:pPr>
            <w:r>
              <w:rPr>
                <w:rFonts w:hint="eastAsia"/>
                <w:color w:val="auto"/>
                <w:highlight w:val="none"/>
              </w:rPr>
              <w:t>技术部分响应、偏离情况说明无负偏离的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比选申请文件按比选文件要求提供按期完成承诺书的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ind w:right="0" w:firstLine="0"/>
        <w:jc w:val="center"/>
        <w:rPr>
          <w:color w:val="auto"/>
          <w:highlight w:val="none"/>
        </w:rPr>
        <w:sectPr>
          <w:footerReference r:id="rId8" w:type="default"/>
          <w:pgSz w:w="11905" w:h="16838"/>
          <w:pgMar w:top="1440" w:right="1803" w:bottom="1440" w:left="1803" w:header="850" w:footer="992" w:gutter="0"/>
          <w:pgBorders>
            <w:top w:val="none" w:sz="0" w:space="0"/>
            <w:left w:val="none" w:sz="0" w:space="0"/>
            <w:bottom w:val="none" w:sz="0" w:space="0"/>
            <w:right w:val="none" w:sz="0" w:space="0"/>
          </w:pgBorders>
          <w:cols w:space="0" w:num="1"/>
          <w:docGrid w:type="lines" w:linePitch="319" w:charSpace="0"/>
        </w:sectPr>
      </w:pPr>
    </w:p>
    <w:p>
      <w:pPr>
        <w:pStyle w:val="2"/>
        <w:rPr>
          <w:color w:val="auto"/>
          <w:sz w:val="21"/>
          <w:szCs w:val="21"/>
          <w:highlight w:val="none"/>
        </w:rPr>
      </w:pPr>
      <w:bookmarkStart w:id="2106" w:name="_Toc7056"/>
      <w:bookmarkStart w:id="2107" w:name="_Toc26828_WPSOffice_Level1"/>
      <w:bookmarkStart w:id="2108" w:name="_Toc23073"/>
      <w:bookmarkStart w:id="2109" w:name="_Toc8707"/>
      <w:bookmarkStart w:id="2110" w:name="_Toc18642"/>
      <w:bookmarkStart w:id="2111" w:name="_Toc47864324"/>
      <w:bookmarkStart w:id="2112" w:name="_Toc32262_WPSOffice_Level1"/>
      <w:bookmarkStart w:id="2113" w:name="_Toc20344"/>
      <w:bookmarkStart w:id="2114" w:name="_Toc28883_WPSOffice_Level1"/>
      <w:bookmarkStart w:id="2115" w:name="_Toc15696_WPSOffice_Level1"/>
      <w:bookmarkStart w:id="2116" w:name="_Toc30588"/>
      <w:bookmarkStart w:id="2117" w:name="_Toc3838"/>
      <w:bookmarkStart w:id="2118" w:name="_Toc29537"/>
      <w:bookmarkStart w:id="2119" w:name="_Toc20730"/>
      <w:bookmarkStart w:id="2120" w:name="_Toc11064"/>
      <w:bookmarkStart w:id="2121" w:name="_Toc15329_WPSOffice_Level1"/>
      <w:r>
        <w:rPr>
          <w:rFonts w:hint="eastAsia"/>
          <w:color w:val="auto"/>
          <w:sz w:val="21"/>
          <w:szCs w:val="21"/>
          <w:highlight w:val="none"/>
        </w:rPr>
        <w:t>附表三 技术文件评分标准表</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tbl>
      <w:tblPr>
        <w:tblStyle w:val="31"/>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21"/>
        <w:gridCol w:w="1361"/>
        <w:gridCol w:w="5954"/>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22"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bookmarkStart w:id="2122" w:name="_Toc47864325"/>
            <w:r>
              <w:rPr>
                <w:rFonts w:ascii="宋体" w:hAnsi="宋体"/>
                <w:b/>
                <w:bCs/>
                <w:color w:val="auto"/>
                <w:kern w:val="2"/>
                <w:highlight w:val="none"/>
              </w:rPr>
              <w:t>序号</w:t>
            </w:r>
          </w:p>
        </w:tc>
        <w:tc>
          <w:tcPr>
            <w:tcW w:w="1421"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评审内容及分值</w:t>
            </w:r>
          </w:p>
        </w:tc>
        <w:tc>
          <w:tcPr>
            <w:tcW w:w="1361"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ascii="宋体" w:hAnsi="宋体"/>
                <w:b/>
                <w:bCs/>
                <w:color w:val="auto"/>
                <w:kern w:val="2"/>
                <w:highlight w:val="none"/>
              </w:rPr>
              <w:t>标准分</w:t>
            </w:r>
          </w:p>
        </w:tc>
        <w:tc>
          <w:tcPr>
            <w:tcW w:w="5954"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评审标准</w:t>
            </w:r>
          </w:p>
        </w:tc>
        <w:tc>
          <w:tcPr>
            <w:tcW w:w="678"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1</w:t>
            </w:r>
          </w:p>
        </w:tc>
        <w:tc>
          <w:tcPr>
            <w:tcW w:w="142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企业业绩（满分6分）</w:t>
            </w:r>
          </w:p>
        </w:tc>
        <w:tc>
          <w:tcPr>
            <w:tcW w:w="1361" w:type="dxa"/>
            <w:vAlign w:val="center"/>
          </w:tcPr>
          <w:p>
            <w:pPr>
              <w:snapToGrid w:val="0"/>
              <w:spacing w:afterAutospacing="0" w:line="288" w:lineRule="auto"/>
              <w:jc w:val="center"/>
              <w:rPr>
                <w:rFonts w:ascii="宋体" w:hAnsi="宋体"/>
                <w:bCs/>
                <w:color w:val="auto"/>
                <w:kern w:val="2"/>
                <w:highlight w:val="none"/>
              </w:rPr>
            </w:pPr>
            <w:r>
              <w:rPr>
                <w:rFonts w:hint="eastAsia" w:ascii="宋体" w:hAnsi="宋体"/>
                <w:bCs/>
                <w:color w:val="auto"/>
                <w:kern w:val="2"/>
                <w:highlight w:val="none"/>
              </w:rPr>
              <w:t>6</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每提供一项合同金额不少于10万元的轨道交通通信或自动售检票故障件维修业绩（自2019年11月 1日至截标时间前已完成的业绩）得3分，本项满分6分。</w:t>
            </w:r>
          </w:p>
        </w:tc>
        <w:tc>
          <w:tcPr>
            <w:tcW w:w="678" w:type="dxa"/>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2</w:t>
            </w:r>
          </w:p>
        </w:tc>
        <w:tc>
          <w:tcPr>
            <w:tcW w:w="1421" w:type="dxa"/>
            <w:vMerge w:val="restart"/>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质量控制文件（满分6分）</w:t>
            </w:r>
          </w:p>
        </w:tc>
        <w:tc>
          <w:tcPr>
            <w:tcW w:w="136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4.8≤m≤6</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提供2019年以来加盖单位公章的电子板件类维修项目的质量控制方案、《返修件维修报告》等能够体现维修作业质量和质量控制的类似文件，文件详细、清晰，方案科学合理，可操作性强。</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3.6≤m＜4.8</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提供2019年以来加盖单位公章的电子板件类维修项目的质量控制方案、《返修件维修报告》等能够体现维修作业质量和质量控制的类似文件，文件详细、清晰，方案合理，具有可操作性。</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0≤m＜3.6</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提供2019年以来加盖单位公章的电子板件类维修项目的质量控制方案、《返修件维修报告》等能够体现维修作业质量和质量控制的类似文件，文件粗略、笼统，方案基本合理，可操作性较差。</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3</w:t>
            </w:r>
          </w:p>
        </w:tc>
        <w:tc>
          <w:tcPr>
            <w:tcW w:w="142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质量检验承诺（满分</w:t>
            </w:r>
            <w:r>
              <w:rPr>
                <w:rFonts w:hint="eastAsia" w:ascii="宋体" w:hAnsi="宋体"/>
                <w:bCs/>
                <w:color w:val="auto"/>
                <w:kern w:val="2"/>
                <w:highlight w:val="none"/>
                <w:lang w:val="en-US" w:eastAsia="zh-CN"/>
              </w:rPr>
              <w:t>3</w:t>
            </w:r>
            <w:r>
              <w:rPr>
                <w:rFonts w:hint="eastAsia" w:ascii="宋体" w:hAnsi="宋体"/>
                <w:bCs/>
                <w:color w:val="auto"/>
                <w:kern w:val="2"/>
                <w:highlight w:val="none"/>
              </w:rPr>
              <w:t>分）</w:t>
            </w:r>
          </w:p>
        </w:tc>
        <w:tc>
          <w:tcPr>
            <w:tcW w:w="1361" w:type="dxa"/>
            <w:vAlign w:val="center"/>
          </w:tcPr>
          <w:p>
            <w:pPr>
              <w:snapToGrid w:val="0"/>
              <w:spacing w:afterAutospacing="0" w:line="288" w:lineRule="auto"/>
              <w:jc w:val="center"/>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3</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承诺在30个工作日内送修件修复率＞85%，并提供加盖单位公章的承诺书。总分</w:t>
            </w:r>
            <w:r>
              <w:rPr>
                <w:rFonts w:hint="eastAsia" w:ascii="宋体" w:hAnsi="宋体"/>
                <w:bCs/>
                <w:color w:val="auto"/>
                <w:kern w:val="2"/>
                <w:highlight w:val="none"/>
                <w:lang w:val="en-US" w:eastAsia="zh-CN"/>
              </w:rPr>
              <w:t>3</w:t>
            </w:r>
            <w:r>
              <w:rPr>
                <w:rFonts w:hint="eastAsia" w:ascii="宋体" w:hAnsi="宋体"/>
                <w:bCs/>
                <w:color w:val="auto"/>
                <w:kern w:val="2"/>
                <w:highlight w:val="none"/>
              </w:rPr>
              <w:t>分，不满足不得分。</w:t>
            </w:r>
          </w:p>
        </w:tc>
        <w:tc>
          <w:tcPr>
            <w:tcW w:w="678" w:type="dxa"/>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4</w:t>
            </w:r>
          </w:p>
        </w:tc>
        <w:tc>
          <w:tcPr>
            <w:tcW w:w="1421" w:type="dxa"/>
            <w:vAlign w:val="center"/>
          </w:tcPr>
          <w:p>
            <w:pPr>
              <w:widowControl w:val="0"/>
              <w:snapToGrid w:val="0"/>
              <w:spacing w:afterAutospacing="0" w:line="276" w:lineRule="auto"/>
              <w:ind w:left="0" w:firstLine="0"/>
              <w:rPr>
                <w:rFonts w:hint="default" w:ascii="宋体" w:hAnsi="宋体"/>
                <w:bCs/>
                <w:color w:val="auto"/>
                <w:kern w:val="2"/>
                <w:highlight w:val="none"/>
                <w:lang w:val="en-US"/>
              </w:rPr>
            </w:pPr>
            <w:r>
              <w:rPr>
                <w:rFonts w:hint="eastAsia" w:ascii="宋体" w:hAnsi="宋体"/>
                <w:bCs/>
                <w:color w:val="auto"/>
                <w:kern w:val="2"/>
                <w:highlight w:val="none"/>
                <w:lang w:val="en-US" w:eastAsia="zh-CN"/>
              </w:rPr>
              <w:t>不良信用名单</w:t>
            </w:r>
            <w:r>
              <w:rPr>
                <w:rFonts w:hint="eastAsia" w:ascii="宋体" w:hAnsi="宋体"/>
                <w:bCs/>
                <w:color w:val="auto"/>
                <w:kern w:val="2"/>
                <w:highlight w:val="none"/>
              </w:rPr>
              <w:t>（满分</w:t>
            </w:r>
            <w:r>
              <w:rPr>
                <w:rFonts w:hint="eastAsia" w:ascii="宋体" w:hAnsi="宋体"/>
                <w:bCs/>
                <w:color w:val="auto"/>
                <w:kern w:val="2"/>
                <w:highlight w:val="none"/>
                <w:lang w:val="en-US" w:eastAsia="zh-CN"/>
              </w:rPr>
              <w:t>2</w:t>
            </w:r>
            <w:r>
              <w:rPr>
                <w:rFonts w:hint="eastAsia" w:ascii="宋体" w:hAnsi="宋体"/>
                <w:bCs/>
                <w:color w:val="auto"/>
                <w:kern w:val="2"/>
                <w:highlight w:val="none"/>
              </w:rPr>
              <w:t>分）</w:t>
            </w:r>
          </w:p>
        </w:tc>
        <w:tc>
          <w:tcPr>
            <w:tcW w:w="1361" w:type="dxa"/>
            <w:vAlign w:val="center"/>
          </w:tcPr>
          <w:p>
            <w:pPr>
              <w:snapToGrid w:val="0"/>
              <w:spacing w:afterAutospacing="0" w:line="288" w:lineRule="auto"/>
              <w:jc w:val="center"/>
              <w:rPr>
                <w:rFonts w:hint="eastAsia"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2</w:t>
            </w:r>
          </w:p>
        </w:tc>
        <w:tc>
          <w:tcPr>
            <w:tcW w:w="5954" w:type="dxa"/>
          </w:tcPr>
          <w:p>
            <w:pPr>
              <w:widowControl w:val="0"/>
              <w:snapToGrid w:val="0"/>
              <w:spacing w:afterAutospacing="0" w:line="276" w:lineRule="auto"/>
              <w:ind w:left="0" w:firstLine="0"/>
              <w:rPr>
                <w:rFonts w:hint="default" w:ascii="宋体" w:hAnsi="宋体" w:eastAsia="宋体"/>
                <w:bCs/>
                <w:color w:val="auto"/>
                <w:kern w:val="2"/>
                <w:highlight w:val="none"/>
                <w:lang w:val="en-US" w:eastAsia="zh-CN"/>
              </w:rPr>
            </w:pPr>
            <w:r>
              <w:rPr>
                <w:rFonts w:hint="eastAsia" w:ascii="宋体" w:hAnsi="宋体"/>
                <w:bCs/>
                <w:color w:val="auto"/>
                <w:kern w:val="2"/>
                <w:highlight w:val="none"/>
              </w:rPr>
              <w:t>比选申请人未列入比选人不良信用名单</w:t>
            </w:r>
            <w:r>
              <w:rPr>
                <w:rFonts w:hint="eastAsia" w:ascii="宋体" w:hAnsi="宋体"/>
                <w:bCs/>
                <w:color w:val="auto"/>
                <w:kern w:val="2"/>
                <w:highlight w:val="none"/>
                <w:lang w:eastAsia="zh-CN"/>
              </w:rPr>
              <w:t>，</w:t>
            </w:r>
            <w:r>
              <w:rPr>
                <w:rFonts w:hint="eastAsia" w:ascii="宋体" w:hAnsi="宋体"/>
                <w:bCs/>
                <w:color w:val="auto"/>
                <w:kern w:val="2"/>
                <w:highlight w:val="none"/>
                <w:lang w:val="en-US" w:eastAsia="zh-CN"/>
              </w:rPr>
              <w:t>得2分，列入不良信用名单不得分。</w:t>
            </w:r>
          </w:p>
        </w:tc>
        <w:tc>
          <w:tcPr>
            <w:tcW w:w="678" w:type="dxa"/>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5</w:t>
            </w:r>
          </w:p>
        </w:tc>
        <w:tc>
          <w:tcPr>
            <w:tcW w:w="1421" w:type="dxa"/>
            <w:vMerge w:val="restart"/>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售后服务承诺（满分3分）</w:t>
            </w:r>
          </w:p>
        </w:tc>
        <w:tc>
          <w:tcPr>
            <w:tcW w:w="136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2.4≤m≤3</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承诺建立动态修复件清单，对电子板件使用环境和预防性故障等提出改善措施和建议，措施及建议科学合理，可实施性强。</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1.8≤m＜2.4</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承诺建立动态修复件清单，对电子板件使用环境和预防性故障等提出改善措施和建议，措施及建议科学合理，具有可实施性。</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0≤m＜1.8</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承诺建立动态修复件清单，对电子板件使用环境和预防性故障等提出改善措施和建议，措施及建议基本合理，可实施性较差。</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943" w:type="dxa"/>
            <w:gridSpan w:val="2"/>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ascii="宋体" w:hAnsi="宋体"/>
                <w:bCs/>
                <w:color w:val="auto"/>
                <w:kern w:val="2"/>
                <w:highlight w:val="none"/>
              </w:rPr>
              <w:t>技术</w:t>
            </w:r>
            <w:r>
              <w:rPr>
                <w:rFonts w:hint="eastAsia" w:ascii="宋体" w:hAnsi="宋体"/>
                <w:bCs/>
                <w:color w:val="auto"/>
                <w:kern w:val="2"/>
                <w:highlight w:val="none"/>
              </w:rPr>
              <w:t>评审总分</w:t>
            </w:r>
          </w:p>
        </w:tc>
        <w:tc>
          <w:tcPr>
            <w:tcW w:w="1361" w:type="dxa"/>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20</w:t>
            </w:r>
            <w:r>
              <w:rPr>
                <w:rFonts w:ascii="宋体" w:hAnsi="宋体"/>
                <w:color w:val="auto"/>
                <w:kern w:val="2"/>
                <w:highlight w:val="none"/>
              </w:rPr>
              <w:t>分</w:t>
            </w:r>
          </w:p>
        </w:tc>
        <w:tc>
          <w:tcPr>
            <w:tcW w:w="6632" w:type="dxa"/>
            <w:gridSpan w:val="2"/>
            <w:vAlign w:val="center"/>
          </w:tcPr>
          <w:p>
            <w:pPr>
              <w:widowControl w:val="0"/>
              <w:spacing w:before="0" w:after="0" w:afterAutospacing="0" w:line="276" w:lineRule="auto"/>
              <w:ind w:left="0" w:right="0" w:firstLine="0"/>
              <w:rPr>
                <w:rFonts w:ascii="宋体" w:hAnsi="宋体"/>
                <w:color w:val="auto"/>
                <w:kern w:val="2"/>
                <w:highlight w:val="none"/>
              </w:rPr>
            </w:pPr>
          </w:p>
        </w:tc>
      </w:tr>
      <w:bookmarkEnd w:id="2122"/>
    </w:tbl>
    <w:p>
      <w:pPr>
        <w:rPr>
          <w:color w:val="auto"/>
          <w:highlight w:val="none"/>
        </w:rPr>
      </w:pPr>
      <w:r>
        <w:rPr>
          <w:rFonts w:hint="eastAsia"/>
          <w:color w:val="auto"/>
          <w:highlight w:val="none"/>
        </w:rPr>
        <w:br w:type="page"/>
      </w:r>
    </w:p>
    <w:p>
      <w:pPr>
        <w:pStyle w:val="2"/>
        <w:rPr>
          <w:color w:val="auto"/>
          <w:sz w:val="21"/>
          <w:szCs w:val="21"/>
          <w:highlight w:val="none"/>
        </w:rPr>
      </w:pPr>
      <w:bookmarkStart w:id="2123" w:name="_Toc21285"/>
      <w:bookmarkStart w:id="2124" w:name="_Toc21963"/>
      <w:bookmarkStart w:id="2125" w:name="_Toc14106_WPSOffice_Level1"/>
      <w:bookmarkStart w:id="2126" w:name="_Toc47864326"/>
      <w:bookmarkStart w:id="2127" w:name="_Toc18651"/>
      <w:bookmarkStart w:id="2128" w:name="_Toc7817"/>
      <w:bookmarkStart w:id="2129" w:name="_Toc1350_WPSOffice_Level1"/>
      <w:bookmarkStart w:id="2130" w:name="_Toc1073_WPSOffice_Level1"/>
      <w:bookmarkStart w:id="2131" w:name="_Toc15387"/>
      <w:bookmarkStart w:id="2132" w:name="_Toc24780"/>
      <w:bookmarkStart w:id="2133" w:name="_Toc2569"/>
      <w:bookmarkStart w:id="2134" w:name="_Toc8121"/>
      <w:bookmarkStart w:id="2135" w:name="_Toc18909_WPSOffice_Level1"/>
      <w:bookmarkStart w:id="2136" w:name="_Toc13233"/>
      <w:bookmarkStart w:id="2137" w:name="_Toc22743_WPSOffice_Level1"/>
      <w:bookmarkStart w:id="2138" w:name="_Toc21121"/>
      <w:r>
        <w:rPr>
          <w:rFonts w:hint="eastAsia"/>
          <w:color w:val="auto"/>
          <w:sz w:val="21"/>
          <w:szCs w:val="21"/>
          <w:highlight w:val="none"/>
        </w:rPr>
        <w:t>附表四 比选报价评分表</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widowControl w:val="0"/>
        <w:spacing w:before="0" w:after="0" w:afterAutospacing="0"/>
        <w:ind w:left="0" w:right="0" w:firstLine="0"/>
        <w:jc w:val="center"/>
        <w:rPr>
          <w:rFonts w:ascii="宋体" w:hAnsi="宋体"/>
          <w:color w:val="auto"/>
          <w:kern w:val="2"/>
          <w:highlight w:val="none"/>
        </w:rPr>
      </w:pPr>
      <w:bookmarkStart w:id="2139" w:name="_Toc28111_WPSOffice_Level2"/>
      <w:bookmarkStart w:id="2140" w:name="_Toc16906_WPSOffice_Level2"/>
      <w:bookmarkStart w:id="2141" w:name="_Toc28768_WPSOffice_Level2"/>
      <w:bookmarkStart w:id="2142" w:name="_Toc15921_WPSOffice_Level2"/>
      <w:r>
        <w:rPr>
          <w:rFonts w:hint="eastAsia" w:ascii="Calibri" w:hAnsi="宋体"/>
          <w:b/>
          <w:color w:val="auto"/>
          <w:kern w:val="2"/>
          <w:sz w:val="24"/>
          <w:szCs w:val="24"/>
          <w:highlight w:val="none"/>
        </w:rPr>
        <w:t>比选报价评分表</w:t>
      </w:r>
      <w:bookmarkEnd w:id="2139"/>
      <w:bookmarkEnd w:id="2140"/>
      <w:bookmarkEnd w:id="2141"/>
      <w:bookmarkEnd w:id="2142"/>
    </w:p>
    <w:tbl>
      <w:tblPr>
        <w:tblStyle w:val="31"/>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序号</w:t>
            </w:r>
          </w:p>
        </w:tc>
        <w:tc>
          <w:tcPr>
            <w:tcW w:w="1104"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项目</w:t>
            </w:r>
          </w:p>
        </w:tc>
        <w:tc>
          <w:tcPr>
            <w:tcW w:w="3032"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hint="eastAsia" w:ascii="宋体" w:hAnsi="宋体"/>
                <w:b/>
                <w:color w:val="auto"/>
                <w:kern w:val="2"/>
                <w:highlight w:val="none"/>
              </w:rPr>
              <w:t>基准价</w:t>
            </w:r>
          </w:p>
        </w:tc>
        <w:tc>
          <w:tcPr>
            <w:tcW w:w="2977"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评分标准</w:t>
            </w:r>
          </w:p>
        </w:tc>
        <w:tc>
          <w:tcPr>
            <w:tcW w:w="1129"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分值</w:t>
            </w:r>
          </w:p>
        </w:tc>
        <w:tc>
          <w:tcPr>
            <w:tcW w:w="708"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1</w:t>
            </w:r>
          </w:p>
        </w:tc>
        <w:tc>
          <w:tcPr>
            <w:tcW w:w="1104" w:type="dxa"/>
            <w:vAlign w:val="center"/>
          </w:tcPr>
          <w:p>
            <w:pPr>
              <w:widowControl w:val="0"/>
              <w:spacing w:before="0" w:after="0" w:afterAutospacing="0"/>
              <w:ind w:left="0" w:right="0" w:firstLine="0"/>
              <w:jc w:val="left"/>
              <w:rPr>
                <w:rFonts w:ascii="宋体" w:hAnsi="宋体"/>
                <w:color w:val="auto"/>
                <w:kern w:val="2"/>
                <w:highlight w:val="none"/>
              </w:rPr>
            </w:pPr>
            <w:r>
              <w:rPr>
                <w:rFonts w:hint="eastAsia" w:ascii="宋体" w:hAnsi="宋体"/>
                <w:color w:val="auto"/>
                <w:kern w:val="2"/>
                <w:highlight w:val="none"/>
              </w:rPr>
              <w:t>比选报价</w:t>
            </w:r>
          </w:p>
        </w:tc>
        <w:tc>
          <w:tcPr>
            <w:tcW w:w="3032" w:type="dxa"/>
            <w:vAlign w:val="center"/>
          </w:tcPr>
          <w:p>
            <w:pPr>
              <w:widowControl w:val="0"/>
              <w:snapToGrid w:val="0"/>
              <w:ind w:left="0" w:firstLine="0"/>
              <w:jc w:val="left"/>
              <w:rPr>
                <w:rFonts w:ascii="宋体" w:hAnsi="宋体"/>
                <w:b/>
                <w:color w:val="auto"/>
                <w:kern w:val="2"/>
                <w:highlight w:val="none"/>
              </w:rPr>
            </w:pPr>
            <w:r>
              <w:rPr>
                <w:rFonts w:hint="eastAsia" w:ascii="宋体" w:hAnsi="宋体"/>
                <w:b/>
                <w:color w:val="auto"/>
                <w:kern w:val="2"/>
                <w:highlight w:val="none"/>
              </w:rPr>
              <w:t>进入商务文件评审的比选申请</w:t>
            </w:r>
          </w:p>
          <w:p>
            <w:pPr>
              <w:widowControl w:val="0"/>
              <w:snapToGrid w:val="0"/>
              <w:ind w:left="0" w:firstLine="0"/>
              <w:jc w:val="left"/>
              <w:rPr>
                <w:rFonts w:ascii="宋体" w:hAnsi="宋体"/>
                <w:b/>
                <w:color w:val="auto"/>
                <w:kern w:val="2"/>
                <w:highlight w:val="none"/>
              </w:rPr>
            </w:pPr>
            <w:r>
              <w:rPr>
                <w:rFonts w:hint="eastAsia" w:ascii="宋体" w:hAnsi="宋体"/>
                <w:b/>
                <w:color w:val="auto"/>
                <w:kern w:val="2"/>
                <w:highlight w:val="none"/>
              </w:rPr>
              <w:t>人才能进行价格分评审。</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s="宋体"/>
                <w:color w:val="auto"/>
                <w:kern w:val="2"/>
                <w:szCs w:val="24"/>
                <w:highlight w:val="none"/>
              </w:rPr>
              <w:t>以</w:t>
            </w:r>
            <w:r>
              <w:rPr>
                <w:rFonts w:hint="eastAsia" w:ascii="宋体" w:hAnsi="宋体"/>
                <w:color w:val="auto"/>
                <w:kern w:val="2"/>
                <w:highlight w:val="none"/>
              </w:rPr>
              <w:t>进入商务文件评审、</w:t>
            </w:r>
            <w:r>
              <w:rPr>
                <w:rFonts w:hint="eastAsia" w:ascii="宋体" w:hAnsi="宋体" w:cs="宋体"/>
                <w:color w:val="auto"/>
                <w:kern w:val="2"/>
                <w:szCs w:val="24"/>
                <w:highlight w:val="none"/>
              </w:rPr>
              <w:t>满足比选文件要求且评比报价最低的报价为评比基准价。</w:t>
            </w:r>
          </w:p>
        </w:tc>
        <w:tc>
          <w:tcPr>
            <w:tcW w:w="2977" w:type="dxa"/>
            <w:vAlign w:val="center"/>
          </w:tcPr>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s="宋体"/>
                <w:color w:val="auto"/>
                <w:kern w:val="2"/>
                <w:szCs w:val="24"/>
                <w:highlight w:val="none"/>
              </w:rPr>
              <w:t>等于评比基准价的价格分为满分80分。其他</w:t>
            </w:r>
            <w:r>
              <w:rPr>
                <w:rFonts w:hint="eastAsia" w:ascii="宋体" w:hAnsi="宋体"/>
                <w:color w:val="auto"/>
                <w:kern w:val="2"/>
                <w:highlight w:val="none"/>
              </w:rPr>
              <w:t>进入商务文件评审</w:t>
            </w:r>
            <w:r>
              <w:rPr>
                <w:rFonts w:hint="eastAsia" w:ascii="宋体" w:hAnsi="宋体" w:cs="宋体"/>
                <w:color w:val="auto"/>
                <w:kern w:val="2"/>
                <w:szCs w:val="24"/>
                <w:highlight w:val="none"/>
              </w:rPr>
              <w:t>比选人的价格分统一按照下列公式计算：</w:t>
            </w:r>
            <w:r>
              <w:rPr>
                <w:rFonts w:hint="eastAsia" w:ascii="Calibri" w:hAnsi="宋体"/>
                <w:color w:val="auto"/>
                <w:kern w:val="2"/>
                <w:szCs w:val="24"/>
                <w:highlight w:val="none"/>
              </w:rPr>
              <w:t>某比选人价格分＝评比基准价/</w:t>
            </w:r>
            <w:r>
              <w:rPr>
                <w:rFonts w:hint="eastAsia" w:ascii="宋体" w:hAnsi="宋体"/>
                <w:color w:val="auto"/>
                <w:kern w:val="2"/>
                <w:highlight w:val="none"/>
              </w:rPr>
              <w:t>进入商务文件评审的</w:t>
            </w:r>
            <w:r>
              <w:rPr>
                <w:rFonts w:hint="eastAsia" w:ascii="Calibri" w:hAnsi="宋体"/>
                <w:color w:val="auto"/>
                <w:kern w:val="2"/>
                <w:szCs w:val="24"/>
                <w:highlight w:val="none"/>
              </w:rPr>
              <w:t>某比选人评比报价×80分。</w:t>
            </w:r>
          </w:p>
        </w:tc>
        <w:tc>
          <w:tcPr>
            <w:tcW w:w="1129" w:type="dxa"/>
            <w:vAlign w:val="center"/>
          </w:tcPr>
          <w:p>
            <w:pPr>
              <w:widowControl w:val="0"/>
              <w:spacing w:before="0" w:after="0" w:afterAutospacing="0"/>
              <w:ind w:left="0" w:right="0" w:firstLine="0"/>
              <w:rPr>
                <w:rFonts w:ascii="宋体" w:hAnsi="宋体"/>
                <w:color w:val="auto"/>
                <w:kern w:val="2"/>
                <w:highlight w:val="none"/>
              </w:rPr>
            </w:pPr>
            <w:r>
              <w:rPr>
                <w:rFonts w:ascii="宋体" w:hAnsi="宋体"/>
                <w:color w:val="auto"/>
                <w:kern w:val="2"/>
                <w:highlight w:val="none"/>
              </w:rPr>
              <w:t>0</w:t>
            </w:r>
            <w:r>
              <w:rPr>
                <w:rFonts w:hint="eastAsia" w:ascii="宋体" w:hAnsi="宋体"/>
                <w:color w:val="auto"/>
                <w:kern w:val="2"/>
                <w:highlight w:val="none"/>
              </w:rPr>
              <w:t>≤</w:t>
            </w:r>
            <w:r>
              <w:rPr>
                <w:rFonts w:ascii="宋体" w:hAnsi="宋体"/>
                <w:color w:val="auto"/>
                <w:kern w:val="2"/>
                <w:highlight w:val="none"/>
              </w:rPr>
              <w:t>m</w:t>
            </w:r>
            <w:r>
              <w:rPr>
                <w:rFonts w:hint="eastAsia" w:ascii="宋体" w:hAnsi="宋体"/>
                <w:color w:val="auto"/>
                <w:kern w:val="2"/>
                <w:highlight w:val="none"/>
              </w:rPr>
              <w:t>≤80</w:t>
            </w:r>
          </w:p>
        </w:tc>
        <w:tc>
          <w:tcPr>
            <w:tcW w:w="708" w:type="dxa"/>
            <w:vAlign w:val="center"/>
          </w:tcPr>
          <w:p>
            <w:pPr>
              <w:widowControl w:val="0"/>
              <w:spacing w:before="0" w:after="0" w:afterAutospacing="0"/>
              <w:ind w:left="0" w:right="0" w:firstLine="420" w:firstLineChars="200"/>
              <w:rPr>
                <w:rFonts w:ascii="宋体" w:hAnsi="宋体"/>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54" w:type="dxa"/>
            <w:gridSpan w:val="2"/>
          </w:tcPr>
          <w:p>
            <w:pPr>
              <w:widowControl w:val="0"/>
              <w:spacing w:before="0" w:after="0" w:afterAutospacing="0"/>
              <w:ind w:left="0" w:right="0" w:firstLine="420" w:firstLineChars="200"/>
              <w:rPr>
                <w:rFonts w:ascii="宋体" w:hAnsi="宋体"/>
                <w:color w:val="auto"/>
                <w:kern w:val="2"/>
                <w:highlight w:val="none"/>
              </w:rPr>
            </w:pPr>
          </w:p>
        </w:tc>
        <w:tc>
          <w:tcPr>
            <w:tcW w:w="3032" w:type="dxa"/>
          </w:tcPr>
          <w:p>
            <w:pPr>
              <w:widowControl w:val="0"/>
              <w:spacing w:before="0" w:after="0" w:afterAutospacing="0"/>
              <w:ind w:left="0" w:right="0" w:firstLine="420" w:firstLineChars="200"/>
              <w:rPr>
                <w:rFonts w:ascii="宋体" w:hAnsi="宋体"/>
                <w:color w:val="auto"/>
                <w:kern w:val="2"/>
                <w:highlight w:val="none"/>
              </w:rPr>
            </w:pPr>
          </w:p>
        </w:tc>
        <w:tc>
          <w:tcPr>
            <w:tcW w:w="2977"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80</w:t>
            </w:r>
          </w:p>
        </w:tc>
        <w:tc>
          <w:tcPr>
            <w:tcW w:w="1129" w:type="dxa"/>
            <w:vAlign w:val="center"/>
          </w:tcPr>
          <w:p>
            <w:pPr>
              <w:widowControl w:val="0"/>
              <w:spacing w:before="0" w:after="0" w:afterAutospacing="0"/>
              <w:ind w:left="0" w:right="0" w:firstLine="420" w:firstLineChars="200"/>
              <w:jc w:val="center"/>
              <w:rPr>
                <w:rFonts w:ascii="宋体" w:hAnsi="宋体"/>
                <w:color w:val="auto"/>
                <w:kern w:val="2"/>
                <w:highlight w:val="none"/>
              </w:rPr>
            </w:pPr>
          </w:p>
        </w:tc>
        <w:tc>
          <w:tcPr>
            <w:tcW w:w="708" w:type="dxa"/>
          </w:tcPr>
          <w:p>
            <w:pPr>
              <w:widowControl w:val="0"/>
              <w:spacing w:before="0" w:after="0" w:afterAutospacing="0"/>
              <w:ind w:left="0" w:right="0" w:firstLine="420" w:firstLineChars="200"/>
              <w:rPr>
                <w:rFonts w:ascii="宋体" w:hAnsi="宋体"/>
                <w:color w:val="auto"/>
                <w:kern w:val="2"/>
                <w:highlight w:val="none"/>
              </w:rPr>
            </w:pPr>
          </w:p>
        </w:tc>
      </w:tr>
    </w:tbl>
    <w:p>
      <w:pPr>
        <w:widowControl w:val="0"/>
        <w:spacing w:before="0" w:after="0" w:afterAutospacing="0"/>
        <w:ind w:left="0" w:right="0" w:firstLine="0"/>
        <w:rPr>
          <w:rFonts w:ascii="Calibri" w:hAnsi="宋体"/>
          <w:bCs/>
          <w:color w:val="auto"/>
          <w:kern w:val="2"/>
          <w:highlight w:val="none"/>
        </w:rPr>
        <w:sectPr>
          <w:headerReference r:id="rId9" w:type="default"/>
          <w:footerReference r:id="rId10" w:type="default"/>
          <w:pgSz w:w="11905" w:h="16838"/>
          <w:pgMar w:top="1440" w:right="1803" w:bottom="1440" w:left="1803" w:header="850" w:footer="992" w:gutter="0"/>
          <w:pgBorders>
            <w:top w:val="none" w:sz="0" w:space="0"/>
            <w:left w:val="none" w:sz="0" w:space="0"/>
            <w:bottom w:val="none" w:sz="0" w:space="0"/>
            <w:right w:val="none" w:sz="0" w:space="0"/>
          </w:pgBorders>
          <w:cols w:space="0" w:num="1"/>
          <w:docGrid w:type="lines" w:linePitch="319" w:charSpace="0"/>
        </w:sectPr>
      </w:pPr>
      <w:r>
        <w:rPr>
          <w:rFonts w:hint="eastAsia" w:ascii="Calibri" w:hAnsi="宋体"/>
          <w:bCs/>
          <w:color w:val="auto"/>
          <w:kern w:val="2"/>
          <w:highlight w:val="none"/>
        </w:rPr>
        <w:t>注：比选报价如有修正，需填写附表《比选报价修正表》并由比选人代表签字确认。</w:t>
      </w:r>
    </w:p>
    <w:p>
      <w:pPr>
        <w:rPr>
          <w:rFonts w:ascii="Calibri" w:hAnsi="宋体"/>
          <w:bCs/>
          <w:color w:val="auto"/>
          <w:kern w:val="2"/>
          <w:highlight w:val="none"/>
        </w:rPr>
      </w:pPr>
    </w:p>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Pr>
        <w:pStyle w:val="2"/>
        <w:spacing w:after="0" w:line="360" w:lineRule="auto"/>
        <w:ind w:right="-57" w:firstLine="0"/>
        <w:rPr>
          <w:b w:val="0"/>
          <w:color w:val="auto"/>
          <w:highlight w:val="none"/>
        </w:rPr>
      </w:pPr>
      <w:bookmarkStart w:id="2143" w:name="_Toc22896"/>
      <w:bookmarkStart w:id="2144" w:name="_Toc414290588"/>
      <w:bookmarkStart w:id="2145" w:name="_Toc32287"/>
      <w:bookmarkStart w:id="2146" w:name="_Toc24793"/>
      <w:bookmarkStart w:id="2147" w:name="_Toc10322"/>
      <w:bookmarkStart w:id="2148" w:name="_Toc20211"/>
      <w:bookmarkStart w:id="2149" w:name="_Toc32127"/>
      <w:bookmarkStart w:id="2150" w:name="_Toc17992"/>
      <w:bookmarkStart w:id="2151" w:name="_Toc4223"/>
      <w:bookmarkStart w:id="2152" w:name="_Toc11134_WPSOffice_Level1"/>
      <w:bookmarkStart w:id="2153" w:name="_Toc7701"/>
      <w:bookmarkStart w:id="2154" w:name="_Toc1145"/>
      <w:bookmarkStart w:id="2155" w:name="_Toc10414"/>
      <w:bookmarkStart w:id="2156" w:name="_Toc6960"/>
      <w:bookmarkStart w:id="2157" w:name="_Toc10014"/>
      <w:bookmarkStart w:id="2158" w:name="_Toc7827_WPSOffice_Level1"/>
      <w:bookmarkStart w:id="2159" w:name="_Toc15706"/>
      <w:bookmarkStart w:id="2160" w:name="_Toc15799_WPSOffice_Level1"/>
      <w:bookmarkStart w:id="2161" w:name="_Toc1480"/>
      <w:bookmarkStart w:id="2162" w:name="_Toc6932"/>
      <w:bookmarkStart w:id="2163" w:name="_Toc492478858"/>
      <w:bookmarkStart w:id="2164" w:name="_Toc9220"/>
      <w:bookmarkStart w:id="2165" w:name="_Toc21194"/>
      <w:bookmarkStart w:id="2166" w:name="_Toc9464"/>
      <w:bookmarkStart w:id="2167" w:name="_Toc21541"/>
      <w:bookmarkStart w:id="2168" w:name="_Toc11048"/>
      <w:bookmarkStart w:id="2169" w:name="_Toc8803"/>
      <w:bookmarkStart w:id="2170" w:name="_Toc32725"/>
      <w:bookmarkStart w:id="2171" w:name="_Toc3510_WPSOffice_Level1"/>
      <w:bookmarkStart w:id="2172" w:name="_Toc14445"/>
      <w:bookmarkStart w:id="2173" w:name="_Toc27679_WPSOffice_Level1"/>
      <w:bookmarkStart w:id="2174" w:name="_Toc27431"/>
      <w:bookmarkStart w:id="2175" w:name="_Toc22594"/>
      <w:bookmarkStart w:id="2176" w:name="_Toc10654"/>
      <w:r>
        <w:rPr>
          <w:rFonts w:hint="eastAsia"/>
          <w:color w:val="auto"/>
          <w:sz w:val="21"/>
          <w:szCs w:val="21"/>
          <w:highlight w:val="none"/>
        </w:rPr>
        <w:t>附表五比选申请价格评审表</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spacing w:before="159"/>
        <w:ind w:right="-57" w:firstLine="0"/>
        <w:jc w:val="center"/>
        <w:rPr>
          <w:rFonts w:ascii="宋体" w:hAnsi="宋体"/>
          <w:b/>
          <w:color w:val="auto"/>
          <w:sz w:val="28"/>
          <w:szCs w:val="28"/>
          <w:highlight w:val="none"/>
        </w:rPr>
      </w:pPr>
      <w:bookmarkStart w:id="2177" w:name="_Toc3087_WPSOffice_Level2"/>
      <w:bookmarkStart w:id="2178" w:name="_Toc28821_WPSOffice_Level1"/>
      <w:bookmarkStart w:id="2179" w:name="_Toc15251_WPSOffice_Level2"/>
      <w:bookmarkStart w:id="2180" w:name="_Toc29563_WPSOffice_Level2"/>
      <w:r>
        <w:rPr>
          <w:rFonts w:hint="eastAsia" w:ascii="宋体" w:hAnsi="宋体"/>
          <w:b/>
          <w:color w:val="auto"/>
          <w:sz w:val="28"/>
          <w:szCs w:val="28"/>
          <w:highlight w:val="none"/>
        </w:rPr>
        <w:t>比选申请价格评审表</w:t>
      </w:r>
      <w:bookmarkEnd w:id="2177"/>
      <w:bookmarkEnd w:id="2178"/>
      <w:bookmarkEnd w:id="2179"/>
      <w:bookmarkEnd w:id="2180"/>
    </w:p>
    <w:tbl>
      <w:tblPr>
        <w:tblStyle w:val="31"/>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2.若修正后的总价与投标报价不相等，则评标总价和中标价均以修正后的总价为准，如比选申请人不接受按以上规则确定的评标总价和中标价，则其投标将被拒绝。</w:t>
      </w:r>
    </w:p>
    <w:p>
      <w:pPr>
        <w:spacing w:before="159"/>
        <w:ind w:right="-57" w:firstLine="0"/>
        <w:jc w:val="center"/>
        <w:rPr>
          <w:rFonts w:ascii="宋体" w:hAnsi="宋体"/>
          <w:b/>
          <w:color w:val="auto"/>
          <w:sz w:val="28"/>
          <w:szCs w:val="28"/>
          <w:highlight w:val="none"/>
        </w:rPr>
      </w:pPr>
      <w:bookmarkStart w:id="2181" w:name="_Toc2108_WPSOffice_Level2"/>
      <w:bookmarkStart w:id="2182" w:name="_Toc2608_WPSOffice_Level2"/>
      <w:bookmarkStart w:id="2183" w:name="_Toc28898_WPSOffice_Level1"/>
      <w:bookmarkStart w:id="2184" w:name="_Toc8857_WPSOffice_Level2"/>
      <w:r>
        <w:rPr>
          <w:rFonts w:hint="eastAsia" w:ascii="宋体" w:hAnsi="宋体"/>
          <w:b/>
          <w:color w:val="auto"/>
          <w:sz w:val="28"/>
          <w:szCs w:val="28"/>
          <w:highlight w:val="none"/>
        </w:rPr>
        <w:t>附表六：比选申请报价修正表</w:t>
      </w:r>
      <w:bookmarkEnd w:id="2181"/>
      <w:bookmarkEnd w:id="2182"/>
      <w:bookmarkEnd w:id="2183"/>
      <w:bookmarkEnd w:id="2184"/>
    </w:p>
    <w:tbl>
      <w:tblPr>
        <w:tblStyle w:val="31"/>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color w:val="auto"/>
                <w:sz w:val="24"/>
                <w:szCs w:val="24"/>
                <w:highlight w:val="none"/>
              </w:rPr>
            </w:pPr>
            <w:r>
              <w:rPr>
                <w:rFonts w:hint="eastAsia" w:ascii="宋体" w:hAnsi="宋体"/>
                <w:b/>
                <w:color w:val="auto"/>
                <w:sz w:val="24"/>
                <w:szCs w:val="24"/>
                <w:highlight w:val="none"/>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hint="eastAsia" w:ascii="宋体" w:hAnsi="宋体"/>
          <w:color w:val="auto"/>
          <w:highlight w:val="none"/>
        </w:rPr>
        <w:sectPr>
          <w:headerReference r:id="rId11" w:type="default"/>
          <w:footerReference r:id="rId12" w:type="default"/>
          <w:pgSz w:w="16838" w:h="11905" w:orient="landscape"/>
          <w:pgMar w:top="1803" w:right="1440" w:bottom="1803" w:left="1440" w:header="850" w:footer="992" w:gutter="0"/>
          <w:pgBorders>
            <w:top w:val="none" w:sz="0" w:space="0"/>
            <w:left w:val="none" w:sz="0" w:space="0"/>
            <w:bottom w:val="none" w:sz="0" w:space="0"/>
            <w:right w:val="none" w:sz="0" w:space="0"/>
          </w:pgBorders>
          <w:cols w:space="0" w:num="1"/>
          <w:docGrid w:type="lines" w:linePitch="319" w:charSpace="0"/>
        </w:sectPr>
      </w:pPr>
      <w:r>
        <w:rPr>
          <w:rFonts w:hint="eastAsia" w:ascii="宋体" w:hAnsi="宋体"/>
          <w:color w:val="auto"/>
          <w:highlight w:val="none"/>
        </w:rPr>
        <w:t>注：若修正后的总价与投标报价不相等，则评标总价和中标价均以修正后的总价为准，如比选申请人不接受按以上规则确定的评标总价和中标价，则其投标将被拒绝。</w:t>
      </w:r>
    </w:p>
    <w:p>
      <w:pPr>
        <w:pStyle w:val="14"/>
        <w:pageBreakBefore/>
        <w:ind w:right="-57"/>
        <w:jc w:val="center"/>
        <w:outlineLvl w:val="0"/>
        <w:rPr>
          <w:rStyle w:val="44"/>
          <w:rFonts w:hint="eastAsia" w:ascii="宋体" w:hAnsi="宋体" w:eastAsia="宋体" w:cs="Times New Roman"/>
          <w:color w:val="auto"/>
          <w:highlight w:val="none"/>
        </w:rPr>
      </w:pPr>
      <w:bookmarkStart w:id="2185" w:name="_Toc1223"/>
      <w:r>
        <w:rPr>
          <w:rStyle w:val="44"/>
          <w:rFonts w:hint="eastAsia" w:ascii="宋体" w:hAnsi="宋体" w:eastAsia="宋体" w:cs="Times New Roman"/>
          <w:color w:val="auto"/>
          <w:highlight w:val="none"/>
        </w:rPr>
        <w:t>第</w:t>
      </w:r>
      <w:r>
        <w:rPr>
          <w:rStyle w:val="44"/>
          <w:rFonts w:hint="eastAsia" w:ascii="宋体" w:hAnsi="宋体" w:eastAsia="宋体" w:cs="Times New Roman"/>
          <w:color w:val="auto"/>
          <w:highlight w:val="none"/>
          <w:lang w:val="en-US" w:eastAsia="zh-CN"/>
        </w:rPr>
        <w:t>七</w:t>
      </w:r>
      <w:r>
        <w:rPr>
          <w:rStyle w:val="44"/>
          <w:rFonts w:hint="eastAsia" w:ascii="宋体" w:hAnsi="宋体" w:eastAsia="宋体" w:cs="Times New Roman"/>
          <w:color w:val="auto"/>
          <w:highlight w:val="none"/>
        </w:rPr>
        <w:t>章</w:t>
      </w:r>
      <w:r>
        <w:rPr>
          <w:rStyle w:val="44"/>
          <w:rFonts w:hint="eastAsia" w:ascii="宋体" w:hAnsi="宋体" w:eastAsia="宋体" w:cs="Times New Roman"/>
          <w:color w:val="auto"/>
          <w:highlight w:val="none"/>
          <w:lang w:val="en-US" w:eastAsia="zh-CN"/>
        </w:rPr>
        <w:t xml:space="preserve"> 比选控制价</w:t>
      </w:r>
      <w:bookmarkEnd w:id="2185"/>
    </w:p>
    <w:p>
      <w:pPr>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本项目不含增值税</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控制价为人民币壹拾叁万柒仟元</w:t>
      </w:r>
      <w:r>
        <w:rPr>
          <w:rFonts w:hint="eastAsia" w:ascii="宋体" w:hAnsi="宋体" w:eastAsia="宋体" w:cs="宋体"/>
          <w:color w:val="auto"/>
          <w:highlight w:val="none"/>
          <w:lang w:val="en-US" w:eastAsia="zh-CN"/>
        </w:rPr>
        <w:t>整</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137000.00</w:t>
      </w:r>
      <w:r>
        <w:rPr>
          <w:rFonts w:hint="eastAsia" w:ascii="宋体" w:hAnsi="宋体" w:eastAsia="宋体" w:cs="宋体"/>
          <w:color w:val="auto"/>
          <w:highlight w:val="none"/>
        </w:rPr>
        <w:t>元），</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总报价高于</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控制价的</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文件将按否决</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处理。本项目对</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第四章比选申请文件格式</w:t>
      </w:r>
      <w:r>
        <w:rPr>
          <w:rFonts w:hint="eastAsia" w:ascii="宋体" w:hAnsi="宋体" w:eastAsia="宋体" w:cs="宋体"/>
          <w:color w:val="auto"/>
          <w:highlight w:val="none"/>
          <w:lang w:val="en-US" w:eastAsia="zh-CN"/>
        </w:rPr>
        <w:t xml:space="preserve"> B3比选申请报价表格式 比选申请报价表 </w:t>
      </w:r>
      <w:r>
        <w:rPr>
          <w:rFonts w:hint="eastAsia" w:ascii="宋体" w:hAnsi="宋体" w:eastAsia="宋体" w:cs="宋体"/>
          <w:color w:val="auto"/>
          <w:highlight w:val="none"/>
        </w:rPr>
        <w:t>标注中带“△”的</w:t>
      </w:r>
      <w:r>
        <w:rPr>
          <w:rFonts w:hint="eastAsia" w:ascii="宋体" w:hAnsi="宋体" w:eastAsia="宋体" w:cs="宋体"/>
          <w:color w:val="auto"/>
          <w:highlight w:val="none"/>
          <w:lang w:val="en-US" w:eastAsia="zh-CN"/>
        </w:rPr>
        <w:t>故障件</w:t>
      </w:r>
      <w:r>
        <w:rPr>
          <w:rFonts w:hint="eastAsia" w:ascii="宋体" w:hAnsi="宋体" w:eastAsia="宋体" w:cs="宋体"/>
          <w:color w:val="auto"/>
          <w:highlight w:val="none"/>
        </w:rPr>
        <w:t>设置</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控制单价。比选申请人对带“△”</w:t>
      </w:r>
      <w:r>
        <w:rPr>
          <w:rFonts w:hint="eastAsia" w:ascii="宋体" w:hAnsi="宋体" w:eastAsia="宋体" w:cs="宋体"/>
          <w:color w:val="auto"/>
          <w:highlight w:val="none"/>
          <w:lang w:val="en-US" w:eastAsia="zh-CN"/>
        </w:rPr>
        <w:t>故障件</w:t>
      </w:r>
      <w:r>
        <w:rPr>
          <w:rFonts w:hint="eastAsia" w:ascii="宋体" w:hAnsi="宋体" w:eastAsia="宋体" w:cs="宋体"/>
          <w:color w:val="auto"/>
          <w:highlight w:val="none"/>
        </w:rPr>
        <w:t>的比选申请报价每一项都不得超过下表内相应的不含增值税控制价单价，否则将按否决</w:t>
      </w:r>
      <w:r>
        <w:rPr>
          <w:rFonts w:hint="eastAsia" w:ascii="宋体" w:hAnsi="宋体" w:cs="宋体"/>
          <w:color w:val="auto"/>
          <w:highlight w:val="none"/>
          <w:lang w:eastAsia="zh-CN"/>
        </w:rPr>
        <w:t>比选</w:t>
      </w:r>
      <w:r>
        <w:rPr>
          <w:rFonts w:hint="eastAsia" w:ascii="宋体" w:hAnsi="宋体" w:eastAsia="宋体" w:cs="宋体"/>
          <w:color w:val="auto"/>
          <w:highlight w:val="none"/>
        </w:rPr>
        <w:t>处理。</w:t>
      </w:r>
    </w:p>
    <w:p>
      <w:pPr>
        <w:widowControl w:val="0"/>
        <w:spacing w:before="0" w:after="0" w:afterAutospacing="0"/>
        <w:ind w:left="0" w:right="0" w:firstLine="420" w:firstLineChars="200"/>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比选上限控制价单价一览表</w:t>
      </w:r>
    </w:p>
    <w:tbl>
      <w:tblPr>
        <w:tblStyle w:val="31"/>
        <w:tblW w:w="11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324"/>
        <w:gridCol w:w="850"/>
        <w:gridCol w:w="1701"/>
        <w:gridCol w:w="1984"/>
        <w:gridCol w:w="113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020"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序号</w:t>
            </w:r>
          </w:p>
        </w:tc>
        <w:tc>
          <w:tcPr>
            <w:tcW w:w="2324"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名称</w:t>
            </w:r>
          </w:p>
        </w:tc>
        <w:tc>
          <w:tcPr>
            <w:tcW w:w="850"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标注</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品牌或厂家</w:t>
            </w:r>
          </w:p>
        </w:tc>
        <w:tc>
          <w:tcPr>
            <w:tcW w:w="1984"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规格型号</w:t>
            </w:r>
          </w:p>
        </w:tc>
        <w:tc>
          <w:tcPr>
            <w:tcW w:w="1134"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单位</w:t>
            </w:r>
          </w:p>
        </w:tc>
        <w:tc>
          <w:tcPr>
            <w:tcW w:w="1134"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数量</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不含增值税</w:t>
            </w:r>
            <w:r>
              <w:rPr>
                <w:rFonts w:hint="eastAsia" w:ascii="宋体" w:hAnsi="宋体" w:eastAsia="宋体" w:cs="Times New Roman"/>
                <w:color w:val="auto"/>
                <w:highlight w:val="none"/>
                <w:lang w:eastAsia="zh-CN"/>
              </w:rPr>
              <w:t>控制价</w:t>
            </w:r>
            <w:r>
              <w:rPr>
                <w:rFonts w:hint="eastAsia" w:ascii="宋体" w:hAnsi="宋体" w:eastAsia="宋体" w:cs="Times New Roman"/>
                <w:color w:val="auto"/>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基站PSU电源备件</w:t>
            </w:r>
          </w:p>
        </w:tc>
        <w:tc>
          <w:tcPr>
            <w:tcW w:w="850" w:type="dxa"/>
            <w:tcBorders>
              <w:tl2br w:val="nil"/>
              <w:tr2bl w:val="nil"/>
            </w:tcBorders>
            <w:vAlign w:val="center"/>
          </w:tcPr>
          <w:p>
            <w:pPr>
              <w:ind w:left="0" w:firstLine="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摩托罗拉</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WAPN4335</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台</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10</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2477.88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周界报警前端处理单元</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迈高</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G6EM0102</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个</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1725.66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F型交叉时钟板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中兴通讯</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CSF</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2035.40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数字中继板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远东通信</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4DTU</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2477.88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内嵌RPR交换处理板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中兴通讯</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RSEB</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2477.88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6</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硬币单元主控板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高见泽</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3PCB100030A-01-10</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10</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1017.70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7</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纸币找零主控板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CDM6240-ZKB001</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25</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840.71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8</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网络节点控制器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天津北海</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BHP-N-200</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个</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1106.19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9</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接口控制器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天津北海</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BHP-N-100</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个</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1327.43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10</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发行单元主控板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中软</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YT7.820.0866</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1238.94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11</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扇门（宽通道）</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中软</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PDC-300</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组</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1017.70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12</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纸币找零模块</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98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CDM6240</w:t>
            </w:r>
            <w:r>
              <w:rPr>
                <w:rFonts w:ascii="宋体" w:hAnsi="宋体"/>
                <w:color w:val="auto"/>
                <w:highlight w:val="none"/>
              </w:rPr>
              <w:t>N</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15929.20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13</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硬币识别器</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984" w:type="dxa"/>
            <w:tcBorders>
              <w:tl2br w:val="nil"/>
              <w:tr2bl w:val="nil"/>
            </w:tcBorders>
            <w:vAlign w:val="center"/>
          </w:tcPr>
          <w:p>
            <w:pPr>
              <w:ind w:left="0" w:firstLine="0"/>
              <w:jc w:val="center"/>
              <w:rPr>
                <w:rFonts w:ascii="宋体" w:hAnsi="宋体"/>
                <w:color w:val="auto"/>
                <w:highlight w:val="none"/>
              </w:rPr>
            </w:pPr>
            <w:r>
              <w:rPr>
                <w:rFonts w:ascii="宋体" w:hAnsi="宋体"/>
                <w:color w:val="auto"/>
                <w:highlight w:val="none"/>
              </w:rPr>
              <w:t>POCO3-CN-00001</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973.45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14</w:t>
            </w:r>
          </w:p>
        </w:tc>
        <w:tc>
          <w:tcPr>
            <w:tcW w:w="232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钞票识别模块(NV)</w:t>
            </w:r>
          </w:p>
        </w:tc>
        <w:tc>
          <w:tcPr>
            <w:tcW w:w="850" w:type="dxa"/>
            <w:tcBorders>
              <w:tl2br w:val="nil"/>
              <w:tr2bl w:val="nil"/>
            </w:tcBorders>
            <w:vAlign w:val="center"/>
          </w:tcPr>
          <w:p>
            <w:pPr>
              <w:ind w:left="709" w:leftChars="0" w:right="-27" w:rightChars="0" w:hanging="709" w:firstLineChars="0"/>
              <w:jc w:val="center"/>
              <w:rPr>
                <w:rFonts w:hint="eastAsia" w:ascii="宋体" w:hAnsi="宋体"/>
                <w:color w:val="auto"/>
                <w:highlight w:val="none"/>
              </w:rPr>
            </w:pPr>
            <w:r>
              <w:rPr>
                <w:rFonts w:hint="eastAsia" w:ascii="宋体" w:hAnsi="宋体" w:eastAsia="宋体" w:cs="宋体"/>
                <w:i w:val="0"/>
                <w:color w:val="auto"/>
                <w:sz w:val="24"/>
                <w:szCs w:val="24"/>
                <w:highlight w:val="none"/>
                <w:u w:val="none"/>
              </w:rPr>
              <w:t>△</w:t>
            </w:r>
          </w:p>
        </w:tc>
        <w:tc>
          <w:tcPr>
            <w:tcW w:w="1701"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广电运通</w:t>
            </w:r>
          </w:p>
        </w:tc>
        <w:tc>
          <w:tcPr>
            <w:tcW w:w="1984" w:type="dxa"/>
            <w:tcBorders>
              <w:tl2br w:val="nil"/>
              <w:tr2bl w:val="nil"/>
            </w:tcBorders>
            <w:vAlign w:val="center"/>
          </w:tcPr>
          <w:p>
            <w:pPr>
              <w:ind w:left="0" w:firstLine="0"/>
              <w:jc w:val="center"/>
              <w:rPr>
                <w:rFonts w:ascii="宋体" w:hAnsi="宋体"/>
                <w:color w:val="auto"/>
                <w:highlight w:val="none"/>
              </w:rPr>
            </w:pPr>
            <w:r>
              <w:rPr>
                <w:rFonts w:ascii="宋体" w:hAnsi="宋体"/>
                <w:color w:val="auto"/>
                <w:highlight w:val="none"/>
              </w:rPr>
              <w:t>NV-100</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块</w:t>
            </w:r>
          </w:p>
        </w:tc>
        <w:tc>
          <w:tcPr>
            <w:tcW w:w="1134" w:type="dxa"/>
            <w:tcBorders>
              <w:tl2br w:val="nil"/>
              <w:tr2bl w:val="nil"/>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701" w:type="dxa"/>
            <w:tcBorders>
              <w:tl2br w:val="nil"/>
              <w:tr2bl w:val="nil"/>
            </w:tcBorders>
            <w:vAlign w:val="center"/>
          </w:tcPr>
          <w:p>
            <w:pPr>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 xml:space="preserve">4247.79 </w:t>
            </w:r>
          </w:p>
        </w:tc>
      </w:tr>
    </w:tbl>
    <w:p>
      <w:pPr>
        <w:bidi w:val="0"/>
        <w:rPr>
          <w:color w:val="auto"/>
          <w:highlight w:val="none"/>
        </w:rPr>
      </w:pPr>
    </w:p>
    <w:sectPr>
      <w:pgSz w:w="16838" w:h="11905" w:orient="landscape"/>
      <w:pgMar w:top="1803" w:right="1440" w:bottom="1803" w:left="1440" w:header="850"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4098" o:spid="_x0000_s4098"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82</w:t>
                </w:r>
                <w:r>
                  <w:fldChar w:fldCharType="end"/>
                </w:r>
              </w:p>
            </w:txbxContent>
          </v:textbox>
        </v:shape>
      </w:pict>
    </w: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sdt>
                <w:sdtPr>
                  <w:id w:val="-1078750833"/>
                </w:sdtPr>
                <w:sdtContent>
                  <w:p>
                    <w:pPr>
                      <w:pStyle w:val="18"/>
                      <w:jc w:val="center"/>
                    </w:pPr>
                  </w:p>
                </w:sdtContent>
              </w:sdt>
              <w:p/>
            </w:txbxContent>
          </v:textbox>
        </v:shape>
      </w:pict>
    </w:r>
  </w:p>
  <w:p>
    <w:pPr>
      <w:pStyle w:val="19"/>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文本框 6" o:spid="_x0000_s410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path/>
          <v:fill on="f" focussize="0,0"/>
          <v:stroke on="f" weight="0.5pt" joinstyle="miter"/>
          <v:imagedata o:title=""/>
          <o:lock v:ext="edit"/>
          <v:textbox inset="0mm,0mm,0mm,0mm" style="mso-fit-shape-to-text:t;">
            <w:txbxContent>
              <w:p>
                <w:r>
                  <w:fldChar w:fldCharType="begin"/>
                </w:r>
                <w:r>
                  <w:instrText xml:space="preserve"> PAGE  \* MERGEFORMAT </w:instrText>
                </w:r>
                <w:r>
                  <w:fldChar w:fldCharType="separate"/>
                </w:r>
                <w:r>
                  <w:t>100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KtUZxPQIAAG0EAAAOAAAAAAAAAAEAIAAAAB8BAABkcnMvZTJv&#10;RG9jLnhtbFBLBQYAAAAABgAGAFkBAADOBQAAAAA=&#10;">
          <v:path/>
          <v:fill on="f" focussize="0,0"/>
          <v:stroke on="f" weight="0.5pt" joinstyle="miter"/>
          <v:imagedata o:title=""/>
          <o:lock v:ext="edit"/>
          <v:textbox inset="0mm,0mm,0mm,0mm" style="mso-fit-shape-to-text:t;">
            <w:txbxContent>
              <w:p>
                <w:r>
                  <w:fldChar w:fldCharType="begin"/>
                </w:r>
                <w:r>
                  <w:instrText xml:space="preserve"> PAGE  \* MERGEFORMAT </w:instrText>
                </w:r>
                <w:r>
                  <w:fldChar w:fldCharType="separate"/>
                </w:r>
                <w:r>
                  <w:t>102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0lY7tAAAAAFAQAADwAAAAAAAAABACAAAAAiAAAAZHJzL2Rvd25yZXYu&#10;eG1sUEsBAhQAFAAAAAgAh07iQHjmnd88AgAAbgQAAA4AAAAAAAAAAQAgAAAAHwEAAGRycy9lMm9E&#10;b2MueG1sUEsFBgAAAAAGAAYAWQEAAM0FAAAAAA==&#10;">
          <v:path/>
          <v:fill on="f" focussize="0,0"/>
          <v:stroke on="f" weight="0.5pt" joinstyle="miter"/>
          <v:imagedata o:title=""/>
          <o:lock v:ext="edit"/>
          <v:textbox inset="0mm,0mm,0mm,0mm" style="mso-fit-shape-to-text:t;">
            <w:txbxContent>
              <w:p>
                <w:r>
                  <w:fldChar w:fldCharType="begin"/>
                </w:r>
                <w:r>
                  <w:instrText xml:space="preserve"> PAGE  \* MERGEFORMAT </w:instrText>
                </w:r>
                <w:r>
                  <w:fldChar w:fldCharType="separate"/>
                </w:r>
                <w:r>
                  <w:t>104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07470"/>
    <w:multiLevelType w:val="singleLevel"/>
    <w:tmpl w:val="8F607470"/>
    <w:lvl w:ilvl="0" w:tentative="0">
      <w:start w:val="1"/>
      <w:numFmt w:val="decimal"/>
      <w:lvlText w:val="%1."/>
      <w:lvlJc w:val="left"/>
      <w:pPr>
        <w:tabs>
          <w:tab w:val="left" w:pos="312"/>
        </w:tabs>
      </w:pPr>
    </w:lvl>
  </w:abstractNum>
  <w:abstractNum w:abstractNumId="1">
    <w:nsid w:val="94D67F65"/>
    <w:multiLevelType w:val="singleLevel"/>
    <w:tmpl w:val="94D67F65"/>
    <w:lvl w:ilvl="0" w:tentative="0">
      <w:start w:val="1"/>
      <w:numFmt w:val="decimal"/>
      <w:lvlText w:val="%1."/>
      <w:lvlJc w:val="left"/>
      <w:pPr>
        <w:tabs>
          <w:tab w:val="left" w:pos="312"/>
        </w:tabs>
      </w:pPr>
    </w:lvl>
  </w:abstractNum>
  <w:abstractNum w:abstractNumId="2">
    <w:nsid w:val="B5553480"/>
    <w:multiLevelType w:val="singleLevel"/>
    <w:tmpl w:val="B5553480"/>
    <w:lvl w:ilvl="0" w:tentative="0">
      <w:start w:val="1"/>
      <w:numFmt w:val="decimal"/>
      <w:suff w:val="nothing"/>
      <w:lvlText w:val="（%1）"/>
      <w:lvlJc w:val="left"/>
    </w:lvl>
  </w:abstractNum>
  <w:abstractNum w:abstractNumId="3">
    <w:nsid w:val="B78B6918"/>
    <w:multiLevelType w:val="singleLevel"/>
    <w:tmpl w:val="B78B6918"/>
    <w:lvl w:ilvl="0" w:tentative="0">
      <w:start w:val="1"/>
      <w:numFmt w:val="decimal"/>
      <w:suff w:val="nothing"/>
      <w:lvlText w:val="4.3.%1 "/>
      <w:lvlJc w:val="left"/>
      <w:pPr>
        <w:tabs>
          <w:tab w:val="left" w:pos="0"/>
        </w:tabs>
        <w:ind w:left="-261" w:firstLine="403"/>
      </w:pPr>
      <w:rPr>
        <w:rFonts w:hint="default" w:ascii="宋体" w:hAnsi="宋体" w:eastAsia="宋体" w:cs="宋体"/>
      </w:rPr>
    </w:lvl>
  </w:abstractNum>
  <w:abstractNum w:abstractNumId="4">
    <w:nsid w:val="BDD1A828"/>
    <w:multiLevelType w:val="singleLevel"/>
    <w:tmpl w:val="BDD1A828"/>
    <w:lvl w:ilvl="0" w:tentative="0">
      <w:start w:val="1"/>
      <w:numFmt w:val="decimal"/>
      <w:lvlText w:val="%1."/>
      <w:lvlJc w:val="left"/>
      <w:pPr>
        <w:tabs>
          <w:tab w:val="left" w:pos="312"/>
        </w:tabs>
      </w:pPr>
    </w:lvl>
  </w:abstractNum>
  <w:abstractNum w:abstractNumId="5">
    <w:nsid w:val="C2B016FD"/>
    <w:multiLevelType w:val="singleLevel"/>
    <w:tmpl w:val="C2B016FD"/>
    <w:lvl w:ilvl="0" w:tentative="0">
      <w:start w:val="1"/>
      <w:numFmt w:val="decimal"/>
      <w:lvlText w:val="%1."/>
      <w:lvlJc w:val="left"/>
      <w:pPr>
        <w:tabs>
          <w:tab w:val="left" w:pos="312"/>
        </w:tabs>
      </w:pPr>
    </w:lvl>
  </w:abstractNum>
  <w:abstractNum w:abstractNumId="6">
    <w:nsid w:val="CA9A6B64"/>
    <w:multiLevelType w:val="singleLevel"/>
    <w:tmpl w:val="CA9A6B64"/>
    <w:lvl w:ilvl="0" w:tentative="0">
      <w:start w:val="1"/>
      <w:numFmt w:val="decimal"/>
      <w:lvlText w:val="%1."/>
      <w:lvlJc w:val="left"/>
      <w:pPr>
        <w:tabs>
          <w:tab w:val="left" w:pos="312"/>
        </w:tabs>
      </w:pPr>
    </w:lvl>
  </w:abstractNum>
  <w:abstractNum w:abstractNumId="7">
    <w:nsid w:val="CFFFB92F"/>
    <w:multiLevelType w:val="singleLevel"/>
    <w:tmpl w:val="CFFFB92F"/>
    <w:lvl w:ilvl="0" w:tentative="0">
      <w:start w:val="1"/>
      <w:numFmt w:val="decimal"/>
      <w:lvlText w:val="%1."/>
      <w:lvlJc w:val="left"/>
      <w:pPr>
        <w:tabs>
          <w:tab w:val="left" w:pos="312"/>
        </w:tabs>
      </w:pPr>
    </w:lvl>
  </w:abstractNum>
  <w:abstractNum w:abstractNumId="8">
    <w:nsid w:val="DEECD395"/>
    <w:multiLevelType w:val="singleLevel"/>
    <w:tmpl w:val="DEECD395"/>
    <w:lvl w:ilvl="0" w:tentative="0">
      <w:start w:val="1"/>
      <w:numFmt w:val="decimal"/>
      <w:suff w:val="nothing"/>
      <w:lvlText w:val="（%1）"/>
      <w:lvlJc w:val="left"/>
    </w:lvl>
  </w:abstractNum>
  <w:abstractNum w:abstractNumId="9">
    <w:nsid w:val="E4DABBBE"/>
    <w:multiLevelType w:val="singleLevel"/>
    <w:tmpl w:val="E4DABBBE"/>
    <w:lvl w:ilvl="0" w:tentative="0">
      <w:start w:val="1"/>
      <w:numFmt w:val="decimal"/>
      <w:suff w:val="nothing"/>
      <w:lvlText w:val="5.1.%1 "/>
      <w:lvlJc w:val="left"/>
      <w:pPr>
        <w:tabs>
          <w:tab w:val="left" w:pos="0"/>
        </w:tabs>
        <w:ind w:left="-261" w:firstLine="403"/>
      </w:pPr>
      <w:rPr>
        <w:rFonts w:hint="default" w:ascii="宋体" w:hAnsi="宋体" w:eastAsia="宋体" w:cs="宋体"/>
      </w:rPr>
    </w:lvl>
  </w:abstractNum>
  <w:abstractNum w:abstractNumId="10">
    <w:nsid w:val="EE5B0211"/>
    <w:multiLevelType w:val="singleLevel"/>
    <w:tmpl w:val="EE5B0211"/>
    <w:lvl w:ilvl="0" w:tentative="0">
      <w:start w:val="1"/>
      <w:numFmt w:val="decimal"/>
      <w:lvlText w:val="%1."/>
      <w:lvlJc w:val="left"/>
      <w:pPr>
        <w:tabs>
          <w:tab w:val="left" w:pos="312"/>
        </w:tabs>
      </w:pPr>
    </w:lvl>
  </w:abstractNum>
  <w:abstractNum w:abstractNumId="11">
    <w:nsid w:val="15CD3CD4"/>
    <w:multiLevelType w:val="singleLevel"/>
    <w:tmpl w:val="15CD3CD4"/>
    <w:lvl w:ilvl="0" w:tentative="0">
      <w:start w:val="1"/>
      <w:numFmt w:val="decimal"/>
      <w:lvlText w:val="%1."/>
      <w:lvlJc w:val="left"/>
      <w:pPr>
        <w:tabs>
          <w:tab w:val="left" w:pos="312"/>
        </w:tabs>
      </w:pPr>
    </w:lvl>
  </w:abstractNum>
  <w:abstractNum w:abstractNumId="12">
    <w:nsid w:val="181A3193"/>
    <w:multiLevelType w:val="singleLevel"/>
    <w:tmpl w:val="181A3193"/>
    <w:lvl w:ilvl="0" w:tentative="0">
      <w:start w:val="1"/>
      <w:numFmt w:val="decimal"/>
      <w:lvlText w:val="%1."/>
      <w:lvlJc w:val="left"/>
      <w:pPr>
        <w:tabs>
          <w:tab w:val="left" w:pos="312"/>
        </w:tabs>
      </w:pPr>
    </w:lvl>
  </w:abstractNum>
  <w:abstractNum w:abstractNumId="13">
    <w:nsid w:val="2CBE1D7A"/>
    <w:multiLevelType w:val="singleLevel"/>
    <w:tmpl w:val="2CBE1D7A"/>
    <w:lvl w:ilvl="0" w:tentative="0">
      <w:start w:val="1"/>
      <w:numFmt w:val="decimal"/>
      <w:suff w:val="nothing"/>
      <w:lvlText w:val="%1　"/>
      <w:lvlJc w:val="left"/>
      <w:pPr>
        <w:tabs>
          <w:tab w:val="left" w:pos="0"/>
        </w:tabs>
        <w:ind w:left="0" w:firstLine="283"/>
      </w:pPr>
      <w:rPr>
        <w:rFonts w:hint="default" w:ascii="宋体" w:hAnsi="宋体" w:eastAsia="宋体" w:cs="宋体"/>
      </w:rPr>
    </w:lvl>
  </w:abstractNum>
  <w:abstractNum w:abstractNumId="1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1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16">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1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2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2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27">
    <w:nsid w:val="3D2D0232"/>
    <w:multiLevelType w:val="singleLevel"/>
    <w:tmpl w:val="3D2D0232"/>
    <w:lvl w:ilvl="0" w:tentative="0">
      <w:start w:val="1"/>
      <w:numFmt w:val="decimal"/>
      <w:suff w:val="nothing"/>
      <w:lvlText w:val="3.2.%1 "/>
      <w:lvlJc w:val="left"/>
      <w:pPr>
        <w:tabs>
          <w:tab w:val="left" w:pos="0"/>
        </w:tabs>
        <w:ind w:left="-261" w:firstLine="403"/>
      </w:pPr>
      <w:rPr>
        <w:rFonts w:hint="default" w:ascii="宋体" w:hAnsi="宋体" w:eastAsia="宋体" w:cs="宋体"/>
      </w:rPr>
    </w:lvl>
  </w:abstractNum>
  <w:abstractNum w:abstractNumId="28">
    <w:nsid w:val="3F80061F"/>
    <w:multiLevelType w:val="singleLevel"/>
    <w:tmpl w:val="3F80061F"/>
    <w:lvl w:ilvl="0" w:tentative="0">
      <w:start w:val="1"/>
      <w:numFmt w:val="decimal"/>
      <w:suff w:val="nothing"/>
      <w:lvlText w:val="6.1.%1 "/>
      <w:lvlJc w:val="left"/>
      <w:pPr>
        <w:tabs>
          <w:tab w:val="left" w:pos="0"/>
        </w:tabs>
        <w:ind w:left="-261" w:firstLine="403"/>
      </w:pPr>
      <w:rPr>
        <w:rFonts w:hint="default" w:ascii="宋体" w:hAnsi="宋体" w:eastAsia="宋体" w:cs="宋体"/>
      </w:rPr>
    </w:lvl>
  </w:abstractNum>
  <w:abstractNum w:abstractNumId="29">
    <w:nsid w:val="4178128C"/>
    <w:multiLevelType w:val="multilevel"/>
    <w:tmpl w:val="4178128C"/>
    <w:lvl w:ilvl="0" w:tentative="0">
      <w:start w:val="1"/>
      <w:numFmt w:val="decimal"/>
      <w:suff w:val="space"/>
      <w:lvlText w:val="%1"/>
      <w:lvlJc w:val="left"/>
      <w:pPr>
        <w:ind w:left="0" w:firstLine="0"/>
      </w:pPr>
      <w:rPr>
        <w:rFonts w:hint="eastAsia" w:ascii="黑体" w:hAnsi="黑体" w:eastAsia="黑体"/>
        <w:b w:val="0"/>
        <w:i w:val="0"/>
        <w:sz w:val="30"/>
      </w:rPr>
    </w:lvl>
    <w:lvl w:ilvl="1" w:tentative="0">
      <w:start w:val="1"/>
      <w:numFmt w:val="decimal"/>
      <w:suff w:val="space"/>
      <w:lvlText w:val="%1.%2"/>
      <w:lvlJc w:val="left"/>
      <w:pPr>
        <w:ind w:left="0" w:firstLine="0"/>
      </w:pPr>
      <w:rPr>
        <w:rFonts w:hint="eastAsia" w:ascii="黑体" w:hAnsi="宋体" w:eastAsia="黑体" w:cs="宋体"/>
        <w:b w:val="0"/>
        <w:i w:val="0"/>
        <w:sz w:val="28"/>
        <w:szCs w:val="24"/>
      </w:rPr>
    </w:lvl>
    <w:lvl w:ilvl="2" w:tentative="0">
      <w:start w:val="1"/>
      <w:numFmt w:val="decimal"/>
      <w:suff w:val="space"/>
      <w:lvlText w:val="%1.%2.%3"/>
      <w:lvlJc w:val="left"/>
      <w:pPr>
        <w:ind w:left="0" w:firstLine="0"/>
      </w:pPr>
      <w:rPr>
        <w:rFonts w:hint="eastAsia" w:ascii="黑体" w:hAnsi="宋体" w:eastAsia="黑体" w:cs="宋体"/>
        <w:b w:val="0"/>
        <w:i w:val="0"/>
        <w:sz w:val="24"/>
      </w:rPr>
    </w:lvl>
    <w:lvl w:ilvl="3" w:tentative="0">
      <w:start w:val="1"/>
      <w:numFmt w:val="decimal"/>
      <w:pStyle w:val="5"/>
      <w:suff w:val="space"/>
      <w:lvlText w:val="%1.%2.%3.%4"/>
      <w:lvlJc w:val="left"/>
      <w:pPr>
        <w:ind w:left="0" w:firstLine="0"/>
      </w:pPr>
      <w:rPr>
        <w:rFonts w:hint="eastAsia" w:ascii="黑体" w:hAnsi="黑体" w:eastAsia="黑体"/>
        <w:b w:val="0"/>
        <w:i w:val="0"/>
        <w:sz w:val="21"/>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0">
    <w:nsid w:val="4A63F7D1"/>
    <w:multiLevelType w:val="singleLevel"/>
    <w:tmpl w:val="4A63F7D1"/>
    <w:lvl w:ilvl="0" w:tentative="0">
      <w:start w:val="2"/>
      <w:numFmt w:val="decimal"/>
      <w:suff w:val="nothing"/>
      <w:lvlText w:val="%1、"/>
      <w:lvlJc w:val="left"/>
    </w:lvl>
  </w:abstractNum>
  <w:abstractNum w:abstractNumId="31">
    <w:nsid w:val="53E8FF06"/>
    <w:multiLevelType w:val="singleLevel"/>
    <w:tmpl w:val="53E8FF06"/>
    <w:lvl w:ilvl="0" w:tentative="0">
      <w:start w:val="1"/>
      <w:numFmt w:val="decimal"/>
      <w:lvlText w:val="%1."/>
      <w:lvlJc w:val="left"/>
      <w:pPr>
        <w:tabs>
          <w:tab w:val="left" w:pos="312"/>
        </w:tabs>
      </w:pPr>
    </w:lvl>
  </w:abstractNum>
  <w:abstractNum w:abstractNumId="32">
    <w:nsid w:val="5DC835EA"/>
    <w:multiLevelType w:val="singleLevel"/>
    <w:tmpl w:val="5DC835EA"/>
    <w:lvl w:ilvl="0" w:tentative="0">
      <w:start w:val="1"/>
      <w:numFmt w:val="decimal"/>
      <w:lvlText w:val="%1."/>
      <w:lvlJc w:val="left"/>
      <w:pPr>
        <w:tabs>
          <w:tab w:val="left" w:pos="312"/>
        </w:tabs>
      </w:pPr>
    </w:lvl>
  </w:abstractNum>
  <w:abstractNum w:abstractNumId="33">
    <w:nsid w:val="5DD627A0"/>
    <w:multiLevelType w:val="singleLevel"/>
    <w:tmpl w:val="5DD627A0"/>
    <w:lvl w:ilvl="0" w:tentative="0">
      <w:start w:val="1"/>
      <w:numFmt w:val="decimal"/>
      <w:lvlText w:val="%1."/>
      <w:lvlJc w:val="left"/>
      <w:pPr>
        <w:tabs>
          <w:tab w:val="left" w:pos="312"/>
        </w:tabs>
      </w:pPr>
    </w:lvl>
  </w:abstractNum>
  <w:abstractNum w:abstractNumId="34">
    <w:nsid w:val="64322CE2"/>
    <w:multiLevelType w:val="singleLevel"/>
    <w:tmpl w:val="64322CE2"/>
    <w:lvl w:ilvl="0" w:tentative="0">
      <w:start w:val="1"/>
      <w:numFmt w:val="decimal"/>
      <w:lvlText w:val="%1."/>
      <w:lvlJc w:val="left"/>
      <w:pPr>
        <w:tabs>
          <w:tab w:val="left" w:pos="312"/>
        </w:tabs>
      </w:pPr>
    </w:lvl>
  </w:abstractNum>
  <w:abstractNum w:abstractNumId="35">
    <w:nsid w:val="6CF2C198"/>
    <w:multiLevelType w:val="singleLevel"/>
    <w:tmpl w:val="6CF2C198"/>
    <w:lvl w:ilvl="0" w:tentative="0">
      <w:start w:val="1"/>
      <w:numFmt w:val="decimal"/>
      <w:lvlText w:val="%1."/>
      <w:lvlJc w:val="left"/>
      <w:pPr>
        <w:tabs>
          <w:tab w:val="left" w:pos="312"/>
        </w:tabs>
      </w:pPr>
    </w:lvl>
  </w:abstractNum>
  <w:abstractNum w:abstractNumId="36">
    <w:nsid w:val="6F9E2924"/>
    <w:multiLevelType w:val="singleLevel"/>
    <w:tmpl w:val="6F9E2924"/>
    <w:lvl w:ilvl="0" w:tentative="0">
      <w:start w:val="8"/>
      <w:numFmt w:val="decimal"/>
      <w:lvlText w:val="%1."/>
      <w:lvlJc w:val="left"/>
      <w:pPr>
        <w:tabs>
          <w:tab w:val="left" w:pos="312"/>
        </w:tabs>
      </w:pPr>
    </w:lvl>
  </w:abstractNum>
  <w:abstractNum w:abstractNumId="37">
    <w:nsid w:val="7094AEF3"/>
    <w:multiLevelType w:val="singleLevel"/>
    <w:tmpl w:val="7094AEF3"/>
    <w:lvl w:ilvl="0" w:tentative="0">
      <w:start w:val="1"/>
      <w:numFmt w:val="decimal"/>
      <w:suff w:val="nothing"/>
      <w:lvlText w:val="5.2.%1 "/>
      <w:lvlJc w:val="left"/>
      <w:pPr>
        <w:tabs>
          <w:tab w:val="left" w:pos="0"/>
        </w:tabs>
        <w:ind w:left="-261" w:firstLine="403"/>
      </w:pPr>
      <w:rPr>
        <w:rFonts w:hint="default" w:ascii="宋体" w:hAnsi="宋体" w:eastAsia="宋体" w:cs="宋体"/>
      </w:rPr>
    </w:lvl>
  </w:abstractNum>
  <w:abstractNum w:abstractNumId="38">
    <w:nsid w:val="747BD408"/>
    <w:multiLevelType w:val="singleLevel"/>
    <w:tmpl w:val="747BD408"/>
    <w:lvl w:ilvl="0" w:tentative="0">
      <w:start w:val="1"/>
      <w:numFmt w:val="decimal"/>
      <w:suff w:val="nothing"/>
      <w:lvlText w:val="7.1.%1 "/>
      <w:lvlJc w:val="left"/>
      <w:pPr>
        <w:tabs>
          <w:tab w:val="left" w:pos="0"/>
        </w:tabs>
        <w:ind w:left="-261" w:firstLine="403"/>
      </w:pPr>
      <w:rPr>
        <w:rFonts w:hint="default" w:ascii="宋体" w:hAnsi="宋体" w:eastAsia="宋体" w:cs="宋体"/>
      </w:rPr>
    </w:lvl>
  </w:abstractNum>
  <w:abstractNum w:abstractNumId="39">
    <w:nsid w:val="755125FE"/>
    <w:multiLevelType w:val="singleLevel"/>
    <w:tmpl w:val="755125FE"/>
    <w:lvl w:ilvl="0" w:tentative="0">
      <w:start w:val="1"/>
      <w:numFmt w:val="decimal"/>
      <w:suff w:val="nothing"/>
      <w:lvlText w:val="4.2.%1 "/>
      <w:lvlJc w:val="left"/>
      <w:pPr>
        <w:tabs>
          <w:tab w:val="left" w:pos="0"/>
        </w:tabs>
        <w:ind w:left="-261" w:firstLine="403"/>
      </w:pPr>
      <w:rPr>
        <w:rFonts w:hint="default" w:ascii="宋体" w:hAnsi="宋体" w:eastAsia="宋体" w:cs="宋体"/>
      </w:rPr>
    </w:lvl>
  </w:abstractNum>
  <w:abstractNum w:abstractNumId="40">
    <w:nsid w:val="7575ED97"/>
    <w:multiLevelType w:val="singleLevel"/>
    <w:tmpl w:val="7575ED97"/>
    <w:lvl w:ilvl="0" w:tentative="0">
      <w:start w:val="1"/>
      <w:numFmt w:val="decimal"/>
      <w:lvlText w:val="%1."/>
      <w:lvlJc w:val="left"/>
      <w:pPr>
        <w:tabs>
          <w:tab w:val="left" w:pos="312"/>
        </w:tabs>
      </w:pPr>
    </w:lvl>
  </w:abstractNum>
  <w:abstractNum w:abstractNumId="41">
    <w:nsid w:val="75AACFC9"/>
    <w:multiLevelType w:val="singleLevel"/>
    <w:tmpl w:val="75AACFC9"/>
    <w:lvl w:ilvl="0" w:tentative="0">
      <w:start w:val="1"/>
      <w:numFmt w:val="decimal"/>
      <w:suff w:val="nothing"/>
      <w:lvlText w:val="4.1.%1 "/>
      <w:lvlJc w:val="left"/>
      <w:pPr>
        <w:tabs>
          <w:tab w:val="left" w:pos="0"/>
        </w:tabs>
        <w:ind w:left="-261" w:firstLine="403"/>
      </w:pPr>
      <w:rPr>
        <w:rFonts w:hint="default" w:ascii="宋体" w:hAnsi="宋体" w:eastAsia="宋体" w:cs="宋体"/>
      </w:rPr>
    </w:lvl>
  </w:abstractNum>
  <w:abstractNum w:abstractNumId="42">
    <w:nsid w:val="7C2D2371"/>
    <w:multiLevelType w:val="singleLevel"/>
    <w:tmpl w:val="7C2D2371"/>
    <w:lvl w:ilvl="0" w:tentative="0">
      <w:start w:val="1"/>
      <w:numFmt w:val="decimal"/>
      <w:suff w:val="nothing"/>
      <w:lvlText w:val="5.3.%1 "/>
      <w:lvlJc w:val="left"/>
      <w:pPr>
        <w:tabs>
          <w:tab w:val="left" w:pos="0"/>
        </w:tabs>
        <w:ind w:left="-261" w:firstLine="403"/>
      </w:pPr>
      <w:rPr>
        <w:rFonts w:hint="default" w:ascii="宋体" w:hAnsi="宋体" w:eastAsia="宋体" w:cs="宋体"/>
      </w:rPr>
    </w:lvl>
  </w:abstractNum>
  <w:num w:numId="1">
    <w:abstractNumId w:val="29"/>
  </w:num>
  <w:num w:numId="2">
    <w:abstractNumId w:val="0"/>
  </w:num>
  <w:num w:numId="3">
    <w:abstractNumId w:val="19"/>
  </w:num>
  <w:num w:numId="4">
    <w:abstractNumId w:val="26"/>
  </w:num>
  <w:num w:numId="5">
    <w:abstractNumId w:val="15"/>
  </w:num>
  <w:num w:numId="6">
    <w:abstractNumId w:val="14"/>
  </w:num>
  <w:num w:numId="7">
    <w:abstractNumId w:val="25"/>
  </w:num>
  <w:num w:numId="8">
    <w:abstractNumId w:val="24"/>
  </w:num>
  <w:num w:numId="9">
    <w:abstractNumId w:val="17"/>
  </w:num>
  <w:num w:numId="10">
    <w:abstractNumId w:val="23"/>
  </w:num>
  <w:num w:numId="11">
    <w:abstractNumId w:val="18"/>
  </w:num>
  <w:num w:numId="12">
    <w:abstractNumId w:val="21"/>
  </w:num>
  <w:num w:numId="13">
    <w:abstractNumId w:val="16"/>
  </w:num>
  <w:num w:numId="14">
    <w:abstractNumId w:val="22"/>
  </w:num>
  <w:num w:numId="15">
    <w:abstractNumId w:val="36"/>
  </w:num>
  <w:num w:numId="16">
    <w:abstractNumId w:val="20"/>
  </w:num>
  <w:num w:numId="17">
    <w:abstractNumId w:val="30"/>
  </w:num>
  <w:num w:numId="18">
    <w:abstractNumId w:val="8"/>
  </w:num>
  <w:num w:numId="19">
    <w:abstractNumId w:val="27"/>
  </w:num>
  <w:num w:numId="20">
    <w:abstractNumId w:val="41"/>
  </w:num>
  <w:num w:numId="21">
    <w:abstractNumId w:val="39"/>
  </w:num>
  <w:num w:numId="22">
    <w:abstractNumId w:val="3"/>
  </w:num>
  <w:num w:numId="23">
    <w:abstractNumId w:val="9"/>
  </w:num>
  <w:num w:numId="24">
    <w:abstractNumId w:val="37"/>
  </w:num>
  <w:num w:numId="25">
    <w:abstractNumId w:val="42"/>
  </w:num>
  <w:num w:numId="26">
    <w:abstractNumId w:val="28"/>
  </w:num>
  <w:num w:numId="27">
    <w:abstractNumId w:val="38"/>
  </w:num>
  <w:num w:numId="28">
    <w:abstractNumId w:val="13"/>
  </w:num>
  <w:num w:numId="29">
    <w:abstractNumId w:val="34"/>
  </w:num>
  <w:num w:numId="30">
    <w:abstractNumId w:val="4"/>
  </w:num>
  <w:num w:numId="31">
    <w:abstractNumId w:val="31"/>
  </w:num>
  <w:num w:numId="32">
    <w:abstractNumId w:val="33"/>
  </w:num>
  <w:num w:numId="33">
    <w:abstractNumId w:val="1"/>
  </w:num>
  <w:num w:numId="34">
    <w:abstractNumId w:val="7"/>
  </w:num>
  <w:num w:numId="35">
    <w:abstractNumId w:val="11"/>
  </w:num>
  <w:num w:numId="36">
    <w:abstractNumId w:val="12"/>
  </w:num>
  <w:num w:numId="37">
    <w:abstractNumId w:val="5"/>
  </w:num>
  <w:num w:numId="38">
    <w:abstractNumId w:val="32"/>
  </w:num>
  <w:num w:numId="39">
    <w:abstractNumId w:val="40"/>
  </w:num>
  <w:num w:numId="40">
    <w:abstractNumId w:val="6"/>
  </w:num>
  <w:num w:numId="41">
    <w:abstractNumId w:val="10"/>
  </w:num>
  <w:num w:numId="42">
    <w:abstractNumId w:val="3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xMDAzNjFmZWQ5MGFkZTQwMDA2Y2FlNmVlNjMzODYifQ=="/>
  </w:docVars>
  <w:rsids>
    <w:rsidRoot w:val="00172A27"/>
    <w:rsid w:val="000000F2"/>
    <w:rsid w:val="00000139"/>
    <w:rsid w:val="000045EA"/>
    <w:rsid w:val="00007C3F"/>
    <w:rsid w:val="00011781"/>
    <w:rsid w:val="000143B4"/>
    <w:rsid w:val="00015B06"/>
    <w:rsid w:val="00022F88"/>
    <w:rsid w:val="00030F30"/>
    <w:rsid w:val="000437E6"/>
    <w:rsid w:val="00043E88"/>
    <w:rsid w:val="00050898"/>
    <w:rsid w:val="0005200D"/>
    <w:rsid w:val="00070470"/>
    <w:rsid w:val="00074337"/>
    <w:rsid w:val="0008222E"/>
    <w:rsid w:val="00092270"/>
    <w:rsid w:val="0009493E"/>
    <w:rsid w:val="00095B78"/>
    <w:rsid w:val="000A0870"/>
    <w:rsid w:val="000A1767"/>
    <w:rsid w:val="000A49C9"/>
    <w:rsid w:val="000B34C7"/>
    <w:rsid w:val="000B44D3"/>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1670"/>
    <w:rsid w:val="001445DC"/>
    <w:rsid w:val="001520D4"/>
    <w:rsid w:val="0015296D"/>
    <w:rsid w:val="00155FD4"/>
    <w:rsid w:val="0017175E"/>
    <w:rsid w:val="00180594"/>
    <w:rsid w:val="00183519"/>
    <w:rsid w:val="00186A28"/>
    <w:rsid w:val="001A37D3"/>
    <w:rsid w:val="001A3FCA"/>
    <w:rsid w:val="001B0893"/>
    <w:rsid w:val="001C0C50"/>
    <w:rsid w:val="001D3646"/>
    <w:rsid w:val="001E0D82"/>
    <w:rsid w:val="001E0D93"/>
    <w:rsid w:val="001E5985"/>
    <w:rsid w:val="001E5F4A"/>
    <w:rsid w:val="002041A6"/>
    <w:rsid w:val="00206D2E"/>
    <w:rsid w:val="00210D44"/>
    <w:rsid w:val="00212AF9"/>
    <w:rsid w:val="00226768"/>
    <w:rsid w:val="00226771"/>
    <w:rsid w:val="00226B2E"/>
    <w:rsid w:val="00226D0E"/>
    <w:rsid w:val="00237A98"/>
    <w:rsid w:val="0024287B"/>
    <w:rsid w:val="002441F7"/>
    <w:rsid w:val="0024741B"/>
    <w:rsid w:val="00247716"/>
    <w:rsid w:val="002600EF"/>
    <w:rsid w:val="00261C93"/>
    <w:rsid w:val="00265564"/>
    <w:rsid w:val="00272F80"/>
    <w:rsid w:val="0027764C"/>
    <w:rsid w:val="0028366D"/>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5261"/>
    <w:rsid w:val="00510E4D"/>
    <w:rsid w:val="00512701"/>
    <w:rsid w:val="00512A45"/>
    <w:rsid w:val="0052634A"/>
    <w:rsid w:val="00532363"/>
    <w:rsid w:val="00536377"/>
    <w:rsid w:val="00541401"/>
    <w:rsid w:val="005418DB"/>
    <w:rsid w:val="0054269C"/>
    <w:rsid w:val="005448AD"/>
    <w:rsid w:val="00545844"/>
    <w:rsid w:val="00562190"/>
    <w:rsid w:val="00564C20"/>
    <w:rsid w:val="00571D43"/>
    <w:rsid w:val="00574C3B"/>
    <w:rsid w:val="00575AB8"/>
    <w:rsid w:val="0057690D"/>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B89"/>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2F69"/>
    <w:rsid w:val="00677925"/>
    <w:rsid w:val="00677A8A"/>
    <w:rsid w:val="006922EC"/>
    <w:rsid w:val="00695EDE"/>
    <w:rsid w:val="006A23E9"/>
    <w:rsid w:val="006A2F07"/>
    <w:rsid w:val="006A4D72"/>
    <w:rsid w:val="006A543A"/>
    <w:rsid w:val="006B6F3C"/>
    <w:rsid w:val="006C2D0C"/>
    <w:rsid w:val="006C4DC3"/>
    <w:rsid w:val="006C77CD"/>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6B31"/>
    <w:rsid w:val="00956FA8"/>
    <w:rsid w:val="00957AA0"/>
    <w:rsid w:val="009604CB"/>
    <w:rsid w:val="00961F4A"/>
    <w:rsid w:val="00965538"/>
    <w:rsid w:val="0097464F"/>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249A4"/>
    <w:rsid w:val="00A2528E"/>
    <w:rsid w:val="00A34C49"/>
    <w:rsid w:val="00A461C1"/>
    <w:rsid w:val="00A54F86"/>
    <w:rsid w:val="00A63392"/>
    <w:rsid w:val="00A722C5"/>
    <w:rsid w:val="00A859DC"/>
    <w:rsid w:val="00A872DA"/>
    <w:rsid w:val="00A9122E"/>
    <w:rsid w:val="00A91F36"/>
    <w:rsid w:val="00A93A7F"/>
    <w:rsid w:val="00AA0FB3"/>
    <w:rsid w:val="00AB6B27"/>
    <w:rsid w:val="00AD6B25"/>
    <w:rsid w:val="00AD6ED0"/>
    <w:rsid w:val="00AE2C17"/>
    <w:rsid w:val="00AE5333"/>
    <w:rsid w:val="00AE6F3C"/>
    <w:rsid w:val="00AF196A"/>
    <w:rsid w:val="00AF54E1"/>
    <w:rsid w:val="00B04E81"/>
    <w:rsid w:val="00B14E6B"/>
    <w:rsid w:val="00B16089"/>
    <w:rsid w:val="00B266B6"/>
    <w:rsid w:val="00B31CA2"/>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44F13"/>
    <w:rsid w:val="00D479CD"/>
    <w:rsid w:val="00D74E9C"/>
    <w:rsid w:val="00D829D0"/>
    <w:rsid w:val="00D841A1"/>
    <w:rsid w:val="00D84F11"/>
    <w:rsid w:val="00D92C17"/>
    <w:rsid w:val="00D930BB"/>
    <w:rsid w:val="00D932AD"/>
    <w:rsid w:val="00D93779"/>
    <w:rsid w:val="00D95A48"/>
    <w:rsid w:val="00D95A4C"/>
    <w:rsid w:val="00DB181C"/>
    <w:rsid w:val="00DE249D"/>
    <w:rsid w:val="00DE77B9"/>
    <w:rsid w:val="00E01672"/>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37B5A"/>
    <w:rsid w:val="00F40FBF"/>
    <w:rsid w:val="00F41ABA"/>
    <w:rsid w:val="00F43D41"/>
    <w:rsid w:val="00F502E0"/>
    <w:rsid w:val="00F52F5A"/>
    <w:rsid w:val="00F56501"/>
    <w:rsid w:val="00F603CC"/>
    <w:rsid w:val="00F74EBD"/>
    <w:rsid w:val="00F82ADB"/>
    <w:rsid w:val="00F831B3"/>
    <w:rsid w:val="00F86B8B"/>
    <w:rsid w:val="00F8733F"/>
    <w:rsid w:val="00F94057"/>
    <w:rsid w:val="00FB3AAB"/>
    <w:rsid w:val="00FC02B4"/>
    <w:rsid w:val="00FD1370"/>
    <w:rsid w:val="00FD5F55"/>
    <w:rsid w:val="00FE3364"/>
    <w:rsid w:val="00FE6711"/>
    <w:rsid w:val="00FF2D5E"/>
    <w:rsid w:val="00FF3FB5"/>
    <w:rsid w:val="00FF5A2F"/>
    <w:rsid w:val="01213FB1"/>
    <w:rsid w:val="01787557"/>
    <w:rsid w:val="017C090E"/>
    <w:rsid w:val="018B7BC6"/>
    <w:rsid w:val="01E4322D"/>
    <w:rsid w:val="020164F2"/>
    <w:rsid w:val="0217664C"/>
    <w:rsid w:val="027F6B1B"/>
    <w:rsid w:val="02A30710"/>
    <w:rsid w:val="02A340CA"/>
    <w:rsid w:val="02DA018C"/>
    <w:rsid w:val="03022C88"/>
    <w:rsid w:val="038721C4"/>
    <w:rsid w:val="03E6553E"/>
    <w:rsid w:val="044743F3"/>
    <w:rsid w:val="044A271C"/>
    <w:rsid w:val="04784101"/>
    <w:rsid w:val="04AA53AF"/>
    <w:rsid w:val="04DB0CDE"/>
    <w:rsid w:val="04E47D2C"/>
    <w:rsid w:val="05777F14"/>
    <w:rsid w:val="05845150"/>
    <w:rsid w:val="05C375FE"/>
    <w:rsid w:val="05D857C5"/>
    <w:rsid w:val="05DB51F8"/>
    <w:rsid w:val="064B73FA"/>
    <w:rsid w:val="06A116ED"/>
    <w:rsid w:val="06BF620A"/>
    <w:rsid w:val="06C17CBB"/>
    <w:rsid w:val="06C9199F"/>
    <w:rsid w:val="06F573D9"/>
    <w:rsid w:val="071543CF"/>
    <w:rsid w:val="07287718"/>
    <w:rsid w:val="073271B4"/>
    <w:rsid w:val="07786722"/>
    <w:rsid w:val="077D2001"/>
    <w:rsid w:val="078721A2"/>
    <w:rsid w:val="079B615C"/>
    <w:rsid w:val="07AD0554"/>
    <w:rsid w:val="07B04790"/>
    <w:rsid w:val="07D8585A"/>
    <w:rsid w:val="07E67CE7"/>
    <w:rsid w:val="08440AE6"/>
    <w:rsid w:val="088077E4"/>
    <w:rsid w:val="08826D4F"/>
    <w:rsid w:val="08B507A0"/>
    <w:rsid w:val="08C32B39"/>
    <w:rsid w:val="08D76578"/>
    <w:rsid w:val="090F4FC5"/>
    <w:rsid w:val="09290881"/>
    <w:rsid w:val="09395B12"/>
    <w:rsid w:val="0953194B"/>
    <w:rsid w:val="0961688A"/>
    <w:rsid w:val="09AD78B7"/>
    <w:rsid w:val="0A695495"/>
    <w:rsid w:val="0A8A11FC"/>
    <w:rsid w:val="0A9271D9"/>
    <w:rsid w:val="0AA1085A"/>
    <w:rsid w:val="0AC36E49"/>
    <w:rsid w:val="0AF279BB"/>
    <w:rsid w:val="0AFA3A06"/>
    <w:rsid w:val="0B196315"/>
    <w:rsid w:val="0B28634D"/>
    <w:rsid w:val="0B2F3296"/>
    <w:rsid w:val="0B3F715E"/>
    <w:rsid w:val="0B413076"/>
    <w:rsid w:val="0B616AE4"/>
    <w:rsid w:val="0B924E43"/>
    <w:rsid w:val="0BA62D96"/>
    <w:rsid w:val="0C5C4E22"/>
    <w:rsid w:val="0CCA57BB"/>
    <w:rsid w:val="0D1D60C0"/>
    <w:rsid w:val="0D460BF6"/>
    <w:rsid w:val="0D924507"/>
    <w:rsid w:val="0D9F012F"/>
    <w:rsid w:val="0DEB1241"/>
    <w:rsid w:val="0DF23FDE"/>
    <w:rsid w:val="0EAC7990"/>
    <w:rsid w:val="0ECD2B25"/>
    <w:rsid w:val="0F5D5800"/>
    <w:rsid w:val="0F9F1EB0"/>
    <w:rsid w:val="0FA347B8"/>
    <w:rsid w:val="0FBB08E1"/>
    <w:rsid w:val="0FF80A8B"/>
    <w:rsid w:val="0FFB0A97"/>
    <w:rsid w:val="10057015"/>
    <w:rsid w:val="101D256D"/>
    <w:rsid w:val="105253A5"/>
    <w:rsid w:val="105F015B"/>
    <w:rsid w:val="107B6211"/>
    <w:rsid w:val="108A1444"/>
    <w:rsid w:val="10CA2ED3"/>
    <w:rsid w:val="10CC380A"/>
    <w:rsid w:val="10E440C2"/>
    <w:rsid w:val="10E64929"/>
    <w:rsid w:val="113B3540"/>
    <w:rsid w:val="11630DAF"/>
    <w:rsid w:val="118F76C4"/>
    <w:rsid w:val="11954AE4"/>
    <w:rsid w:val="11A704B8"/>
    <w:rsid w:val="11AD4A82"/>
    <w:rsid w:val="11B161BA"/>
    <w:rsid w:val="11D525FA"/>
    <w:rsid w:val="11FC69B0"/>
    <w:rsid w:val="11FF0A75"/>
    <w:rsid w:val="1249051A"/>
    <w:rsid w:val="1331784B"/>
    <w:rsid w:val="13421AE4"/>
    <w:rsid w:val="13496E60"/>
    <w:rsid w:val="137610F9"/>
    <w:rsid w:val="138B2620"/>
    <w:rsid w:val="1393476A"/>
    <w:rsid w:val="13AF5E02"/>
    <w:rsid w:val="13F66165"/>
    <w:rsid w:val="142F43C4"/>
    <w:rsid w:val="1457788F"/>
    <w:rsid w:val="14DE1D5E"/>
    <w:rsid w:val="14E37E2E"/>
    <w:rsid w:val="14E86739"/>
    <w:rsid w:val="14EA78E4"/>
    <w:rsid w:val="158E449E"/>
    <w:rsid w:val="15D448EB"/>
    <w:rsid w:val="15F83974"/>
    <w:rsid w:val="16361726"/>
    <w:rsid w:val="169925C2"/>
    <w:rsid w:val="17585656"/>
    <w:rsid w:val="17E56999"/>
    <w:rsid w:val="180F7DB5"/>
    <w:rsid w:val="1838227D"/>
    <w:rsid w:val="190C1E15"/>
    <w:rsid w:val="196A4DAA"/>
    <w:rsid w:val="19B36784"/>
    <w:rsid w:val="1A121912"/>
    <w:rsid w:val="1A796653"/>
    <w:rsid w:val="1AC61B68"/>
    <w:rsid w:val="1B1E6E11"/>
    <w:rsid w:val="1B31036C"/>
    <w:rsid w:val="1B5E7C00"/>
    <w:rsid w:val="1B8C0C76"/>
    <w:rsid w:val="1BE737B4"/>
    <w:rsid w:val="1C220782"/>
    <w:rsid w:val="1C6208BC"/>
    <w:rsid w:val="1D132BC2"/>
    <w:rsid w:val="1D1B10E7"/>
    <w:rsid w:val="1D345293"/>
    <w:rsid w:val="1DF7203E"/>
    <w:rsid w:val="1EB13D33"/>
    <w:rsid w:val="1EC05C79"/>
    <w:rsid w:val="1F17181A"/>
    <w:rsid w:val="1F19071E"/>
    <w:rsid w:val="1F1964A1"/>
    <w:rsid w:val="1F343953"/>
    <w:rsid w:val="1F676E3B"/>
    <w:rsid w:val="1FDB0EFC"/>
    <w:rsid w:val="200246A9"/>
    <w:rsid w:val="20101A7D"/>
    <w:rsid w:val="20454830"/>
    <w:rsid w:val="20A0720D"/>
    <w:rsid w:val="20B66C8A"/>
    <w:rsid w:val="20B7513D"/>
    <w:rsid w:val="20BF47E2"/>
    <w:rsid w:val="20C50288"/>
    <w:rsid w:val="20CD34A1"/>
    <w:rsid w:val="20D645E7"/>
    <w:rsid w:val="214577B9"/>
    <w:rsid w:val="2158329D"/>
    <w:rsid w:val="21734800"/>
    <w:rsid w:val="220B6A30"/>
    <w:rsid w:val="2244344D"/>
    <w:rsid w:val="2266696B"/>
    <w:rsid w:val="22B7201E"/>
    <w:rsid w:val="22F45ED4"/>
    <w:rsid w:val="23024E6A"/>
    <w:rsid w:val="23171EF9"/>
    <w:rsid w:val="23172E6F"/>
    <w:rsid w:val="240A6BCA"/>
    <w:rsid w:val="241328D0"/>
    <w:rsid w:val="24272032"/>
    <w:rsid w:val="24376499"/>
    <w:rsid w:val="24572B1C"/>
    <w:rsid w:val="2466767A"/>
    <w:rsid w:val="246B3E41"/>
    <w:rsid w:val="24B72351"/>
    <w:rsid w:val="24CC3412"/>
    <w:rsid w:val="25134BD5"/>
    <w:rsid w:val="262C481C"/>
    <w:rsid w:val="26492DAF"/>
    <w:rsid w:val="26671C0A"/>
    <w:rsid w:val="26866E27"/>
    <w:rsid w:val="27406608"/>
    <w:rsid w:val="27680B4D"/>
    <w:rsid w:val="277A3B68"/>
    <w:rsid w:val="281C077C"/>
    <w:rsid w:val="284B172A"/>
    <w:rsid w:val="28DC43AF"/>
    <w:rsid w:val="29374CA2"/>
    <w:rsid w:val="29842A7C"/>
    <w:rsid w:val="29F574D6"/>
    <w:rsid w:val="2A9916A4"/>
    <w:rsid w:val="2B0D6EB6"/>
    <w:rsid w:val="2B397506"/>
    <w:rsid w:val="2B5C2949"/>
    <w:rsid w:val="2B8C5716"/>
    <w:rsid w:val="2C251BC9"/>
    <w:rsid w:val="2C416A03"/>
    <w:rsid w:val="2C4A7F23"/>
    <w:rsid w:val="2C4E729D"/>
    <w:rsid w:val="2C6C24CC"/>
    <w:rsid w:val="2CDE3B9B"/>
    <w:rsid w:val="2D4F4BD4"/>
    <w:rsid w:val="2D654E64"/>
    <w:rsid w:val="2D9932FD"/>
    <w:rsid w:val="2E99326E"/>
    <w:rsid w:val="2E9D1C0D"/>
    <w:rsid w:val="2EB413C5"/>
    <w:rsid w:val="2EB711FE"/>
    <w:rsid w:val="2ECF024A"/>
    <w:rsid w:val="2ED74E40"/>
    <w:rsid w:val="2EFF75EA"/>
    <w:rsid w:val="2F010905"/>
    <w:rsid w:val="2F10716F"/>
    <w:rsid w:val="2F2E627A"/>
    <w:rsid w:val="2F612CA4"/>
    <w:rsid w:val="2FC31E25"/>
    <w:rsid w:val="2FF3137B"/>
    <w:rsid w:val="304D6572"/>
    <w:rsid w:val="30952FFA"/>
    <w:rsid w:val="30BF09EC"/>
    <w:rsid w:val="30D24E4C"/>
    <w:rsid w:val="311D3092"/>
    <w:rsid w:val="31756B67"/>
    <w:rsid w:val="31E97E74"/>
    <w:rsid w:val="322857B0"/>
    <w:rsid w:val="32316D8F"/>
    <w:rsid w:val="32362708"/>
    <w:rsid w:val="323F0874"/>
    <w:rsid w:val="32A76BC1"/>
    <w:rsid w:val="32D768C7"/>
    <w:rsid w:val="337077FE"/>
    <w:rsid w:val="33B8742F"/>
    <w:rsid w:val="33F61ED8"/>
    <w:rsid w:val="34071E01"/>
    <w:rsid w:val="342506A6"/>
    <w:rsid w:val="34296AEF"/>
    <w:rsid w:val="342C6189"/>
    <w:rsid w:val="3438403C"/>
    <w:rsid w:val="343E1A7A"/>
    <w:rsid w:val="348446A7"/>
    <w:rsid w:val="34955763"/>
    <w:rsid w:val="34E611F1"/>
    <w:rsid w:val="354C4305"/>
    <w:rsid w:val="35621232"/>
    <w:rsid w:val="358A53D7"/>
    <w:rsid w:val="35AC55A3"/>
    <w:rsid w:val="35DA411D"/>
    <w:rsid w:val="35E2145D"/>
    <w:rsid w:val="366854D4"/>
    <w:rsid w:val="36FE3358"/>
    <w:rsid w:val="371C7C30"/>
    <w:rsid w:val="37215D2D"/>
    <w:rsid w:val="379E54EB"/>
    <w:rsid w:val="37A73AA7"/>
    <w:rsid w:val="37AB4176"/>
    <w:rsid w:val="37D5522B"/>
    <w:rsid w:val="387A07D1"/>
    <w:rsid w:val="388C1028"/>
    <w:rsid w:val="38B045B2"/>
    <w:rsid w:val="38B1729A"/>
    <w:rsid w:val="38D85BBB"/>
    <w:rsid w:val="38DA47C9"/>
    <w:rsid w:val="39080405"/>
    <w:rsid w:val="391C699B"/>
    <w:rsid w:val="39555B04"/>
    <w:rsid w:val="39650F35"/>
    <w:rsid w:val="396C51DE"/>
    <w:rsid w:val="39BD016C"/>
    <w:rsid w:val="3A30455A"/>
    <w:rsid w:val="3A3F654C"/>
    <w:rsid w:val="3A541FF7"/>
    <w:rsid w:val="3A894290"/>
    <w:rsid w:val="3AB56034"/>
    <w:rsid w:val="3AEC50AC"/>
    <w:rsid w:val="3B650A6B"/>
    <w:rsid w:val="3B6F342F"/>
    <w:rsid w:val="3B833E6B"/>
    <w:rsid w:val="3B847305"/>
    <w:rsid w:val="3BAB6F8A"/>
    <w:rsid w:val="3BCD6DA3"/>
    <w:rsid w:val="3BE06D42"/>
    <w:rsid w:val="3BFB3D3B"/>
    <w:rsid w:val="3C99629A"/>
    <w:rsid w:val="3CD93584"/>
    <w:rsid w:val="3D070D4A"/>
    <w:rsid w:val="3D5B5962"/>
    <w:rsid w:val="3D6632CE"/>
    <w:rsid w:val="3D8D710B"/>
    <w:rsid w:val="3DB91846"/>
    <w:rsid w:val="3DCC213F"/>
    <w:rsid w:val="3E2B5D23"/>
    <w:rsid w:val="3E316DF3"/>
    <w:rsid w:val="3E4F63D7"/>
    <w:rsid w:val="3E54068E"/>
    <w:rsid w:val="3E88226F"/>
    <w:rsid w:val="3E9A3951"/>
    <w:rsid w:val="3EB568BF"/>
    <w:rsid w:val="3ECD068F"/>
    <w:rsid w:val="3EED56EA"/>
    <w:rsid w:val="3F0A24D4"/>
    <w:rsid w:val="3F146D2B"/>
    <w:rsid w:val="3FA33A67"/>
    <w:rsid w:val="40211191"/>
    <w:rsid w:val="40223D84"/>
    <w:rsid w:val="40381A73"/>
    <w:rsid w:val="4059071F"/>
    <w:rsid w:val="4077464C"/>
    <w:rsid w:val="40A10F8E"/>
    <w:rsid w:val="40D57DED"/>
    <w:rsid w:val="40DE2D1A"/>
    <w:rsid w:val="40FE32B3"/>
    <w:rsid w:val="41C35F6F"/>
    <w:rsid w:val="41CD565A"/>
    <w:rsid w:val="420863C6"/>
    <w:rsid w:val="42A4658C"/>
    <w:rsid w:val="42B02D14"/>
    <w:rsid w:val="42D77C69"/>
    <w:rsid w:val="432F1177"/>
    <w:rsid w:val="434349A6"/>
    <w:rsid w:val="43785ACB"/>
    <w:rsid w:val="438E3CAA"/>
    <w:rsid w:val="43A26E9A"/>
    <w:rsid w:val="43BF2938"/>
    <w:rsid w:val="440631D2"/>
    <w:rsid w:val="44174F5D"/>
    <w:rsid w:val="4469630C"/>
    <w:rsid w:val="44E40569"/>
    <w:rsid w:val="44ED6C2E"/>
    <w:rsid w:val="44FF45BE"/>
    <w:rsid w:val="450979EC"/>
    <w:rsid w:val="452239BF"/>
    <w:rsid w:val="454E0A10"/>
    <w:rsid w:val="45584061"/>
    <w:rsid w:val="455F63DC"/>
    <w:rsid w:val="45743558"/>
    <w:rsid w:val="457C0654"/>
    <w:rsid w:val="464E0F39"/>
    <w:rsid w:val="468F5C52"/>
    <w:rsid w:val="471054F8"/>
    <w:rsid w:val="4711072F"/>
    <w:rsid w:val="475C00F9"/>
    <w:rsid w:val="47740AFF"/>
    <w:rsid w:val="47E210AF"/>
    <w:rsid w:val="48200951"/>
    <w:rsid w:val="48566D3E"/>
    <w:rsid w:val="48AC6673"/>
    <w:rsid w:val="48C11DB5"/>
    <w:rsid w:val="49DC546C"/>
    <w:rsid w:val="4A3B2059"/>
    <w:rsid w:val="4A6956FC"/>
    <w:rsid w:val="4A6A169B"/>
    <w:rsid w:val="4A770851"/>
    <w:rsid w:val="4A8F4381"/>
    <w:rsid w:val="4B1D1F96"/>
    <w:rsid w:val="4B252D91"/>
    <w:rsid w:val="4B3B0B98"/>
    <w:rsid w:val="4BA07F06"/>
    <w:rsid w:val="4BB26449"/>
    <w:rsid w:val="4BBC7BF0"/>
    <w:rsid w:val="4BF150D6"/>
    <w:rsid w:val="4C27769E"/>
    <w:rsid w:val="4CB16860"/>
    <w:rsid w:val="4CBF2E37"/>
    <w:rsid w:val="4D383760"/>
    <w:rsid w:val="4D453E76"/>
    <w:rsid w:val="4DAA0B52"/>
    <w:rsid w:val="4E681F96"/>
    <w:rsid w:val="4E9D5D8E"/>
    <w:rsid w:val="4EA80241"/>
    <w:rsid w:val="4ECC54AE"/>
    <w:rsid w:val="4EE132FB"/>
    <w:rsid w:val="4EF409BA"/>
    <w:rsid w:val="4F182BFF"/>
    <w:rsid w:val="4FFB5474"/>
    <w:rsid w:val="500740EA"/>
    <w:rsid w:val="500E6783"/>
    <w:rsid w:val="506F4756"/>
    <w:rsid w:val="50A567B0"/>
    <w:rsid w:val="50CE1D0F"/>
    <w:rsid w:val="511620BD"/>
    <w:rsid w:val="5150242E"/>
    <w:rsid w:val="51783B1A"/>
    <w:rsid w:val="52311060"/>
    <w:rsid w:val="52551BCC"/>
    <w:rsid w:val="525E2CFD"/>
    <w:rsid w:val="529202A5"/>
    <w:rsid w:val="52D60626"/>
    <w:rsid w:val="532871F5"/>
    <w:rsid w:val="535473C0"/>
    <w:rsid w:val="536C018C"/>
    <w:rsid w:val="5393394C"/>
    <w:rsid w:val="53BF3688"/>
    <w:rsid w:val="53D955CB"/>
    <w:rsid w:val="54B12F7D"/>
    <w:rsid w:val="54D04FB3"/>
    <w:rsid w:val="54EF7EB6"/>
    <w:rsid w:val="55195495"/>
    <w:rsid w:val="552B1B77"/>
    <w:rsid w:val="552D1721"/>
    <w:rsid w:val="55447CDF"/>
    <w:rsid w:val="55CB6A7A"/>
    <w:rsid w:val="55E331DC"/>
    <w:rsid w:val="55E72F2E"/>
    <w:rsid w:val="56042F71"/>
    <w:rsid w:val="56625F70"/>
    <w:rsid w:val="567E3B55"/>
    <w:rsid w:val="569926B2"/>
    <w:rsid w:val="5704247D"/>
    <w:rsid w:val="57056B40"/>
    <w:rsid w:val="57695B0A"/>
    <w:rsid w:val="57D61598"/>
    <w:rsid w:val="58204E76"/>
    <w:rsid w:val="5823265B"/>
    <w:rsid w:val="5852256D"/>
    <w:rsid w:val="5915010C"/>
    <w:rsid w:val="595B05E2"/>
    <w:rsid w:val="59987242"/>
    <w:rsid w:val="59B16A48"/>
    <w:rsid w:val="59C84F5E"/>
    <w:rsid w:val="59D230C2"/>
    <w:rsid w:val="59DF76D7"/>
    <w:rsid w:val="5A397F78"/>
    <w:rsid w:val="5A5615B7"/>
    <w:rsid w:val="5A5E3B17"/>
    <w:rsid w:val="5AC51C77"/>
    <w:rsid w:val="5AD4043A"/>
    <w:rsid w:val="5AED4C29"/>
    <w:rsid w:val="5AF81503"/>
    <w:rsid w:val="5AFB04E9"/>
    <w:rsid w:val="5B096777"/>
    <w:rsid w:val="5B6D1238"/>
    <w:rsid w:val="5C5F5653"/>
    <w:rsid w:val="5C8C06C4"/>
    <w:rsid w:val="5C9563A0"/>
    <w:rsid w:val="5CF33CE4"/>
    <w:rsid w:val="5D080B76"/>
    <w:rsid w:val="5D0F5F09"/>
    <w:rsid w:val="5D4E7FF6"/>
    <w:rsid w:val="5D992303"/>
    <w:rsid w:val="5E13248A"/>
    <w:rsid w:val="5E16485C"/>
    <w:rsid w:val="5E1F1F77"/>
    <w:rsid w:val="5E280555"/>
    <w:rsid w:val="5E5800D8"/>
    <w:rsid w:val="5EB72FB2"/>
    <w:rsid w:val="5EF268B7"/>
    <w:rsid w:val="5F0A1D8B"/>
    <w:rsid w:val="5F65274C"/>
    <w:rsid w:val="6051475F"/>
    <w:rsid w:val="60C930A3"/>
    <w:rsid w:val="60EC6712"/>
    <w:rsid w:val="611D239D"/>
    <w:rsid w:val="61413A18"/>
    <w:rsid w:val="61505ADA"/>
    <w:rsid w:val="615C153A"/>
    <w:rsid w:val="616B08A7"/>
    <w:rsid w:val="61A80F58"/>
    <w:rsid w:val="621F12BB"/>
    <w:rsid w:val="622B4360"/>
    <w:rsid w:val="624D4042"/>
    <w:rsid w:val="62E06A7E"/>
    <w:rsid w:val="62EA23D9"/>
    <w:rsid w:val="638C4E42"/>
    <w:rsid w:val="63A96A1B"/>
    <w:rsid w:val="63E01C83"/>
    <w:rsid w:val="63FC785D"/>
    <w:rsid w:val="641C001A"/>
    <w:rsid w:val="64D54656"/>
    <w:rsid w:val="65305BAD"/>
    <w:rsid w:val="65982D92"/>
    <w:rsid w:val="65DC61D2"/>
    <w:rsid w:val="66090822"/>
    <w:rsid w:val="661A5903"/>
    <w:rsid w:val="666A1AC0"/>
    <w:rsid w:val="66941556"/>
    <w:rsid w:val="66B8435A"/>
    <w:rsid w:val="67974034"/>
    <w:rsid w:val="67DE02D8"/>
    <w:rsid w:val="682F730D"/>
    <w:rsid w:val="68440D9C"/>
    <w:rsid w:val="6846709B"/>
    <w:rsid w:val="685D1798"/>
    <w:rsid w:val="6881195A"/>
    <w:rsid w:val="68990AED"/>
    <w:rsid w:val="68AA5D9D"/>
    <w:rsid w:val="692C7C16"/>
    <w:rsid w:val="69325004"/>
    <w:rsid w:val="69360264"/>
    <w:rsid w:val="69821243"/>
    <w:rsid w:val="69934E0E"/>
    <w:rsid w:val="69B47723"/>
    <w:rsid w:val="69D74E01"/>
    <w:rsid w:val="69F3488C"/>
    <w:rsid w:val="69FB7002"/>
    <w:rsid w:val="6A036190"/>
    <w:rsid w:val="6A246A40"/>
    <w:rsid w:val="6A303B47"/>
    <w:rsid w:val="6AA5305A"/>
    <w:rsid w:val="6AD13E3B"/>
    <w:rsid w:val="6B0F5943"/>
    <w:rsid w:val="6B4157B0"/>
    <w:rsid w:val="6BC739B0"/>
    <w:rsid w:val="6C111659"/>
    <w:rsid w:val="6C1E26D5"/>
    <w:rsid w:val="6C282117"/>
    <w:rsid w:val="6C403F43"/>
    <w:rsid w:val="6C47040F"/>
    <w:rsid w:val="6C841C62"/>
    <w:rsid w:val="6CA1460D"/>
    <w:rsid w:val="6CBB38CE"/>
    <w:rsid w:val="6CE65F04"/>
    <w:rsid w:val="6D1E5432"/>
    <w:rsid w:val="6D7A6383"/>
    <w:rsid w:val="6D8A0652"/>
    <w:rsid w:val="6E1E514C"/>
    <w:rsid w:val="6E283195"/>
    <w:rsid w:val="6F815922"/>
    <w:rsid w:val="702C664F"/>
    <w:rsid w:val="707904AF"/>
    <w:rsid w:val="7091759B"/>
    <w:rsid w:val="709B2BC7"/>
    <w:rsid w:val="70C26FB3"/>
    <w:rsid w:val="714F25C0"/>
    <w:rsid w:val="7152607C"/>
    <w:rsid w:val="71CF1B01"/>
    <w:rsid w:val="71E52F59"/>
    <w:rsid w:val="71F92EA9"/>
    <w:rsid w:val="71FC5E0C"/>
    <w:rsid w:val="72023F3B"/>
    <w:rsid w:val="726A58BA"/>
    <w:rsid w:val="72FE2E90"/>
    <w:rsid w:val="73383FFD"/>
    <w:rsid w:val="734A0296"/>
    <w:rsid w:val="734A7A5A"/>
    <w:rsid w:val="736373B0"/>
    <w:rsid w:val="73731BD4"/>
    <w:rsid w:val="737D289A"/>
    <w:rsid w:val="7393126F"/>
    <w:rsid w:val="73A000A1"/>
    <w:rsid w:val="73A25647"/>
    <w:rsid w:val="73C03C7E"/>
    <w:rsid w:val="73E52222"/>
    <w:rsid w:val="74195CE6"/>
    <w:rsid w:val="7443040B"/>
    <w:rsid w:val="74612C1D"/>
    <w:rsid w:val="74930B93"/>
    <w:rsid w:val="74AE19FE"/>
    <w:rsid w:val="74F75CD7"/>
    <w:rsid w:val="75094617"/>
    <w:rsid w:val="751A51C6"/>
    <w:rsid w:val="754E66A1"/>
    <w:rsid w:val="75A00A2D"/>
    <w:rsid w:val="75C80A05"/>
    <w:rsid w:val="75CA0DE4"/>
    <w:rsid w:val="75E46227"/>
    <w:rsid w:val="761F5892"/>
    <w:rsid w:val="764C7224"/>
    <w:rsid w:val="769235C3"/>
    <w:rsid w:val="76961E6D"/>
    <w:rsid w:val="769E6F58"/>
    <w:rsid w:val="76EF08C5"/>
    <w:rsid w:val="77005CCF"/>
    <w:rsid w:val="771A238B"/>
    <w:rsid w:val="776C4A05"/>
    <w:rsid w:val="77B0567C"/>
    <w:rsid w:val="77B6171C"/>
    <w:rsid w:val="77C33C69"/>
    <w:rsid w:val="77DC2927"/>
    <w:rsid w:val="78077DCC"/>
    <w:rsid w:val="78743289"/>
    <w:rsid w:val="787D2AB6"/>
    <w:rsid w:val="78935EA4"/>
    <w:rsid w:val="78A84CE1"/>
    <w:rsid w:val="78F543CA"/>
    <w:rsid w:val="792A158E"/>
    <w:rsid w:val="79300964"/>
    <w:rsid w:val="79654891"/>
    <w:rsid w:val="7989261E"/>
    <w:rsid w:val="79A01E9C"/>
    <w:rsid w:val="7A1D71A1"/>
    <w:rsid w:val="7B2A7B12"/>
    <w:rsid w:val="7B342BAE"/>
    <w:rsid w:val="7BB155B8"/>
    <w:rsid w:val="7BD35900"/>
    <w:rsid w:val="7BDE6B92"/>
    <w:rsid w:val="7C136915"/>
    <w:rsid w:val="7C2A0F97"/>
    <w:rsid w:val="7C37538B"/>
    <w:rsid w:val="7C4D03AB"/>
    <w:rsid w:val="7CC04D74"/>
    <w:rsid w:val="7CDE7884"/>
    <w:rsid w:val="7CFE68F8"/>
    <w:rsid w:val="7D1B1A86"/>
    <w:rsid w:val="7D2975CE"/>
    <w:rsid w:val="7D440197"/>
    <w:rsid w:val="7D892353"/>
    <w:rsid w:val="7DC9372F"/>
    <w:rsid w:val="7E1651F8"/>
    <w:rsid w:val="7E177DCA"/>
    <w:rsid w:val="7E492153"/>
    <w:rsid w:val="7F372EA9"/>
    <w:rsid w:val="7F8864B9"/>
    <w:rsid w:val="7F9101A9"/>
    <w:rsid w:val="7FCA244A"/>
    <w:rsid w:val="7FD50FF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paragraph" w:styleId="5">
    <w:name w:val="heading 4"/>
    <w:basedOn w:val="1"/>
    <w:next w:val="1"/>
    <w:qFormat/>
    <w:uiPriority w:val="0"/>
    <w:pPr>
      <w:keepNext/>
      <w:keepLines/>
      <w:widowControl w:val="0"/>
      <w:numPr>
        <w:ilvl w:val="3"/>
        <w:numId w:val="1"/>
      </w:numPr>
      <w:tabs>
        <w:tab w:val="left" w:pos="0"/>
      </w:tabs>
      <w:jc w:val="left"/>
      <w:outlineLvl w:val="3"/>
    </w:pPr>
    <w:rPr>
      <w:rFonts w:ascii="黑体" w:hAnsi="黑体" w:eastAsia="黑体"/>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qFormat/>
    <w:uiPriority w:val="0"/>
    <w:pPr>
      <w:ind w:firstLine="420"/>
      <w:jc w:val="left"/>
    </w:pPr>
    <w:rPr>
      <w:kern w:val="2"/>
      <w:sz w:val="20"/>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4"/>
    <w:semiHidden/>
    <w:unhideWhenUsed/>
    <w:qFormat/>
    <w:uiPriority w:val="99"/>
    <w:pPr>
      <w:spacing w:after="120"/>
    </w:pPr>
  </w:style>
  <w:style w:type="paragraph" w:styleId="11">
    <w:name w:val="Body Text Indent"/>
    <w:basedOn w:val="1"/>
    <w:qFormat/>
    <w:uiPriority w:val="0"/>
    <w:pPr>
      <w:spacing w:line="480" w:lineRule="exact"/>
      <w:ind w:firstLine="560" w:firstLineChars="200"/>
    </w:pPr>
    <w:rPr>
      <w:sz w:val="24"/>
    </w:r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next w:val="5"/>
    <w:link w:val="52"/>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Date"/>
    <w:basedOn w:val="1"/>
    <w:next w:val="1"/>
    <w:link w:val="56"/>
    <w:semiHidden/>
    <w:unhideWhenUsed/>
    <w:qFormat/>
    <w:uiPriority w:val="99"/>
    <w:pPr>
      <w:ind w:left="100" w:leftChars="2500"/>
    </w:p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semiHidden/>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semiHidden/>
    <w:unhideWhenUsed/>
    <w:qFormat/>
    <w:uiPriority w:val="99"/>
    <w:rPr>
      <w:sz w:val="24"/>
    </w:rPr>
  </w:style>
  <w:style w:type="paragraph" w:styleId="29">
    <w:name w:val="annotation subject"/>
    <w:basedOn w:val="9"/>
    <w:next w:val="9"/>
    <w:semiHidden/>
    <w:unhideWhenUsed/>
    <w:qFormat/>
    <w:uiPriority w:val="0"/>
    <w:rPr>
      <w:b/>
    </w:rPr>
  </w:style>
  <w:style w:type="paragraph" w:styleId="30">
    <w:name w:val="Body Text First Indent 2"/>
    <w:basedOn w:val="11"/>
    <w:unhideWhenUsed/>
    <w:qFormat/>
    <w:uiPriority w:val="0"/>
    <w:pPr>
      <w:spacing w:after="120" w:line="240" w:lineRule="auto"/>
      <w:ind w:left="420" w:leftChars="200" w:firstLine="420"/>
    </w:pPr>
    <w:rPr>
      <w:rFonts w:ascii="Calibri" w:hAnsi="Calibri" w:eastAsia="Times New Roman"/>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Hyperlink"/>
    <w:basedOn w:val="33"/>
    <w:unhideWhenUsed/>
    <w:qFormat/>
    <w:uiPriority w:val="99"/>
    <w:rPr>
      <w:color w:val="0000FF"/>
      <w:u w:val="single"/>
    </w:rPr>
  </w:style>
  <w:style w:type="character" w:styleId="37">
    <w:name w:val="annotation reference"/>
    <w:basedOn w:val="33"/>
    <w:unhideWhenUsed/>
    <w:qFormat/>
    <w:uiPriority w:val="0"/>
    <w:rPr>
      <w:sz w:val="21"/>
      <w:szCs w:val="21"/>
    </w:rPr>
  </w:style>
  <w:style w:type="character" w:styleId="38">
    <w:name w:val="footnote reference"/>
    <w:basedOn w:val="33"/>
    <w:semiHidden/>
    <w:unhideWhenUsed/>
    <w:qFormat/>
    <w:uiPriority w:val="0"/>
    <w:rPr>
      <w:vertAlign w:val="superscript"/>
    </w:rPr>
  </w:style>
  <w:style w:type="paragraph" w:styleId="39">
    <w:name w:val="List Paragraph"/>
    <w:basedOn w:val="1"/>
    <w:qFormat/>
    <w:uiPriority w:val="34"/>
    <w:pPr>
      <w:ind w:firstLine="200"/>
    </w:pPr>
    <w:rPr>
      <w:rFonts w:ascii="Calibri" w:hAnsi="Calibri"/>
    </w:rPr>
  </w:style>
  <w:style w:type="character" w:customStyle="1" w:styleId="40">
    <w:name w:val="正文文本 2 Char"/>
    <w:basedOn w:val="33"/>
    <w:qFormat/>
    <w:uiPriority w:val="0"/>
    <w:rPr>
      <w:rFonts w:ascii="Times New Roman" w:hAnsi="Times New Roman" w:eastAsia="宋体" w:cs="Times New Roman"/>
    </w:rPr>
  </w:style>
  <w:style w:type="character" w:customStyle="1" w:styleId="41">
    <w:name w:val="16"/>
    <w:basedOn w:val="33"/>
    <w:qFormat/>
    <w:uiPriority w:val="0"/>
    <w:rPr>
      <w:rFonts w:hint="default" w:ascii="Times New Roman" w:hAnsi="Times New Roman" w:cs="Times New Roman"/>
      <w:color w:val="0000FF"/>
      <w:u w:val="single"/>
    </w:rPr>
  </w:style>
  <w:style w:type="character" w:customStyle="1" w:styleId="42">
    <w:name w:val="15"/>
    <w:basedOn w:val="33"/>
    <w:qFormat/>
    <w:uiPriority w:val="0"/>
    <w:rPr>
      <w:rFonts w:hint="default" w:ascii="Times New Roman" w:hAnsi="Times New Roman" w:cs="Times New Roman"/>
      <w:color w:val="0000FF"/>
      <w:u w:val="single"/>
    </w:rPr>
  </w:style>
  <w:style w:type="character" w:customStyle="1" w:styleId="43">
    <w:name w:val="标题 3 Char"/>
    <w:qFormat/>
    <w:uiPriority w:val="0"/>
    <w:rPr>
      <w:b/>
      <w:sz w:val="24"/>
      <w:szCs w:val="24"/>
    </w:rPr>
  </w:style>
  <w:style w:type="character" w:customStyle="1" w:styleId="44">
    <w:name w:val="标题 2 Char"/>
    <w:qFormat/>
    <w:uiPriority w:val="0"/>
    <w:rPr>
      <w:rFonts w:ascii="Arial" w:hAnsi="Arial" w:eastAsia="黑体"/>
      <w:b/>
      <w:sz w:val="32"/>
      <w:szCs w:val="32"/>
    </w:rPr>
  </w:style>
  <w:style w:type="character" w:customStyle="1" w:styleId="45">
    <w:name w:val="批注框文本 Char"/>
    <w:basedOn w:val="33"/>
    <w:semiHidden/>
    <w:qFormat/>
    <w:uiPriority w:val="0"/>
    <w:rPr>
      <w:sz w:val="18"/>
      <w:szCs w:val="18"/>
    </w:rPr>
  </w:style>
  <w:style w:type="character" w:customStyle="1" w:styleId="46">
    <w:name w:val="批注文字 Char"/>
    <w:basedOn w:val="33"/>
    <w:semiHidden/>
    <w:qFormat/>
    <w:uiPriority w:val="0"/>
    <w:rPr>
      <w:sz w:val="21"/>
      <w:szCs w:val="21"/>
    </w:rPr>
  </w:style>
  <w:style w:type="character" w:customStyle="1" w:styleId="47">
    <w:name w:val="批注主题 Char"/>
    <w:basedOn w:val="46"/>
    <w:semiHidden/>
    <w:qFormat/>
    <w:uiPriority w:val="0"/>
    <w:rPr>
      <w:b/>
      <w:sz w:val="21"/>
      <w:szCs w:val="21"/>
    </w:rPr>
  </w:style>
  <w:style w:type="character" w:customStyle="1" w:styleId="48">
    <w:name w:val="文档结构图 Char"/>
    <w:basedOn w:val="33"/>
    <w:semiHidden/>
    <w:qFormat/>
    <w:uiPriority w:val="0"/>
    <w:rPr>
      <w:rFonts w:ascii="宋体"/>
      <w:sz w:val="18"/>
      <w:szCs w:val="18"/>
    </w:rPr>
  </w:style>
  <w:style w:type="character" w:customStyle="1" w:styleId="49">
    <w:name w:val="页脚 Char"/>
    <w:qFormat/>
    <w:uiPriority w:val="99"/>
    <w:rPr>
      <w:sz w:val="18"/>
      <w:szCs w:val="18"/>
    </w:rPr>
  </w:style>
  <w:style w:type="character" w:customStyle="1" w:styleId="50">
    <w:name w:val="脚注文本 Char"/>
    <w:basedOn w:val="33"/>
    <w:semiHidden/>
    <w:qFormat/>
    <w:uiPriority w:val="0"/>
    <w:rPr>
      <w:sz w:val="18"/>
      <w:szCs w:val="18"/>
    </w:rPr>
  </w:style>
  <w:style w:type="paragraph" w:customStyle="1" w:styleId="51">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2">
    <w:name w:val="纯文本 Char"/>
    <w:link w:val="14"/>
    <w:qFormat/>
    <w:locked/>
    <w:uiPriority w:val="0"/>
    <w:rPr>
      <w:rFonts w:ascii="宋体" w:hAnsi="Courier New" w:cs="宋体"/>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character" w:customStyle="1" w:styleId="54">
    <w:name w:val="正文文本 Char"/>
    <w:basedOn w:val="33"/>
    <w:link w:val="10"/>
    <w:semiHidden/>
    <w:qFormat/>
    <w:uiPriority w:val="99"/>
    <w:rPr>
      <w:sz w:val="21"/>
      <w:szCs w:val="21"/>
    </w:rPr>
  </w:style>
  <w:style w:type="paragraph" w:customStyle="1" w:styleId="55">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6">
    <w:name w:val="日期 Char"/>
    <w:basedOn w:val="33"/>
    <w:link w:val="16"/>
    <w:semiHidden/>
    <w:qFormat/>
    <w:uiPriority w:val="99"/>
    <w:rPr>
      <w:sz w:val="21"/>
      <w:szCs w:val="21"/>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表格标题"/>
    <w:qFormat/>
    <w:uiPriority w:val="99"/>
    <w:pPr>
      <w:widowControl w:val="0"/>
      <w:jc w:val="center"/>
    </w:pPr>
    <w:rPr>
      <w:rFonts w:ascii="Arial" w:hAnsi="Arial" w:eastAsia="Times New Roman" w:cs="Times New Roman"/>
      <w:b/>
      <w:sz w:val="24"/>
      <w:szCs w:val="24"/>
      <w:lang w:val="en-US" w:eastAsia="zh-CN" w:bidi="ar-SA"/>
    </w:rPr>
  </w:style>
  <w:style w:type="paragraph" w:customStyle="1" w:styleId="59">
    <w:name w:val="正文1"/>
    <w:qFormat/>
    <w:uiPriority w:val="0"/>
    <w:pPr>
      <w:adjustRightInd w:val="0"/>
      <w:snapToGrid w:val="0"/>
      <w:spacing w:line="360" w:lineRule="auto"/>
      <w:ind w:firstLine="480" w:firstLineChars="200"/>
    </w:pPr>
    <w:rPr>
      <w:rFonts w:ascii="宋体" w:hAnsi="宋体" w:eastAsia="宋体" w:cs="Times New Roman"/>
      <w:kern w:val="2"/>
      <w:szCs w:val="24"/>
      <w:lang w:val="en-US" w:eastAsia="zh-CN" w:bidi="ar-SA"/>
    </w:rPr>
  </w:style>
  <w:style w:type="paragraph" w:customStyle="1" w:styleId="6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6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6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3FF0-6EBA-4C15-88D4-F03E4AA6587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107</Pages>
  <Words>52828</Words>
  <Characters>56930</Characters>
  <Lines>91</Lines>
  <Paragraphs>125</Paragraphs>
  <TotalTime>1</TotalTime>
  <ScaleCrop>false</ScaleCrop>
  <LinksUpToDate>false</LinksUpToDate>
  <CharactersWithSpaces>58145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黎梅芬</cp:lastModifiedBy>
  <cp:lastPrinted>2022-09-20T00:13:00Z</cp:lastPrinted>
  <dcterms:modified xsi:type="dcterms:W3CDTF">2022-12-29T10:12:45Z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8EA8508F482D400CA180E25954BE364A</vt:lpwstr>
  </property>
  <property fmtid="{D5CDD505-2E9C-101B-9397-08002B2CF9AE}" pid="4" name="commondata">
    <vt:lpwstr>eyJoZGlkIjoiNWE4MWE4OWU4ZTc4Y2FiZDRlZDk3YTI5ZGVhMWVjYWQifQ==</vt:lpwstr>
  </property>
</Properties>
</file>