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336"/>
      <w:bookmarkStart w:id="1" w:name="_Toc114052410"/>
      <w:bookmarkStart w:id="2" w:name="_Toc286386830"/>
      <w:bookmarkStart w:id="3" w:name="_Toc12281"/>
      <w:bookmarkStart w:id="4" w:name="_Toc14991"/>
      <w:bookmarkStart w:id="5" w:name="_Toc13323"/>
      <w:bookmarkStart w:id="6" w:name="_Toc15740"/>
      <w:bookmarkStart w:id="7" w:name="_Toc1179"/>
      <w:bookmarkStart w:id="8" w:name="_Toc21919"/>
      <w:bookmarkStart w:id="9" w:name="_Toc9458"/>
      <w:bookmarkStart w:id="10" w:name="_Toc11424"/>
      <w:bookmarkStart w:id="11" w:name="_Toc9991"/>
      <w:bookmarkStart w:id="12" w:name="_Toc17022"/>
      <w:bookmarkStart w:id="13" w:name="_Toc16340"/>
      <w:bookmarkStart w:id="14" w:name="_Toc4003"/>
      <w:bookmarkStart w:id="15" w:name="_Toc7547"/>
      <w:bookmarkStart w:id="16" w:name="_Toc9725"/>
      <w:bookmarkStart w:id="17" w:name="_Toc25750632"/>
      <w:bookmarkStart w:id="18" w:name="_Toc28464"/>
      <w:bookmarkStart w:id="19" w:name="_Toc25920"/>
      <w:bookmarkStart w:id="20" w:name="_Toc23292"/>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南宁轨道交通2号线东延线、4、5号线地铁保护区界标委外维保项目（2022-2023）</w:t>
      </w:r>
    </w:p>
    <w:tbl>
      <w:tblPr>
        <w:tblStyle w:val="11"/>
        <w:tblW w:w="65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4"/>
        <w:gridCol w:w="4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854"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25" w:type="dxa"/>
          </w:tcPr>
          <w:p>
            <w:pPr>
              <w:spacing w:line="360" w:lineRule="auto"/>
              <w:jc w:val="left"/>
              <w:rPr>
                <w:rFonts w:hint="eastAsia" w:ascii="宋体" w:hAnsi="宋体" w:eastAsia="宋体"/>
                <w:color w:val="auto"/>
                <w:kern w:val="2"/>
                <w:sz w:val="28"/>
                <w:szCs w:val="30"/>
                <w:lang w:eastAsia="zh-CN"/>
              </w:rPr>
            </w:pPr>
            <w:r>
              <w:rPr>
                <w:rFonts w:hint="eastAsia" w:ascii="宋体" w:hAnsi="宋体" w:eastAsia="宋体" w:cs="Times New Roman"/>
                <w:color w:val="auto"/>
                <w:kern w:val="2"/>
                <w:sz w:val="28"/>
                <w:szCs w:val="30"/>
              </w:rPr>
              <w:t>202209220042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854"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25"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440" w:lineRule="exact"/>
        <w:ind w:firstLine="1044" w:firstLineChars="200"/>
        <w:jc w:val="center"/>
        <w:rPr>
          <w:rFonts w:ascii="宋体" w:hAnsi="宋体"/>
          <w:b/>
          <w:color w:val="auto"/>
          <w:sz w:val="52"/>
        </w:rPr>
      </w:pPr>
    </w:p>
    <w:p>
      <w:pPr>
        <w:spacing w:before="0" w:line="360" w:lineRule="exact"/>
        <w:ind w:left="709" w:firstLine="1124" w:firstLineChars="400"/>
        <w:rPr>
          <w:rFonts w:hint="eastAsia"/>
          <w:color w:val="auto"/>
          <w:sz w:val="28"/>
          <w:szCs w:val="28"/>
          <w:lang w:val="en-US" w:eastAsia="zh-CN"/>
        </w:rPr>
      </w:pPr>
      <w:r>
        <w:rPr>
          <w:rFonts w:hint="eastAsia" w:ascii="宋体" w:hAnsi="宋体"/>
          <w:b/>
          <w:color w:val="auto"/>
          <w:sz w:val="28"/>
          <w:szCs w:val="28"/>
        </w:rPr>
        <w:t>甲    方：</w:t>
      </w:r>
      <w:r>
        <w:rPr>
          <w:rFonts w:hint="eastAsia"/>
          <w:color w:val="auto"/>
          <w:sz w:val="28"/>
          <w:szCs w:val="28"/>
        </w:rPr>
        <w:t>南宁轨道交通</w:t>
      </w:r>
      <w:r>
        <w:rPr>
          <w:rFonts w:hint="eastAsia"/>
          <w:color w:val="auto"/>
          <w:sz w:val="28"/>
          <w:szCs w:val="28"/>
          <w:lang w:val="en-US" w:eastAsia="zh-CN"/>
        </w:rPr>
        <w:t>运营有限公司</w:t>
      </w:r>
    </w:p>
    <w:p>
      <w:pPr>
        <w:spacing w:before="0" w:line="360" w:lineRule="exact"/>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line="360" w:lineRule="exact"/>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3</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line="360" w:lineRule="exact"/>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9"/>
        <w:spacing w:before="100" w:beforeAutospacing="1" w:after="0"/>
        <w:ind w:left="709"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5"/>
          <w:color w:val="auto"/>
          <w:szCs w:val="22"/>
        </w:rPr>
      </w:pPr>
      <w:bookmarkStart w:id="21" w:name="_Toc32403"/>
      <w:bookmarkStart w:id="22" w:name="_Toc2618"/>
      <w:bookmarkStart w:id="23" w:name="_Toc6190"/>
      <w:bookmarkStart w:id="24" w:name="_Toc7587"/>
      <w:bookmarkStart w:id="25" w:name="_Toc20060"/>
      <w:bookmarkStart w:id="26" w:name="_Toc4026"/>
      <w:bookmarkStart w:id="27" w:name="_Toc25750633"/>
      <w:bookmarkStart w:id="28" w:name="_Toc6950"/>
      <w:bookmarkStart w:id="29" w:name="_Toc31368"/>
      <w:bookmarkStart w:id="30" w:name="_Toc1289"/>
      <w:bookmarkStart w:id="31" w:name="_Toc8999"/>
      <w:bookmarkStart w:id="32" w:name="_Toc3488"/>
      <w:bookmarkStart w:id="33" w:name="_Toc29797"/>
      <w:bookmarkStart w:id="34" w:name="_Toc13761"/>
      <w:bookmarkStart w:id="35" w:name="_Toc25828"/>
      <w:bookmarkStart w:id="36" w:name="_Toc7236"/>
      <w:bookmarkStart w:id="37" w:name="_Toc14463"/>
      <w:bookmarkStart w:id="38" w:name="_Toc12983547"/>
      <w:bookmarkStart w:id="39" w:name="_Toc15840"/>
      <w:r>
        <w:rPr>
          <w:rStyle w:val="15"/>
          <w:rFonts w:hint="eastAsia"/>
          <w:color w:val="auto"/>
        </w:rPr>
        <w:t xml:space="preserve">第一部分 </w:t>
      </w:r>
      <w:r>
        <w:rPr>
          <w:rStyle w:val="15"/>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hint="default" w:ascii="宋体" w:hAnsi="宋体" w:eastAsia="宋体"/>
          <w:color w:val="auto"/>
          <w:u w:val="single"/>
          <w:lang w:val="en-US" w:eastAsia="zh-CN"/>
        </w:rPr>
      </w:pPr>
      <w:r>
        <w:rPr>
          <w:rFonts w:hint="eastAsia" w:ascii="宋体" w:hAnsi="宋体"/>
          <w:color w:val="auto"/>
        </w:rPr>
        <w:t>甲方：</w:t>
      </w:r>
      <w:r>
        <w:rPr>
          <w:rFonts w:hint="eastAsia" w:ascii="宋体" w:hAnsi="宋体"/>
          <w:color w:val="auto"/>
          <w:u w:val="single"/>
        </w:rPr>
        <w:t xml:space="preserve"> 南宁轨道交通</w:t>
      </w:r>
      <w:r>
        <w:rPr>
          <w:rFonts w:hint="eastAsia" w:ascii="宋体" w:hAnsi="宋体"/>
          <w:color w:val="auto"/>
          <w:u w:val="single"/>
          <w:lang w:val="en-US" w:eastAsia="zh-CN"/>
        </w:rPr>
        <w:t>运营有限公司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u w:val="single"/>
        </w:rPr>
        <w:t>南宁轨道交通2号线东延线、4、5号线地铁保护区界标委外维保项目（2022-2023年）</w:t>
      </w:r>
      <w:r>
        <w:rPr>
          <w:rFonts w:hint="eastAsia" w:ascii="宋体" w:hAnsi="宋体"/>
          <w:color w:val="auto"/>
        </w:rPr>
        <w:t>（项目编号：</w:t>
      </w:r>
      <w:r>
        <w:rPr>
          <w:rFonts w:hint="eastAsia" w:ascii="宋体" w:hAnsi="宋体"/>
        </w:rPr>
        <w:t>202209220042</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u w:val="single"/>
        </w:rPr>
        <w:t>南宁轨道交通2号线东延线、4、5号线地铁保护区界标委外维保项目（2022-2023年）</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合同最终税金在结算阶段，按实际产生的税金进行核算，但合同含税</w:t>
      </w:r>
      <w:r>
        <w:rPr>
          <w:rFonts w:hint="eastAsia" w:ascii="宋体" w:hAnsi="宋体"/>
          <w:b/>
          <w:color w:val="auto"/>
          <w:lang w:val="en-US" w:eastAsia="zh-CN"/>
        </w:rPr>
        <w:t>总</w:t>
      </w:r>
      <w:r>
        <w:rPr>
          <w:rFonts w:hint="eastAsia" w:ascii="宋体" w:hAnsi="宋体"/>
          <w:b/>
          <w:color w:val="auto"/>
        </w:rPr>
        <w:t>价不因国家税率调整而调整。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1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5"/>
              <w:spacing w:before="0" w:line="360" w:lineRule="auto"/>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5"/>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0771-277</w:t>
            </w:r>
            <w:r>
              <w:rPr>
                <w:rFonts w:hint="eastAsia" w:hAnsi="宋体" w:cs="Courier New"/>
                <w:color w:val="auto"/>
                <w:sz w:val="21"/>
                <w:szCs w:val="21"/>
                <w:u w:val="single"/>
                <w:lang w:val="en-US" w:eastAsia="zh-CN"/>
              </w:rPr>
              <w:t>8167</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建行南宁市朝阳支行</w:t>
            </w:r>
          </w:p>
          <w:p>
            <w:pPr>
              <w:pStyle w:val="5"/>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91450100MAA7LA2147 </w:t>
            </w:r>
          </w:p>
        </w:tc>
        <w:tc>
          <w:tcPr>
            <w:tcW w:w="4261" w:type="dxa"/>
          </w:tcPr>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5"/>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7529"/>
      <w:bookmarkStart w:id="41" w:name="_Toc18460"/>
      <w:bookmarkStart w:id="42" w:name="_Toc16743"/>
      <w:bookmarkStart w:id="43" w:name="_Toc25750634"/>
      <w:bookmarkStart w:id="44" w:name="_Toc11253"/>
      <w:bookmarkStart w:id="45" w:name="_Toc258"/>
      <w:bookmarkStart w:id="46" w:name="_Toc9438"/>
      <w:bookmarkStart w:id="47" w:name="_Toc24098"/>
      <w:bookmarkStart w:id="48" w:name="_Toc9188"/>
      <w:bookmarkStart w:id="49" w:name="_Toc7689"/>
      <w:bookmarkStart w:id="50" w:name="_Toc10196"/>
      <w:bookmarkStart w:id="51" w:name="_Toc12155"/>
      <w:bookmarkStart w:id="52" w:name="_Toc29876"/>
      <w:bookmarkStart w:id="53" w:name="_Toc997"/>
      <w:bookmarkStart w:id="54" w:name="_Toc4133"/>
      <w:bookmarkStart w:id="55" w:name="_Toc25942"/>
      <w:bookmarkStart w:id="56" w:name="_Toc24973"/>
      <w:bookmarkStart w:id="57" w:name="_Toc14469"/>
      <w:r>
        <w:rPr>
          <w:rStyle w:val="15"/>
          <w:rFonts w:hint="eastAsia"/>
          <w:color w:val="auto"/>
        </w:rPr>
        <w:t xml:space="preserve">第二部分 </w:t>
      </w:r>
      <w:r>
        <w:rPr>
          <w:rStyle w:val="15"/>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0" w:afterAutospacing="0"/>
        <w:ind w:right="0"/>
        <w:outlineLvl w:val="1"/>
        <w:rPr>
          <w:rFonts w:ascii="宋体" w:hAnsi="宋体"/>
          <w:b/>
        </w:rPr>
      </w:pPr>
      <w:bookmarkStart w:id="58" w:name="_Toc25682"/>
      <w:bookmarkStart w:id="59" w:name="_Toc19920"/>
      <w:bookmarkStart w:id="60" w:name="_Toc15707"/>
      <w:bookmarkStart w:id="61" w:name="_Toc43"/>
      <w:bookmarkStart w:id="62" w:name="_Toc12256"/>
      <w:bookmarkStart w:id="63" w:name="_Toc25750635"/>
      <w:bookmarkStart w:id="64" w:name="_Toc390098464"/>
      <w:bookmarkStart w:id="65" w:name="_Toc25643"/>
      <w:bookmarkStart w:id="66" w:name="_Toc12080"/>
      <w:bookmarkStart w:id="67" w:name="_Toc7961"/>
      <w:bookmarkStart w:id="68" w:name="_Toc28024"/>
      <w:bookmarkStart w:id="69" w:name="_Toc6054"/>
      <w:bookmarkStart w:id="70" w:name="_Toc385427838"/>
      <w:bookmarkStart w:id="71" w:name="_Toc370933855"/>
      <w:bookmarkStart w:id="72" w:name="_Toc29932"/>
      <w:bookmarkStart w:id="73" w:name="_Toc2614"/>
      <w:bookmarkStart w:id="74" w:name="_Toc492478763"/>
      <w:bookmarkStart w:id="75" w:name="_Toc4032"/>
      <w:bookmarkStart w:id="76" w:name="_Toc10730"/>
      <w:bookmarkStart w:id="77" w:name="_Toc20484"/>
      <w:bookmarkStart w:id="78" w:name="_Toc378514952"/>
      <w:bookmarkStart w:id="79" w:name="_Toc14287"/>
      <w:bookmarkStart w:id="80" w:name="_Toc31691"/>
      <w:bookmarkStart w:id="81" w:name="_Toc18727"/>
      <w:bookmarkStart w:id="82" w:name="_Toc22880"/>
      <w:r>
        <w:rPr>
          <w:rFonts w:hint="eastAsia" w:ascii="宋体" w:hAnsi="宋体"/>
          <w:b/>
        </w:rPr>
        <w:t>1.定义及解释</w:t>
      </w:r>
      <w:bookmarkEnd w:id="58"/>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2"/>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合同文件（或称合同）：指合同协议书、中选通知书、合同条款、合同附件、用户需求书、比选中选文件和澄清文件及甲方对项目开展的有关规定等。</w:t>
      </w:r>
    </w:p>
    <w:p>
      <w:pPr>
        <w:numPr>
          <w:ilvl w:val="2"/>
          <w:numId w:val="2"/>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“乙方”系指受甲方委托，负责本项目提供</w:t>
      </w:r>
      <w:r>
        <w:rPr>
          <w:rFonts w:hint="eastAsia"/>
          <w:u w:val="single"/>
        </w:rPr>
        <w:t>界限标识牌维保服务（包括但不限于测设、人工巡查及质保等）</w:t>
      </w:r>
      <w:r>
        <w:rPr>
          <w:rFonts w:hint="eastAsia" w:ascii="宋体" w:hAnsi="宋体"/>
        </w:rPr>
        <w:t>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right="0"/>
        <w:outlineLvl w:val="1"/>
        <w:rPr>
          <w:rFonts w:ascii="宋体" w:hAnsi="宋体"/>
          <w:b/>
        </w:rPr>
      </w:pPr>
      <w:bookmarkStart w:id="83" w:name="_Toc28198"/>
      <w:r>
        <w:rPr>
          <w:rFonts w:hint="eastAsia" w:ascii="宋体" w:hAnsi="宋体"/>
          <w:b/>
        </w:rPr>
        <w:t>2.适用性</w:t>
      </w:r>
      <w:bookmarkEnd w:id="83"/>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right="0"/>
        <w:outlineLvl w:val="1"/>
        <w:rPr>
          <w:rFonts w:ascii="宋体" w:hAnsi="宋体"/>
        </w:rPr>
      </w:pPr>
      <w:bookmarkStart w:id="84" w:name="_Toc28751"/>
      <w:r>
        <w:rPr>
          <w:rFonts w:hint="eastAsia" w:ascii="宋体" w:hAnsi="宋体"/>
          <w:b/>
        </w:rPr>
        <w:t>3.</w:t>
      </w:r>
      <w:r>
        <w:rPr>
          <w:rFonts w:hint="eastAsia" w:cs="宋体"/>
          <w:b/>
          <w:bCs/>
        </w:rPr>
        <w:t>语言文字</w:t>
      </w:r>
      <w:bookmarkEnd w:id="84"/>
    </w:p>
    <w:p>
      <w:pPr>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before="0" w:after="0" w:afterAutospacing="0"/>
        <w:ind w:right="0"/>
        <w:outlineLvl w:val="1"/>
        <w:rPr>
          <w:rFonts w:ascii="宋体" w:hAnsi="宋体"/>
        </w:rPr>
      </w:pPr>
      <w:bookmarkStart w:id="85" w:name="_Toc213"/>
      <w:r>
        <w:rPr>
          <w:rFonts w:hint="eastAsia" w:ascii="宋体" w:hAnsi="宋体"/>
          <w:b/>
        </w:rPr>
        <w:t>4.</w:t>
      </w:r>
      <w:r>
        <w:rPr>
          <w:rFonts w:hint="eastAsia" w:cs="宋体"/>
          <w:b/>
          <w:bCs/>
        </w:rPr>
        <w:t>适用法律、标准和规范</w:t>
      </w:r>
      <w:bookmarkEnd w:id="85"/>
    </w:p>
    <w:p>
      <w:pPr>
        <w:tabs>
          <w:tab w:val="left" w:pos="840"/>
        </w:tabs>
        <w:spacing w:before="0" w:after="0" w:afterAutospacing="0"/>
        <w:ind w:left="0" w:right="0" w:firstLine="420" w:firstLineChars="200"/>
        <w:rPr>
          <w:rFonts w:ascii="宋体" w:hAnsi="宋体" w:cs="宋体"/>
        </w:rPr>
      </w:pPr>
      <w:r>
        <w:rPr>
          <w:rFonts w:hint="eastAsia" w:ascii="宋体" w:hAnsi="宋体" w:cs="宋体"/>
        </w:rPr>
        <w:t>4.1适用于合同的法律包括国家现行法律、行政法规、部门规章，以及广西壮族自治区和南宁市的地方法规、地方政府规章。</w:t>
      </w:r>
    </w:p>
    <w:p>
      <w:pPr>
        <w:tabs>
          <w:tab w:val="left" w:pos="840"/>
        </w:tabs>
        <w:spacing w:before="0" w:after="0" w:afterAutospacing="0"/>
        <w:ind w:left="420" w:leftChars="200" w:right="0" w:firstLine="0"/>
        <w:rPr>
          <w:rFonts w:ascii="宋体" w:hAnsi="宋体" w:cs="宋体"/>
        </w:rPr>
      </w:pPr>
      <w:r>
        <w:rPr>
          <w:rFonts w:hint="eastAsia" w:ascii="宋体" w:hAnsi="宋体" w:cs="宋体"/>
        </w:rPr>
        <w:t>4.2适用标准、规范。</w:t>
      </w:r>
    </w:p>
    <w:p>
      <w:pPr>
        <w:tabs>
          <w:tab w:val="left" w:pos="840"/>
        </w:tabs>
        <w:spacing w:before="0" w:after="0" w:afterAutospacing="0"/>
        <w:ind w:left="0" w:right="0" w:firstLine="420" w:firstLineChars="200"/>
        <w:rPr>
          <w:rFonts w:ascii="宋体" w:hAnsi="宋体" w:cs="宋体"/>
        </w:rPr>
      </w:pPr>
      <w:r>
        <w:rPr>
          <w:rFonts w:hint="eastAsia" w:ascii="宋体" w:hAnsi="宋体" w:cs="宋体"/>
        </w:rPr>
        <w:t>4.3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right="0"/>
        <w:outlineLvl w:val="1"/>
        <w:rPr>
          <w:rFonts w:ascii="宋体" w:hAnsi="宋体"/>
          <w:b/>
        </w:rPr>
      </w:pPr>
      <w:bookmarkStart w:id="86" w:name="_Toc26735"/>
      <w:r>
        <w:rPr>
          <w:rFonts w:hint="eastAsia" w:ascii="宋体" w:hAnsi="宋体"/>
          <w:b/>
        </w:rPr>
        <w:t>5.合同文件、资料及使用</w:t>
      </w:r>
      <w:bookmarkEnd w:id="86"/>
    </w:p>
    <w:p>
      <w:pPr>
        <w:tabs>
          <w:tab w:val="left" w:pos="840"/>
        </w:tabs>
        <w:spacing w:before="0" w:after="0" w:afterAutospacing="0"/>
        <w:ind w:left="0" w:right="0" w:firstLine="420" w:firstLineChars="200"/>
        <w:rPr>
          <w:rFonts w:ascii="宋体" w:hAnsi="宋体"/>
        </w:rPr>
      </w:pPr>
      <w:r>
        <w:rPr>
          <w:rFonts w:hint="eastAsia" w:ascii="宋体" w:hAnsi="宋体"/>
        </w:rPr>
        <w:t>5.1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tabs>
          <w:tab w:val="left" w:pos="840"/>
        </w:tabs>
        <w:spacing w:before="0" w:after="0" w:afterAutospacing="0"/>
        <w:ind w:left="0" w:right="0" w:firstLine="420" w:firstLineChars="200"/>
        <w:rPr>
          <w:rFonts w:ascii="宋体" w:hAnsi="宋体"/>
        </w:rPr>
      </w:pPr>
      <w:r>
        <w:rPr>
          <w:rFonts w:hint="eastAsia" w:ascii="宋体" w:hAnsi="宋体"/>
        </w:rPr>
        <w:t>5.2没有甲方事先书面同意，除了履行本合同之外，乙方不得允许他人使用条款第</w:t>
      </w:r>
      <w:r>
        <w:rPr>
          <w:rFonts w:ascii="宋体" w:hAnsi="宋体"/>
        </w:rPr>
        <w:t>5.1</w:t>
      </w:r>
      <w:r>
        <w:rPr>
          <w:rFonts w:hint="eastAsia" w:ascii="宋体" w:hAnsi="宋体"/>
        </w:rPr>
        <w:t>条所列举的任何文件和资料。</w:t>
      </w:r>
    </w:p>
    <w:p>
      <w:pPr>
        <w:tabs>
          <w:tab w:val="left" w:pos="840"/>
        </w:tabs>
        <w:spacing w:before="0" w:after="0" w:afterAutospacing="0"/>
        <w:ind w:left="0" w:right="0" w:firstLine="420" w:firstLineChars="200"/>
        <w:rPr>
          <w:rFonts w:ascii="宋体" w:hAnsi="宋体"/>
        </w:rPr>
      </w:pPr>
      <w:r>
        <w:rPr>
          <w:rFonts w:hint="eastAsia" w:ascii="宋体" w:hAnsi="宋体"/>
        </w:rPr>
        <w:t>5.3除了合同本身以外，条款第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tabs>
          <w:tab w:val="left" w:pos="840"/>
        </w:tabs>
        <w:spacing w:before="0" w:after="0" w:afterAutospacing="0"/>
        <w:ind w:left="0" w:right="0" w:firstLine="420" w:firstLineChars="200"/>
        <w:rPr>
          <w:rFonts w:ascii="宋体" w:hAnsi="宋体"/>
        </w:rPr>
      </w:pPr>
      <w:r>
        <w:rPr>
          <w:rFonts w:hint="eastAsia" w:ascii="宋体" w:hAnsi="宋体"/>
        </w:rPr>
        <w:t>5.4甲方项目档案管理的规定（各类项目文件资料档案的移交份数，详见南宁轨道交通集团有限责任公司有关部门立卷的规定文件）。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乙方须按甲方有关整理档案的规范，负责编制整理合同项目所产生的档案，在验收一个月内向甲方移交。甲方接收了乙方完整的档案后应签署项目档案移交确认书。未能按时移交档案的，甲方停止支付合同价款。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right="0"/>
        <w:outlineLvl w:val="1"/>
        <w:rPr>
          <w:rFonts w:ascii="宋体" w:hAnsi="宋体"/>
          <w:b/>
        </w:rPr>
      </w:pPr>
      <w:bookmarkStart w:id="87" w:name="_Toc2962"/>
      <w:r>
        <w:rPr>
          <w:rFonts w:hint="eastAsia" w:ascii="宋体" w:hAnsi="宋体"/>
          <w:b/>
        </w:rPr>
        <w:t>6.知识产权</w:t>
      </w:r>
      <w:bookmarkEnd w:id="87"/>
    </w:p>
    <w:p>
      <w:pPr>
        <w:tabs>
          <w:tab w:val="left" w:pos="840"/>
        </w:tabs>
        <w:spacing w:before="0" w:after="0" w:afterAutospacing="0"/>
        <w:ind w:left="0" w:right="0" w:firstLine="420" w:firstLineChars="200"/>
        <w:rPr>
          <w:rFonts w:ascii="宋体" w:hAnsi="宋体"/>
        </w:rPr>
      </w:pPr>
      <w:r>
        <w:rPr>
          <w:rFonts w:hint="eastAsia" w:ascii="宋体" w:hAnsi="宋体"/>
        </w:rPr>
        <w:t>6.1乙方应保证其拥有货物及服务的知识产权，并保证甲方在中华人民共和国使用货物及服务或其任何一部分时，免受第三方提出侵犯其任何专利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tabs>
          <w:tab w:val="left" w:pos="840"/>
        </w:tabs>
        <w:spacing w:before="0" w:after="0" w:afterAutospacing="0"/>
        <w:ind w:left="0" w:right="0" w:firstLine="420" w:firstLineChars="200"/>
        <w:rPr>
          <w:rFonts w:ascii="宋体" w:hAnsi="宋体"/>
        </w:rPr>
      </w:pPr>
      <w:r>
        <w:rPr>
          <w:rFonts w:hint="eastAsia" w:ascii="宋体" w:hAnsi="宋体"/>
        </w:rPr>
        <w:t>6.2甲方不对乙方提供的货物的及服务的专利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tabs>
          <w:tab w:val="left" w:pos="840"/>
        </w:tabs>
        <w:spacing w:before="0" w:after="0" w:afterAutospacing="0"/>
        <w:ind w:left="0" w:right="0" w:firstLine="420" w:firstLineChars="200"/>
        <w:rPr>
          <w:rFonts w:ascii="宋体" w:hAnsi="宋体"/>
        </w:rPr>
      </w:pPr>
      <w:r>
        <w:rPr>
          <w:rFonts w:hint="eastAsia" w:ascii="宋体" w:hAnsi="宋体"/>
        </w:rPr>
        <w:t>6.3非乙方所有知识产权的货物及服务，乙方有义务提供给甲方正规渠道证明。甲方永久享有乙方为本合同项下提供的产品、软件、技术资料的使用权，并无需交纳任何形式的使用费（如有此类费用的话）。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840"/>
          <w:tab w:val="left" w:pos="1843"/>
        </w:tabs>
        <w:spacing w:before="0" w:after="0" w:afterAutospacing="0"/>
        <w:ind w:left="0" w:right="0" w:firstLine="0"/>
        <w:outlineLvl w:val="1"/>
        <w:rPr>
          <w:rFonts w:ascii="宋体" w:hAnsi="宋体"/>
          <w:b/>
        </w:rPr>
      </w:pPr>
      <w:r>
        <w:rPr>
          <w:rFonts w:hint="eastAsia" w:ascii="宋体" w:hAnsi="宋体"/>
          <w:b/>
        </w:rPr>
        <w:t>7.甲乙方权利与义务</w:t>
      </w:r>
    </w:p>
    <w:p>
      <w:pPr>
        <w:pStyle w:val="5"/>
        <w:spacing w:afterAutospacing="0"/>
        <w:ind w:left="0" w:right="0" w:firstLine="400" w:firstLineChars="200"/>
      </w:pPr>
      <w:r>
        <w:rPr>
          <w:rFonts w:hint="eastAsia"/>
        </w:rPr>
        <w:t>7.1</w:t>
      </w:r>
      <w:r>
        <w:rPr>
          <w:rFonts w:hint="eastAsia"/>
          <w:sz w:val="21"/>
          <w:szCs w:val="21"/>
        </w:rPr>
        <w:t>甲方的权利与义务</w:t>
      </w:r>
    </w:p>
    <w:p>
      <w:pPr>
        <w:spacing w:before="0" w:after="0" w:afterAutospacing="0"/>
        <w:ind w:left="0" w:right="0" w:firstLine="420" w:firstLineChars="200"/>
        <w:jc w:val="left"/>
        <w:rPr>
          <w:rFonts w:ascii="宋体" w:hAnsi="宋体" w:cs="宋体"/>
        </w:rPr>
      </w:pPr>
      <w:r>
        <w:rPr>
          <w:rFonts w:hint="eastAsia" w:ascii="宋体" w:hAnsi="宋体" w:cs="宋体"/>
        </w:rPr>
        <w:t>7.1.1 对乙方施工工作进行监督、考评的权利。</w:t>
      </w:r>
    </w:p>
    <w:p>
      <w:pPr>
        <w:spacing w:before="0" w:after="0" w:afterAutospacing="0"/>
        <w:ind w:left="0" w:right="0" w:firstLine="420" w:firstLineChars="200"/>
        <w:jc w:val="left"/>
        <w:rPr>
          <w:rFonts w:ascii="宋体" w:hAnsi="宋体" w:cs="宋体"/>
        </w:rPr>
      </w:pPr>
      <w:r>
        <w:rPr>
          <w:rFonts w:hint="eastAsia" w:ascii="宋体" w:hAnsi="宋体" w:cs="宋体"/>
        </w:rPr>
        <w:t>7.1.2 有依法或依本合同约定解除与乙方的委托关系的权利。</w:t>
      </w:r>
    </w:p>
    <w:p>
      <w:pPr>
        <w:spacing w:before="0" w:after="0" w:afterAutospacing="0"/>
        <w:ind w:left="0" w:right="0" w:firstLine="420" w:firstLineChars="200"/>
        <w:jc w:val="left"/>
        <w:rPr>
          <w:rFonts w:ascii="宋体" w:hAnsi="宋体" w:cs="宋体"/>
        </w:rPr>
      </w:pPr>
      <w:r>
        <w:rPr>
          <w:rFonts w:hint="eastAsia" w:ascii="宋体" w:hAnsi="宋体" w:cs="宋体"/>
        </w:rPr>
        <w:t>7.1.3 甲方有权不定时随机检查，乙方必须无条件配合检查。</w:t>
      </w:r>
    </w:p>
    <w:p>
      <w:pPr>
        <w:spacing w:before="0" w:after="0" w:afterAutospacing="0"/>
        <w:ind w:left="0" w:right="0" w:firstLine="420" w:firstLineChars="200"/>
        <w:jc w:val="left"/>
        <w:rPr>
          <w:rFonts w:ascii="宋体" w:hAnsi="宋体" w:cs="宋体"/>
        </w:rPr>
      </w:pPr>
      <w:r>
        <w:rPr>
          <w:rFonts w:hint="eastAsia" w:ascii="宋体" w:hAnsi="宋体" w:cs="宋体"/>
        </w:rPr>
        <w:t>7.1.4 及时将工程设计、设备、建设等相关资料移交乙方。</w:t>
      </w:r>
    </w:p>
    <w:p>
      <w:pPr>
        <w:spacing w:before="0" w:after="0" w:afterAutospacing="0"/>
        <w:ind w:left="0" w:right="0" w:firstLine="420" w:firstLineChars="200"/>
        <w:jc w:val="left"/>
        <w:rPr>
          <w:rFonts w:ascii="宋体" w:hAnsi="宋体" w:cs="宋体"/>
        </w:rPr>
      </w:pPr>
      <w:r>
        <w:rPr>
          <w:rFonts w:hint="eastAsia" w:ascii="宋体" w:hAnsi="宋体" w:cs="宋体"/>
        </w:rPr>
        <w:t>7.1.5 及时向乙方提供轨道公司各类与本项目相关的规章制度、标准及要求及工作流程。</w:t>
      </w:r>
    </w:p>
    <w:p>
      <w:pPr>
        <w:spacing w:before="0" w:after="0" w:afterAutospacing="0"/>
        <w:ind w:left="0" w:right="0" w:firstLine="420" w:firstLineChars="200"/>
        <w:jc w:val="left"/>
        <w:rPr>
          <w:rFonts w:ascii="宋体" w:hAnsi="宋体" w:cs="宋体"/>
        </w:rPr>
      </w:pPr>
      <w:r>
        <w:rPr>
          <w:rFonts w:hint="eastAsia" w:ascii="宋体" w:hAnsi="宋体" w:cs="宋体"/>
        </w:rPr>
        <w:t>7.1.6批准或认可工作计划和工作量，开具本合同所需的证明文件，以利乙方开展工作。有权完善作业内容，更改乙方工作计划。</w:t>
      </w:r>
    </w:p>
    <w:p>
      <w:pPr>
        <w:spacing w:before="0" w:after="0" w:afterAutospacing="0"/>
        <w:ind w:left="0" w:right="0" w:firstLine="420" w:firstLineChars="200"/>
        <w:jc w:val="left"/>
        <w:rPr>
          <w:rFonts w:ascii="宋体" w:hAnsi="宋体" w:cs="宋体"/>
        </w:rPr>
      </w:pPr>
      <w:r>
        <w:rPr>
          <w:rFonts w:hint="eastAsia" w:ascii="宋体" w:hAnsi="宋体" w:cs="宋体"/>
        </w:rPr>
        <w:t>7.1.7协调与场段施工有关职能部门和占地所在单位、个人的关系，办理有关批准文件。乙方进场施工时，甲方按照相关规定给予配合。</w:t>
      </w:r>
    </w:p>
    <w:p>
      <w:pPr>
        <w:spacing w:before="0" w:after="0" w:afterAutospacing="0"/>
        <w:ind w:left="0" w:right="0" w:firstLine="420" w:firstLineChars="200"/>
        <w:jc w:val="left"/>
        <w:rPr>
          <w:rFonts w:ascii="宋体" w:hAnsi="宋体" w:cs="宋体"/>
        </w:rPr>
      </w:pPr>
      <w:r>
        <w:rPr>
          <w:rFonts w:hint="eastAsia" w:ascii="宋体" w:hAnsi="宋体" w:cs="宋体"/>
        </w:rPr>
        <w:t>7.1.8有权对工期、质量、人员、设备、仪器进行监督检查，对不符合技术要求的工作，乙方必须自费进行返工。</w:t>
      </w:r>
    </w:p>
    <w:p>
      <w:pPr>
        <w:spacing w:before="0" w:after="0" w:afterAutospacing="0"/>
        <w:ind w:left="0" w:right="0" w:firstLine="420" w:firstLineChars="200"/>
        <w:jc w:val="left"/>
        <w:rPr>
          <w:rFonts w:ascii="宋体" w:hAnsi="宋体" w:cs="宋体"/>
        </w:rPr>
      </w:pPr>
      <w:r>
        <w:rPr>
          <w:rFonts w:hint="eastAsia" w:ascii="宋体" w:hAnsi="宋体" w:cs="宋体"/>
        </w:rPr>
        <w:t>7.1.9委派一名代表协助乙方处理施工中存在的问题，并对乙方施工工作进行监督、签证文件。</w:t>
      </w:r>
    </w:p>
    <w:p>
      <w:pPr>
        <w:spacing w:before="0" w:after="0" w:afterAutospacing="0"/>
        <w:ind w:left="0" w:right="0" w:firstLine="420" w:firstLineChars="200"/>
        <w:jc w:val="left"/>
        <w:rPr>
          <w:rFonts w:ascii="宋体" w:hAnsi="宋体" w:cs="宋体"/>
        </w:rPr>
      </w:pPr>
      <w:r>
        <w:rPr>
          <w:rFonts w:hint="eastAsia" w:ascii="宋体" w:hAnsi="宋体" w:cs="宋体"/>
        </w:rPr>
        <w:t>7.1.10负责对乙方投入施工人员的临时工作证的资格和数量进行审核，给予乙方投入施工人员办理临时工作证。</w:t>
      </w:r>
    </w:p>
    <w:p>
      <w:pPr>
        <w:spacing w:before="0" w:after="0" w:afterAutospacing="0"/>
        <w:ind w:left="0" w:right="0" w:firstLine="420" w:firstLineChars="200"/>
        <w:jc w:val="left"/>
        <w:rPr>
          <w:rFonts w:ascii="宋体" w:hAnsi="宋体" w:cs="宋体"/>
        </w:rPr>
      </w:pPr>
      <w:r>
        <w:rPr>
          <w:rFonts w:hint="eastAsia" w:ascii="宋体" w:hAnsi="宋体" w:cs="宋体"/>
        </w:rPr>
        <w:t>7.1.11向乙方免费提供设备维护所需用电、用水。根据本合同规定按时向乙方付款。</w:t>
      </w:r>
    </w:p>
    <w:p>
      <w:pPr>
        <w:spacing w:before="0" w:after="0" w:afterAutospacing="0"/>
        <w:ind w:left="0" w:right="0" w:firstLine="420" w:firstLineChars="200"/>
        <w:jc w:val="left"/>
        <w:rPr>
          <w:rFonts w:ascii="宋体" w:hAnsi="宋体" w:cs="宋体"/>
        </w:rPr>
      </w:pPr>
      <w:r>
        <w:rPr>
          <w:rFonts w:hint="eastAsia" w:ascii="宋体" w:hAnsi="宋体" w:cs="宋体"/>
        </w:rPr>
        <w:t>7.1.12按合同要求组织验收。</w:t>
      </w:r>
    </w:p>
    <w:p>
      <w:pPr>
        <w:pStyle w:val="5"/>
        <w:spacing w:before="0" w:after="0" w:afterAutospacing="0"/>
        <w:ind w:left="0" w:right="0" w:firstLine="420" w:firstLineChars="200"/>
      </w:pPr>
      <w:r>
        <w:rPr>
          <w:rFonts w:hint="eastAsia"/>
          <w:sz w:val="21"/>
          <w:szCs w:val="21"/>
        </w:rPr>
        <w:t>7.2乙方的权利与义务</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.2.1</w:t>
      </w:r>
      <w:r>
        <w:rPr>
          <w:rFonts w:hint="eastAsia" w:ascii="宋体" w:hAnsi="宋体"/>
        </w:rPr>
        <w:t>乙方应严格按照技术规格书的标准及要求提供施工服务工作。</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 xml:space="preserve">.2.2 </w:t>
      </w:r>
      <w:r>
        <w:rPr>
          <w:rFonts w:hint="eastAsia" w:ascii="宋体" w:hAnsi="宋体"/>
        </w:rPr>
        <w:t>享有按照本合同约定和相关规定向甲方收取委外项目费用的权利。</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 xml:space="preserve">.2.3 </w:t>
      </w:r>
      <w:r>
        <w:rPr>
          <w:rFonts w:hint="eastAsia" w:ascii="宋体" w:hAnsi="宋体"/>
        </w:rPr>
        <w:t>享有在遵守国家法律、法规、行业规范的前提下，开展施工工作的权利。</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 xml:space="preserve">.2.4 </w:t>
      </w:r>
      <w:r>
        <w:rPr>
          <w:rFonts w:hint="eastAsia" w:ascii="宋体" w:hAnsi="宋体"/>
        </w:rPr>
        <w:t>按合同要求参与项目验收。</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.2.5</w:t>
      </w:r>
      <w:r>
        <w:rPr>
          <w:rFonts w:hint="eastAsia" w:ascii="宋体" w:hAnsi="宋体"/>
        </w:rPr>
        <w:t>乙方应按照甲方委外项目管理的有关规定，做好本项目施工工作，及时完成项目施工，在质保期内及时处理所改造设备的所有故障，确保设备安全可靠运行。</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.2.6</w:t>
      </w:r>
      <w:r>
        <w:rPr>
          <w:rFonts w:hint="eastAsia" w:ascii="宋体" w:hAnsi="宋体"/>
        </w:rPr>
        <w:t>应全面贯彻执行国家法律、法规、行业规范的相关规章制度和甲方的有关管理规范。</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7乙方负责按照甲方安全生产的有关规定，落实安全生产责任制，做好施工工作并承担安全责任，包含项目施工期间非甲方原因造成的乙方人员人身安全所有责任。</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8本项目合同期限结束或合同发生终止时，乙方有义务配合甲方与新的服务单位做好交接工作。</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9乙方须听从甲方统一调度安排故障处理作业。</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10乙方必须牢固树立“安全第一、预防为主”的思想，掌握、严守甲方制定的各项安全生产规章制度。</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11乙方必须服从甲方的管理，必须按照甲方要求进行施工，确保按质、按量的完成工作；对于甲方认为确需紧急处理的故障，乙方应该按照“无条件、即时性、高效性”的原则处理完成，并确保不影响南宁轨道交通运营服务的正常进行。</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12乙方在进行系统设备维修过程中，未经甲方同意，不得擅自更改系统及设备的原设计。</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13乙方针对该项目所投入的所有施工人员必须经过甲方相关部门所组织的安全培训并通过合格考试后方可进场作业，严禁任何未参加安全培训以及未通过合格考试的人员进场作业。</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14对于甲方规定必须申报施工作业令的作业项目，乙方必须按照甲方相关进场作业的规定申报施工作业令，持施工作业令进行请点作业后，方可进场作业，在作业后必须办理相关销点手续并确认现场出清后方可撤离现场；对于甲方规定需要办理特种作业手续（如站/库内焊接、切割、登高作业、有限空间作业等）方可进行的作业，乙方应该按照要求办理特种作业施工许可证，严禁违规操作；对于施工作业令要求其它部门配合方可进行的作业，乙方应严格按照施工作业令执行，在没有设施所属部门人员配合（或授权使用）的情况下，严禁动用其它部门所辖设施。</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15特种作业人员（如金属焊接切割、低压电工、登高等作业），必须持有政府等相关部门颁发的特种作业操作证方可上岗作业，并按照相关要求佩戴配套的防护劳保用品进行作业。严禁无证或不按照要求佩戴证件、防护、劳保用品人员上岗作业。</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16乙方人员须在甲方人员的配合下开展施工作业或设备故障处理作业，对于不熟悉的设备设施不得进行摸、碰，更不得对不清楚的设备设施进行操作。</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17乙方应对本方人员进行文明生产教育，当乙方人员与甲方要求存在差异时，应及时的向甲方负责人员反映，寻求解决；乙方作业人员不得与甲方人员进行争执（包括现场监控人员、车站工作人员、设备房使用部门人员），不准在地铁运营期间在场段同相关人员吵闹。</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18乙方应该严格按照“安全第一、预防为主”的思想，不断的加强员工的安全生产教育，将安全生产贯彻到日常的工作中；对于甲方颁布的安全生产规定，乙方按照规定执行；</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w:t>
      </w:r>
      <w:r>
        <w:rPr>
          <w:rFonts w:hint="eastAsia" w:ascii="宋体" w:hAnsi="宋体"/>
        </w:rPr>
        <w:t>19乙方在施工过程中所发生的事故，乙方应本着“诚实、合作、及时”的思想及时通知甲方，配合甲方做好事故的调查和分析工作，不得隐瞒、推卸责任。</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.2.2</w:t>
      </w:r>
      <w:r>
        <w:rPr>
          <w:rFonts w:hint="eastAsia" w:ascii="宋体" w:hAnsi="宋体"/>
        </w:rPr>
        <w:t>0乙方必须按照投标文件承诺的人员进场，并保证进场人员稳定；按时足额支付员工工资、为员工购买社会保险（根据用工性质包括南宁市职工社保或外来工社保）。</w:t>
      </w:r>
    </w:p>
    <w:p>
      <w:pPr>
        <w:spacing w:before="0" w:after="0" w:afterAutospacing="0"/>
        <w:ind w:left="0" w:right="0" w:firstLine="420" w:firstLineChars="200"/>
        <w:jc w:val="left"/>
        <w:rPr>
          <w:rFonts w:ascii="宋体"/>
        </w:rPr>
      </w:pPr>
      <w:r>
        <w:rPr>
          <w:rFonts w:hint="eastAsia" w:ascii="宋体" w:hAnsi="宋体"/>
        </w:rPr>
        <w:t>7</w:t>
      </w:r>
      <w:r>
        <w:rPr>
          <w:rFonts w:ascii="宋体" w:hAnsi="宋体"/>
        </w:rPr>
        <w:t>.2.2</w:t>
      </w:r>
      <w:r>
        <w:rPr>
          <w:rFonts w:hint="eastAsia" w:ascii="宋体" w:hAnsi="宋体"/>
        </w:rPr>
        <w:t>1乙方因自身原因造成的任何事故，乙方应承担一切责任。</w:t>
      </w:r>
    </w:p>
    <w:p>
      <w:pPr>
        <w:spacing w:before="0" w:after="0" w:afterAutospacing="0"/>
        <w:ind w:left="0" w:right="0" w:firstLine="420" w:firstLineChars="200"/>
        <w:jc w:val="left"/>
      </w:pPr>
      <w:r>
        <w:rPr>
          <w:rFonts w:hint="eastAsia" w:ascii="宋体" w:hAnsi="宋体"/>
        </w:rPr>
        <w:t>7</w:t>
      </w:r>
      <w:r>
        <w:rPr>
          <w:rFonts w:ascii="宋体" w:hAnsi="宋体"/>
        </w:rPr>
        <w:t>.2.</w:t>
      </w:r>
      <w:r>
        <w:rPr>
          <w:rFonts w:hint="eastAsia" w:ascii="宋体" w:hAnsi="宋体"/>
        </w:rPr>
        <w:t>22其他详见技术规格书的要求。</w:t>
      </w:r>
    </w:p>
    <w:p>
      <w:pPr>
        <w:tabs>
          <w:tab w:val="left" w:pos="840"/>
          <w:tab w:val="left" w:pos="1843"/>
        </w:tabs>
        <w:spacing w:before="0" w:after="0" w:afterAutospacing="0"/>
        <w:ind w:right="0"/>
        <w:outlineLvl w:val="1"/>
        <w:rPr>
          <w:rFonts w:ascii="宋体" w:hAnsi="宋体"/>
          <w:b/>
        </w:rPr>
      </w:pPr>
      <w:bookmarkStart w:id="88" w:name="_Toc25607"/>
      <w:r>
        <w:rPr>
          <w:rFonts w:hint="eastAsia" w:ascii="宋体" w:hAnsi="宋体"/>
          <w:b/>
        </w:rPr>
        <w:t>8.</w:t>
      </w:r>
      <w:bookmarkStart w:id="89" w:name="_Toc459797508"/>
      <w:bookmarkEnd w:id="89"/>
      <w:bookmarkStart w:id="90" w:name="_Toc459797511"/>
      <w:bookmarkEnd w:id="90"/>
      <w:bookmarkStart w:id="91" w:name="_Toc459797495"/>
      <w:bookmarkEnd w:id="91"/>
      <w:bookmarkStart w:id="92" w:name="_Toc459730454"/>
      <w:bookmarkEnd w:id="92"/>
      <w:bookmarkStart w:id="93" w:name="_Toc459797502"/>
      <w:bookmarkEnd w:id="93"/>
      <w:bookmarkStart w:id="94" w:name="_Toc459797496"/>
      <w:bookmarkEnd w:id="94"/>
      <w:bookmarkStart w:id="95" w:name="_Toc459797497"/>
      <w:bookmarkEnd w:id="95"/>
      <w:bookmarkStart w:id="96" w:name="_Toc459730451"/>
      <w:bookmarkEnd w:id="96"/>
      <w:bookmarkStart w:id="97" w:name="_Toc459797498"/>
      <w:bookmarkEnd w:id="97"/>
      <w:bookmarkStart w:id="98" w:name="_Toc459730444"/>
      <w:bookmarkEnd w:id="98"/>
      <w:bookmarkStart w:id="99" w:name="_Toc459730442"/>
      <w:bookmarkEnd w:id="99"/>
      <w:bookmarkStart w:id="100" w:name="_Toc459730443"/>
      <w:bookmarkEnd w:id="100"/>
      <w:bookmarkStart w:id="101" w:name="_Toc459730453"/>
      <w:bookmarkEnd w:id="101"/>
      <w:bookmarkStart w:id="102" w:name="_Toc459797500"/>
      <w:bookmarkEnd w:id="102"/>
      <w:bookmarkStart w:id="103" w:name="_Toc459730445"/>
      <w:bookmarkEnd w:id="103"/>
      <w:bookmarkStart w:id="104" w:name="_Toc459730457"/>
      <w:bookmarkEnd w:id="104"/>
      <w:bookmarkStart w:id="105" w:name="_Toc459730452"/>
      <w:bookmarkEnd w:id="105"/>
      <w:bookmarkStart w:id="106" w:name="_Toc459797503"/>
      <w:bookmarkEnd w:id="106"/>
      <w:bookmarkStart w:id="107" w:name="_Toc459797505"/>
      <w:bookmarkEnd w:id="107"/>
      <w:bookmarkStart w:id="108" w:name="_Toc459797504"/>
      <w:bookmarkEnd w:id="108"/>
      <w:bookmarkStart w:id="109" w:name="_Toc459730455"/>
      <w:bookmarkEnd w:id="109"/>
      <w:bookmarkStart w:id="110" w:name="_Toc459797510"/>
      <w:bookmarkEnd w:id="110"/>
      <w:bookmarkStart w:id="111" w:name="_Toc459797506"/>
      <w:bookmarkEnd w:id="111"/>
      <w:bookmarkStart w:id="112" w:name="_Toc459730459"/>
      <w:bookmarkEnd w:id="112"/>
      <w:bookmarkStart w:id="113" w:name="_Toc459730449"/>
      <w:bookmarkEnd w:id="113"/>
      <w:bookmarkStart w:id="114" w:name="_Toc459797512"/>
      <w:bookmarkEnd w:id="114"/>
      <w:bookmarkStart w:id="115" w:name="_Toc459730450"/>
      <w:bookmarkEnd w:id="115"/>
      <w:bookmarkStart w:id="116" w:name="_Toc459797507"/>
      <w:bookmarkEnd w:id="116"/>
      <w:bookmarkStart w:id="117" w:name="_Toc459730446"/>
      <w:bookmarkEnd w:id="117"/>
      <w:bookmarkStart w:id="118" w:name="_Toc459730448"/>
      <w:bookmarkEnd w:id="118"/>
      <w:bookmarkStart w:id="119" w:name="_Toc459730456"/>
      <w:bookmarkEnd w:id="119"/>
      <w:bookmarkStart w:id="120" w:name="_Toc459797501"/>
      <w:bookmarkEnd w:id="120"/>
      <w:bookmarkStart w:id="121" w:name="_Toc459730458"/>
      <w:bookmarkEnd w:id="121"/>
      <w:bookmarkStart w:id="122" w:name="_Toc459797509"/>
      <w:bookmarkEnd w:id="122"/>
      <w:bookmarkStart w:id="123" w:name="_Toc459730447"/>
      <w:bookmarkEnd w:id="123"/>
      <w:bookmarkStart w:id="124" w:name="_Toc459797499"/>
      <w:bookmarkEnd w:id="124"/>
      <w:r>
        <w:rPr>
          <w:rFonts w:hint="eastAsia" w:ascii="宋体" w:hAnsi="宋体"/>
          <w:b/>
        </w:rPr>
        <w:t>合同价款支付方式</w:t>
      </w:r>
      <w:bookmarkEnd w:id="88"/>
    </w:p>
    <w:p>
      <w:pPr>
        <w:tabs>
          <w:tab w:val="left" w:pos="960"/>
          <w:tab w:val="left" w:pos="8364"/>
        </w:tabs>
        <w:spacing w:before="0" w:after="0" w:afterAutospacing="0"/>
        <w:ind w:left="420" w:right="0" w:firstLine="0"/>
        <w:rPr>
          <w:rFonts w:ascii="宋体" w:hAnsi="宋体"/>
        </w:rPr>
      </w:pPr>
      <w:bookmarkStart w:id="125" w:name="_Toc378514969"/>
      <w:bookmarkStart w:id="126"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tabs>
          <w:tab w:val="left" w:pos="840"/>
        </w:tabs>
        <w:spacing w:before="0" w:after="0" w:afterAutospacing="0"/>
        <w:ind w:left="0" w:right="0" w:firstLine="420" w:firstLineChars="200"/>
        <w:rPr>
          <w:rFonts w:ascii="宋体" w:hAnsi="宋体"/>
          <w:highlight w:val="none"/>
        </w:rPr>
      </w:pPr>
      <w:r>
        <w:rPr>
          <w:rFonts w:hint="eastAsia" w:ascii="宋体" w:hAnsi="宋体"/>
        </w:rPr>
        <w:t>8.1</w:t>
      </w:r>
      <w:r>
        <w:rPr>
          <w:rFonts w:hint="eastAsia" w:ascii="宋体" w:hAnsi="宋体" w:eastAsia="宋体" w:cs="Times New Roman"/>
          <w:sz w:val="21"/>
          <w:szCs w:val="21"/>
          <w:highlight w:val="none"/>
        </w:rPr>
        <w:t>本合同价格为暂定价</w:t>
      </w:r>
      <w:r>
        <w:rPr>
          <w:rFonts w:hint="eastAsia" w:ascii="宋体" w:hAnsi="宋体" w:cs="Times New Roman"/>
          <w:sz w:val="21"/>
          <w:szCs w:val="21"/>
          <w:highlight w:val="none"/>
          <w:lang w:eastAsia="zh-CN"/>
        </w:rPr>
        <w:t>，</w:t>
      </w:r>
      <w:r>
        <w:rPr>
          <w:rFonts w:hint="eastAsia" w:ascii="宋体" w:hAnsi="宋体"/>
          <w:highlight w:val="none"/>
        </w:rPr>
        <w:t>合同最终税金在结算阶段，按实际产生的税金进行核算，但合同含税</w:t>
      </w:r>
      <w:r>
        <w:rPr>
          <w:rFonts w:hint="eastAsia" w:ascii="宋体" w:hAnsi="宋体"/>
          <w:highlight w:val="none"/>
          <w:lang w:val="en-US" w:eastAsia="zh-CN"/>
        </w:rPr>
        <w:t>总</w:t>
      </w:r>
      <w:r>
        <w:rPr>
          <w:rFonts w:hint="eastAsia" w:ascii="宋体" w:hAnsi="宋体"/>
          <w:highlight w:val="none"/>
        </w:rPr>
        <w:t>价不因国家税率调整而调整。</w:t>
      </w:r>
    </w:p>
    <w:p>
      <w:p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8.2付款方式。</w:t>
      </w:r>
    </w:p>
    <w:p>
      <w:pPr>
        <w:tabs>
          <w:tab w:val="left" w:pos="840"/>
        </w:tabs>
        <w:spacing w:before="0" w:after="0" w:afterAutospacing="0"/>
        <w:ind w:left="0" w:right="0" w:firstLine="420" w:firstLineChars="200"/>
      </w:pPr>
      <w:r>
        <w:rPr>
          <w:rFonts w:hint="eastAsia" w:ascii="宋体" w:hAnsi="宋体"/>
          <w:highlight w:val="none"/>
        </w:rPr>
        <w:t>8.2.1计量支付从开工令日期开始至合同结束时间止进行计量结算,期末乙方的维护服务工作满足本合同要求后,甲方向乙方一次性支付合同款;合</w:t>
      </w:r>
      <w:r>
        <w:rPr>
          <w:rFonts w:hint="eastAsia" w:ascii="宋体" w:hAnsi="宋体"/>
        </w:rPr>
        <w:t>同款=合价包干部分+固定单价部分-违约金额。合同款</w:t>
      </w:r>
      <w:r>
        <w:rPr>
          <w:rFonts w:hint="eastAsia"/>
        </w:rPr>
        <w:t>待服务期满且本项目结算经审定后支付。合价包干部分，在合同履行过程中根据实际情况予以更换，费用不做任何调整。</w:t>
      </w:r>
    </w:p>
    <w:p>
      <w:pPr>
        <w:tabs>
          <w:tab w:val="left" w:pos="840"/>
        </w:tabs>
        <w:spacing w:before="0" w:after="0" w:afterAutospacing="0"/>
        <w:ind w:left="0" w:right="0" w:firstLine="420" w:firstLineChars="200"/>
      </w:pPr>
      <w:r>
        <w:rPr>
          <w:rFonts w:hint="eastAsia"/>
        </w:rPr>
        <w:t>固定单价部分=人工巡视费用+助航标识计量价款</w:t>
      </w:r>
      <w:r>
        <w:rPr>
          <w:rFonts w:hint="eastAsia"/>
          <w:lang w:val="en-US" w:eastAsia="zh-CN"/>
        </w:rPr>
        <w:t>+</w:t>
      </w:r>
      <w:r>
        <w:rPr>
          <w:rFonts w:hint="eastAsia" w:ascii="Times New Roman" w:hAnsi="Times New Roman" w:eastAsia="宋体"/>
          <w:sz w:val="21"/>
          <w:lang w:val="en-US" w:eastAsia="zh-CN"/>
        </w:rPr>
        <w:t>助航标识蓄电池（GN200）更换及维修</w:t>
      </w:r>
      <w:r>
        <w:rPr>
          <w:rFonts w:hint="eastAsia"/>
          <w:sz w:val="21"/>
          <w:lang w:val="en-US" w:eastAsia="zh-CN"/>
        </w:rPr>
        <w:t>计量</w:t>
      </w:r>
      <w:r>
        <w:rPr>
          <w:rFonts w:hint="eastAsia" w:ascii="Times New Roman" w:hAnsi="Times New Roman" w:eastAsia="宋体"/>
          <w:sz w:val="21"/>
          <w:lang w:val="en-US" w:eastAsia="zh-CN"/>
        </w:rPr>
        <w:t>价款</w:t>
      </w:r>
      <w:r>
        <w:rPr>
          <w:rFonts w:hint="eastAsia"/>
        </w:rPr>
        <w:t>。</w:t>
      </w:r>
    </w:p>
    <w:p>
      <w:pPr>
        <w:tabs>
          <w:tab w:val="left" w:pos="840"/>
        </w:tabs>
        <w:spacing w:before="0" w:after="0" w:afterAutospacing="0"/>
        <w:ind w:left="0" w:right="0" w:firstLine="420" w:firstLineChars="200"/>
      </w:pPr>
      <w:r>
        <w:rPr>
          <w:rFonts w:hint="eastAsia"/>
        </w:rPr>
        <w:t>人工巡视费用计量价款=维护期</w:t>
      </w:r>
      <w:r>
        <w:rPr>
          <w:rFonts w:hint="eastAsia"/>
          <w:lang w:val="en-US" w:eastAsia="zh-CN"/>
        </w:rPr>
        <w:t>里程</w:t>
      </w:r>
      <w:r>
        <w:rPr>
          <w:rFonts w:hint="eastAsia"/>
        </w:rPr>
        <w:t>综合单价×每条线运营里程×实际维护月数</w:t>
      </w:r>
      <w:r>
        <w:rPr>
          <w:rFonts w:hint="eastAsia"/>
          <w:lang w:val="en-US" w:eastAsia="zh-CN"/>
        </w:rPr>
        <w:t>;</w:t>
      </w:r>
      <w:r>
        <w:rPr>
          <w:rFonts w:hint="eastAsia"/>
        </w:rPr>
        <w:t>若不足一个月计量价款=日历天平均费用（即维护期</w:t>
      </w:r>
      <w:r>
        <w:rPr>
          <w:rFonts w:hint="eastAsia"/>
          <w:lang w:val="en-US" w:eastAsia="zh-CN"/>
        </w:rPr>
        <w:t>里程</w:t>
      </w:r>
      <w:r>
        <w:rPr>
          <w:rFonts w:hint="eastAsia"/>
        </w:rPr>
        <w:t>综合单价×每条线运营里程/当月总日历天数）×实际维护日历天数。</w:t>
      </w:r>
    </w:p>
    <w:p>
      <w:pPr>
        <w:tabs>
          <w:tab w:val="left" w:pos="840"/>
        </w:tabs>
        <w:spacing w:before="0" w:after="0" w:afterAutospacing="0"/>
        <w:ind w:left="0" w:right="0" w:firstLine="420" w:firstLineChars="200"/>
        <w:rPr>
          <w:rFonts w:hint="eastAsia"/>
        </w:rPr>
      </w:pPr>
      <w:r>
        <w:rPr>
          <w:rFonts w:hint="eastAsia"/>
        </w:rPr>
        <w:t>助航标识计量价款=助航标识综合单价×</w:t>
      </w:r>
      <w:r>
        <w:rPr>
          <w:rFonts w:hint="eastAsia" w:ascii="Times New Roman" w:hAnsi="Times New Roman" w:eastAsia="宋体"/>
          <w:sz w:val="21"/>
          <w:lang w:val="en-US" w:eastAsia="zh-CN"/>
        </w:rPr>
        <w:t>实际产生计量数量</w:t>
      </w:r>
    </w:p>
    <w:p>
      <w:pPr>
        <w:tabs>
          <w:tab w:val="left" w:pos="840"/>
        </w:tabs>
        <w:spacing w:before="0" w:after="0" w:afterAutospacing="0"/>
        <w:ind w:left="0" w:right="0" w:firstLine="420" w:firstLineChars="200"/>
        <w:rPr>
          <w:rFonts w:hint="eastAsia" w:ascii="Times New Roman" w:hAnsi="Times New Roman" w:eastAsia="宋体"/>
          <w:sz w:val="21"/>
          <w:lang w:val="en-US" w:eastAsia="zh-CN"/>
        </w:rPr>
      </w:pPr>
      <w:r>
        <w:rPr>
          <w:rFonts w:hint="eastAsia" w:ascii="Times New Roman" w:hAnsi="Times New Roman" w:eastAsia="宋体"/>
          <w:sz w:val="21"/>
          <w:lang w:val="en-US" w:eastAsia="zh-CN"/>
        </w:rPr>
        <w:t>助航标识蓄电池（GN200）更换及维修</w:t>
      </w:r>
      <w:r>
        <w:rPr>
          <w:rFonts w:hint="eastAsia"/>
          <w:sz w:val="21"/>
          <w:lang w:val="en-US" w:eastAsia="zh-CN"/>
        </w:rPr>
        <w:t>计量</w:t>
      </w:r>
      <w:r>
        <w:rPr>
          <w:rFonts w:hint="eastAsia" w:ascii="Times New Roman" w:hAnsi="Times New Roman" w:eastAsia="宋体"/>
          <w:sz w:val="21"/>
          <w:lang w:val="en-US" w:eastAsia="zh-CN"/>
        </w:rPr>
        <w:t>价款=助航标识蓄电池单价×实际产生计量数量</w:t>
      </w:r>
    </w:p>
    <w:p>
      <w:pPr>
        <w:tabs>
          <w:tab w:val="left" w:pos="840"/>
        </w:tabs>
        <w:spacing w:before="0" w:after="0" w:afterAutospacing="0"/>
        <w:ind w:left="0" w:right="0" w:firstLine="420" w:firstLineChars="200"/>
      </w:pPr>
      <w:r>
        <w:rPr>
          <w:rFonts w:hint="eastAsia"/>
        </w:rPr>
        <w:t>支付期间乙方有违约情况，甲方可在经审定后支付款项中扣除违约金。</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w:t>
      </w:r>
      <w:r>
        <w:rPr>
          <w:rFonts w:hint="eastAsia"/>
        </w:rPr>
        <w:t>乙方开具的增值税专用发票（金额为合同最终结算审定金额的100%）。</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②乙方完成当期维护工作且经甲方验收合格并提供证明材料。</w:t>
      </w:r>
    </w:p>
    <w:p>
      <w:pPr>
        <w:tabs>
          <w:tab w:val="left" w:pos="1134"/>
          <w:tab w:val="left" w:pos="8364"/>
        </w:tabs>
        <w:spacing w:before="0" w:after="0" w:afterAutospacing="0"/>
        <w:ind w:left="420" w:right="0" w:firstLine="0"/>
      </w:pPr>
      <w:r>
        <w:rPr>
          <w:rFonts w:hint="eastAsia"/>
        </w:rPr>
        <w:t>③</w:t>
      </w:r>
      <w:r>
        <w:rPr>
          <w:rFonts w:hint="eastAsia" w:ascii="宋体" w:hAnsi="宋体" w:cs="Arial"/>
        </w:rPr>
        <w:t>乙方向甲方提交计量支付申请并经审核无误。</w:t>
      </w:r>
    </w:p>
    <w:p>
      <w:pPr>
        <w:tabs>
          <w:tab w:val="left" w:pos="1134"/>
          <w:tab w:val="left" w:pos="8364"/>
        </w:tabs>
        <w:spacing w:before="0" w:after="0" w:afterAutospacing="0"/>
        <w:ind w:left="420" w:right="0" w:firstLine="0"/>
      </w:pPr>
      <w:r>
        <w:rPr>
          <w:rFonts w:hint="eastAsia"/>
        </w:rPr>
        <w:t>④合同违约处理通知单（如有）</w:t>
      </w:r>
    </w:p>
    <w:p>
      <w:pPr>
        <w:tabs>
          <w:tab w:val="left" w:pos="840"/>
        </w:tabs>
        <w:spacing w:before="0" w:after="0" w:afterAutospacing="0"/>
        <w:ind w:left="0" w:right="0" w:firstLine="420" w:firstLineChars="200"/>
        <w:rPr>
          <w:rFonts w:ascii="宋体" w:hAnsi="宋体"/>
        </w:rPr>
      </w:pPr>
      <w:r>
        <w:rPr>
          <w:rFonts w:hint="eastAsia" w:ascii="宋体" w:hAnsi="宋体"/>
        </w:rPr>
        <w:t>8.2.2</w:t>
      </w:r>
      <w:r>
        <w:rPr>
          <w:rFonts w:hint="eastAsia" w:ascii="宋体" w:hAnsi="宋体" w:cs="Arial"/>
        </w:rPr>
        <w:t>服务期满，经甲方确认项目成果均无质量问题后，甲方在收到由乙方提供的以下材料后4</w:t>
      </w:r>
      <w:r>
        <w:rPr>
          <w:rFonts w:ascii="宋体" w:hAnsi="宋体" w:cs="Arial"/>
        </w:rPr>
        <w:t>5</w:t>
      </w:r>
      <w:r>
        <w:rPr>
          <w:rFonts w:hint="eastAsia" w:ascii="宋体" w:hAnsi="宋体" w:cs="Arial"/>
        </w:rPr>
        <w:t>个工作日内支付结算</w:t>
      </w:r>
      <w:r>
        <w:rPr>
          <w:rFonts w:hint="eastAsia"/>
        </w:rPr>
        <w:t>经审定后</w:t>
      </w:r>
      <w:r>
        <w:rPr>
          <w:rFonts w:hint="eastAsia" w:ascii="宋体" w:hAnsi="宋体" w:cs="Arial"/>
        </w:rPr>
        <w:t>金额的价款。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②双方确认的质保期满后验收合格证明。</w:t>
      </w:r>
    </w:p>
    <w:p>
      <w:pPr>
        <w:tabs>
          <w:tab w:val="left" w:pos="840"/>
        </w:tabs>
        <w:spacing w:before="0" w:after="0" w:afterAutospacing="0"/>
        <w:ind w:left="0" w:right="0" w:firstLine="420" w:firstLineChars="200"/>
        <w:rPr>
          <w:rFonts w:ascii="宋体" w:hAnsi="宋体"/>
        </w:rPr>
      </w:pPr>
      <w:r>
        <w:rPr>
          <w:rFonts w:hint="eastAsia" w:ascii="宋体" w:hAnsi="宋体"/>
        </w:rPr>
        <w:t>8.3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pStyle w:val="5"/>
        <w:spacing w:before="0" w:afterAutospacing="0"/>
        <w:ind w:left="0" w:right="0" w:firstLine="400" w:firstLineChars="200"/>
        <w:rPr>
          <w:rFonts w:hAnsi="宋体" w:cs="Arial"/>
        </w:rPr>
      </w:pPr>
      <w:r>
        <w:rPr>
          <w:rFonts w:hint="eastAsia" w:hAnsi="宋体"/>
        </w:rPr>
        <w:t>8.4</w:t>
      </w:r>
      <w:r>
        <w:rPr>
          <w:rFonts w:hint="eastAsia" w:hAnsi="宋体" w:cs="Arial"/>
          <w:sz w:val="21"/>
          <w:szCs w:val="21"/>
        </w:rPr>
        <w:t>支付的货币应以人民币支付，但不限于银行转账、汇票、国内信用证等支付形式</w:t>
      </w:r>
      <w:r>
        <w:rPr>
          <w:rFonts w:hint="eastAsia" w:hAnsi="宋体" w:cs="Arial"/>
        </w:rPr>
        <w:t>。</w:t>
      </w:r>
    </w:p>
    <w:p>
      <w:pPr>
        <w:tabs>
          <w:tab w:val="left" w:pos="840"/>
          <w:tab w:val="left" w:pos="1134"/>
        </w:tabs>
        <w:spacing w:before="0" w:after="0" w:afterAutospacing="0"/>
        <w:ind w:right="0"/>
        <w:outlineLvl w:val="1"/>
        <w:rPr>
          <w:rFonts w:ascii="宋体" w:hAnsi="宋体"/>
        </w:rPr>
      </w:pPr>
      <w:bookmarkStart w:id="127" w:name="_Toc13281"/>
      <w:bookmarkStart w:id="128" w:name="_Toc27798"/>
      <w:bookmarkStart w:id="129" w:name="_Toc9852"/>
      <w:bookmarkStart w:id="130" w:name="_Toc2069"/>
      <w:bookmarkStart w:id="131" w:name="_Toc385427855"/>
      <w:bookmarkStart w:id="132" w:name="_Toc492478779"/>
      <w:bookmarkStart w:id="133" w:name="_Toc4697"/>
      <w:bookmarkStart w:id="134" w:name="_Toc18890"/>
      <w:bookmarkStart w:id="135" w:name="_Toc24274"/>
      <w:bookmarkStart w:id="136" w:name="_Toc25750650"/>
      <w:bookmarkStart w:id="137" w:name="_Toc9642"/>
      <w:bookmarkStart w:id="138" w:name="_Toc26222"/>
      <w:bookmarkStart w:id="139" w:name="_Toc2957"/>
      <w:bookmarkStart w:id="140" w:name="_Toc18054"/>
      <w:bookmarkStart w:id="141" w:name="_Toc12729"/>
      <w:bookmarkStart w:id="142" w:name="_Toc30094"/>
      <w:bookmarkStart w:id="143" w:name="_Toc12979"/>
      <w:bookmarkStart w:id="144" w:name="_Toc28757"/>
      <w:bookmarkStart w:id="145" w:name="_Toc26106"/>
      <w:bookmarkStart w:id="146" w:name="_Toc19387"/>
      <w:bookmarkStart w:id="147" w:name="_Toc390098481"/>
      <w:bookmarkStart w:id="148" w:name="_Toc22179"/>
      <w:bookmarkStart w:id="149" w:name="_Toc16641"/>
      <w:r>
        <w:rPr>
          <w:rFonts w:hint="eastAsia" w:ascii="宋体" w:hAnsi="宋体"/>
          <w:b/>
        </w:rPr>
        <w:t>9.合同价格</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tabs>
          <w:tab w:val="left" w:pos="960"/>
          <w:tab w:val="left" w:pos="1418"/>
          <w:tab w:val="left" w:pos="8364"/>
        </w:tabs>
        <w:spacing w:before="0" w:after="0" w:afterAutospacing="0"/>
        <w:ind w:left="0" w:right="0" w:firstLine="420" w:firstLineChars="200"/>
        <w:rPr>
          <w:rFonts w:ascii="宋体" w:hAnsi="宋体"/>
        </w:rPr>
      </w:pPr>
      <w:r>
        <w:rPr>
          <w:rFonts w:hint="eastAsia" w:ascii="宋体" w:hAnsi="宋体"/>
        </w:rPr>
        <w:t>9.1合同价格执行以下条款的规定。</w:t>
      </w:r>
    </w:p>
    <w:p>
      <w:pPr>
        <w:tabs>
          <w:tab w:val="left" w:pos="840"/>
        </w:tabs>
        <w:spacing w:before="0" w:after="0" w:afterAutospacing="0"/>
        <w:ind w:left="0" w:right="0" w:firstLine="420" w:firstLineChars="200"/>
        <w:rPr>
          <w:rFonts w:ascii="宋体" w:hAnsi="宋体"/>
        </w:rPr>
      </w:pPr>
      <w:r>
        <w:rPr>
          <w:rFonts w:hint="eastAsia" w:ascii="宋体" w:hAnsi="宋体"/>
        </w:rPr>
        <w:t>9.2本合同价格中合同不含税单价为固定价，不得以任何理由予以合同价格上浮、上调、上涨，但如属经双方协商同意变更的情况除外。</w:t>
      </w:r>
    </w:p>
    <w:p>
      <w:pPr>
        <w:tabs>
          <w:tab w:val="left" w:pos="840"/>
        </w:tabs>
        <w:spacing w:before="0" w:after="0" w:afterAutospacing="0"/>
        <w:ind w:left="0" w:right="0" w:firstLine="420" w:firstLineChars="200"/>
        <w:rPr>
          <w:rFonts w:ascii="宋体" w:hAnsi="宋体"/>
        </w:rPr>
      </w:pPr>
      <w:r>
        <w:rPr>
          <w:rFonts w:hint="eastAsia" w:ascii="宋体" w:hAnsi="宋体"/>
        </w:rPr>
        <w:t>9.3合同价格完全包括本合同中要求的全部工作内容、货物、服务及所涉及的施工及辅材。</w:t>
      </w:r>
    </w:p>
    <w:p>
      <w:pPr>
        <w:tabs>
          <w:tab w:val="left" w:pos="960"/>
          <w:tab w:val="left" w:pos="1418"/>
          <w:tab w:val="left" w:pos="8364"/>
        </w:tabs>
        <w:spacing w:before="0" w:after="0" w:afterAutospacing="0"/>
        <w:ind w:left="420" w:right="0" w:firstLine="0"/>
        <w:rPr>
          <w:rFonts w:ascii="宋体" w:hAnsi="宋体"/>
          <w:highlight w:val="none"/>
        </w:rPr>
      </w:pPr>
      <w:r>
        <w:rPr>
          <w:rFonts w:hint="eastAsia" w:ascii="宋体" w:hAnsi="宋体"/>
        </w:rPr>
        <w:t>9.4合同价格：维护期（合价包干部分/固定单价部分）不含税价：人民币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；税金</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highlight w:val="none"/>
        </w:rPr>
        <w:t>本合同价格为暂定价，</w:t>
      </w:r>
      <w:r>
        <w:rPr>
          <w:rFonts w:hint="eastAsia" w:ascii="宋体" w:hAnsi="宋体"/>
          <w:b/>
          <w:highlight w:val="none"/>
        </w:rPr>
        <w:t>合同最终税金在结算阶段，按实际产生的税金进行核算，但合同含税</w:t>
      </w:r>
      <w:r>
        <w:rPr>
          <w:rFonts w:hint="eastAsia" w:ascii="宋体" w:hAnsi="宋体"/>
          <w:b/>
          <w:highlight w:val="none"/>
          <w:lang w:val="en-US" w:eastAsia="zh-CN"/>
        </w:rPr>
        <w:t>总</w:t>
      </w:r>
      <w:r>
        <w:rPr>
          <w:rFonts w:hint="eastAsia" w:ascii="宋体" w:hAnsi="宋体"/>
          <w:b/>
          <w:highlight w:val="none"/>
        </w:rPr>
        <w:t>价不因国家税率调整而调整</w:t>
      </w:r>
    </w:p>
    <w:p>
      <w:pPr>
        <w:tabs>
          <w:tab w:val="left" w:pos="960"/>
          <w:tab w:val="left" w:pos="1418"/>
          <w:tab w:val="left" w:pos="8364"/>
        </w:tabs>
        <w:spacing w:before="0" w:after="0" w:afterAutospacing="0"/>
        <w:ind w:left="705" w:leftChars="200" w:right="0" w:hanging="285" w:hangingChars="136"/>
        <w:rPr>
          <w:rFonts w:ascii="宋体" w:hAnsi="宋体"/>
          <w:highlight w:val="none"/>
        </w:rPr>
      </w:pPr>
      <w:r>
        <w:rPr>
          <w:rFonts w:hint="eastAsia" w:ascii="宋体" w:hAnsi="宋体"/>
          <w:highlight w:val="none"/>
        </w:rPr>
        <w:t>9.5现场知晓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9.6价格的充分性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0" w:afterAutospacing="0"/>
        <w:ind w:left="420" w:right="0" w:firstLine="0"/>
        <w:rPr>
          <w:rFonts w:ascii="宋体" w:hAnsi="宋体"/>
        </w:rPr>
      </w:pPr>
      <w:r>
        <w:rPr>
          <w:rFonts w:hint="eastAsia" w:ascii="宋体" w:hAnsi="宋体"/>
        </w:rPr>
        <w:t>9.6.1影响合同价格的全部条件和情况；</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9.6.2完成合同中所述项目的可能性；</w:t>
      </w:r>
    </w:p>
    <w:p>
      <w:pPr>
        <w:tabs>
          <w:tab w:val="left" w:pos="1134"/>
          <w:tab w:val="left" w:pos="8364"/>
        </w:tabs>
        <w:spacing w:before="0" w:after="0" w:afterAutospacing="0"/>
        <w:ind w:left="420" w:right="0" w:firstLine="0"/>
        <w:rPr>
          <w:rFonts w:ascii="宋体" w:hAnsi="宋体"/>
        </w:rPr>
      </w:pPr>
      <w:r>
        <w:rPr>
          <w:rFonts w:hint="eastAsia" w:ascii="宋体" w:hAnsi="宋体"/>
        </w:rPr>
        <w:t>9.6.3现场的综合情况；</w:t>
      </w:r>
    </w:p>
    <w:p>
      <w:pPr>
        <w:tabs>
          <w:tab w:val="left" w:pos="1134"/>
          <w:tab w:val="left" w:pos="8364"/>
        </w:tabs>
        <w:spacing w:before="0" w:after="0" w:afterAutospacing="0"/>
        <w:ind w:left="420" w:right="0" w:firstLine="0"/>
        <w:rPr>
          <w:rFonts w:ascii="宋体" w:hAnsi="宋体"/>
        </w:rPr>
      </w:pPr>
      <w:r>
        <w:rPr>
          <w:rFonts w:hint="eastAsia" w:ascii="宋体" w:hAnsi="宋体"/>
        </w:rPr>
        <w:t>9.6.4现场总的劳务情况；</w:t>
      </w:r>
    </w:p>
    <w:p>
      <w:pPr>
        <w:tabs>
          <w:tab w:val="left" w:pos="840"/>
        </w:tabs>
        <w:spacing w:before="0" w:after="0" w:afterAutospacing="0"/>
        <w:ind w:left="0" w:right="0" w:firstLine="420" w:firstLineChars="200"/>
        <w:rPr>
          <w:rFonts w:ascii="宋体" w:hAnsi="宋体"/>
        </w:rPr>
      </w:pPr>
      <w:r>
        <w:rPr>
          <w:rFonts w:hint="eastAsia" w:ascii="宋体" w:hAnsi="宋体"/>
        </w:rPr>
        <w:t>9.6.5甲方不接受乙方以组价不当（包括对工作内容理解的偏差、工料耗量水平的确定、生产要素市场价格的判断、取费决策等）为由而主张的任何损失或索赔。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right="0"/>
        <w:outlineLvl w:val="1"/>
        <w:rPr>
          <w:rFonts w:ascii="宋体" w:hAnsi="宋体"/>
          <w:b/>
        </w:rPr>
      </w:pPr>
      <w:bookmarkStart w:id="150" w:name="_Toc378514970"/>
      <w:bookmarkStart w:id="151" w:name="_Toc27489"/>
      <w:bookmarkStart w:id="152" w:name="_Toc29593"/>
      <w:bookmarkStart w:id="153" w:name="_Toc2907"/>
      <w:bookmarkStart w:id="154" w:name="_Toc2295"/>
      <w:bookmarkStart w:id="155" w:name="_Toc390098482"/>
      <w:bookmarkStart w:id="156" w:name="_Toc370933873"/>
      <w:bookmarkStart w:id="157" w:name="_Toc14851"/>
      <w:bookmarkStart w:id="158" w:name="_Toc29106"/>
      <w:bookmarkStart w:id="159" w:name="_Toc25750651"/>
      <w:bookmarkStart w:id="160" w:name="_Toc25441"/>
      <w:bookmarkStart w:id="161" w:name="_Toc24113"/>
      <w:bookmarkStart w:id="162" w:name="_Toc23070"/>
      <w:bookmarkStart w:id="163" w:name="_Toc25230"/>
      <w:bookmarkStart w:id="164" w:name="_Toc492478780"/>
      <w:bookmarkStart w:id="165" w:name="_Toc21856"/>
      <w:bookmarkStart w:id="166" w:name="_Toc3558"/>
      <w:bookmarkStart w:id="167" w:name="_Toc10545"/>
      <w:bookmarkStart w:id="168" w:name="_Toc32028"/>
      <w:bookmarkStart w:id="169" w:name="_Toc385427856"/>
      <w:bookmarkStart w:id="170" w:name="_Toc6771"/>
      <w:bookmarkStart w:id="171" w:name="_Toc12825"/>
      <w:bookmarkStart w:id="172" w:name="_Toc26418"/>
      <w:bookmarkStart w:id="173" w:name="_Toc30611"/>
      <w:bookmarkStart w:id="174" w:name="_Toc769"/>
      <w:r>
        <w:rPr>
          <w:rFonts w:hint="eastAsia" w:ascii="宋体" w:hAnsi="宋体"/>
          <w:b/>
        </w:rPr>
        <w:t>10.合同变更与修改</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tabs>
          <w:tab w:val="left" w:pos="840"/>
        </w:tabs>
        <w:spacing w:before="0" w:after="0" w:afterAutospacing="0"/>
        <w:ind w:left="0" w:right="0" w:firstLine="420" w:firstLineChars="200"/>
        <w:rPr>
          <w:rFonts w:ascii="宋体" w:hAnsi="宋体"/>
        </w:rPr>
      </w:pPr>
      <w:r>
        <w:rPr>
          <w:rFonts w:hint="eastAsia" w:ascii="宋体" w:hAnsi="宋体"/>
        </w:rPr>
        <w:t>10.1除非甲方与乙方双方签署书面修改书，否则不能对合同条款进行任何变更。如果合同另有约定，从其约定。</w:t>
      </w:r>
    </w:p>
    <w:p>
      <w:pPr>
        <w:tabs>
          <w:tab w:val="left" w:pos="840"/>
        </w:tabs>
        <w:spacing w:before="0" w:after="0" w:afterAutospacing="0"/>
        <w:ind w:left="0" w:right="0" w:firstLine="420" w:firstLineChars="200"/>
        <w:rPr>
          <w:rFonts w:ascii="宋体" w:hAnsi="宋体"/>
        </w:rPr>
      </w:pPr>
      <w:r>
        <w:rPr>
          <w:rFonts w:hint="eastAsia" w:ascii="宋体" w:hAnsi="宋体"/>
        </w:rPr>
        <w:t>10.2任何对合同条件的变更或修改均须根据双方协商达成的协议，以规定的标准修改书形式由双方授权代表签字盖章来完成，并作为本合同不可分割的组成部分，具有与合同本身同样的效力。</w:t>
      </w:r>
    </w:p>
    <w:p>
      <w:pPr>
        <w:tabs>
          <w:tab w:val="left" w:pos="840"/>
        </w:tabs>
        <w:spacing w:before="0" w:after="0" w:afterAutospacing="0"/>
        <w:ind w:left="0" w:right="0" w:firstLine="420" w:firstLineChars="200"/>
        <w:rPr>
          <w:rFonts w:ascii="宋体" w:hAnsi="宋体"/>
        </w:rPr>
      </w:pPr>
      <w:r>
        <w:rPr>
          <w:rFonts w:hint="eastAsia" w:ascii="宋体" w:hAnsi="宋体"/>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40"/>
        </w:tabs>
        <w:spacing w:before="0" w:after="0" w:afterAutospacing="0"/>
        <w:ind w:left="0" w:right="0" w:firstLine="420" w:firstLineChars="200"/>
        <w:rPr>
          <w:rFonts w:ascii="宋体" w:hAnsi="宋体"/>
        </w:rPr>
      </w:pPr>
      <w:r>
        <w:rPr>
          <w:rFonts w:hint="eastAsia" w:ascii="宋体" w:hAnsi="宋体"/>
        </w:rPr>
        <w:t>10.4 变更费用的确认：</w:t>
      </w:r>
    </w:p>
    <w:p>
      <w:pPr>
        <w:tabs>
          <w:tab w:val="left" w:pos="840"/>
        </w:tabs>
        <w:spacing w:before="0" w:after="0" w:afterAutospacing="0"/>
        <w:ind w:left="0" w:right="0" w:firstLine="420" w:firstLineChars="200"/>
        <w:rPr>
          <w:rFonts w:ascii="宋体" w:hAnsi="宋体"/>
        </w:rPr>
      </w:pPr>
      <w:r>
        <w:rPr>
          <w:rFonts w:hint="eastAsia" w:ascii="宋体" w:hAnsi="宋体"/>
        </w:rPr>
        <w:t>10.4.1变更后的费用经甲乙双方协商确认后，如低于原合同价格，则按照变更后的费用来执行；</w:t>
      </w:r>
    </w:p>
    <w:p>
      <w:pPr>
        <w:tabs>
          <w:tab w:val="left" w:pos="840"/>
        </w:tabs>
        <w:spacing w:before="0" w:after="0" w:afterAutospacing="0"/>
        <w:ind w:left="0" w:right="0" w:firstLine="420" w:firstLineChars="200"/>
        <w:rPr>
          <w:rFonts w:ascii="宋体" w:hAnsi="宋体"/>
        </w:rPr>
      </w:pPr>
      <w:r>
        <w:rPr>
          <w:rFonts w:hint="eastAsia" w:ascii="宋体" w:hAnsi="宋体"/>
        </w:rPr>
        <w:t>10.4.2变更后的费用经甲乙双方协商确认后，如高于原合同价格，则按照原合同价格来执行。</w:t>
      </w:r>
    </w:p>
    <w:p>
      <w:pPr>
        <w:tabs>
          <w:tab w:val="left" w:pos="840"/>
          <w:tab w:val="left" w:pos="1843"/>
        </w:tabs>
        <w:spacing w:before="0" w:after="0" w:afterAutospacing="0"/>
        <w:ind w:right="0"/>
        <w:outlineLvl w:val="1"/>
        <w:rPr>
          <w:rFonts w:ascii="宋体" w:hAnsi="宋体"/>
          <w:b/>
        </w:rPr>
      </w:pPr>
      <w:bookmarkStart w:id="175" w:name="_Toc29029"/>
      <w:bookmarkStart w:id="176" w:name="_Toc370933874"/>
      <w:bookmarkStart w:id="177" w:name="_Toc3081"/>
      <w:bookmarkStart w:id="178" w:name="_Toc25965"/>
      <w:bookmarkStart w:id="179" w:name="_Toc17820"/>
      <w:bookmarkStart w:id="180" w:name="_Toc27980"/>
      <w:bookmarkStart w:id="181" w:name="_Toc28641"/>
      <w:bookmarkStart w:id="182" w:name="_Toc18239"/>
      <w:bookmarkStart w:id="183" w:name="_Toc25750652"/>
      <w:bookmarkStart w:id="184" w:name="_Toc11895"/>
      <w:bookmarkStart w:id="185" w:name="_Toc1259"/>
      <w:bookmarkStart w:id="186" w:name="_Toc16088"/>
      <w:bookmarkStart w:id="187" w:name="_Toc29664"/>
      <w:bookmarkStart w:id="188" w:name="_Toc18453"/>
      <w:bookmarkStart w:id="189" w:name="_Toc2307"/>
      <w:bookmarkStart w:id="190" w:name="_Toc24029"/>
      <w:bookmarkStart w:id="191" w:name="_Toc390098483"/>
      <w:bookmarkStart w:id="192" w:name="_Toc21302"/>
      <w:bookmarkStart w:id="193" w:name="_Toc4403"/>
      <w:bookmarkStart w:id="194" w:name="_Toc492478781"/>
      <w:bookmarkStart w:id="195" w:name="_Toc15094"/>
      <w:bookmarkStart w:id="196" w:name="_Toc378514971"/>
      <w:bookmarkStart w:id="197" w:name="_Toc385427857"/>
      <w:bookmarkStart w:id="198" w:name="_Toc25195"/>
      <w:bookmarkStart w:id="199" w:name="_Toc29175"/>
      <w:bookmarkStart w:id="200" w:name="_Toc20421"/>
      <w:r>
        <w:rPr>
          <w:rFonts w:hint="eastAsia" w:ascii="宋体" w:hAnsi="宋体"/>
          <w:b/>
        </w:rPr>
        <w:t>11.</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hint="eastAsia" w:ascii="宋体" w:hAnsi="宋体"/>
          <w:b/>
        </w:rPr>
        <w:t>违约责任</w:t>
      </w:r>
      <w:bookmarkEnd w:id="199"/>
    </w:p>
    <w:p>
      <w:pPr>
        <w:tabs>
          <w:tab w:val="left" w:pos="840"/>
        </w:tabs>
        <w:spacing w:before="0" w:after="0" w:afterAutospacing="0"/>
        <w:ind w:left="0" w:right="0" w:firstLine="420" w:firstLineChars="200"/>
        <w:rPr>
          <w:rFonts w:ascii="宋体" w:hAnsi="宋体"/>
        </w:rPr>
      </w:pPr>
      <w:bookmarkStart w:id="201" w:name="_Toc31035"/>
      <w:r>
        <w:rPr>
          <w:rFonts w:hint="eastAsia" w:ascii="宋体" w:hAnsi="宋体"/>
        </w:rPr>
        <w:t>11.1合同期评价</w:t>
      </w:r>
    </w:p>
    <w:p>
      <w:pPr>
        <w:tabs>
          <w:tab w:val="left" w:pos="840"/>
        </w:tabs>
        <w:spacing w:before="0" w:after="0" w:afterAutospacing="0"/>
        <w:ind w:left="0" w:right="0" w:firstLine="420" w:firstLineChars="200"/>
        <w:rPr>
          <w:rFonts w:ascii="宋体" w:hAnsi="宋体"/>
        </w:rPr>
      </w:pPr>
      <w:r>
        <w:rPr>
          <w:rFonts w:hint="eastAsia" w:ascii="宋体" w:hAnsi="宋体"/>
        </w:rPr>
        <w:t>合同期内凡涉及以下任一条款，则甲方有权行使一票否决制，考核评定不合格，甲方有权随时终止合同。</w:t>
      </w:r>
    </w:p>
    <w:p>
      <w:pPr>
        <w:tabs>
          <w:tab w:val="left" w:pos="840"/>
        </w:tabs>
        <w:spacing w:before="0" w:after="0" w:afterAutospacing="0"/>
        <w:ind w:left="0" w:right="0" w:firstLine="420" w:firstLineChars="200"/>
        <w:rPr>
          <w:rFonts w:ascii="宋体" w:hAnsi="宋体"/>
        </w:rPr>
      </w:pPr>
      <w:r>
        <w:rPr>
          <w:rFonts w:hint="eastAsia" w:ascii="宋体" w:hAnsi="宋体"/>
        </w:rPr>
        <w:t>11.1.1对外透露保密性的信息，情节严重。</w:t>
      </w:r>
    </w:p>
    <w:p>
      <w:pPr>
        <w:tabs>
          <w:tab w:val="left" w:pos="840"/>
        </w:tabs>
        <w:spacing w:before="0" w:after="0" w:afterAutospacing="0"/>
        <w:ind w:left="0" w:right="0" w:firstLine="420" w:firstLineChars="200"/>
        <w:rPr>
          <w:rFonts w:ascii="宋体" w:hAnsi="宋体"/>
        </w:rPr>
      </w:pPr>
      <w:r>
        <w:rPr>
          <w:rFonts w:hint="eastAsia" w:ascii="宋体" w:hAnsi="宋体"/>
        </w:rPr>
        <w:t>11.1.2因乙方原因，造成发生一般事件C类及以上事故、事件。</w:t>
      </w:r>
    </w:p>
    <w:p>
      <w:pPr>
        <w:tabs>
          <w:tab w:val="left" w:pos="840"/>
        </w:tabs>
        <w:spacing w:before="0" w:after="0" w:afterAutospacing="0"/>
        <w:ind w:left="0" w:right="0" w:firstLine="420" w:firstLineChars="200"/>
        <w:rPr>
          <w:rFonts w:ascii="宋体" w:hAnsi="宋体"/>
        </w:rPr>
      </w:pPr>
      <w:r>
        <w:rPr>
          <w:rFonts w:hint="eastAsia" w:ascii="宋体" w:hAnsi="宋体"/>
        </w:rPr>
        <w:t>11.1.3发生责任员工轻伤及以上。</w:t>
      </w:r>
    </w:p>
    <w:p>
      <w:pPr>
        <w:tabs>
          <w:tab w:val="left" w:pos="840"/>
        </w:tabs>
        <w:spacing w:before="0" w:after="0" w:afterAutospacing="0"/>
        <w:ind w:left="0" w:right="0" w:firstLine="420" w:firstLineChars="200"/>
        <w:rPr>
          <w:rFonts w:ascii="宋体" w:hAnsi="宋体"/>
        </w:rPr>
      </w:pPr>
      <w:r>
        <w:rPr>
          <w:rFonts w:hint="eastAsia" w:ascii="宋体" w:hAnsi="宋体"/>
        </w:rPr>
        <w:t>11.1.4施工作业完成后，未按甲方相关施工管理规定进行出清或跨区域、跨范围作业。</w:t>
      </w:r>
    </w:p>
    <w:p>
      <w:pPr>
        <w:tabs>
          <w:tab w:val="left" w:pos="840"/>
        </w:tabs>
        <w:spacing w:before="0" w:after="0" w:afterAutospacing="0"/>
        <w:ind w:left="0" w:right="0" w:firstLine="420" w:firstLineChars="200"/>
        <w:rPr>
          <w:rFonts w:ascii="宋体" w:hAnsi="宋体"/>
        </w:rPr>
      </w:pPr>
      <w:r>
        <w:rPr>
          <w:rFonts w:hint="eastAsia" w:ascii="宋体" w:hAnsi="宋体"/>
        </w:rPr>
        <w:t>11.1.5因乙方责任造成解除合同的，由乙方承担相应的责任, 并赔偿相应损失。</w:t>
      </w:r>
    </w:p>
    <w:p>
      <w:pPr>
        <w:tabs>
          <w:tab w:val="left" w:pos="840"/>
        </w:tabs>
        <w:spacing w:before="0" w:after="0" w:afterAutospacing="0"/>
        <w:ind w:left="0" w:right="0" w:firstLine="420" w:firstLineChars="200"/>
        <w:rPr>
          <w:rFonts w:ascii="宋体" w:hAnsi="宋体"/>
        </w:rPr>
      </w:pPr>
      <w:r>
        <w:rPr>
          <w:rFonts w:hint="eastAsia" w:ascii="宋体" w:hAnsi="宋体"/>
        </w:rPr>
        <w:t>乙方有责任保证施工质量达到国家相关质量标准，并在合同执行过程中严格遵守甲方各项管理规定、要求。</w:t>
      </w:r>
    </w:p>
    <w:p>
      <w:pPr>
        <w:tabs>
          <w:tab w:val="left" w:pos="840"/>
        </w:tabs>
        <w:spacing w:before="0" w:after="0" w:afterAutospacing="0"/>
        <w:ind w:left="0" w:right="0" w:firstLine="420" w:firstLineChars="200"/>
        <w:rPr>
          <w:rFonts w:ascii="宋体" w:hAnsi="宋体"/>
        </w:rPr>
      </w:pPr>
      <w:r>
        <w:rPr>
          <w:rFonts w:hint="eastAsia" w:ascii="宋体" w:hAnsi="宋体"/>
        </w:rPr>
        <w:t>乙方在收到处罚通知单后，如有意见，在2个工作日可提出申诉，甲方在收到申诉后5个工作日答复，乙方在三个工作日内必须签字盖章返回，若因此导致甲方支付款项延时，责任由乙方自行承担。</w:t>
      </w:r>
    </w:p>
    <w:p>
      <w:pPr>
        <w:tabs>
          <w:tab w:val="left" w:pos="840"/>
        </w:tabs>
        <w:spacing w:before="0" w:after="0" w:afterAutospacing="0"/>
        <w:ind w:left="0" w:right="0" w:firstLine="420" w:firstLineChars="200"/>
        <w:rPr>
          <w:rFonts w:ascii="宋体" w:hAnsi="宋体"/>
        </w:rPr>
      </w:pPr>
      <w:r>
        <w:rPr>
          <w:rFonts w:hint="eastAsia" w:ascii="宋体" w:hAnsi="宋体"/>
        </w:rPr>
        <w:t>11.2违约处理</w:t>
      </w:r>
    </w:p>
    <w:p>
      <w:pPr>
        <w:tabs>
          <w:tab w:val="left" w:pos="840"/>
        </w:tabs>
        <w:spacing w:before="0" w:after="0" w:afterAutospacing="0"/>
        <w:ind w:left="0" w:right="0" w:firstLine="420" w:firstLineChars="200"/>
        <w:rPr>
          <w:rFonts w:ascii="宋体" w:hAnsi="宋体"/>
        </w:rPr>
      </w:pPr>
      <w:r>
        <w:rPr>
          <w:rFonts w:hint="eastAsia" w:ascii="宋体" w:hAnsi="宋体"/>
        </w:rPr>
        <w:t>11.2.1因乙方原因造成一般事件C类及以上的，课以甲方受考核的金额或者合同总价款的5%作为违约金，以两者考核金额大的进行考核；且甲方有权根据影响程度追加考核，因此造成的其他损失甲方有权向乙方索赔。因乙方原因造成一般事件C类以上事件的，甲方有权终止合同。</w:t>
      </w:r>
    </w:p>
    <w:p>
      <w:pPr>
        <w:tabs>
          <w:tab w:val="left" w:pos="840"/>
        </w:tabs>
        <w:spacing w:before="0" w:after="0" w:afterAutospacing="0"/>
        <w:ind w:left="0" w:right="0" w:firstLine="420" w:firstLineChars="200"/>
        <w:rPr>
          <w:rFonts w:ascii="宋体" w:hAnsi="宋体"/>
        </w:rPr>
      </w:pPr>
      <w:r>
        <w:rPr>
          <w:rFonts w:hint="eastAsia" w:ascii="宋体" w:hAnsi="宋体"/>
        </w:rPr>
        <w:t>11.2.2因乙方原因造成甲方、第三方财产或人身损害的，乙方除负责赔偿责任外，尚需向甲方赔付由甲方依据安全事故的性质，设备受损的程度以及甲方的名誉、形象受损的范围和程度等确定的费用，并承担甲方因该事件发生的诉讼费、律师费等一切费用。</w:t>
      </w:r>
    </w:p>
    <w:p>
      <w:pPr>
        <w:tabs>
          <w:tab w:val="left" w:pos="840"/>
        </w:tabs>
        <w:spacing w:before="0" w:after="0" w:afterAutospacing="0"/>
        <w:ind w:left="0" w:right="0" w:firstLine="420" w:firstLineChars="200"/>
        <w:rPr>
          <w:rFonts w:ascii="宋体" w:hAnsi="宋体"/>
        </w:rPr>
      </w:pPr>
      <w:r>
        <w:rPr>
          <w:rFonts w:hint="eastAsia" w:ascii="宋体" w:hAnsi="宋体"/>
        </w:rPr>
        <w:t>11.2.3合同签订之后，未经甲方书面同意，乙方擅自更换人员的，视为乙方违约，课以违约金500元/人次。</w:t>
      </w:r>
    </w:p>
    <w:p>
      <w:pPr>
        <w:tabs>
          <w:tab w:val="left" w:pos="840"/>
        </w:tabs>
        <w:spacing w:before="0" w:after="0" w:afterAutospacing="0"/>
        <w:ind w:left="0" w:right="0" w:firstLine="420" w:firstLineChars="200"/>
        <w:rPr>
          <w:rFonts w:ascii="宋体" w:hAnsi="宋体"/>
        </w:rPr>
      </w:pPr>
      <w:r>
        <w:rPr>
          <w:rFonts w:hint="eastAsia" w:ascii="宋体" w:hAnsi="宋体"/>
        </w:rPr>
        <w:t>11.2.4乙方人员在禁止抽烟区域内抽烟，工作期间喝酒或与其他部门/单位发生争执或打架斗殴等不文明现象的，课以违约金200元/次，造成不良影响的加倍处罚。</w:t>
      </w:r>
    </w:p>
    <w:p>
      <w:pPr>
        <w:tabs>
          <w:tab w:val="left" w:pos="840"/>
        </w:tabs>
        <w:spacing w:before="0" w:after="0" w:afterAutospacing="0"/>
        <w:ind w:left="0" w:right="0" w:firstLine="420" w:firstLineChars="200"/>
        <w:rPr>
          <w:rFonts w:ascii="宋体" w:hAnsi="宋体"/>
        </w:rPr>
      </w:pPr>
      <w:r>
        <w:rPr>
          <w:rFonts w:hint="eastAsia" w:ascii="宋体" w:hAnsi="宋体"/>
        </w:rPr>
        <w:t>11.2.5乙方不服从甲方现场管理，课以违约金200元/次，此外造成甲方的损失，甲方有权向乙方索赔。</w:t>
      </w:r>
    </w:p>
    <w:p>
      <w:pPr>
        <w:tabs>
          <w:tab w:val="left" w:pos="840"/>
        </w:tabs>
        <w:spacing w:before="0" w:after="0" w:afterAutospacing="0"/>
        <w:ind w:left="0" w:right="0" w:firstLine="420" w:firstLineChars="200"/>
        <w:rPr>
          <w:rFonts w:ascii="宋体" w:hAnsi="宋体"/>
        </w:rPr>
      </w:pPr>
      <w:r>
        <w:rPr>
          <w:rFonts w:hint="eastAsia" w:ascii="宋体" w:hAnsi="宋体"/>
        </w:rPr>
        <w:t>11.2.6乙方在施工作业时未按要求穿戴劳保用品（荧光衣、劳保鞋、安全帽等）或使用过期的劳保用品，课以违约金200元/次。</w:t>
      </w:r>
    </w:p>
    <w:p>
      <w:pPr>
        <w:tabs>
          <w:tab w:val="left" w:pos="840"/>
        </w:tabs>
        <w:spacing w:before="0" w:after="0" w:afterAutospacing="0"/>
        <w:ind w:left="0" w:right="0" w:firstLine="420" w:firstLineChars="200"/>
        <w:rPr>
          <w:rFonts w:ascii="宋体" w:hAnsi="宋体"/>
        </w:rPr>
      </w:pPr>
      <w:r>
        <w:rPr>
          <w:rFonts w:hint="eastAsia" w:ascii="宋体" w:hAnsi="宋体"/>
        </w:rPr>
        <w:t>11.2.7未经许可携带危化品进入作业现场的；作业结束后危化品处置不当，课以违约金500元/件。</w:t>
      </w:r>
    </w:p>
    <w:p>
      <w:pPr>
        <w:tabs>
          <w:tab w:val="left" w:pos="840"/>
        </w:tabs>
        <w:spacing w:before="0" w:after="0" w:afterAutospacing="0"/>
        <w:ind w:left="0" w:right="0" w:firstLine="420" w:firstLineChars="200"/>
        <w:rPr>
          <w:rFonts w:ascii="宋体" w:hAnsi="宋体"/>
        </w:rPr>
      </w:pPr>
      <w:r>
        <w:rPr>
          <w:rFonts w:hint="eastAsia" w:ascii="宋体" w:hAnsi="宋体"/>
        </w:rPr>
        <w:t>11.2.8未经甲方同意，乙方带与工作无关人员进入地铁作业区域的，课以违约金1000元/次，因此造成其他经济损失由乙方负责。</w:t>
      </w:r>
    </w:p>
    <w:p>
      <w:pPr>
        <w:tabs>
          <w:tab w:val="left" w:pos="840"/>
        </w:tabs>
        <w:spacing w:before="0" w:after="0" w:afterAutospacing="0"/>
        <w:ind w:left="0" w:right="0" w:firstLine="420" w:firstLineChars="200"/>
        <w:rPr>
          <w:rFonts w:ascii="宋体" w:hAnsi="宋体"/>
        </w:rPr>
      </w:pPr>
      <w:r>
        <w:rPr>
          <w:rFonts w:hint="eastAsia" w:ascii="宋体" w:hAnsi="宋体"/>
        </w:rPr>
        <w:t>11.2.9乙方违反甲方各类安全、生产管理规定（以地铁最新规定为准，甲方负责通知），课以违约金200元/次。</w:t>
      </w:r>
    </w:p>
    <w:p>
      <w:pPr>
        <w:tabs>
          <w:tab w:val="left" w:pos="840"/>
        </w:tabs>
        <w:spacing w:before="0" w:after="0" w:afterAutospacing="0"/>
        <w:ind w:left="0" w:right="0" w:firstLine="420" w:firstLineChars="200"/>
        <w:rPr>
          <w:rFonts w:ascii="宋体" w:hAnsi="宋体"/>
        </w:rPr>
      </w:pPr>
      <w:r>
        <w:rPr>
          <w:rFonts w:hint="eastAsia" w:ascii="宋体" w:hAnsi="宋体"/>
        </w:rPr>
        <w:t>11.2.10乙方违反国家、行业各类管理规定及法律法规（以国家最新规定为准，甲方不负责通知），课以违约金500元/次。造成甲方的其他损失，甲方还将向乙方索赔。</w:t>
      </w:r>
    </w:p>
    <w:p>
      <w:pPr>
        <w:tabs>
          <w:tab w:val="left" w:pos="840"/>
        </w:tabs>
        <w:spacing w:before="0" w:after="0" w:afterAutospacing="0"/>
        <w:ind w:left="0" w:right="0" w:firstLine="420" w:firstLineChars="200"/>
        <w:rPr>
          <w:rFonts w:ascii="宋体" w:hAnsi="宋体"/>
        </w:rPr>
      </w:pPr>
      <w:r>
        <w:rPr>
          <w:rFonts w:hint="eastAsia" w:ascii="宋体" w:hAnsi="宋体"/>
        </w:rPr>
        <w:t>11.2.11因乙方责任造成人员人身伤亡等现象的，按相关法律法规及地铁公司相关规定进行处理，由乙方承担事故的一切责任及费用。</w:t>
      </w:r>
    </w:p>
    <w:p>
      <w:pPr>
        <w:tabs>
          <w:tab w:val="left" w:pos="840"/>
        </w:tabs>
        <w:spacing w:before="0" w:after="0" w:afterAutospacing="0"/>
        <w:ind w:left="0" w:right="0" w:firstLine="420" w:firstLineChars="200"/>
        <w:rPr>
          <w:rFonts w:ascii="宋体" w:hAnsi="宋体"/>
        </w:rPr>
      </w:pPr>
      <w:r>
        <w:rPr>
          <w:rFonts w:hint="eastAsia" w:ascii="宋体" w:hAnsi="宋体"/>
        </w:rPr>
        <w:t>11.2.12未经甲方批准，乙方进行计划类作业以外的工作，课以违约金1000元/次。</w:t>
      </w:r>
    </w:p>
    <w:p>
      <w:pPr>
        <w:tabs>
          <w:tab w:val="left" w:pos="840"/>
        </w:tabs>
        <w:spacing w:before="0" w:after="0" w:afterAutospacing="0"/>
        <w:ind w:left="0" w:right="0" w:firstLine="420" w:firstLineChars="200"/>
        <w:rPr>
          <w:rFonts w:ascii="宋体" w:hAnsi="宋体"/>
        </w:rPr>
      </w:pPr>
      <w:r>
        <w:rPr>
          <w:rFonts w:hint="eastAsia" w:ascii="宋体" w:hAnsi="宋体"/>
        </w:rPr>
        <w:t>11.2.13乙方应保证所用的施工材料满足质量要求，如发现乙方采用劣质或假冒伪劣进行代替的，课以违约金500元/次。</w:t>
      </w:r>
    </w:p>
    <w:p>
      <w:pPr>
        <w:tabs>
          <w:tab w:val="left" w:pos="840"/>
        </w:tabs>
        <w:spacing w:before="0" w:after="0" w:afterAutospacing="0"/>
        <w:ind w:left="0" w:right="0" w:firstLine="420" w:firstLineChars="200"/>
        <w:rPr>
          <w:rFonts w:ascii="宋体" w:hAnsi="宋体"/>
        </w:rPr>
      </w:pPr>
      <w:r>
        <w:rPr>
          <w:rFonts w:hint="eastAsia" w:ascii="宋体" w:hAnsi="宋体"/>
        </w:rPr>
        <w:t>11.2.14乙方逾期完成施工的，每逾期一天，乙方向甲方支付合同价款的0.5%的违约金，逾期一个月的仍不能完成合同规定的工程，甲方有权单方解除合同。</w:t>
      </w:r>
    </w:p>
    <w:p>
      <w:pPr>
        <w:tabs>
          <w:tab w:val="left" w:pos="840"/>
        </w:tabs>
        <w:spacing w:before="0" w:after="0" w:afterAutospacing="0"/>
        <w:ind w:left="0" w:right="0" w:firstLine="420" w:firstLineChars="200"/>
        <w:rPr>
          <w:rFonts w:ascii="宋体" w:hAnsi="宋体"/>
        </w:rPr>
      </w:pPr>
      <w:r>
        <w:rPr>
          <w:rFonts w:hint="eastAsia" w:ascii="宋体" w:hAnsi="宋体"/>
        </w:rPr>
        <w:t>11.2.15乙方未在故障修复时间内修复设备的，课以违约金，违约金计算标准为：违约金500元/天乘于（实际修复所需时间-规定修复时间）。</w:t>
      </w:r>
    </w:p>
    <w:p>
      <w:pPr>
        <w:pStyle w:val="5"/>
        <w:spacing w:afterAutospacing="0"/>
        <w:ind w:left="692" w:leftChars="200" w:hanging="272" w:hangingChars="136"/>
        <w:rPr>
          <w:sz w:val="21"/>
          <w:szCs w:val="21"/>
        </w:rPr>
      </w:pPr>
      <w:r>
        <w:rPr>
          <w:rFonts w:hint="eastAsia" w:hAnsi="宋体"/>
        </w:rPr>
        <w:t>11.</w:t>
      </w:r>
      <w:r>
        <w:rPr>
          <w:rFonts w:hint="eastAsia" w:hAnsi="宋体"/>
          <w:sz w:val="21"/>
          <w:szCs w:val="21"/>
        </w:rPr>
        <w:t>2.16乙方故障响应时间超过乙方承诺故障响应时间，课以违约金100元/半小时。</w:t>
      </w:r>
    </w:p>
    <w:p>
      <w:pPr>
        <w:tabs>
          <w:tab w:val="left" w:pos="840"/>
        </w:tabs>
        <w:spacing w:before="0" w:after="0" w:afterAutospacing="0"/>
        <w:ind w:left="0" w:right="0" w:firstLine="420" w:firstLineChars="200"/>
        <w:rPr>
          <w:rFonts w:ascii="宋体" w:hAnsi="宋体"/>
        </w:rPr>
      </w:pPr>
      <w:bookmarkStart w:id="202" w:name="_Ref462913103"/>
      <w:r>
        <w:rPr>
          <w:rFonts w:hint="eastAsia" w:ascii="宋体" w:hAnsi="宋体"/>
        </w:rPr>
        <w:t>11.2.17合同签订后，乙方不能完成合同规定的工程，则甲方扣除未完成合同规定的工程总价格20%的违约金；同时甲方重新采购因价格差所造成的损失由乙方承担。</w:t>
      </w:r>
      <w:bookmarkEnd w:id="202"/>
    </w:p>
    <w:p>
      <w:pPr>
        <w:tabs>
          <w:tab w:val="left" w:pos="840"/>
        </w:tabs>
        <w:spacing w:before="0" w:after="0" w:afterAutospacing="0"/>
        <w:ind w:left="0" w:right="0" w:firstLine="420" w:firstLineChars="200"/>
        <w:rPr>
          <w:rFonts w:ascii="宋体" w:hAnsi="宋体"/>
        </w:rPr>
      </w:pPr>
      <w:r>
        <w:rPr>
          <w:rFonts w:hint="eastAsia" w:ascii="宋体" w:hAnsi="宋体"/>
        </w:rPr>
        <w:t>11.2.18乙方提供服务不符合合同规定标准的，甲方有权拒收该服务，如乙方拒绝完成服务，按条款11.2.17处理；如乙方重新提供符合要求的服务但逾期完成服务的，按条款</w:t>
      </w:r>
      <w:r>
        <w:fldChar w:fldCharType="begin"/>
      </w:r>
      <w:r>
        <w:instrText xml:space="preserve">REF _Ref462913114 \n \h \* MERGEFORMAT </w:instrText>
      </w:r>
      <w:r>
        <w:fldChar w:fldCharType="separate"/>
      </w:r>
      <w:r>
        <w:rPr>
          <w:rFonts w:hint="eastAsia" w:ascii="宋体" w:hAnsi="宋体"/>
        </w:rPr>
        <w:t>11.2.1</w:t>
      </w:r>
      <w:r>
        <w:rPr>
          <w:rFonts w:hint="eastAsia" w:ascii="宋体" w:hAnsi="宋体"/>
        </w:rPr>
        <w:fldChar w:fldCharType="end"/>
      </w:r>
      <w:r>
        <w:rPr>
          <w:rFonts w:hint="eastAsia" w:ascii="宋体" w:hAnsi="宋体"/>
        </w:rPr>
        <w:t>4处理。如因甲方原因导致乙方无法提供服务或服务不符合合同规定标准的，经甲乙双方协商后，可另行签订补充协议，乙方承诺如完成服务的质量不低于原合同的，按原合同价格结算。</w:t>
      </w:r>
    </w:p>
    <w:p>
      <w:pPr>
        <w:tabs>
          <w:tab w:val="left" w:pos="840"/>
        </w:tabs>
        <w:spacing w:before="0" w:after="0" w:afterAutospacing="0"/>
        <w:ind w:left="0" w:right="0" w:firstLine="420" w:firstLineChars="200"/>
        <w:rPr>
          <w:rFonts w:ascii="宋体" w:hAnsi="宋体"/>
        </w:rPr>
      </w:pPr>
      <w:r>
        <w:rPr>
          <w:rFonts w:hint="eastAsia" w:ascii="宋体" w:hAnsi="宋体"/>
        </w:rPr>
        <w:t>11.2.19本合同中所列的违约金和赔偿款，甲方有权从合同款中扣除。所有违约金和赔偿款的支付，不免除乙方继续履行合同义务，也不减轻乙方合同项下的其他责任和义务。</w:t>
      </w:r>
    </w:p>
    <w:p>
      <w:pPr>
        <w:tabs>
          <w:tab w:val="left" w:pos="840"/>
          <w:tab w:val="left" w:pos="1843"/>
        </w:tabs>
        <w:spacing w:before="0" w:after="0" w:afterAutospacing="0"/>
        <w:ind w:right="0"/>
        <w:outlineLvl w:val="1"/>
        <w:rPr>
          <w:rFonts w:ascii="宋体" w:hAnsi="宋体"/>
          <w:b/>
          <w:color w:val="0000FF"/>
        </w:rPr>
      </w:pPr>
      <w:r>
        <w:rPr>
          <w:rFonts w:hint="eastAsia" w:ascii="宋体" w:hAnsi="宋体"/>
          <w:b/>
        </w:rPr>
        <w:t>12.验收</w:t>
      </w:r>
      <w:bookmarkEnd w:id="201"/>
      <w:r>
        <w:rPr>
          <w:rFonts w:hint="eastAsia" w:ascii="宋体" w:hAnsi="宋体"/>
          <w:b/>
        </w:rPr>
        <w:t>要求</w:t>
      </w:r>
    </w:p>
    <w:p>
      <w:pPr>
        <w:spacing w:before="0" w:after="0" w:afterAutospacing="0"/>
        <w:ind w:left="0" w:right="0" w:firstLine="420" w:firstLineChars="200"/>
        <w:rPr>
          <w:rFonts w:ascii="宋体" w:hAnsi="宋体" w:cs="Arial"/>
        </w:rPr>
      </w:pPr>
      <w:r>
        <w:rPr>
          <w:rFonts w:hint="eastAsia" w:ascii="宋体" w:hAnsi="宋体" w:cs="Arial"/>
        </w:rPr>
        <w:t>12.1标识内容、尺寸、材料、图形设计与用户需求书及其附件一致。</w:t>
      </w:r>
    </w:p>
    <w:p>
      <w:pPr>
        <w:spacing w:before="0" w:after="0" w:afterAutospacing="0"/>
        <w:ind w:left="0" w:right="0" w:firstLine="420" w:firstLineChars="200"/>
        <w:rPr>
          <w:rFonts w:ascii="宋体" w:hAnsi="宋体" w:cs="Arial"/>
        </w:rPr>
      </w:pPr>
      <w:bookmarkStart w:id="203" w:name="_Toc437544545"/>
      <w:bookmarkStart w:id="204" w:name="_Toc1184"/>
      <w:r>
        <w:rPr>
          <w:rFonts w:hint="eastAsia" w:ascii="宋体" w:hAnsi="宋体" w:cs="Arial"/>
        </w:rPr>
        <w:t>12.2材料、标识制作符合技术要求，经验收人签字同意。</w:t>
      </w:r>
    </w:p>
    <w:p>
      <w:pPr>
        <w:spacing w:before="0" w:after="0" w:afterAutospacing="0"/>
        <w:ind w:left="0" w:right="0" w:firstLine="420" w:firstLineChars="200"/>
        <w:rPr>
          <w:rFonts w:ascii="宋体" w:hAnsi="宋体" w:cs="Arial"/>
        </w:rPr>
      </w:pPr>
      <w:r>
        <w:rPr>
          <w:rFonts w:hint="eastAsia" w:ascii="宋体" w:hAnsi="宋体" w:cs="Arial"/>
        </w:rPr>
        <w:t>12.3巡查维护过程资料，符合技术要求，经验收人签字同意。</w:t>
      </w:r>
    </w:p>
    <w:p>
      <w:pPr>
        <w:spacing w:before="0" w:after="0" w:afterAutospacing="0"/>
        <w:ind w:left="0" w:right="0" w:firstLine="420" w:firstLineChars="200"/>
        <w:rPr>
          <w:rFonts w:ascii="宋体" w:hAnsi="宋体" w:cs="Arial"/>
        </w:rPr>
      </w:pPr>
      <w:r>
        <w:rPr>
          <w:rFonts w:hint="eastAsia" w:ascii="宋体" w:hAnsi="宋体" w:cs="Arial"/>
        </w:rPr>
        <w:t>12.4巡查、安装符合标准、要求经验收人签字同意。</w:t>
      </w:r>
    </w:p>
    <w:p>
      <w:pPr>
        <w:spacing w:before="0" w:after="0" w:afterAutospacing="0"/>
        <w:ind w:left="0" w:right="0" w:firstLine="420" w:firstLineChars="200"/>
        <w:rPr>
          <w:rFonts w:ascii="宋体" w:hAnsi="宋体" w:cs="Arial"/>
        </w:rPr>
      </w:pPr>
      <w:r>
        <w:rPr>
          <w:rFonts w:hint="eastAsia" w:ascii="宋体" w:hAnsi="宋体" w:cs="Arial"/>
        </w:rPr>
        <w:t>12.5验收资料</w:t>
      </w:r>
    </w:p>
    <w:p>
      <w:pPr>
        <w:spacing w:before="0" w:after="0" w:afterAutospacing="0"/>
        <w:ind w:left="0" w:right="0" w:firstLine="420" w:firstLineChars="200"/>
        <w:rPr>
          <w:rFonts w:ascii="宋体" w:hAnsi="宋体" w:cs="Arial"/>
        </w:rPr>
      </w:pPr>
      <w:r>
        <w:rPr>
          <w:rFonts w:hint="eastAsia" w:ascii="宋体" w:hAnsi="宋体" w:cs="Arial"/>
        </w:rPr>
        <w:t>1.提交的文件及资料必须包括（但不限于）：测设平面图（经甲方验收签字同意的设计图电子档和纸质版）</w:t>
      </w:r>
    </w:p>
    <w:p>
      <w:pPr>
        <w:spacing w:before="0" w:after="0" w:afterAutospacing="0"/>
        <w:ind w:left="0" w:right="0" w:firstLine="420" w:firstLineChars="200"/>
      </w:pPr>
      <w:r>
        <w:rPr>
          <w:rFonts w:hint="eastAsia" w:ascii="宋体" w:hAnsi="宋体" w:cs="Arial"/>
        </w:rPr>
        <w:t>2.巡查维护过程资料</w:t>
      </w:r>
    </w:p>
    <w:p>
      <w:pPr>
        <w:spacing w:before="0" w:after="0" w:afterAutospacing="0"/>
        <w:ind w:left="0" w:right="0" w:firstLine="420" w:firstLineChars="200"/>
        <w:rPr>
          <w:rFonts w:ascii="宋体" w:hAnsi="宋体" w:cs="Arial"/>
        </w:rPr>
      </w:pPr>
      <w:r>
        <w:rPr>
          <w:rFonts w:hint="eastAsia" w:ascii="宋体" w:hAnsi="宋体" w:cs="Arial"/>
        </w:rPr>
        <w:t>3.实际安装内容、位置和数量的记录（含电子档）。</w:t>
      </w:r>
    </w:p>
    <w:p>
      <w:pPr>
        <w:spacing w:before="0" w:after="0" w:afterAutospacing="0"/>
        <w:ind w:left="0" w:right="0" w:firstLine="420" w:firstLineChars="200"/>
        <w:rPr>
          <w:rFonts w:ascii="宋体" w:hAnsi="宋体" w:cs="Arial"/>
        </w:rPr>
      </w:pPr>
      <w:r>
        <w:rPr>
          <w:rFonts w:hint="eastAsia" w:ascii="宋体" w:hAnsi="宋体" w:cs="Arial"/>
        </w:rPr>
        <w:t>12.6现场验收。</w:t>
      </w:r>
    </w:p>
    <w:p>
      <w:pPr>
        <w:spacing w:before="0" w:after="0" w:afterAutospacing="0"/>
        <w:ind w:left="0" w:right="0" w:firstLine="420" w:firstLineChars="200"/>
        <w:rPr>
          <w:rFonts w:ascii="宋体" w:hAnsi="宋体" w:cs="Arial"/>
        </w:rPr>
      </w:pPr>
      <w:r>
        <w:rPr>
          <w:rFonts w:hint="eastAsia" w:ascii="宋体" w:hAnsi="宋体" w:cs="Arial"/>
        </w:rPr>
        <w:t>1.甲方对巡查乙方提交的巡查报告和台账及时审核，出具审核意见，不定期到现场考核，对未按要求提交巡查报告和更换标识牌的行为做相应处理。</w:t>
      </w:r>
    </w:p>
    <w:p>
      <w:pPr>
        <w:spacing w:before="0" w:after="0" w:afterAutospacing="0"/>
        <w:ind w:left="0" w:right="0" w:firstLine="420" w:firstLineChars="200"/>
        <w:rPr>
          <w:rFonts w:ascii="宋体" w:hAnsi="宋体" w:cs="Arial"/>
        </w:rPr>
      </w:pPr>
      <w:r>
        <w:rPr>
          <w:rFonts w:hint="eastAsia" w:ascii="宋体" w:hAnsi="宋体" w:cs="Arial"/>
        </w:rPr>
        <w:t>2.标识牌外观、内容、尺寸、材质、补设间距不符合要求的，应按照甲方要求进行整改。</w:t>
      </w:r>
    </w:p>
    <w:p>
      <w:pPr>
        <w:tabs>
          <w:tab w:val="left" w:pos="840"/>
          <w:tab w:val="left" w:pos="1843"/>
        </w:tabs>
        <w:spacing w:before="0" w:after="0" w:afterAutospacing="0"/>
        <w:ind w:right="0"/>
        <w:outlineLvl w:val="1"/>
        <w:rPr>
          <w:rFonts w:ascii="宋体" w:hAnsi="宋体"/>
          <w:b/>
        </w:rPr>
      </w:pPr>
      <w:bookmarkStart w:id="205" w:name="_Toc15842"/>
      <w:r>
        <w:rPr>
          <w:rFonts w:hint="eastAsia" w:ascii="宋体" w:hAnsi="宋体"/>
          <w:b/>
        </w:rPr>
        <w:t>13.</w:t>
      </w:r>
      <w:bookmarkEnd w:id="203"/>
      <w:bookmarkEnd w:id="204"/>
      <w:r>
        <w:rPr>
          <w:rFonts w:hint="eastAsia" w:ascii="宋体" w:hAnsi="宋体"/>
          <w:b/>
        </w:rPr>
        <w:t>质保</w:t>
      </w:r>
      <w:bookmarkEnd w:id="205"/>
      <w:r>
        <w:rPr>
          <w:rFonts w:hint="eastAsia" w:ascii="宋体" w:hAnsi="宋体"/>
          <w:b/>
        </w:rPr>
        <w:t>要求</w:t>
      </w:r>
    </w:p>
    <w:p>
      <w:pPr>
        <w:spacing w:before="0" w:after="0" w:afterAutospacing="0"/>
        <w:ind w:left="0" w:right="0" w:firstLine="420" w:firstLineChars="200"/>
        <w:rPr>
          <w:rFonts w:ascii="宋体" w:hAnsi="宋体" w:cs="宋体"/>
        </w:rPr>
      </w:pPr>
      <w:r>
        <w:rPr>
          <w:rFonts w:hint="eastAsia" w:ascii="宋体" w:hAnsi="宋体" w:cs="Arial"/>
        </w:rPr>
        <w:t>13.1</w:t>
      </w:r>
      <w:r>
        <w:rPr>
          <w:rFonts w:hint="eastAsia" w:ascii="宋体" w:hAnsi="宋体" w:cs="宋体"/>
        </w:rPr>
        <w:t>此次维保的所有设备在维保期内出现的质量问题，乙方须在甲方发出通知后1小时内做出响应，24小时内到达维修现场。一般问题应在5天内解决，重大问题或其它无法迅速解决的问题应在10天内解决。</w:t>
      </w:r>
    </w:p>
    <w:p>
      <w:pPr>
        <w:spacing w:before="0" w:after="0" w:afterAutospacing="0"/>
        <w:ind w:left="0" w:right="0" w:firstLine="420" w:firstLineChars="200"/>
        <w:rPr>
          <w:rFonts w:ascii="宋体" w:hAnsi="宋体" w:cs="Arial"/>
        </w:rPr>
      </w:pPr>
      <w:r>
        <w:rPr>
          <w:rFonts w:hint="eastAsia" w:ascii="宋体" w:hAnsi="宋体" w:cs="Arial"/>
        </w:rPr>
        <w:t>13.2维保期内，乙方应在南宁市有常驻工作人员。维保期完成后，乙方应继续提供咨询服务。</w:t>
      </w:r>
    </w:p>
    <w:p>
      <w:pPr>
        <w:tabs>
          <w:tab w:val="left" w:pos="840"/>
          <w:tab w:val="left" w:pos="1843"/>
        </w:tabs>
        <w:spacing w:before="0" w:after="0" w:afterAutospacing="0"/>
        <w:ind w:right="0"/>
        <w:outlineLvl w:val="1"/>
        <w:rPr>
          <w:rFonts w:cs="宋体"/>
          <w:b/>
          <w:bCs/>
        </w:rPr>
      </w:pPr>
      <w:r>
        <w:rPr>
          <w:rFonts w:hint="eastAsia" w:ascii="宋体" w:hAnsi="宋体"/>
          <w:b/>
        </w:rPr>
        <w:t>14.</w:t>
      </w:r>
      <w:r>
        <w:rPr>
          <w:rFonts w:hint="eastAsia" w:cs="宋体"/>
          <w:b/>
          <w:bCs/>
        </w:rPr>
        <w:t>合同解除和终止</w:t>
      </w:r>
      <w:bookmarkEnd w:id="200"/>
    </w:p>
    <w:p>
      <w:pPr>
        <w:spacing w:before="0" w:after="0" w:afterAutospacing="0"/>
        <w:ind w:left="0" w:right="0" w:firstLine="420" w:firstLineChars="200"/>
        <w:rPr>
          <w:rFonts w:ascii="宋体" w:hAnsi="宋体" w:cs="Arial"/>
        </w:rPr>
      </w:pPr>
      <w:bookmarkStart w:id="206" w:name="_Toc378514972"/>
      <w:bookmarkStart w:id="207" w:name="_Toc13416"/>
      <w:bookmarkStart w:id="208" w:name="_Toc661"/>
      <w:bookmarkStart w:id="209" w:name="_Toc492478782"/>
      <w:bookmarkStart w:id="210" w:name="_Toc12432"/>
      <w:bookmarkStart w:id="211" w:name="_Toc385427858"/>
      <w:bookmarkStart w:id="212" w:name="_Toc17029"/>
      <w:bookmarkStart w:id="213" w:name="_Toc13888"/>
      <w:bookmarkStart w:id="214" w:name="_Toc18508"/>
      <w:bookmarkStart w:id="215" w:name="_Toc32343"/>
      <w:bookmarkStart w:id="216" w:name="_Toc21413"/>
      <w:bookmarkStart w:id="217" w:name="_Toc16315"/>
      <w:bookmarkStart w:id="218" w:name="_Toc19987"/>
      <w:bookmarkStart w:id="219" w:name="_Toc24037"/>
      <w:bookmarkStart w:id="220" w:name="_Toc25342"/>
      <w:bookmarkStart w:id="221" w:name="_Toc4396"/>
      <w:bookmarkStart w:id="222" w:name="_Toc11530"/>
      <w:bookmarkStart w:id="223" w:name="_Toc24065"/>
      <w:bookmarkStart w:id="224" w:name="_Toc390098484"/>
      <w:bookmarkStart w:id="225" w:name="_Toc25750653"/>
      <w:bookmarkStart w:id="226" w:name="_Toc3130"/>
      <w:bookmarkStart w:id="227" w:name="_Toc6234"/>
      <w:bookmarkStart w:id="228" w:name="_Toc8696"/>
      <w:bookmarkStart w:id="229" w:name="_Toc370933875"/>
      <w:r>
        <w:rPr>
          <w:rFonts w:hint="eastAsia" w:ascii="宋体" w:hAnsi="宋体" w:cs="Arial"/>
        </w:rPr>
        <w:t>14.1对合同条件所做出的任何修改、补充，须经双方协商达成一致意见后，签订书面协议。</w:t>
      </w:r>
    </w:p>
    <w:p>
      <w:pPr>
        <w:spacing w:before="0" w:after="0" w:afterAutospacing="0"/>
        <w:ind w:left="0" w:right="0" w:firstLine="420" w:firstLineChars="200"/>
        <w:rPr>
          <w:rFonts w:ascii="宋体" w:hAnsi="宋体" w:cs="Arial"/>
        </w:rPr>
      </w:pPr>
      <w:r>
        <w:rPr>
          <w:rFonts w:hint="eastAsia" w:ascii="宋体" w:hAnsi="宋体" w:cs="Arial"/>
        </w:rPr>
        <w:t>14.2</w:t>
      </w:r>
      <w:r>
        <w:rPr>
          <w:rFonts w:hint="eastAsia" w:ascii="宋体" w:hAnsi="宋体" w:cs="Arial"/>
          <w:highlight w:val="none"/>
        </w:rPr>
        <w:t>合同自然终止或发生不可抗力。</w:t>
      </w:r>
    </w:p>
    <w:p>
      <w:pPr>
        <w:spacing w:before="0" w:after="0" w:afterAutospacing="0"/>
        <w:ind w:left="0" w:right="0" w:firstLine="420" w:firstLineChars="200"/>
        <w:rPr>
          <w:rFonts w:ascii="宋体" w:hAnsi="宋体" w:cs="Arial"/>
        </w:rPr>
      </w:pPr>
      <w:r>
        <w:rPr>
          <w:rFonts w:hint="eastAsia" w:ascii="宋体" w:hAnsi="宋体" w:cs="Arial"/>
        </w:rPr>
        <w:t>甲方、乙方双方各自完成合同规定的责任和义务，合同自然终止。</w:t>
      </w:r>
    </w:p>
    <w:p>
      <w:pPr>
        <w:spacing w:before="0" w:after="0" w:afterAutospacing="0"/>
        <w:ind w:left="0" w:right="0" w:firstLine="420" w:firstLineChars="200"/>
        <w:rPr>
          <w:rFonts w:ascii="宋体" w:hAnsi="宋体" w:cs="Arial"/>
        </w:rPr>
      </w:pPr>
      <w:r>
        <w:rPr>
          <w:rFonts w:hint="eastAsia" w:ascii="宋体" w:hAnsi="宋体" w:cs="Arial"/>
        </w:rPr>
        <w:t>14.3 因乙方违约违规终止合同</w:t>
      </w:r>
    </w:p>
    <w:p>
      <w:pPr>
        <w:spacing w:before="0" w:after="0" w:afterAutospacing="0"/>
        <w:ind w:left="0" w:right="0" w:firstLine="420" w:firstLineChars="200"/>
        <w:rPr>
          <w:rFonts w:ascii="宋体" w:hAnsi="宋体" w:cs="Arial"/>
        </w:rPr>
      </w:pPr>
      <w:r>
        <w:rPr>
          <w:rFonts w:hint="eastAsia" w:ascii="宋体" w:hAnsi="宋体" w:cs="Arial"/>
        </w:rPr>
        <w:t>14.3.1合同成立后，若乙方不按合同履行职责导致对甲方安全运营、名誉、形象等造成影响，甲方有权终止合同。</w:t>
      </w:r>
    </w:p>
    <w:p>
      <w:pPr>
        <w:spacing w:before="0" w:after="0" w:afterAutospacing="0"/>
        <w:ind w:left="0" w:right="0" w:firstLine="420" w:firstLineChars="200"/>
        <w:rPr>
          <w:rFonts w:ascii="宋体" w:hAnsi="宋体" w:cs="Arial"/>
        </w:rPr>
      </w:pPr>
      <w:r>
        <w:rPr>
          <w:rFonts w:hint="eastAsia" w:ascii="宋体" w:hAnsi="宋体" w:cs="Arial"/>
        </w:rPr>
        <w:t>14.3.2按照违约责任条款或技术规格书中甲方有权解除（终止）合同的情形。</w:t>
      </w:r>
    </w:p>
    <w:p>
      <w:pPr>
        <w:spacing w:before="0" w:after="0" w:afterAutospacing="0"/>
        <w:ind w:left="0" w:right="0" w:firstLine="420" w:firstLineChars="200"/>
        <w:rPr>
          <w:rFonts w:ascii="宋体" w:hAnsi="宋体" w:cs="Arial"/>
        </w:rPr>
      </w:pPr>
      <w:r>
        <w:rPr>
          <w:rFonts w:hint="eastAsia" w:ascii="宋体" w:hAnsi="宋体" w:cs="Arial"/>
        </w:rPr>
        <w:t>14.3.3如果甲方发现以下违约情形之一后可向乙方发出书面违约通知书，提出终止部分或全部合同，自发出书面违约通知之日起发生的费用由乙方自行负责，若给甲方造成损失的，乙方还应负责赔偿：</w:t>
      </w:r>
    </w:p>
    <w:p>
      <w:pPr>
        <w:spacing w:before="0" w:after="0" w:afterAutospacing="0"/>
        <w:ind w:left="0" w:right="0" w:firstLine="420" w:firstLineChars="200"/>
        <w:rPr>
          <w:rFonts w:ascii="宋体" w:hAnsi="宋体" w:cs="Arial"/>
        </w:rPr>
      </w:pPr>
      <w:r>
        <w:rPr>
          <w:rFonts w:hint="eastAsia" w:ascii="宋体" w:hAnsi="宋体" w:cs="Arial"/>
        </w:rPr>
        <w:t>（1）乙方不具备继续按合同要求开展工作的条件或未能按照合同规定的方式进行的；</w:t>
      </w:r>
    </w:p>
    <w:p>
      <w:pPr>
        <w:spacing w:before="0" w:after="0" w:afterAutospacing="0"/>
        <w:ind w:left="0" w:right="0" w:firstLine="420" w:firstLineChars="200"/>
        <w:rPr>
          <w:rFonts w:ascii="宋体" w:hAnsi="宋体" w:cs="Arial"/>
        </w:rPr>
      </w:pPr>
      <w:r>
        <w:rPr>
          <w:rFonts w:hint="eastAsia" w:ascii="宋体" w:hAnsi="宋体" w:cs="Arial"/>
        </w:rPr>
        <w:t>（2）如果甲方认为乙方在本合同的竞争和实施过程中有腐败和欺诈行为的。</w:t>
      </w:r>
    </w:p>
    <w:p>
      <w:pPr>
        <w:spacing w:before="0" w:after="0" w:afterAutospacing="0"/>
        <w:ind w:left="0" w:right="0" w:firstLine="420" w:firstLineChars="200"/>
        <w:rPr>
          <w:rFonts w:ascii="宋体" w:hAnsi="宋体" w:cs="Arial"/>
        </w:rPr>
      </w:pPr>
      <w:r>
        <w:rPr>
          <w:rFonts w:hint="eastAsia" w:ascii="宋体" w:hAnsi="宋体" w:cs="Arial"/>
        </w:rPr>
        <w:t>“腐败行为”是指提供、给予、接受或索取任何有价值的东西来影响有关人员在比选过程或合同实施过程中的行为；</w:t>
      </w:r>
    </w:p>
    <w:p>
      <w:pPr>
        <w:spacing w:before="0" w:after="0" w:afterAutospacing="0"/>
        <w:ind w:left="0" w:right="0" w:firstLine="420" w:firstLineChars="200"/>
        <w:rPr>
          <w:rFonts w:ascii="宋体" w:hAnsi="宋体" w:cs="Arial"/>
        </w:rPr>
      </w:pPr>
      <w:r>
        <w:rPr>
          <w:rFonts w:hint="eastAsia" w:ascii="宋体" w:hAnsi="宋体" w:cs="Arial"/>
        </w:rPr>
        <w:t>“欺诈行为”是指为了影响比选过程或合同实施过程而谎报事实，损害甲方的利益，包括乙方之间串通比选（递交比选材料之前和之后），人为地使各投标价丧失竞争性，剥夺甲方从自由公开竞争所获得的权益。欺诈行为还包括乙方擅自改变合同所要求的材料，或者提供伪造的检修或检测报告，刻意隐瞒故障逃避责任等，造成甲方受到相关行政部门考核或约谈的。</w:t>
      </w:r>
    </w:p>
    <w:p>
      <w:pPr>
        <w:spacing w:before="0" w:after="0" w:afterAutospacing="0"/>
        <w:ind w:left="0" w:right="0" w:firstLine="420" w:firstLineChars="200"/>
        <w:rPr>
          <w:rFonts w:ascii="宋体" w:hAnsi="宋体" w:cs="Arial"/>
        </w:rPr>
      </w:pPr>
      <w:r>
        <w:rPr>
          <w:rFonts w:hint="eastAsia" w:ascii="宋体" w:hAnsi="宋体" w:cs="Arial"/>
        </w:rPr>
        <w:t>（3）乙方资质证明文件在合同期内到期（或失效），未能按规定取得合法有效符合本项目要求的企业资质的（不可抗力因素导致的除外）；</w:t>
      </w:r>
    </w:p>
    <w:p>
      <w:pPr>
        <w:spacing w:before="0" w:after="0" w:afterAutospacing="0"/>
        <w:ind w:left="0" w:right="0" w:firstLine="420" w:firstLineChars="200"/>
        <w:rPr>
          <w:rFonts w:ascii="宋体" w:hAnsi="宋体" w:cs="Arial"/>
        </w:rPr>
      </w:pPr>
      <w:r>
        <w:rPr>
          <w:rFonts w:hint="eastAsia" w:ascii="宋体" w:hAnsi="宋体" w:cs="Arial"/>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spacing w:before="0" w:after="0" w:afterAutospacing="0"/>
        <w:ind w:left="0" w:right="0" w:firstLine="420" w:firstLineChars="200"/>
        <w:rPr>
          <w:rFonts w:ascii="宋体" w:hAnsi="宋体" w:cs="Arial"/>
        </w:rPr>
      </w:pPr>
      <w:r>
        <w:rPr>
          <w:rFonts w:hint="eastAsia" w:ascii="宋体" w:hAnsi="宋体" w:cs="Arial"/>
        </w:rPr>
        <w:t>（5）因乙方破产而终止合同</w:t>
      </w:r>
    </w:p>
    <w:p>
      <w:pPr>
        <w:spacing w:before="0" w:after="0" w:afterAutospacing="0"/>
        <w:ind w:left="0" w:right="0" w:firstLine="420" w:firstLineChars="200"/>
        <w:rPr>
          <w:rFonts w:ascii="宋体" w:hAnsi="宋体" w:cs="Arial"/>
        </w:rPr>
      </w:pPr>
      <w:r>
        <w:rPr>
          <w:rFonts w:hint="eastAsia" w:ascii="宋体" w:hAnsi="宋体" w:cs="Arial"/>
        </w:rPr>
        <w:t>1）如果乙方破产或无清偿能力，甲方可在任何时候以书面形式通知乙方，提出终止合同而不给乙方补偿。该终止合同将不损害或影响甲方已经采取或将要采取的任何行动或补救措施的权利。</w:t>
      </w:r>
    </w:p>
    <w:p>
      <w:pPr>
        <w:spacing w:before="0" w:after="0" w:afterAutospacing="0"/>
        <w:ind w:left="0" w:right="0" w:firstLine="420" w:firstLineChars="200"/>
        <w:rPr>
          <w:rFonts w:ascii="宋体" w:hAnsi="宋体" w:cs="Arial"/>
        </w:rPr>
      </w:pPr>
      <w:r>
        <w:rPr>
          <w:rFonts w:hint="eastAsia" w:ascii="宋体" w:hAnsi="宋体" w:cs="Arial"/>
        </w:rPr>
        <w:t> 2）乙方有责任而且必须支付甲方超过合同金额的合理的必须的费用。该费用是甲方为了执行完成被终止了的该部分而实际发生的直接费用。</w:t>
      </w:r>
    </w:p>
    <w:p>
      <w:pPr>
        <w:spacing w:before="0" w:after="0" w:afterAutospacing="0"/>
        <w:ind w:left="0" w:right="0" w:firstLine="420" w:firstLineChars="200"/>
        <w:rPr>
          <w:rFonts w:ascii="宋体" w:hAnsi="宋体" w:cs="Arial"/>
        </w:rPr>
      </w:pPr>
      <w:r>
        <w:rPr>
          <w:rFonts w:hint="eastAsia" w:ascii="宋体" w:hAnsi="宋体" w:cs="Arial"/>
        </w:rPr>
        <w:t>14.4因甲方违约终止合同</w:t>
      </w:r>
    </w:p>
    <w:p>
      <w:pPr>
        <w:spacing w:before="0" w:after="0" w:afterAutospacing="0"/>
        <w:ind w:left="0" w:right="0" w:firstLine="420" w:firstLineChars="200"/>
        <w:rPr>
          <w:rFonts w:ascii="宋体" w:hAnsi="宋体" w:cs="Arial"/>
        </w:rPr>
      </w:pPr>
      <w:r>
        <w:rPr>
          <w:rFonts w:hint="eastAsia" w:ascii="宋体" w:hAnsi="宋体" w:cs="Arial"/>
        </w:rPr>
        <w:t>14.4.1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spacing w:before="0" w:after="0" w:afterAutospacing="0"/>
        <w:ind w:left="0" w:right="0" w:firstLine="420" w:firstLineChars="200"/>
        <w:rPr>
          <w:rFonts w:ascii="宋体" w:hAnsi="宋体" w:cs="Arial"/>
        </w:rPr>
      </w:pPr>
      <w:r>
        <w:rPr>
          <w:rFonts w:hint="eastAsia" w:ascii="宋体" w:hAnsi="宋体" w:cs="Arial"/>
        </w:rPr>
        <w:t>14.4.2乙方有权要求甲方补偿其因违约而造成的任何直接损失。因涉及社会公共安全，在甲方采取有效弥补措施前，乙方不可以中止合同的履行。</w:t>
      </w:r>
    </w:p>
    <w:p>
      <w:pPr>
        <w:spacing w:before="0" w:after="0" w:afterAutospacing="0"/>
        <w:ind w:left="0" w:right="0" w:firstLine="420" w:firstLineChars="200"/>
        <w:rPr>
          <w:rFonts w:ascii="宋体" w:hAnsi="宋体" w:cs="Arial"/>
        </w:rPr>
      </w:pPr>
      <w:r>
        <w:rPr>
          <w:rFonts w:hint="eastAsia" w:ascii="宋体" w:hAnsi="宋体" w:cs="Arial"/>
        </w:rPr>
        <w:t>14.5因不可抗力终止合同</w:t>
      </w:r>
    </w:p>
    <w:p>
      <w:pPr>
        <w:spacing w:before="0" w:after="0" w:afterAutospacing="0"/>
        <w:ind w:left="0" w:right="0" w:firstLine="420" w:firstLineChars="200"/>
        <w:rPr>
          <w:rFonts w:ascii="宋体" w:hAnsi="宋体" w:cs="Arial"/>
        </w:rPr>
      </w:pPr>
      <w:r>
        <w:rPr>
          <w:rFonts w:hint="eastAsia" w:ascii="宋体" w:hAnsi="宋体" w:cs="Arial"/>
        </w:rPr>
        <w:t>如果不可抗力事件的影响已达120天或双方预计不可抗力事件的影响将延续120天以上（含本数）时，任何一方有权终止本合同。</w:t>
      </w:r>
    </w:p>
    <w:p>
      <w:pPr>
        <w:spacing w:before="0" w:after="0" w:afterAutospacing="0"/>
        <w:ind w:left="0" w:right="0" w:firstLine="420" w:firstLineChars="200"/>
        <w:rPr>
          <w:rFonts w:ascii="宋体" w:hAnsi="宋体" w:cs="Arial"/>
        </w:rPr>
      </w:pPr>
      <w:r>
        <w:rPr>
          <w:rFonts w:hint="eastAsia" w:ascii="宋体" w:hAnsi="宋体" w:cs="Arial"/>
        </w:rPr>
        <w:t>如因不可抗力提出终止合同，双方均不因此构成违约，双方应合同终止日期以前协商解决双方应得的利益问题。</w:t>
      </w:r>
    </w:p>
    <w:p>
      <w:pPr>
        <w:spacing w:before="0" w:after="0" w:afterAutospacing="0"/>
        <w:ind w:left="0" w:right="0" w:firstLine="420" w:firstLineChars="200"/>
        <w:rPr>
          <w:rFonts w:ascii="宋体" w:hAnsi="宋体" w:cs="Arial"/>
        </w:rPr>
      </w:pPr>
      <w:r>
        <w:rPr>
          <w:rFonts w:hint="eastAsia" w:ascii="宋体" w:hAnsi="宋体" w:cs="Arial"/>
        </w:rPr>
        <w:t>14.6合同非自然终止后，甲方可寻找合同外第三方完成本合同项目，在过渡期间（不少于6个月）甲方有权要求乙方继续履行合同，乙方应配合。</w:t>
      </w:r>
    </w:p>
    <w:p>
      <w:pPr>
        <w:spacing w:before="0" w:after="0" w:afterAutospacing="0"/>
        <w:ind w:left="0" w:right="0" w:firstLine="420" w:firstLineChars="200"/>
        <w:rPr>
          <w:rFonts w:ascii="宋体" w:hAnsi="宋体" w:cs="Arial"/>
        </w:rPr>
      </w:pPr>
      <w:r>
        <w:rPr>
          <w:rFonts w:hint="eastAsia" w:ascii="宋体" w:hAnsi="宋体" w:cs="Arial"/>
        </w:rPr>
        <w:t>14.7出现因乙方违约终止合同的，将乙方列入甲方的承包商黑名单，禁止项目经理(兼技术负责人)、投标单位五年之内参与南宁轨道集团公司任何招标项目。</w:t>
      </w:r>
    </w:p>
    <w:p>
      <w:pPr>
        <w:tabs>
          <w:tab w:val="left" w:pos="540"/>
          <w:tab w:val="left" w:pos="960"/>
        </w:tabs>
        <w:spacing w:before="0" w:after="0" w:afterAutospacing="0"/>
        <w:ind w:right="0"/>
        <w:rPr>
          <w:rFonts w:ascii="宋体" w:hAnsi="宋体"/>
          <w:b/>
        </w:rPr>
      </w:pPr>
      <w:r>
        <w:rPr>
          <w:rFonts w:hint="eastAsia" w:ascii="宋体" w:hAnsi="宋体"/>
          <w:b/>
        </w:rPr>
        <w:t>15.</w:t>
      </w:r>
      <w:r>
        <w:rPr>
          <w:rFonts w:ascii="宋体" w:hAnsi="宋体"/>
          <w:b/>
        </w:rPr>
        <w:t>不可抗力</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w:t>
      </w:r>
      <w:r>
        <w:rPr>
          <w:rFonts w:ascii="宋体" w:hAnsi="宋体"/>
        </w:rPr>
        <w:t>.1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w:t>
      </w:r>
      <w:r>
        <w:rPr>
          <w:rFonts w:ascii="宋体" w:hAnsi="宋体"/>
        </w:rPr>
        <w:t>.</w:t>
      </w:r>
      <w:r>
        <w:rPr>
          <w:rFonts w:hint="eastAsia" w:ascii="宋体" w:hAnsi="宋体"/>
        </w:rPr>
        <w:t>2若不可抗力发生使合同执行受阻，则合同执行时间根据受影响的时间相应延长，但合同价格不得调整。</w:t>
      </w:r>
    </w:p>
    <w:p>
      <w:pPr>
        <w:tabs>
          <w:tab w:val="left" w:pos="540"/>
          <w:tab w:val="left" w:pos="960"/>
        </w:tabs>
        <w:spacing w:before="0" w:after="0" w:afterAutospacing="0"/>
        <w:ind w:left="0" w:right="0" w:firstLine="315" w:firstLineChars="150"/>
      </w:pPr>
      <w:r>
        <w:rPr>
          <w:rFonts w:hint="eastAsia" w:ascii="宋体" w:hAnsi="宋体"/>
        </w:rPr>
        <w:t>15</w:t>
      </w:r>
      <w:r>
        <w:rPr>
          <w:rFonts w:ascii="宋体" w:hAnsi="宋体"/>
        </w:rPr>
        <w:t>.</w:t>
      </w:r>
      <w:r>
        <w:rPr>
          <w:rFonts w:hint="eastAsia" w:ascii="宋体" w:hAnsi="宋体"/>
        </w:rPr>
        <w:t>3</w:t>
      </w:r>
      <w:r>
        <w:rPr>
          <w:rFonts w:hint="eastAsia"/>
        </w:rPr>
        <w:t>不可抗力的确认</w:t>
      </w:r>
    </w:p>
    <w:p>
      <w:pPr>
        <w:tabs>
          <w:tab w:val="left" w:pos="540"/>
          <w:tab w:val="left" w:pos="960"/>
        </w:tabs>
        <w:spacing w:before="0" w:after="0" w:afterAutospacing="0"/>
        <w:ind w:left="0" w:right="0"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不可抗力发生后，甲方和乙方应收集证明不可抗力发生及不可抗力造成损失的证据，并及时认真统计所造成的损失。甲乙双方对是否属于不可抗力或其损失发生争议时，按第18条〔争议解决方式〕的约定处理。</w:t>
      </w:r>
    </w:p>
    <w:p>
      <w:pPr>
        <w:tabs>
          <w:tab w:val="left" w:pos="540"/>
          <w:tab w:val="left" w:pos="960"/>
        </w:tabs>
        <w:spacing w:before="0" w:after="0" w:afterAutospacing="0"/>
        <w:ind w:left="0" w:right="0" w:firstLine="315" w:firstLineChars="150"/>
      </w:pPr>
      <w:r>
        <w:rPr>
          <w:rFonts w:hint="eastAsia" w:ascii="宋体" w:hAnsi="宋体"/>
        </w:rPr>
        <w:t>15</w:t>
      </w:r>
      <w:r>
        <w:rPr>
          <w:rFonts w:ascii="宋体" w:hAnsi="宋体"/>
        </w:rPr>
        <w:t>.</w:t>
      </w:r>
      <w:r>
        <w:rPr>
          <w:rFonts w:hint="eastAsia" w:ascii="宋体" w:hAnsi="宋体"/>
        </w:rPr>
        <w:t>4</w:t>
      </w:r>
      <w:r>
        <w:rPr>
          <w:rFonts w:hint="eastAsia"/>
        </w:rPr>
        <w:t>不可抗力的通知</w:t>
      </w:r>
    </w:p>
    <w:p>
      <w:pPr>
        <w:tabs>
          <w:tab w:val="left" w:pos="540"/>
          <w:tab w:val="left" w:pos="960"/>
        </w:tabs>
        <w:spacing w:before="0" w:after="0" w:afterAutospacing="0"/>
        <w:ind w:left="0" w:right="0"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315" w:firstLineChars="150"/>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w:t>
      </w:r>
      <w:r>
        <w:rPr>
          <w:rFonts w:ascii="宋体" w:hAnsi="宋体"/>
        </w:rPr>
        <w:t>.</w:t>
      </w:r>
      <w:r>
        <w:rPr>
          <w:rFonts w:hint="eastAsia" w:ascii="宋体" w:hAnsi="宋体"/>
        </w:rPr>
        <w:t>5</w:t>
      </w:r>
      <w:r>
        <w:rPr>
          <w:rFonts w:hint="eastAsia"/>
        </w:rPr>
        <w:t>不可抗力后果的承担</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任何因不可抗力所导致延误履行合同或不能履行合同，受阻方将不因此而构成违约。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）天，则尽管由于此原因可能已允许乙方延长合同期限，双方中任何一方均有权在通知对方三十（</w:t>
      </w:r>
      <w:r>
        <w:rPr>
          <w:rFonts w:ascii="宋体" w:hAnsi="宋体"/>
        </w:rPr>
        <w:t>30</w:t>
      </w:r>
      <w:r>
        <w:rPr>
          <w:rFonts w:hint="eastAsia" w:ascii="宋体" w:hAnsi="宋体"/>
        </w:rPr>
        <w:t>）天后终止合同。</w:t>
      </w:r>
    </w:p>
    <w:p>
      <w:pPr>
        <w:tabs>
          <w:tab w:val="left" w:pos="540"/>
          <w:tab w:val="left" w:pos="960"/>
        </w:tabs>
        <w:spacing w:before="0" w:after="0" w:afterAutospacing="0"/>
        <w:ind w:left="0" w:right="0" w:firstLine="315" w:firstLineChars="150"/>
        <w:rPr>
          <w:rFonts w:ascii="宋体" w:hAnsi="宋体"/>
        </w:rPr>
      </w:pPr>
      <w:r>
        <w:rPr>
          <w:rFonts w:hint="eastAsia"/>
        </w:rPr>
        <w:t>因合同一方迟延履行合同义务，在迟延履行期间遭遇不可抗力的，不免除其违约责任。</w:t>
      </w:r>
    </w:p>
    <w:p>
      <w:pPr>
        <w:tabs>
          <w:tab w:val="left" w:pos="840"/>
          <w:tab w:val="left" w:pos="1843"/>
        </w:tabs>
        <w:spacing w:before="0" w:after="0" w:afterAutospacing="0"/>
        <w:ind w:left="0" w:right="0" w:firstLine="422" w:firstLineChars="200"/>
        <w:outlineLvl w:val="1"/>
        <w:rPr>
          <w:rFonts w:ascii="宋体" w:hAnsi="宋体"/>
          <w:b/>
        </w:rPr>
      </w:pPr>
      <w:bookmarkStart w:id="230" w:name="_Toc18501"/>
      <w:bookmarkStart w:id="231" w:name="_Toc390098490"/>
      <w:bookmarkStart w:id="232" w:name="_Toc21718"/>
      <w:bookmarkStart w:id="233" w:name="_Toc492478788"/>
      <w:bookmarkStart w:id="234" w:name="_Toc20058"/>
      <w:bookmarkStart w:id="235" w:name="_Toc10764"/>
      <w:bookmarkStart w:id="236" w:name="_Toc20850"/>
      <w:bookmarkStart w:id="237" w:name="_Toc19072"/>
      <w:bookmarkStart w:id="238" w:name="_Toc16121"/>
      <w:bookmarkStart w:id="239" w:name="_Toc370933881"/>
      <w:bookmarkStart w:id="240" w:name="_Toc15991"/>
      <w:bookmarkStart w:id="241" w:name="_Toc385427864"/>
      <w:bookmarkStart w:id="242" w:name="_Toc26667"/>
      <w:bookmarkStart w:id="243" w:name="_Toc26831"/>
      <w:bookmarkStart w:id="244" w:name="_Toc15352"/>
      <w:bookmarkStart w:id="245" w:name="_Toc1972"/>
      <w:bookmarkStart w:id="246" w:name="_Toc1503"/>
      <w:bookmarkStart w:id="247" w:name="_Toc17213"/>
      <w:bookmarkStart w:id="248" w:name="_Toc4002"/>
      <w:bookmarkStart w:id="249" w:name="_Toc10805"/>
      <w:bookmarkStart w:id="250" w:name="_Toc378514978"/>
      <w:bookmarkStart w:id="251" w:name="_Toc24354"/>
      <w:bookmarkStart w:id="252" w:name="_Toc25750659"/>
      <w:bookmarkStart w:id="253" w:name="_Toc7691"/>
      <w:bookmarkStart w:id="254" w:name="_Toc29365"/>
      <w:r>
        <w:rPr>
          <w:rFonts w:hint="eastAsia" w:ascii="宋体" w:hAnsi="宋体"/>
          <w:b/>
        </w:rPr>
        <w:t>16.转让和分包</w:t>
      </w:r>
      <w:bookmarkEnd w:id="230"/>
    </w:p>
    <w:p>
      <w:pPr>
        <w:tabs>
          <w:tab w:val="left" w:pos="1120"/>
        </w:tabs>
        <w:spacing w:before="0" w:after="0" w:afterAutospacing="0"/>
        <w:ind w:left="0" w:right="0" w:firstLine="420" w:firstLineChars="200"/>
        <w:rPr>
          <w:rFonts w:ascii="宋体" w:hAnsi="宋体"/>
        </w:rPr>
      </w:pPr>
      <w:r>
        <w:rPr>
          <w:rFonts w:hint="eastAsia" w:ascii="宋体" w:hAnsi="宋体"/>
        </w:rPr>
        <w:t>16.1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16.2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Start w:id="255" w:name="_Toc28875"/>
      <w:bookmarkStart w:id="256" w:name="_Toc864"/>
      <w:bookmarkStart w:id="257" w:name="_Toc10304"/>
      <w:bookmarkStart w:id="258" w:name="_Toc25750662"/>
      <w:bookmarkStart w:id="259" w:name="_Toc17344"/>
      <w:bookmarkStart w:id="260" w:name="_Toc13343"/>
      <w:bookmarkStart w:id="261" w:name="_Toc19209"/>
      <w:bookmarkStart w:id="262" w:name="_Toc22330"/>
      <w:bookmarkStart w:id="263" w:name="_Toc23442"/>
      <w:bookmarkStart w:id="264" w:name="_Toc15635"/>
      <w:bookmarkStart w:id="265" w:name="_Toc26295"/>
      <w:bookmarkStart w:id="266" w:name="_Toc3785"/>
      <w:bookmarkStart w:id="267" w:name="_Toc6421"/>
      <w:bookmarkStart w:id="268" w:name="_Toc370933884"/>
      <w:bookmarkStart w:id="269" w:name="_Toc385427867"/>
      <w:bookmarkStart w:id="270" w:name="_Toc378514981"/>
      <w:bookmarkStart w:id="271" w:name="_Toc25119"/>
      <w:bookmarkStart w:id="272" w:name="_Toc492478791"/>
      <w:bookmarkStart w:id="273" w:name="_Toc6374"/>
      <w:bookmarkStart w:id="274" w:name="_Toc32638"/>
      <w:bookmarkStart w:id="275" w:name="_Toc32071"/>
      <w:bookmarkStart w:id="276" w:name="_Toc390098493"/>
      <w:bookmarkStart w:id="277" w:name="_Toc2458"/>
      <w:bookmarkStart w:id="278" w:name="_Toc3019"/>
    </w:p>
    <w:p>
      <w:pPr>
        <w:tabs>
          <w:tab w:val="left" w:pos="840"/>
          <w:tab w:val="left" w:pos="1843"/>
        </w:tabs>
        <w:spacing w:before="0" w:after="0" w:afterAutospacing="0"/>
        <w:ind w:left="422" w:right="0" w:firstLine="0"/>
        <w:outlineLvl w:val="1"/>
        <w:rPr>
          <w:rFonts w:ascii="宋体" w:hAnsi="宋体"/>
          <w:b/>
        </w:rPr>
      </w:pPr>
      <w:bookmarkStart w:id="279" w:name="_Toc11067"/>
      <w:r>
        <w:rPr>
          <w:rFonts w:hint="eastAsia" w:ascii="宋体" w:hAnsi="宋体"/>
          <w:b/>
        </w:rPr>
        <w:t>17.通知</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540"/>
          <w:tab w:val="left" w:pos="960"/>
        </w:tabs>
        <w:adjustRightInd w:val="0"/>
        <w:spacing w:before="0" w:after="0" w:afterAutospacing="0"/>
        <w:ind w:left="0" w:right="0" w:firstLine="420" w:firstLineChars="200"/>
        <w:jc w:val="left"/>
        <w:rPr>
          <w:rFonts w:ascii="宋体" w:hAnsi="宋体"/>
        </w:rPr>
      </w:pPr>
      <w:r>
        <w:rPr>
          <w:rFonts w:hint="eastAsia" w:ascii="宋体" w:hAnsi="宋体"/>
        </w:rPr>
        <w:t>17.1除非在合同中另有规定，合同项下发出的所有通知都要按书面形式，以信函、特快专递、传真方式发送到合同指定的地址。任何一方对地址的变更应提前9天书面通知另一方。有关重大问题的传真应以挂号或快递方式邮寄确认。</w:t>
      </w:r>
    </w:p>
    <w:p>
      <w:pPr>
        <w:tabs>
          <w:tab w:val="left" w:pos="540"/>
          <w:tab w:val="left" w:pos="960"/>
        </w:tabs>
        <w:spacing w:before="0" w:after="0" w:afterAutospacing="0"/>
        <w:ind w:left="0" w:right="0" w:firstLine="420" w:firstLineChars="200"/>
        <w:jc w:val="left"/>
        <w:rPr>
          <w:rFonts w:ascii="宋体" w:hAnsi="宋体"/>
        </w:rPr>
      </w:pPr>
      <w:r>
        <w:rPr>
          <w:rFonts w:hint="eastAsia" w:ascii="宋体" w:hAnsi="宋体"/>
        </w:rPr>
        <w:t>17.2通知的内容包括合同项下的批复、意见、指令、说明和证据。</w:t>
      </w:r>
    </w:p>
    <w:p>
      <w:pPr>
        <w:tabs>
          <w:tab w:val="left" w:pos="540"/>
          <w:tab w:val="left" w:pos="960"/>
        </w:tabs>
        <w:spacing w:before="0" w:after="0" w:afterAutospacing="0"/>
        <w:ind w:left="0" w:right="0" w:firstLine="420" w:firstLineChars="200"/>
        <w:jc w:val="left"/>
        <w:rPr>
          <w:rFonts w:ascii="宋体" w:hAnsi="宋体"/>
        </w:rPr>
      </w:pPr>
      <w:r>
        <w:rPr>
          <w:rFonts w:hint="eastAsia" w:ascii="宋体" w:hAnsi="宋体"/>
        </w:rPr>
        <w:t>17.3通知以送到日期或通知书的生效日期为生效日期，两者中以晚的一个日期为准。</w:t>
      </w:r>
    </w:p>
    <w:p>
      <w:pPr>
        <w:tabs>
          <w:tab w:val="left" w:pos="840"/>
          <w:tab w:val="left" w:pos="1843"/>
        </w:tabs>
        <w:spacing w:before="0" w:after="0" w:afterAutospacing="0"/>
        <w:ind w:left="420" w:leftChars="200" w:right="0" w:firstLine="0"/>
        <w:outlineLvl w:val="1"/>
        <w:rPr>
          <w:rFonts w:ascii="宋体" w:hAnsi="宋体"/>
          <w:b/>
        </w:rPr>
      </w:pPr>
      <w:bookmarkStart w:id="280" w:name="_Toc459797543"/>
      <w:bookmarkEnd w:id="280"/>
      <w:bookmarkStart w:id="281" w:name="_Toc459797567"/>
      <w:bookmarkEnd w:id="281"/>
      <w:bookmarkStart w:id="282" w:name="_Toc459797561"/>
      <w:bookmarkEnd w:id="282"/>
      <w:bookmarkStart w:id="283" w:name="_Toc459797570"/>
      <w:bookmarkEnd w:id="283"/>
      <w:bookmarkStart w:id="284" w:name="_Toc459797557"/>
      <w:bookmarkEnd w:id="284"/>
      <w:bookmarkStart w:id="285" w:name="_Toc459797552"/>
      <w:bookmarkEnd w:id="285"/>
      <w:bookmarkStart w:id="286" w:name="_Toc459797556"/>
      <w:bookmarkEnd w:id="286"/>
      <w:bookmarkStart w:id="287" w:name="_Toc459730485"/>
      <w:bookmarkEnd w:id="287"/>
      <w:bookmarkStart w:id="288" w:name="_Toc459730508"/>
      <w:bookmarkEnd w:id="288"/>
      <w:bookmarkStart w:id="289" w:name="_Toc459797564"/>
      <w:bookmarkEnd w:id="289"/>
      <w:bookmarkStart w:id="290" w:name="_Toc459730488"/>
      <w:bookmarkEnd w:id="290"/>
      <w:bookmarkStart w:id="291" w:name="_Toc459797548"/>
      <w:bookmarkEnd w:id="291"/>
      <w:bookmarkStart w:id="292" w:name="_Toc459797540"/>
      <w:bookmarkEnd w:id="292"/>
      <w:bookmarkStart w:id="293" w:name="_Toc459797563"/>
      <w:bookmarkEnd w:id="293"/>
      <w:bookmarkStart w:id="294" w:name="_Toc459797566"/>
      <w:bookmarkEnd w:id="294"/>
      <w:bookmarkStart w:id="295" w:name="_Toc459730495"/>
      <w:bookmarkEnd w:id="295"/>
      <w:bookmarkStart w:id="296" w:name="_Toc459730498"/>
      <w:bookmarkEnd w:id="296"/>
      <w:bookmarkStart w:id="297" w:name="_Toc459730510"/>
      <w:bookmarkEnd w:id="297"/>
      <w:bookmarkStart w:id="298" w:name="_Toc459730486"/>
      <w:bookmarkEnd w:id="298"/>
      <w:bookmarkStart w:id="299" w:name="_Toc459730511"/>
      <w:bookmarkEnd w:id="299"/>
      <w:bookmarkStart w:id="300" w:name="_Toc459730493"/>
      <w:bookmarkEnd w:id="300"/>
      <w:bookmarkStart w:id="301" w:name="_Toc459797568"/>
      <w:bookmarkEnd w:id="301"/>
      <w:bookmarkStart w:id="302" w:name="_Toc459730505"/>
      <w:bookmarkEnd w:id="302"/>
      <w:bookmarkStart w:id="303" w:name="_Toc459730513"/>
      <w:bookmarkEnd w:id="303"/>
      <w:bookmarkStart w:id="304" w:name="_Toc459730500"/>
      <w:bookmarkEnd w:id="304"/>
      <w:bookmarkStart w:id="305" w:name="_Toc459797554"/>
      <w:bookmarkEnd w:id="305"/>
      <w:bookmarkStart w:id="306" w:name="_Toc459797544"/>
      <w:bookmarkEnd w:id="306"/>
      <w:bookmarkStart w:id="307" w:name="_Toc459797550"/>
      <w:bookmarkEnd w:id="307"/>
      <w:bookmarkStart w:id="308" w:name="_Toc459730499"/>
      <w:bookmarkEnd w:id="308"/>
      <w:bookmarkStart w:id="309" w:name="_Toc459730506"/>
      <w:bookmarkEnd w:id="309"/>
      <w:bookmarkStart w:id="310" w:name="_Toc459797551"/>
      <w:bookmarkEnd w:id="310"/>
      <w:bookmarkStart w:id="311" w:name="_Toc459730489"/>
      <w:bookmarkEnd w:id="311"/>
      <w:bookmarkStart w:id="312" w:name="_Toc459730504"/>
      <w:bookmarkEnd w:id="312"/>
      <w:bookmarkStart w:id="313" w:name="_Toc459797558"/>
      <w:bookmarkEnd w:id="313"/>
      <w:bookmarkStart w:id="314" w:name="_Toc459730514"/>
      <w:bookmarkEnd w:id="314"/>
      <w:bookmarkStart w:id="315" w:name="_Toc459797542"/>
      <w:bookmarkEnd w:id="315"/>
      <w:bookmarkStart w:id="316" w:name="_Toc459730497"/>
      <w:bookmarkEnd w:id="316"/>
      <w:bookmarkStart w:id="317" w:name="_Toc459730517"/>
      <w:bookmarkEnd w:id="317"/>
      <w:bookmarkStart w:id="318" w:name="_Toc459730491"/>
      <w:bookmarkEnd w:id="318"/>
      <w:bookmarkStart w:id="319" w:name="_Toc459797549"/>
      <w:bookmarkEnd w:id="319"/>
      <w:bookmarkStart w:id="320" w:name="_Toc459797545"/>
      <w:bookmarkEnd w:id="320"/>
      <w:bookmarkStart w:id="321" w:name="_Toc459797565"/>
      <w:bookmarkEnd w:id="321"/>
      <w:bookmarkStart w:id="322" w:name="_Toc459797547"/>
      <w:bookmarkEnd w:id="322"/>
      <w:bookmarkStart w:id="323" w:name="_Toc459797560"/>
      <w:bookmarkEnd w:id="323"/>
      <w:bookmarkStart w:id="324" w:name="_Toc459797538"/>
      <w:bookmarkEnd w:id="324"/>
      <w:bookmarkStart w:id="325" w:name="_Toc459730501"/>
      <w:bookmarkEnd w:id="325"/>
      <w:bookmarkStart w:id="326" w:name="_Toc459730507"/>
      <w:bookmarkEnd w:id="326"/>
      <w:bookmarkStart w:id="327" w:name="_Toc459730512"/>
      <w:bookmarkEnd w:id="327"/>
      <w:bookmarkStart w:id="328" w:name="_Toc459730496"/>
      <w:bookmarkEnd w:id="328"/>
      <w:bookmarkStart w:id="329" w:name="_Toc459730515"/>
      <w:bookmarkEnd w:id="329"/>
      <w:bookmarkStart w:id="330" w:name="_Toc459797569"/>
      <w:bookmarkEnd w:id="330"/>
      <w:bookmarkStart w:id="331" w:name="_Toc459730492"/>
      <w:bookmarkEnd w:id="331"/>
      <w:bookmarkStart w:id="332" w:name="_Toc459797546"/>
      <w:bookmarkEnd w:id="332"/>
      <w:bookmarkStart w:id="333" w:name="_Toc459797539"/>
      <w:bookmarkEnd w:id="333"/>
      <w:bookmarkStart w:id="334" w:name="_Toc459797562"/>
      <w:bookmarkEnd w:id="334"/>
      <w:bookmarkStart w:id="335" w:name="_Toc459797555"/>
      <w:bookmarkEnd w:id="335"/>
      <w:bookmarkStart w:id="336" w:name="_Toc459797553"/>
      <w:bookmarkEnd w:id="336"/>
      <w:bookmarkStart w:id="337" w:name="_Toc459730494"/>
      <w:bookmarkEnd w:id="337"/>
      <w:bookmarkStart w:id="338" w:name="_Toc459730490"/>
      <w:bookmarkEnd w:id="338"/>
      <w:bookmarkStart w:id="339" w:name="_Toc459730509"/>
      <w:bookmarkEnd w:id="339"/>
      <w:bookmarkStart w:id="340" w:name="_Toc459730503"/>
      <w:bookmarkEnd w:id="340"/>
      <w:bookmarkStart w:id="341" w:name="_Toc459797541"/>
      <w:bookmarkEnd w:id="341"/>
      <w:bookmarkStart w:id="342" w:name="_Toc459730502"/>
      <w:bookmarkEnd w:id="342"/>
      <w:bookmarkStart w:id="343" w:name="_Toc459730487"/>
      <w:bookmarkEnd w:id="343"/>
      <w:bookmarkStart w:id="344" w:name="_Toc459797559"/>
      <w:bookmarkEnd w:id="344"/>
      <w:bookmarkStart w:id="345" w:name="_Toc459730516"/>
      <w:bookmarkEnd w:id="345"/>
      <w:bookmarkStart w:id="346" w:name="_Toc22569"/>
      <w:bookmarkStart w:id="347" w:name="_Toc385427876"/>
      <w:bookmarkStart w:id="348" w:name="_Toc24789"/>
      <w:bookmarkStart w:id="349" w:name="_Toc25406"/>
      <w:bookmarkStart w:id="350" w:name="_Toc309"/>
      <w:bookmarkStart w:id="351" w:name="_Toc6462"/>
      <w:bookmarkStart w:id="352" w:name="_Toc25750670"/>
      <w:bookmarkStart w:id="353" w:name="_Toc20826"/>
      <w:bookmarkStart w:id="354" w:name="_Toc4370"/>
      <w:bookmarkStart w:id="355" w:name="_Toc8642"/>
      <w:bookmarkStart w:id="356" w:name="_Toc14240"/>
      <w:bookmarkStart w:id="357" w:name="_Toc11322"/>
      <w:bookmarkStart w:id="358" w:name="_Toc16845"/>
      <w:bookmarkStart w:id="359" w:name="_Toc2427"/>
      <w:bookmarkStart w:id="360" w:name="_Toc25859"/>
      <w:bookmarkStart w:id="361" w:name="_Toc390098502"/>
      <w:bookmarkStart w:id="362" w:name="_Toc378514990"/>
      <w:bookmarkStart w:id="363" w:name="_Toc925"/>
      <w:bookmarkStart w:id="364" w:name="_Toc370933887"/>
      <w:bookmarkStart w:id="365" w:name="_Toc26446"/>
      <w:bookmarkStart w:id="366" w:name="_Toc492478800"/>
      <w:bookmarkStart w:id="367" w:name="_Toc27029"/>
      <w:bookmarkStart w:id="368" w:name="_Toc11286"/>
      <w:bookmarkStart w:id="369" w:name="_Toc20780"/>
      <w:bookmarkStart w:id="370" w:name="_Toc27400"/>
      <w:r>
        <w:rPr>
          <w:rFonts w:hint="eastAsia" w:ascii="宋体" w:hAnsi="宋体"/>
          <w:b/>
        </w:rPr>
        <w:t>18.争议解决方式</w:t>
      </w:r>
      <w:bookmarkEnd w:id="346"/>
    </w:p>
    <w:p>
      <w:pPr>
        <w:tabs>
          <w:tab w:val="left" w:pos="840"/>
          <w:tab w:val="left" w:pos="1843"/>
        </w:tabs>
        <w:spacing w:before="0" w:after="0" w:afterAutospacing="0"/>
        <w:ind w:left="0" w:right="0" w:firstLine="420" w:firstLineChars="200"/>
        <w:outlineLvl w:val="1"/>
        <w:rPr>
          <w:rFonts w:ascii="宋体" w:hAnsi="宋体"/>
          <w:bCs/>
        </w:rPr>
      </w:pPr>
      <w:bookmarkStart w:id="371" w:name="_Toc24156"/>
      <w:r>
        <w:rPr>
          <w:rFonts w:ascii="宋体" w:hAnsi="宋体"/>
          <w:bCs/>
        </w:rPr>
        <w:t>1</w:t>
      </w:r>
      <w:r>
        <w:rPr>
          <w:rFonts w:hint="eastAsia" w:ascii="宋体" w:hAnsi="宋体"/>
          <w:bCs/>
        </w:rPr>
        <w:t>8</w:t>
      </w:r>
      <w:r>
        <w:rPr>
          <w:rFonts w:ascii="宋体" w:hAnsi="宋体"/>
          <w:bCs/>
        </w:rPr>
        <w:t>.1</w:t>
      </w:r>
      <w:r>
        <w:rPr>
          <w:rFonts w:hint="eastAsia" w:ascii="宋体" w:hAnsi="宋体"/>
          <w:bCs/>
        </w:rPr>
        <w:t>甲乙双方履行合同中发生争议的，可以先通过友好协商解决。</w:t>
      </w:r>
      <w:bookmarkEnd w:id="371"/>
    </w:p>
    <w:p>
      <w:pPr>
        <w:tabs>
          <w:tab w:val="left" w:pos="840"/>
          <w:tab w:val="left" w:pos="1843"/>
        </w:tabs>
        <w:spacing w:before="0" w:after="0" w:afterAutospacing="0"/>
        <w:ind w:left="0" w:right="0" w:firstLine="420" w:firstLineChars="200"/>
        <w:outlineLvl w:val="1"/>
        <w:rPr>
          <w:rFonts w:ascii="宋体" w:hAnsi="宋体"/>
          <w:bCs/>
        </w:rPr>
      </w:pPr>
      <w:bookmarkStart w:id="372" w:name="_Toc14717"/>
      <w:r>
        <w:rPr>
          <w:rFonts w:ascii="宋体" w:hAnsi="宋体"/>
          <w:bCs/>
        </w:rPr>
        <w:t>1</w:t>
      </w:r>
      <w:r>
        <w:rPr>
          <w:rFonts w:hint="eastAsia" w:ascii="宋体" w:hAnsi="宋体"/>
          <w:bCs/>
        </w:rPr>
        <w:t>8</w:t>
      </w:r>
      <w:r>
        <w:rPr>
          <w:rFonts w:ascii="宋体" w:hAnsi="宋体"/>
          <w:bCs/>
        </w:rPr>
        <w:t>.2</w:t>
      </w:r>
      <w:r>
        <w:rPr>
          <w:rFonts w:hint="eastAsia" w:ascii="宋体" w:hAnsi="宋体"/>
          <w:bCs/>
        </w:rPr>
        <w:t>双方协商不成的，应当按下列第（</w:t>
      </w:r>
      <w:r>
        <w:rPr>
          <w:rFonts w:ascii="宋体" w:hAnsi="宋体"/>
          <w:bCs/>
        </w:rPr>
        <w:t>2</w:t>
      </w:r>
      <w:r>
        <w:rPr>
          <w:rFonts w:hint="eastAsia" w:ascii="宋体" w:hAnsi="宋体"/>
          <w:bCs/>
        </w:rPr>
        <w:t>）种方式解决：</w:t>
      </w:r>
      <w:bookmarkEnd w:id="372"/>
    </w:p>
    <w:p>
      <w:pPr>
        <w:tabs>
          <w:tab w:val="left" w:pos="840"/>
          <w:tab w:val="left" w:pos="1843"/>
        </w:tabs>
        <w:spacing w:before="0" w:after="0" w:afterAutospacing="0"/>
        <w:ind w:left="0" w:right="0" w:firstLine="420" w:firstLineChars="200"/>
        <w:outlineLvl w:val="1"/>
        <w:rPr>
          <w:rFonts w:ascii="宋体" w:hAnsi="宋体"/>
          <w:bCs/>
        </w:rPr>
      </w:pPr>
      <w:bookmarkStart w:id="373" w:name="_Toc24802"/>
      <w:r>
        <w:rPr>
          <w:rFonts w:hint="eastAsia" w:ascii="宋体" w:hAnsi="宋体"/>
          <w:bCs/>
        </w:rPr>
        <w:t>（</w:t>
      </w:r>
      <w:r>
        <w:rPr>
          <w:rFonts w:ascii="宋体" w:hAnsi="宋体"/>
          <w:bCs/>
        </w:rPr>
        <w:t>1</w:t>
      </w:r>
      <w:r>
        <w:rPr>
          <w:rFonts w:hint="eastAsia" w:ascii="宋体" w:hAnsi="宋体"/>
          <w:bCs/>
        </w:rPr>
        <w:t>）提交南宁仲裁委员会仲裁；</w:t>
      </w:r>
      <w:bookmarkEnd w:id="373"/>
    </w:p>
    <w:p>
      <w:pPr>
        <w:tabs>
          <w:tab w:val="left" w:pos="840"/>
          <w:tab w:val="left" w:pos="1843"/>
        </w:tabs>
        <w:spacing w:before="0" w:after="0" w:afterAutospacing="0"/>
        <w:ind w:left="0" w:right="0" w:firstLine="420" w:firstLineChars="200"/>
        <w:outlineLvl w:val="1"/>
        <w:rPr>
          <w:rFonts w:ascii="宋体" w:hAnsi="宋体"/>
          <w:bCs/>
        </w:rPr>
      </w:pPr>
      <w:bookmarkStart w:id="374" w:name="_Toc13933"/>
      <w:r>
        <w:rPr>
          <w:rFonts w:hint="eastAsia" w:ascii="宋体" w:hAnsi="宋体"/>
          <w:bCs/>
        </w:rPr>
        <w:t>（</w:t>
      </w:r>
      <w:r>
        <w:rPr>
          <w:rFonts w:ascii="宋体" w:hAnsi="宋体"/>
          <w:bCs/>
        </w:rPr>
        <w:t>2</w:t>
      </w:r>
      <w:r>
        <w:rPr>
          <w:rFonts w:hint="eastAsia" w:ascii="宋体" w:hAnsi="宋体"/>
          <w:bCs/>
        </w:rPr>
        <w:t>）依法向甲方所在地人民法院起诉。</w:t>
      </w:r>
      <w:bookmarkEnd w:id="374"/>
    </w:p>
    <w:p>
      <w:pPr>
        <w:tabs>
          <w:tab w:val="left" w:pos="840"/>
          <w:tab w:val="left" w:pos="1843"/>
        </w:tabs>
        <w:spacing w:before="0" w:after="0" w:afterAutospacing="0"/>
        <w:ind w:left="0" w:right="0" w:firstLine="420" w:firstLineChars="200"/>
        <w:outlineLvl w:val="1"/>
        <w:rPr>
          <w:rFonts w:ascii="宋体" w:hAnsi="宋体"/>
          <w:bCs/>
        </w:rPr>
      </w:pPr>
      <w:bookmarkStart w:id="375" w:name="_Toc11522"/>
      <w:r>
        <w:rPr>
          <w:rFonts w:ascii="宋体" w:hAnsi="宋体"/>
          <w:bCs/>
        </w:rPr>
        <w:t>1</w:t>
      </w:r>
      <w:r>
        <w:rPr>
          <w:rFonts w:hint="eastAsia" w:ascii="宋体" w:hAnsi="宋体"/>
          <w:bCs/>
        </w:rPr>
        <w:t>8</w:t>
      </w:r>
      <w:r>
        <w:rPr>
          <w:rFonts w:ascii="宋体" w:hAnsi="宋体"/>
          <w:bCs/>
        </w:rPr>
        <w:t>.3</w:t>
      </w:r>
      <w:r>
        <w:rPr>
          <w:rFonts w:hint="eastAsia" w:ascii="宋体" w:hAnsi="宋体"/>
          <w:bCs/>
        </w:rPr>
        <w:t>发生争议后，除非出现下列情况的，双方都应继续履行合同，保持施工连续并保护好已完项目：</w:t>
      </w:r>
      <w:bookmarkEnd w:id="375"/>
    </w:p>
    <w:p>
      <w:pPr>
        <w:tabs>
          <w:tab w:val="left" w:pos="840"/>
          <w:tab w:val="left" w:pos="1843"/>
        </w:tabs>
        <w:spacing w:before="0" w:after="0" w:afterAutospacing="0"/>
        <w:ind w:left="0" w:right="0" w:firstLine="420" w:firstLineChars="200"/>
        <w:outlineLvl w:val="1"/>
        <w:rPr>
          <w:rFonts w:ascii="宋体" w:hAnsi="宋体"/>
          <w:bCs/>
        </w:rPr>
      </w:pPr>
      <w:bookmarkStart w:id="376" w:name="_Toc28823"/>
      <w:r>
        <w:rPr>
          <w:rFonts w:hint="eastAsia" w:ascii="宋体" w:hAnsi="宋体"/>
          <w:bCs/>
        </w:rPr>
        <w:t>（</w:t>
      </w:r>
      <w:r>
        <w:rPr>
          <w:rFonts w:ascii="宋体" w:hAnsi="宋体"/>
          <w:bCs/>
        </w:rPr>
        <w:t>1</w:t>
      </w:r>
      <w:r>
        <w:rPr>
          <w:rFonts w:hint="eastAsia" w:ascii="宋体" w:hAnsi="宋体"/>
          <w:bCs/>
        </w:rPr>
        <w:t>）单方违约导致合同确己无法履行，双方协议停止施工；</w:t>
      </w:r>
      <w:bookmarkEnd w:id="376"/>
    </w:p>
    <w:p>
      <w:pPr>
        <w:tabs>
          <w:tab w:val="left" w:pos="840"/>
          <w:tab w:val="left" w:pos="1843"/>
        </w:tabs>
        <w:spacing w:before="0" w:after="0" w:afterAutospacing="0"/>
        <w:ind w:left="0" w:right="0" w:firstLine="420" w:firstLineChars="200"/>
        <w:outlineLvl w:val="1"/>
        <w:rPr>
          <w:rFonts w:ascii="宋体" w:hAnsi="宋体"/>
          <w:bCs/>
        </w:rPr>
      </w:pPr>
      <w:bookmarkStart w:id="377" w:name="_Toc13381"/>
      <w:r>
        <w:rPr>
          <w:rFonts w:hint="eastAsia" w:ascii="宋体" w:hAnsi="宋体"/>
          <w:bCs/>
        </w:rPr>
        <w:t>（</w:t>
      </w:r>
      <w:r>
        <w:rPr>
          <w:rFonts w:ascii="宋体" w:hAnsi="宋体"/>
          <w:bCs/>
        </w:rPr>
        <w:t>2</w:t>
      </w:r>
      <w:r>
        <w:rPr>
          <w:rFonts w:hint="eastAsia" w:ascii="宋体" w:hAnsi="宋体"/>
          <w:bCs/>
        </w:rPr>
        <w:t>）不可抗力导致合同无法履行；</w:t>
      </w:r>
      <w:bookmarkEnd w:id="377"/>
    </w:p>
    <w:p>
      <w:pPr>
        <w:tabs>
          <w:tab w:val="left" w:pos="840"/>
          <w:tab w:val="left" w:pos="1843"/>
        </w:tabs>
        <w:spacing w:before="0" w:after="0" w:afterAutospacing="0"/>
        <w:ind w:left="0" w:right="0" w:firstLine="420" w:firstLineChars="200"/>
        <w:outlineLvl w:val="1"/>
        <w:rPr>
          <w:rFonts w:ascii="宋体" w:hAnsi="宋体"/>
          <w:bCs/>
        </w:rPr>
      </w:pPr>
      <w:bookmarkStart w:id="378" w:name="_Toc28837"/>
      <w:r>
        <w:rPr>
          <w:rFonts w:hint="eastAsia" w:ascii="宋体" w:hAnsi="宋体"/>
          <w:bCs/>
        </w:rPr>
        <w:t>（</w:t>
      </w:r>
      <w:r>
        <w:rPr>
          <w:rFonts w:ascii="宋体" w:hAnsi="宋体"/>
          <w:bCs/>
        </w:rPr>
        <w:t>3</w:t>
      </w:r>
      <w:r>
        <w:rPr>
          <w:rFonts w:hint="eastAsia" w:ascii="宋体" w:hAnsi="宋体"/>
          <w:bCs/>
        </w:rPr>
        <w:t>）调解要求停止施工，且为双方接受；</w:t>
      </w:r>
      <w:bookmarkEnd w:id="378"/>
    </w:p>
    <w:p>
      <w:pPr>
        <w:tabs>
          <w:tab w:val="left" w:pos="840"/>
          <w:tab w:val="left" w:pos="1843"/>
        </w:tabs>
        <w:spacing w:before="0" w:after="0" w:afterAutospacing="0"/>
        <w:ind w:left="0" w:right="0" w:firstLine="420" w:firstLineChars="200"/>
        <w:outlineLvl w:val="1"/>
        <w:rPr>
          <w:rFonts w:ascii="宋体" w:hAnsi="宋体"/>
          <w:bCs/>
        </w:rPr>
      </w:pPr>
      <w:bookmarkStart w:id="379" w:name="_Toc19771"/>
      <w:r>
        <w:rPr>
          <w:rFonts w:hint="eastAsia" w:ascii="宋体" w:hAnsi="宋体"/>
          <w:bCs/>
        </w:rPr>
        <w:t>（</w:t>
      </w:r>
      <w:r>
        <w:rPr>
          <w:rFonts w:ascii="宋体" w:hAnsi="宋体"/>
          <w:bCs/>
        </w:rPr>
        <w:t>4</w:t>
      </w:r>
      <w:r>
        <w:rPr>
          <w:rFonts w:hint="eastAsia" w:ascii="宋体" w:hAnsi="宋体"/>
          <w:bCs/>
        </w:rPr>
        <w:t>）仲裁机关要求停止施工；</w:t>
      </w:r>
      <w:bookmarkEnd w:id="379"/>
    </w:p>
    <w:p>
      <w:pPr>
        <w:tabs>
          <w:tab w:val="left" w:pos="840"/>
          <w:tab w:val="left" w:pos="1843"/>
        </w:tabs>
        <w:spacing w:before="0" w:after="0" w:afterAutospacing="0"/>
        <w:ind w:left="0" w:right="0" w:firstLine="420" w:firstLineChars="200"/>
        <w:outlineLvl w:val="1"/>
        <w:rPr>
          <w:rFonts w:ascii="宋体" w:hAnsi="宋体"/>
          <w:bCs/>
        </w:rPr>
      </w:pPr>
      <w:bookmarkStart w:id="380" w:name="_Toc19084"/>
      <w:r>
        <w:rPr>
          <w:rFonts w:hint="eastAsia" w:ascii="宋体" w:hAnsi="宋体"/>
          <w:bCs/>
        </w:rPr>
        <w:t>（</w:t>
      </w:r>
      <w:r>
        <w:rPr>
          <w:rFonts w:ascii="宋体" w:hAnsi="宋体"/>
          <w:bCs/>
        </w:rPr>
        <w:t>5</w:t>
      </w:r>
      <w:r>
        <w:rPr>
          <w:rFonts w:hint="eastAsia" w:ascii="宋体" w:hAnsi="宋体"/>
          <w:bCs/>
        </w:rPr>
        <w:t>）法院要求停止施工。</w:t>
      </w:r>
      <w:bookmarkEnd w:id="380"/>
    </w:p>
    <w:p>
      <w:pPr>
        <w:tabs>
          <w:tab w:val="left" w:pos="840"/>
          <w:tab w:val="left" w:pos="1843"/>
        </w:tabs>
        <w:spacing w:before="0" w:after="0" w:afterAutospacing="0"/>
        <w:ind w:left="422" w:right="0" w:firstLine="0"/>
        <w:outlineLvl w:val="1"/>
        <w:rPr>
          <w:rFonts w:ascii="宋体" w:hAnsi="宋体"/>
          <w:b/>
        </w:rPr>
      </w:pPr>
      <w:bookmarkStart w:id="381" w:name="_Toc208"/>
      <w:r>
        <w:rPr>
          <w:rFonts w:hint="eastAsia" w:ascii="宋体" w:hAnsi="宋体"/>
          <w:b/>
        </w:rPr>
        <w:t>19.合同生效和签约地</w:t>
      </w:r>
      <w:bookmarkEnd w:id="381"/>
    </w:p>
    <w:p>
      <w:pPr>
        <w:tabs>
          <w:tab w:val="left" w:pos="960"/>
          <w:tab w:val="left" w:pos="8364"/>
        </w:tabs>
        <w:spacing w:before="0" w:after="0" w:afterAutospacing="0"/>
        <w:ind w:left="420" w:right="0" w:firstLine="0"/>
        <w:rPr>
          <w:rFonts w:ascii="宋体" w:hAnsi="宋体"/>
        </w:rPr>
      </w:pPr>
      <w:r>
        <w:rPr>
          <w:rFonts w:hint="eastAsia" w:ascii="宋体" w:hAnsi="宋体"/>
        </w:rPr>
        <w:t>本合同生效的时间以双方签署的协议书上的最后日期为准。</w:t>
      </w:r>
    </w:p>
    <w:p>
      <w:pPr>
        <w:tabs>
          <w:tab w:val="left" w:pos="960"/>
          <w:tab w:val="left" w:pos="8364"/>
        </w:tabs>
        <w:spacing w:before="0" w:after="0" w:afterAutospacing="0"/>
        <w:ind w:left="420" w:right="0" w:firstLine="0"/>
        <w:rPr>
          <w:rFonts w:ascii="宋体" w:hAnsi="宋体"/>
        </w:rPr>
      </w:pPr>
      <w:r>
        <w:rPr>
          <w:rFonts w:hint="eastAsia" w:ascii="宋体" w:hAnsi="宋体"/>
        </w:rPr>
        <w:t>本合同签约地为中华人民共和国广西壮族自治区南宁市青秀区。</w:t>
      </w:r>
    </w:p>
    <w:p>
      <w:pPr>
        <w:tabs>
          <w:tab w:val="left" w:pos="960"/>
          <w:tab w:val="left" w:pos="8364"/>
        </w:tabs>
        <w:spacing w:before="0" w:after="0" w:afterAutospacing="0"/>
        <w:ind w:left="420" w:right="0" w:firstLine="0"/>
        <w:rPr>
          <w:rFonts w:ascii="宋体" w:hAnsi="宋体"/>
        </w:rPr>
      </w:pPr>
      <w:r>
        <w:rPr>
          <w:rFonts w:hint="eastAsia" w:ascii="宋体" w:hAnsi="宋体"/>
        </w:rPr>
        <w:t>本合同经双方法定代表人或授权代表在合同上签字并加盖单位公章后生效。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tabs>
          <w:tab w:val="left" w:pos="840"/>
          <w:tab w:val="left" w:pos="1843"/>
        </w:tabs>
        <w:spacing w:before="0" w:afterAutospacing="0"/>
        <w:ind w:left="0" w:right="0" w:firstLine="422" w:firstLineChars="200"/>
        <w:outlineLvl w:val="1"/>
        <w:rPr>
          <w:rFonts w:hint="eastAsia" w:ascii="宋体" w:hAnsi="宋体"/>
          <w:b/>
        </w:rPr>
      </w:pPr>
      <w:bookmarkStart w:id="382" w:name="_Toc23824"/>
      <w:r>
        <w:rPr>
          <w:rFonts w:hint="eastAsia" w:ascii="宋体" w:hAnsi="宋体"/>
          <w:b/>
          <w:lang w:val="en-US" w:eastAsia="zh-CN"/>
        </w:rPr>
        <w:t>20.</w:t>
      </w:r>
      <w:r>
        <w:rPr>
          <w:rFonts w:hint="eastAsia" w:ascii="宋体" w:hAnsi="宋体"/>
          <w:b/>
        </w:rPr>
        <w:t>履约担保</w:t>
      </w:r>
    </w:p>
    <w:p>
      <w:pPr>
        <w:numPr>
          <w:ilvl w:val="-1"/>
          <w:numId w:val="0"/>
        </w:numPr>
        <w:tabs>
          <w:tab w:val="left" w:pos="540"/>
          <w:tab w:val="left" w:pos="960"/>
        </w:tabs>
        <w:adjustRightInd w:val="0"/>
        <w:spacing w:before="0" w:afterAutospacing="0" w:line="400" w:lineRule="exact"/>
        <w:ind w:left="0" w:right="0" w:firstLine="420" w:firstLineChars="200"/>
        <w:jc w:val="left"/>
        <w:rPr>
          <w:rFonts w:hint="eastAsia" w:ascii="宋体" w:hAnsi="宋体" w:cs="Times New Roman"/>
        </w:rPr>
      </w:pPr>
      <w:r>
        <w:rPr>
          <w:rFonts w:hint="eastAsia" w:ascii="宋体" w:hAnsi="宋体" w:cs="Times New Roman"/>
          <w:lang w:val="en-US" w:eastAsia="zh-CN"/>
        </w:rPr>
        <w:t>20.1</w:t>
      </w:r>
      <w:r>
        <w:rPr>
          <w:rFonts w:hint="eastAsia" w:ascii="宋体" w:hAnsi="宋体" w:cs="Times New Roman"/>
        </w:rPr>
        <w:t>在合同签订前，乙方应向甲方提供履约担保，履约担保金额为</w:t>
      </w:r>
      <w:r>
        <w:rPr>
          <w:rFonts w:hint="eastAsia" w:ascii="宋体" w:hAnsi="宋体" w:cs="Times New Roman"/>
          <w:lang w:val="en-US" w:eastAsia="zh-CN"/>
        </w:rPr>
        <w:t>合同价格</w:t>
      </w:r>
      <w:r>
        <w:rPr>
          <w:rFonts w:hint="eastAsia" w:ascii="宋体" w:hAnsi="宋体" w:cs="Times New Roman"/>
        </w:rPr>
        <w:t>的</w:t>
      </w:r>
      <w:r>
        <w:rPr>
          <w:rFonts w:hint="eastAsia" w:ascii="宋体" w:hAnsi="宋体" w:cs="Times New Roman"/>
          <w:lang w:val="en-US" w:eastAsia="zh-CN"/>
        </w:rPr>
        <w:t>2.5</w:t>
      </w:r>
      <w:r>
        <w:rPr>
          <w:rFonts w:hint="eastAsia" w:ascii="宋体" w:hAnsi="宋体" w:cs="Times New Roman"/>
        </w:rPr>
        <w:t>%，履约担保可以采用履约保证金的形式。</w:t>
      </w:r>
    </w:p>
    <w:p>
      <w:pPr>
        <w:tabs>
          <w:tab w:val="left" w:pos="540"/>
          <w:tab w:val="left" w:pos="960"/>
        </w:tabs>
        <w:adjustRightInd w:val="0"/>
        <w:spacing w:before="0" w:afterAutospacing="0"/>
        <w:ind w:right="0" w:firstLine="420" w:firstLineChars="200"/>
        <w:jc w:val="left"/>
        <w:rPr>
          <w:rFonts w:hint="eastAsia" w:ascii="宋体" w:hAnsi="宋体" w:cs="Times New Roman"/>
        </w:rPr>
      </w:pPr>
      <w:r>
        <w:rPr>
          <w:rFonts w:hint="eastAsia" w:ascii="宋体" w:hAnsi="宋体" w:cs="Times New Roman"/>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1"/>
          <w:numId w:val="0"/>
        </w:numPr>
        <w:tabs>
          <w:tab w:val="left" w:pos="540"/>
          <w:tab w:val="left" w:pos="960"/>
        </w:tabs>
        <w:adjustRightInd w:val="0"/>
        <w:spacing w:before="0" w:afterAutospacing="0" w:line="400" w:lineRule="exact"/>
        <w:ind w:left="0" w:right="0" w:firstLine="420" w:firstLineChars="200"/>
        <w:jc w:val="left"/>
        <w:rPr>
          <w:rFonts w:hint="eastAsia" w:ascii="宋体" w:hAnsi="宋体" w:cs="Times New Roman"/>
        </w:rPr>
      </w:pPr>
      <w:r>
        <w:rPr>
          <w:rFonts w:hint="eastAsia" w:ascii="宋体" w:hAnsi="宋体" w:cs="Times New Roman"/>
          <w:lang w:val="en-US" w:eastAsia="zh-CN"/>
        </w:rPr>
        <w:t>20.2</w:t>
      </w:r>
      <w:r>
        <w:rPr>
          <w:rFonts w:hint="eastAsia" w:ascii="宋体" w:hAnsi="宋体" w:cs="Times New Roman"/>
        </w:rPr>
        <w:t>履约担保应从生效之日起至全部货物验收合格之日后四十五（45）天一直有效。如本项目实际</w:t>
      </w:r>
      <w:r>
        <w:rPr>
          <w:rFonts w:hint="eastAsia" w:ascii="宋体" w:hAnsi="宋体" w:cs="Times New Roman"/>
          <w:lang w:val="en-US" w:eastAsia="zh-CN"/>
        </w:rPr>
        <w:t>最终</w:t>
      </w:r>
      <w:r>
        <w:rPr>
          <w:rFonts w:hint="eastAsia" w:ascii="宋体" w:hAnsi="宋体" w:cs="Times New Roman"/>
        </w:rPr>
        <w:t>验收合格日期超出该履约担保写明的日期，则乙方应相应延长履约担保的日期，当出现逾期验收而未及时办理保函续费手续时，甲方有权暂停剩余费用的支付，并收取合同总价千分之三的违约金。</w:t>
      </w:r>
    </w:p>
    <w:p>
      <w:pPr>
        <w:numPr>
          <w:ilvl w:val="-1"/>
          <w:numId w:val="0"/>
        </w:numPr>
        <w:tabs>
          <w:tab w:val="left" w:pos="540"/>
          <w:tab w:val="left" w:pos="960"/>
        </w:tabs>
        <w:adjustRightInd w:val="0"/>
        <w:spacing w:before="0" w:afterAutospacing="0" w:line="400" w:lineRule="exact"/>
        <w:ind w:left="0" w:right="0" w:firstLine="420" w:firstLineChars="200"/>
        <w:jc w:val="left"/>
        <w:rPr>
          <w:rFonts w:hint="eastAsia" w:ascii="宋体" w:hAnsi="宋体" w:cs="Times New Roman"/>
        </w:rPr>
      </w:pPr>
      <w:r>
        <w:rPr>
          <w:rFonts w:hint="eastAsia" w:ascii="宋体" w:hAnsi="宋体" w:cs="Times New Roman"/>
          <w:lang w:val="en-US" w:eastAsia="zh-CN"/>
        </w:rPr>
        <w:t>20.3</w:t>
      </w:r>
      <w:r>
        <w:rPr>
          <w:rFonts w:hint="eastAsia" w:ascii="宋体" w:hAnsi="宋体" w:cs="Times New Roman"/>
        </w:rPr>
        <w:t>履约担保币种应为人民币。</w:t>
      </w:r>
    </w:p>
    <w:p>
      <w:pPr>
        <w:numPr>
          <w:ilvl w:val="-1"/>
          <w:numId w:val="0"/>
        </w:numPr>
        <w:tabs>
          <w:tab w:val="left" w:pos="540"/>
          <w:tab w:val="left" w:pos="960"/>
        </w:tabs>
        <w:adjustRightInd w:val="0"/>
        <w:spacing w:before="0" w:afterAutospacing="0" w:line="400" w:lineRule="exact"/>
        <w:ind w:left="0" w:right="0" w:firstLine="420" w:firstLineChars="200"/>
        <w:jc w:val="left"/>
        <w:rPr>
          <w:rFonts w:hint="eastAsia" w:ascii="宋体" w:hAnsi="宋体" w:cs="Times New Roman"/>
        </w:rPr>
      </w:pPr>
      <w:r>
        <w:rPr>
          <w:rFonts w:hint="eastAsia" w:ascii="宋体" w:hAnsi="宋体" w:cs="Times New Roman"/>
          <w:lang w:val="en-US" w:eastAsia="zh-CN"/>
        </w:rPr>
        <w:t>20.4</w:t>
      </w:r>
      <w:r>
        <w:rPr>
          <w:rFonts w:hint="eastAsia" w:ascii="宋体" w:hAnsi="宋体" w:cs="Times New Roman"/>
        </w:rPr>
        <w:t>乙方提交履约担保所产生的费用由乙方承担。</w:t>
      </w:r>
    </w:p>
    <w:p>
      <w:pPr>
        <w:numPr>
          <w:ilvl w:val="-1"/>
          <w:numId w:val="0"/>
        </w:numPr>
        <w:tabs>
          <w:tab w:val="left" w:pos="540"/>
          <w:tab w:val="left" w:pos="960"/>
        </w:tabs>
        <w:adjustRightInd w:val="0"/>
        <w:spacing w:before="0" w:afterAutospacing="0" w:line="400" w:lineRule="exact"/>
        <w:ind w:left="0" w:right="0" w:firstLine="420" w:firstLineChars="200"/>
        <w:jc w:val="left"/>
        <w:rPr>
          <w:rFonts w:hint="eastAsia" w:ascii="宋体" w:hAnsi="宋体" w:cs="Times New Roman"/>
        </w:rPr>
      </w:pPr>
      <w:r>
        <w:rPr>
          <w:rFonts w:hint="eastAsia" w:ascii="宋体" w:hAnsi="宋体" w:cs="Times New Roman"/>
          <w:lang w:val="en-US" w:eastAsia="zh-CN"/>
        </w:rPr>
        <w:t>20.5</w:t>
      </w:r>
      <w:r>
        <w:rPr>
          <w:rFonts w:hint="eastAsia" w:ascii="宋体" w:hAnsi="宋体" w:cs="Times New Roman"/>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hint="eastAsia" w:ascii="宋体" w:hAnsi="宋体" w:cs="Times New Roman"/>
          <w:lang w:val="en-US" w:eastAsia="zh-CN"/>
        </w:rPr>
        <w:t>2.5</w:t>
      </w:r>
      <w:r>
        <w:rPr>
          <w:rFonts w:hint="eastAsia" w:ascii="宋体" w:hAnsi="宋体" w:cs="Times New Roman"/>
        </w:rPr>
        <w:t>%，乙方应及时补足担保金额，每逾期一天，按照应补未补部分的千分之三向甲方支付违约金，甲方有权在货款中扣留。</w:t>
      </w:r>
    </w:p>
    <w:p>
      <w:pPr>
        <w:numPr>
          <w:ilvl w:val="-1"/>
          <w:numId w:val="0"/>
        </w:numPr>
        <w:tabs>
          <w:tab w:val="left" w:pos="540"/>
          <w:tab w:val="left" w:pos="960"/>
        </w:tabs>
        <w:adjustRightInd w:val="0"/>
        <w:spacing w:before="0" w:afterAutospacing="0" w:line="400" w:lineRule="exact"/>
        <w:ind w:left="0" w:right="0" w:firstLine="420" w:firstLineChars="200"/>
        <w:jc w:val="left"/>
        <w:rPr>
          <w:rFonts w:hint="eastAsia" w:ascii="宋体" w:hAnsi="宋体"/>
        </w:rPr>
      </w:pPr>
      <w:r>
        <w:rPr>
          <w:rFonts w:hint="eastAsia" w:ascii="宋体" w:hAnsi="宋体" w:cs="Times New Roman"/>
          <w:lang w:val="en-US" w:eastAsia="zh-CN"/>
        </w:rPr>
        <w:t>20.6</w:t>
      </w:r>
      <w:r>
        <w:rPr>
          <w:rFonts w:hint="eastAsia" w:ascii="宋体" w:hAnsi="宋体" w:cs="Times New Roman"/>
        </w:rPr>
        <w:t>履约担保在本合同结束后，根据履约期间甲方的索赔情况，将剩余履约担保款项无息退还乙方。</w:t>
      </w:r>
    </w:p>
    <w:p>
      <w:pPr>
        <w:tabs>
          <w:tab w:val="left" w:pos="840"/>
          <w:tab w:val="left" w:pos="1843"/>
        </w:tabs>
        <w:spacing w:before="0" w:after="0" w:afterAutospacing="0"/>
        <w:ind w:left="0" w:right="0" w:firstLine="422" w:firstLineChars="200"/>
        <w:outlineLvl w:val="1"/>
        <w:rPr>
          <w:rFonts w:ascii="宋体" w:hAnsi="宋体"/>
          <w:b/>
        </w:rPr>
      </w:pPr>
      <w:r>
        <w:rPr>
          <w:rFonts w:hint="eastAsia" w:ascii="宋体" w:hAnsi="宋体"/>
          <w:b/>
        </w:rPr>
        <w:t>2</w:t>
      </w:r>
      <w:r>
        <w:rPr>
          <w:rFonts w:hint="eastAsia" w:ascii="宋体" w:hAnsi="宋体"/>
          <w:b/>
          <w:lang w:val="en-US" w:eastAsia="zh-CN"/>
        </w:rPr>
        <w:t>1</w:t>
      </w:r>
      <w:r>
        <w:rPr>
          <w:rFonts w:hint="eastAsia" w:ascii="宋体" w:hAnsi="宋体"/>
          <w:b/>
        </w:rPr>
        <w:t>.其他</w:t>
      </w:r>
      <w:bookmarkEnd w:id="382"/>
    </w:p>
    <w:p>
      <w:pPr>
        <w:tabs>
          <w:tab w:val="left" w:pos="840"/>
          <w:tab w:val="left" w:pos="1843"/>
        </w:tabs>
        <w:spacing w:before="0" w:after="0" w:afterAutospacing="0"/>
        <w:ind w:left="422" w:right="0" w:firstLine="0"/>
        <w:outlineLvl w:val="1"/>
        <w:rPr>
          <w:rFonts w:ascii="宋体" w:hAnsi="宋体"/>
          <w:b/>
        </w:rPr>
      </w:pPr>
      <w:bookmarkStart w:id="383" w:name="_Toc28188"/>
      <w:r>
        <w:rPr>
          <w:rFonts w:hint="eastAsia"/>
        </w:rPr>
        <w:t>本合同未尽事宜，由双方协商解决，必要时可签订补充合同。</w:t>
      </w:r>
      <w:bookmarkEnd w:id="383"/>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Pr>
        <w:tabs>
          <w:tab w:val="left" w:pos="840"/>
          <w:tab w:val="left" w:pos="1843"/>
        </w:tabs>
        <w:spacing w:before="0" w:afterAutospacing="0"/>
        <w:ind w:right="0"/>
        <w:outlineLvl w:val="1"/>
        <w:rPr>
          <w:rFonts w:ascii="宋体" w:hAnsi="宋体"/>
          <w:b/>
          <w:color w:val="auto"/>
        </w:rPr>
      </w:pPr>
      <w:bookmarkStart w:id="384" w:name="_Toc21635"/>
      <w:bookmarkStart w:id="385" w:name="_Toc13288"/>
      <w:bookmarkStart w:id="386" w:name="_Toc16443"/>
      <w:bookmarkStart w:id="387" w:name="_Toc12983548"/>
      <w:bookmarkStart w:id="388" w:name="_Toc27258"/>
      <w:bookmarkStart w:id="389" w:name="_Toc16716"/>
      <w:bookmarkStart w:id="390" w:name="_Toc21659"/>
      <w:bookmarkStart w:id="391" w:name="_Toc29249"/>
      <w:bookmarkStart w:id="392" w:name="_Toc5644"/>
      <w:bookmarkStart w:id="393" w:name="_Toc21033"/>
      <w:bookmarkStart w:id="394" w:name="_Toc12470"/>
      <w:bookmarkStart w:id="395" w:name="_Toc6194"/>
      <w:bookmarkStart w:id="396" w:name="_Toc2753"/>
      <w:bookmarkStart w:id="397" w:name="_Toc5186"/>
      <w:bookmarkStart w:id="398" w:name="_Toc27316"/>
      <w:bookmarkStart w:id="399" w:name="_Toc14997"/>
      <w:bookmarkStart w:id="400" w:name="_Toc19448"/>
      <w:bookmarkStart w:id="401" w:name="_Toc21372"/>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1134"/>
          <w:tab w:val="left" w:pos="8364"/>
        </w:tabs>
        <w:spacing w:before="0" w:afterAutospacing="0"/>
        <w:ind w:right="-57"/>
        <w:rPr>
          <w:rFonts w:hint="eastAsia" w:ascii="宋体" w:hAnsi="宋体"/>
          <w:b/>
          <w:color w:val="auto"/>
          <w:sz w:val="24"/>
          <w:szCs w:val="24"/>
        </w:rPr>
      </w:pPr>
    </w:p>
    <w:p>
      <w:pPr>
        <w:tabs>
          <w:tab w:val="left" w:pos="1134"/>
          <w:tab w:val="left" w:pos="8364"/>
        </w:tabs>
        <w:spacing w:before="0" w:afterAutospacing="0"/>
        <w:ind w:right="-57"/>
        <w:rPr>
          <w:ins w:id="0" w:author="BHKoBKcYz5lya0vEnNZS4cMVAG61DL0ZCxt5vy1le99vz1AeaMG7XKVy9KCJGor/SHLDgkCXtTkvy3iHRK9WNg==" w:date="2023-03-03T16:19:17Z"/>
          <w:rFonts w:hint="eastAsia" w:ascii="宋体" w:hAnsi="宋体"/>
          <w:b/>
          <w:color w:val="auto"/>
          <w:sz w:val="24"/>
          <w:szCs w:val="24"/>
        </w:rPr>
      </w:pPr>
    </w:p>
    <w:p>
      <w:pPr>
        <w:tabs>
          <w:tab w:val="left" w:pos="1134"/>
          <w:tab w:val="left" w:pos="8364"/>
        </w:tabs>
        <w:spacing w:before="0" w:afterAutospacing="0"/>
        <w:ind w:right="-57"/>
        <w:rPr>
          <w:ins w:id="1" w:author="BHKoBKcYz5lya0vEnNZS4cMVAG61DL0ZCxt5vy1le99vz1AeaMG7XKVy9KCJGor/SHLDgkCXtTkvy3iHRK9WNg==" w:date="2023-03-03T16:19:18Z"/>
          <w:rFonts w:hint="eastAsia" w:ascii="宋体" w:hAnsi="宋体"/>
          <w:b/>
          <w:color w:val="auto"/>
          <w:sz w:val="24"/>
          <w:szCs w:val="24"/>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5"/>
        <w:ind w:right="-57"/>
        <w:rPr>
          <w:rFonts w:hAnsi="宋体"/>
          <w:color w:val="auto"/>
          <w:spacing w:val="20"/>
        </w:rPr>
      </w:pPr>
      <w:r>
        <w:rPr>
          <w:rFonts w:hint="eastAsia" w:hAnsi="宋体"/>
          <w:color w:val="auto"/>
          <w:spacing w:val="20"/>
        </w:rPr>
        <w:t>保函编号：</w:t>
      </w:r>
    </w:p>
    <w:p>
      <w:pPr>
        <w:autoSpaceDE w:val="0"/>
        <w:autoSpaceDN w:val="0"/>
        <w:ind w:right="-57"/>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南宁轨道交通2号线东延线、4、5号线地铁保护区界标委外维保项目（2022-2023）</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南宁轨道交通2号线东延线、4、5号线地铁保护区界标委外维保项目（2022-2023）</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bookmarkStart w:id="402" w:name="_GoBack"/>
      <w:bookmarkEnd w:id="402"/>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202210210005</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10"/>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bl>
    <w:p>
      <w:pPr>
        <w:tabs>
          <w:tab w:val="left" w:pos="840"/>
          <w:tab w:val="left" w:pos="1843"/>
        </w:tabs>
        <w:spacing w:before="0" w:afterAutospacing="0"/>
        <w:ind w:right="0"/>
        <w:outlineLvl w:val="1"/>
        <w:rPr>
          <w:rFonts w:ascii="宋体" w:hAnsi="宋体"/>
          <w:b/>
          <w:color w:val="auto"/>
        </w:rPr>
        <w:sectPr>
          <w:footerReference r:id="rId8" w:type="default"/>
          <w:pgSz w:w="11905" w:h="16838"/>
          <w:pgMar w:top="1417" w:right="1417" w:bottom="1417" w:left="1417" w:header="454" w:footer="567" w:gutter="0"/>
          <w:cols w:space="720" w:num="1"/>
          <w:docGrid w:linePitch="312" w:charSpace="0"/>
        </w:sectPr>
      </w:pP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numPr>
          <w:ilvl w:val="0"/>
          <w:numId w:val="3"/>
        </w:numPr>
        <w:spacing w:before="0" w:line="360" w:lineRule="auto"/>
        <w:ind w:left="420" w:leftChars="200" w:right="0"/>
        <w:jc w:val="center"/>
        <w:outlineLvl w:val="1"/>
        <w:rPr>
          <w:rStyle w:val="15"/>
          <w:color w:val="auto"/>
          <w:szCs w:val="22"/>
        </w:rPr>
      </w:pPr>
      <w:r>
        <w:rPr>
          <w:rStyle w:val="15"/>
          <w:rFonts w:hint="eastAsia"/>
          <w:color w:val="auto"/>
          <w:szCs w:val="22"/>
        </w:rPr>
        <w:t>价格组成文件</w:t>
      </w:r>
    </w:p>
    <w:p>
      <w:pPr>
        <w:spacing w:before="0" w:line="360" w:lineRule="auto"/>
        <w:ind w:right="0"/>
        <w:jc w:val="center"/>
        <w:outlineLvl w:val="1"/>
        <w:rPr>
          <w:rStyle w:val="15"/>
          <w:color w:val="auto"/>
          <w:szCs w:val="22"/>
        </w:rPr>
      </w:pPr>
    </w:p>
    <w:p>
      <w:pPr>
        <w:spacing w:before="0" w:line="360" w:lineRule="auto"/>
        <w:ind w:right="0"/>
        <w:outlineLvl w:val="1"/>
        <w:rPr>
          <w:rStyle w:val="15"/>
          <w:color w:val="auto"/>
          <w:szCs w:val="22"/>
        </w:rPr>
      </w:pPr>
    </w:p>
    <w:p>
      <w:pPr>
        <w:numPr>
          <w:ilvl w:val="0"/>
          <w:numId w:val="3"/>
        </w:numPr>
        <w:spacing w:before="0" w:line="360" w:lineRule="auto"/>
        <w:ind w:left="420" w:leftChars="200" w:right="0"/>
        <w:jc w:val="center"/>
        <w:outlineLvl w:val="1"/>
        <w:rPr>
          <w:rStyle w:val="15"/>
          <w:color w:val="auto"/>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3"/>
        </w:numPr>
        <w:spacing w:before="0" w:line="360" w:lineRule="auto"/>
        <w:ind w:left="420" w:leftChars="200" w:right="0"/>
        <w:jc w:val="center"/>
        <w:outlineLvl w:val="1"/>
        <w:rPr>
          <w:rStyle w:val="15"/>
          <w:color w:val="auto"/>
          <w:szCs w:val="22"/>
        </w:rPr>
      </w:pPr>
      <w:r>
        <w:rPr>
          <w:rStyle w:val="15"/>
          <w:rFonts w:hint="eastAsia"/>
          <w:color w:val="auto"/>
          <w:szCs w:val="22"/>
        </w:rPr>
        <w:t>技术需求及数量表</w:t>
      </w:r>
    </w:p>
    <w:p>
      <w:pPr>
        <w:spacing w:before="0" w:line="360" w:lineRule="auto"/>
        <w:ind w:left="420" w:leftChars="200" w:right="0"/>
        <w:outlineLvl w:val="1"/>
        <w:rPr>
          <w:rStyle w:val="15"/>
          <w:color w:val="auto"/>
          <w:szCs w:val="22"/>
        </w:rPr>
      </w:pPr>
      <w:r>
        <w:rPr>
          <w:rStyle w:val="15"/>
          <w:rFonts w:hint="eastAsia"/>
          <w:color w:val="auto"/>
          <w:szCs w:val="22"/>
        </w:rPr>
        <w:t>详见附件3</w:t>
      </w:r>
    </w:p>
    <w:p>
      <w:pPr>
        <w:spacing w:before="0" w:line="360" w:lineRule="auto"/>
        <w:ind w:left="420" w:leftChars="200" w:right="0"/>
        <w:outlineLvl w:val="1"/>
        <w:rPr>
          <w:rStyle w:val="15"/>
          <w:color w:val="auto"/>
          <w:szCs w:val="22"/>
        </w:rPr>
      </w:pPr>
    </w:p>
    <w:p>
      <w:pPr>
        <w:spacing w:before="0" w:line="360" w:lineRule="auto"/>
        <w:ind w:left="420" w:leftChars="200" w:right="0"/>
        <w:outlineLvl w:val="1"/>
        <w:rPr>
          <w:rStyle w:val="15"/>
          <w:color w:val="auto"/>
          <w:szCs w:val="22"/>
        </w:rPr>
      </w:pPr>
    </w:p>
    <w:p>
      <w:pPr>
        <w:spacing w:before="0" w:line="360" w:lineRule="auto"/>
        <w:ind w:left="420" w:leftChars="200" w:right="0"/>
        <w:outlineLvl w:val="1"/>
        <w:rPr>
          <w:rStyle w:val="15"/>
          <w:color w:val="auto"/>
          <w:szCs w:val="22"/>
        </w:rPr>
      </w:pPr>
    </w:p>
    <w:p>
      <w:pPr>
        <w:spacing w:before="0" w:line="360" w:lineRule="auto"/>
        <w:ind w:left="420" w:leftChars="200" w:right="0"/>
        <w:outlineLvl w:val="1"/>
        <w:rPr>
          <w:rStyle w:val="15"/>
          <w:color w:val="auto"/>
          <w:szCs w:val="22"/>
        </w:rPr>
      </w:pPr>
    </w:p>
    <w:p>
      <w:pPr>
        <w:spacing w:before="0" w:line="360" w:lineRule="auto"/>
        <w:ind w:right="0"/>
        <w:outlineLvl w:val="1"/>
        <w:rPr>
          <w:rStyle w:val="15"/>
          <w:color w:val="auto"/>
          <w:szCs w:val="22"/>
        </w:rPr>
      </w:pPr>
    </w:p>
    <w:p>
      <w:pPr>
        <w:spacing w:before="0" w:line="360" w:lineRule="auto"/>
        <w:ind w:right="0"/>
        <w:outlineLvl w:val="1"/>
        <w:rPr>
          <w:rStyle w:val="15"/>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5"/>
          <w:color w:val="auto"/>
          <w:szCs w:val="22"/>
        </w:rPr>
      </w:pPr>
    </w:p>
    <w:p>
      <w:pPr>
        <w:pStyle w:val="14"/>
        <w:numPr>
          <w:ilvl w:val="0"/>
          <w:numId w:val="3"/>
        </w:numPr>
        <w:jc w:val="center"/>
        <w:rPr>
          <w:rStyle w:val="15"/>
          <w:rFonts w:ascii="Times New Roman" w:hAnsi="Times New Roman"/>
          <w:color w:val="auto"/>
          <w:szCs w:val="22"/>
        </w:rPr>
      </w:pPr>
      <w:r>
        <w:rPr>
          <w:rStyle w:val="15"/>
          <w:rFonts w:hint="eastAsia" w:ascii="Times New Roman" w:hAnsi="Times New Roman"/>
          <w:color w:val="auto"/>
          <w:szCs w:val="22"/>
        </w:rPr>
        <w:t>询比价文件（另册）</w:t>
      </w: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ind w:left="200" w:firstLine="0"/>
        <w:rPr>
          <w:rStyle w:val="15"/>
          <w:rFonts w:ascii="Times New Roman" w:hAnsi="Times New Roman"/>
          <w:color w:val="auto"/>
          <w:szCs w:val="22"/>
        </w:rPr>
      </w:pPr>
    </w:p>
    <w:p>
      <w:pPr>
        <w:pStyle w:val="14"/>
        <w:spacing w:after="100"/>
        <w:ind w:left="200" w:firstLine="0"/>
        <w:rPr>
          <w:rStyle w:val="15"/>
          <w:rFonts w:ascii="Times New Roman" w:hAnsi="Times New Roman"/>
          <w:color w:val="auto"/>
          <w:szCs w:val="22"/>
        </w:rPr>
      </w:pPr>
    </w:p>
    <w:p>
      <w:pPr>
        <w:pStyle w:val="14"/>
        <w:numPr>
          <w:ilvl w:val="0"/>
          <w:numId w:val="3"/>
        </w:numPr>
        <w:jc w:val="center"/>
        <w:rPr>
          <w:rStyle w:val="15"/>
          <w:rFonts w:ascii="Times New Roman" w:hAnsi="Times New Roman"/>
          <w:color w:val="auto"/>
          <w:szCs w:val="22"/>
        </w:rPr>
      </w:pPr>
      <w:r>
        <w:rPr>
          <w:rStyle w:val="15"/>
          <w:rFonts w:hint="eastAsia" w:ascii="Times New Roman" w:hAnsi="Times New Roman"/>
          <w:color w:val="auto"/>
          <w:szCs w:val="22"/>
        </w:rPr>
        <w:t>询比价申请文件（另册）</w:t>
      </w:r>
    </w:p>
    <w:p>
      <w:pPr>
        <w:pStyle w:val="14"/>
        <w:ind w:left="200" w:firstLine="0"/>
        <w:rPr>
          <w:rStyle w:val="15"/>
          <w:rFonts w:ascii="Times New Roman" w:hAnsi="Times New Roman"/>
          <w:color w:val="auto"/>
          <w:szCs w:val="22"/>
        </w:rPr>
      </w:pPr>
    </w:p>
    <w:p>
      <w:pPr>
        <w:spacing w:before="0" w:line="360" w:lineRule="auto"/>
        <w:ind w:left="420" w:leftChars="200" w:right="0"/>
        <w:outlineLvl w:val="1"/>
        <w:rPr>
          <w:rStyle w:val="15"/>
          <w:color w:val="auto"/>
          <w:szCs w:val="22"/>
        </w:rPr>
      </w:pPr>
    </w:p>
    <w:p>
      <w:pPr>
        <w:spacing w:before="0" w:line="360" w:lineRule="auto"/>
        <w:ind w:right="0"/>
        <w:jc w:val="center"/>
        <w:outlineLvl w:val="1"/>
        <w:rPr>
          <w:rStyle w:val="15"/>
          <w:color w:val="auto"/>
          <w:szCs w:val="22"/>
        </w:rPr>
      </w:pPr>
    </w:p>
    <w:sectPr>
      <w:pgSz w:w="11906" w:h="16838"/>
      <w:pgMar w:top="1440" w:right="1803" w:bottom="1440" w:left="1803"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6"/>
          <w:jc w:val="center"/>
        </w:pPr>
        <w:r>
          <w:fldChar w:fldCharType="begin"/>
        </w:r>
        <w:r>
          <w:instrText xml:space="preserve">PAGE   \* MERGEFORMAT</w:instrText>
        </w:r>
        <w:r>
          <w:fldChar w:fldCharType="separate"/>
        </w:r>
        <w:r>
          <w:rPr>
            <w:lang w:val="zh-CN"/>
          </w:rPr>
          <w:t>27</w:t>
        </w:r>
        <w:r>
          <w:fldChar w:fldCharType="end"/>
        </w:r>
      </w:p>
    </w:sdtContent>
  </w:sdt>
  <w:p>
    <w:pPr>
      <w:pStyle w:val="7"/>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44256D71"/>
    <w:multiLevelType w:val="singleLevel"/>
    <w:tmpl w:val="44256D71"/>
    <w:lvl w:ilvl="0" w:tentative="0">
      <w:start w:val="3"/>
      <w:numFmt w:val="chineseCounting"/>
      <w:suff w:val="space"/>
      <w:lvlText w:val="第%1部分"/>
      <w:lvlJc w:val="left"/>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HKoBKcYz5lya0vEnNZS4cMVAG61DL0ZCxt5vy1le99vz1AeaMG7XKVy9KCJGor/SHLDgkCXtTkvy3iHRK9WNg==">
    <w15:presenceInfo w15:providerId="None" w15:userId="BHKoBKcYz5lya0vEnNZS4cMVAG61DL0ZCxt5vy1le99vz1AeaMG7XKVy9KCJGor/SHLDgkCXtTkvy3iHRK9W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ZmYwYmFkMjRiN2RjOGNmZDczNTdjNzE5NWZkMzU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5E24E0"/>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62379"/>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48317F"/>
    <w:rsid w:val="02827A4B"/>
    <w:rsid w:val="042A4508"/>
    <w:rsid w:val="04686C43"/>
    <w:rsid w:val="051C4A8C"/>
    <w:rsid w:val="052D0CFE"/>
    <w:rsid w:val="055F4CF5"/>
    <w:rsid w:val="057B60E1"/>
    <w:rsid w:val="07FA49AB"/>
    <w:rsid w:val="086A1C76"/>
    <w:rsid w:val="08F14400"/>
    <w:rsid w:val="09B40F31"/>
    <w:rsid w:val="0D07455D"/>
    <w:rsid w:val="0D51071B"/>
    <w:rsid w:val="0DFB0590"/>
    <w:rsid w:val="0F475A67"/>
    <w:rsid w:val="121E77F4"/>
    <w:rsid w:val="12ED4399"/>
    <w:rsid w:val="132C3849"/>
    <w:rsid w:val="1478212B"/>
    <w:rsid w:val="14792F82"/>
    <w:rsid w:val="14B24AC5"/>
    <w:rsid w:val="15B00394"/>
    <w:rsid w:val="160055A9"/>
    <w:rsid w:val="16855AD3"/>
    <w:rsid w:val="179B04F5"/>
    <w:rsid w:val="17A6670E"/>
    <w:rsid w:val="198D5B01"/>
    <w:rsid w:val="1A5A63B0"/>
    <w:rsid w:val="1B0A660C"/>
    <w:rsid w:val="1BC21AF9"/>
    <w:rsid w:val="1BFA3F10"/>
    <w:rsid w:val="1C787B29"/>
    <w:rsid w:val="1D886C8B"/>
    <w:rsid w:val="1DF66634"/>
    <w:rsid w:val="1F695EF2"/>
    <w:rsid w:val="1F991B22"/>
    <w:rsid w:val="1FCA585F"/>
    <w:rsid w:val="205E2AB7"/>
    <w:rsid w:val="208A1627"/>
    <w:rsid w:val="2091775E"/>
    <w:rsid w:val="20AA4C03"/>
    <w:rsid w:val="20CA763A"/>
    <w:rsid w:val="213021B3"/>
    <w:rsid w:val="21681DFF"/>
    <w:rsid w:val="21CB18BC"/>
    <w:rsid w:val="24A501A2"/>
    <w:rsid w:val="24D75903"/>
    <w:rsid w:val="25B65426"/>
    <w:rsid w:val="2653761F"/>
    <w:rsid w:val="278670C0"/>
    <w:rsid w:val="27D73AAC"/>
    <w:rsid w:val="28A95D87"/>
    <w:rsid w:val="28DA7D1A"/>
    <w:rsid w:val="29D07A70"/>
    <w:rsid w:val="2B3A7446"/>
    <w:rsid w:val="2CA05131"/>
    <w:rsid w:val="2D6523F7"/>
    <w:rsid w:val="2E0E3201"/>
    <w:rsid w:val="2E9473C9"/>
    <w:rsid w:val="30940782"/>
    <w:rsid w:val="30BC0E80"/>
    <w:rsid w:val="30CA1C2C"/>
    <w:rsid w:val="317C6BA3"/>
    <w:rsid w:val="34DD4158"/>
    <w:rsid w:val="35112B28"/>
    <w:rsid w:val="362E6E1A"/>
    <w:rsid w:val="36DA4209"/>
    <w:rsid w:val="36FF6025"/>
    <w:rsid w:val="371E5229"/>
    <w:rsid w:val="379D15E7"/>
    <w:rsid w:val="37F40213"/>
    <w:rsid w:val="38003B5F"/>
    <w:rsid w:val="39070333"/>
    <w:rsid w:val="3A2A31CC"/>
    <w:rsid w:val="3A355932"/>
    <w:rsid w:val="3C1817DF"/>
    <w:rsid w:val="3CC65BA7"/>
    <w:rsid w:val="3CE178DF"/>
    <w:rsid w:val="3D4E2029"/>
    <w:rsid w:val="3E1F7B3F"/>
    <w:rsid w:val="3E897BF5"/>
    <w:rsid w:val="3F584513"/>
    <w:rsid w:val="3F5A7455"/>
    <w:rsid w:val="3F5C7CA7"/>
    <w:rsid w:val="405C1F00"/>
    <w:rsid w:val="40981581"/>
    <w:rsid w:val="427655FA"/>
    <w:rsid w:val="429C0BC2"/>
    <w:rsid w:val="43B72F8D"/>
    <w:rsid w:val="43FA0FC1"/>
    <w:rsid w:val="451A5BEB"/>
    <w:rsid w:val="4782345F"/>
    <w:rsid w:val="47904FB9"/>
    <w:rsid w:val="47A65BDB"/>
    <w:rsid w:val="48934632"/>
    <w:rsid w:val="4968786D"/>
    <w:rsid w:val="4AFB5BBC"/>
    <w:rsid w:val="4B5A7B4D"/>
    <w:rsid w:val="4B7818BD"/>
    <w:rsid w:val="4BA42C26"/>
    <w:rsid w:val="4BA72908"/>
    <w:rsid w:val="4BFC429C"/>
    <w:rsid w:val="4CCE126A"/>
    <w:rsid w:val="4CD34FFD"/>
    <w:rsid w:val="4D550455"/>
    <w:rsid w:val="4DCD6407"/>
    <w:rsid w:val="4E536310"/>
    <w:rsid w:val="4E700907"/>
    <w:rsid w:val="4EAD69ED"/>
    <w:rsid w:val="4F0B266E"/>
    <w:rsid w:val="504A7C44"/>
    <w:rsid w:val="51290BCE"/>
    <w:rsid w:val="52EA2463"/>
    <w:rsid w:val="55357E52"/>
    <w:rsid w:val="55DE1203"/>
    <w:rsid w:val="568052C3"/>
    <w:rsid w:val="56CC3D91"/>
    <w:rsid w:val="570F3CBB"/>
    <w:rsid w:val="572E7817"/>
    <w:rsid w:val="574D099F"/>
    <w:rsid w:val="58316F0C"/>
    <w:rsid w:val="587D26A1"/>
    <w:rsid w:val="58D7463B"/>
    <w:rsid w:val="590F317D"/>
    <w:rsid w:val="59EB3107"/>
    <w:rsid w:val="5A850258"/>
    <w:rsid w:val="5AC03350"/>
    <w:rsid w:val="5BD743DE"/>
    <w:rsid w:val="5C3C1E1E"/>
    <w:rsid w:val="5CBE336B"/>
    <w:rsid w:val="5F314DBF"/>
    <w:rsid w:val="5FF15F0B"/>
    <w:rsid w:val="60C272CD"/>
    <w:rsid w:val="62106A6E"/>
    <w:rsid w:val="621B2422"/>
    <w:rsid w:val="62B4510A"/>
    <w:rsid w:val="62FF49E2"/>
    <w:rsid w:val="632748D7"/>
    <w:rsid w:val="63E42CB7"/>
    <w:rsid w:val="644F7208"/>
    <w:rsid w:val="64755320"/>
    <w:rsid w:val="651D232D"/>
    <w:rsid w:val="66F4687E"/>
    <w:rsid w:val="67B60C43"/>
    <w:rsid w:val="686B4770"/>
    <w:rsid w:val="68A35D71"/>
    <w:rsid w:val="694B67DC"/>
    <w:rsid w:val="6999259D"/>
    <w:rsid w:val="6A475A9A"/>
    <w:rsid w:val="6B2C74C2"/>
    <w:rsid w:val="6CA200F0"/>
    <w:rsid w:val="6D1C60F5"/>
    <w:rsid w:val="6D9E6D68"/>
    <w:rsid w:val="7159302D"/>
    <w:rsid w:val="720A5933"/>
    <w:rsid w:val="742D0851"/>
    <w:rsid w:val="74F51C1E"/>
    <w:rsid w:val="75201CD6"/>
    <w:rsid w:val="758D6120"/>
    <w:rsid w:val="75E639E8"/>
    <w:rsid w:val="75F548DD"/>
    <w:rsid w:val="76563F83"/>
    <w:rsid w:val="76AF78B8"/>
    <w:rsid w:val="77251906"/>
    <w:rsid w:val="77527084"/>
    <w:rsid w:val="79366E76"/>
    <w:rsid w:val="79B05402"/>
    <w:rsid w:val="79F33210"/>
    <w:rsid w:val="7A0A6478"/>
    <w:rsid w:val="7A726C1A"/>
    <w:rsid w:val="7AE4389D"/>
    <w:rsid w:val="7BEE0DD9"/>
    <w:rsid w:val="7C0B5867"/>
    <w:rsid w:val="7D456FA2"/>
    <w:rsid w:val="7DA8628F"/>
    <w:rsid w:val="7F373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4">
    <w:name w:val="heading 1"/>
    <w:basedOn w:val="1"/>
    <w:next w:val="1"/>
    <w:link w:val="15"/>
    <w:qFormat/>
    <w:uiPriority w:val="0"/>
    <w:pPr>
      <w:keepNext/>
      <w:keepLines/>
      <w:spacing w:before="100" w:after="40" w:afterAutospacing="0" w:line="576" w:lineRule="auto"/>
      <w:ind w:right="-34"/>
      <w:jc w:val="center"/>
      <w:outlineLvl w:val="0"/>
    </w:pPr>
    <w:rPr>
      <w:b/>
      <w:kern w:val="44"/>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5">
    <w:name w:val="Plain Text"/>
    <w:basedOn w:val="1"/>
    <w:link w:val="16"/>
    <w:unhideWhenUsed/>
    <w:qFormat/>
    <w:uiPriority w:val="0"/>
    <w:rPr>
      <w:rFonts w:ascii="宋体" w:hAnsi="Courier New" w:cs="宋体"/>
      <w:sz w:val="20"/>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420"/>
    </w:pPr>
    <w:rPr>
      <w:sz w:val="16"/>
      <w:szCs w:val="16"/>
    </w:rPr>
  </w:style>
  <w:style w:type="paragraph" w:styleId="9">
    <w:name w:val="Title"/>
    <w:basedOn w:val="1"/>
    <w:next w:val="1"/>
    <w:qFormat/>
    <w:uiPriority w:val="0"/>
    <w:pPr>
      <w:spacing w:before="240" w:after="60"/>
      <w:jc w:val="center"/>
      <w:outlineLvl w:val="0"/>
    </w:pPr>
    <w:rPr>
      <w:rFonts w:ascii="Cambria" w:hAnsi="Cambria"/>
      <w:b/>
      <w:bCs/>
      <w:sz w:val="32"/>
      <w:szCs w:val="32"/>
      <w:lang w:val="zh-CN"/>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qFormat/>
    <w:uiPriority w:val="0"/>
    <w:rPr>
      <w:rFonts w:ascii="Arial" w:hAnsi="Arial" w:eastAsia="黑体"/>
      <w:b/>
      <w:sz w:val="32"/>
      <w:szCs w:val="32"/>
    </w:rPr>
  </w:style>
  <w:style w:type="paragraph" w:styleId="14">
    <w:name w:val="List Paragraph"/>
    <w:basedOn w:val="1"/>
    <w:qFormat/>
    <w:uiPriority w:val="34"/>
    <w:pPr>
      <w:ind w:firstLine="200"/>
    </w:pPr>
    <w:rPr>
      <w:rFonts w:ascii="Calibri" w:hAnsi="Calibri"/>
    </w:rPr>
  </w:style>
  <w:style w:type="character" w:customStyle="1" w:styleId="15">
    <w:name w:val="标题 1 字符"/>
    <w:link w:val="4"/>
    <w:qFormat/>
    <w:uiPriority w:val="0"/>
    <w:rPr>
      <w:b/>
      <w:kern w:val="44"/>
      <w:sz w:val="32"/>
    </w:rPr>
  </w:style>
  <w:style w:type="character" w:customStyle="1" w:styleId="16">
    <w:name w:val="纯文本 字符"/>
    <w:link w:val="5"/>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84</TotalTime>
  <ScaleCrop>false</ScaleCrop>
  <LinksUpToDate>false</LinksUpToDate>
  <CharactersWithSpaces>21754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BHKoBKcYz5lya0vEnNZS4cMVAG61DL0ZCxt5vy1le99vz1AeaMG7XKVy9KCJGor/SHLDgkCXtTkvy3iHRK9WNg==</cp:lastModifiedBy>
  <cp:lastPrinted>2023-03-03T08:21:32Z</cp:lastPrinted>
  <dcterms:modified xsi:type="dcterms:W3CDTF">2023-03-03T08:53:47Z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79D682F76E9349F9B92B21D4086A349F</vt:lpwstr>
  </property>
</Properties>
</file>