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hint="default" w:ascii="宋体" w:hAnsi="宋体" w:eastAsia="宋体"/>
          <w:color w:val="auto"/>
          <w:sz w:val="30"/>
          <w:szCs w:val="30"/>
          <w:highlight w:val="none"/>
          <w:lang w:val="en-US" w:eastAsia="zh-CN"/>
        </w:rPr>
      </w:pPr>
      <w:bookmarkStart w:id="0" w:name="_Toc286386830"/>
      <w:bookmarkStart w:id="1" w:name="_Toc114052336"/>
      <w:bookmarkStart w:id="2" w:name="_Toc114052410"/>
      <w:r>
        <w:rPr>
          <w:rFonts w:hint="eastAsia" w:ascii="宋体" w:hAnsi="宋体"/>
          <w:color w:val="auto"/>
          <w:sz w:val="30"/>
          <w:szCs w:val="30"/>
          <w:highlight w:val="none"/>
          <w:lang w:val="en-US" w:eastAsia="zh-CN"/>
        </w:rPr>
        <w:t>【×本】</w:t>
      </w:r>
    </w:p>
    <w:bookmarkEnd w:id="0"/>
    <w:bookmarkEnd w:id="1"/>
    <w:bookmarkEnd w:id="2"/>
    <w:p>
      <w:pPr>
        <w:widowControl/>
        <w:spacing w:before="0" w:after="100" w:afterAutospacing="0" w:line="360" w:lineRule="auto"/>
        <w:ind w:left="-709" w:right="0" w:firstLine="883" w:firstLineChars="200"/>
        <w:jc w:val="center"/>
        <w:rPr>
          <w:rFonts w:hint="eastAsia" w:ascii="Times New Roman" w:hAnsi="Times New Roman"/>
          <w:b/>
          <w:bCs/>
          <w:color w:val="auto"/>
          <w:kern w:val="0"/>
          <w:sz w:val="44"/>
          <w:szCs w:val="44"/>
          <w:highlight w:val="none"/>
          <w:lang w:eastAsia="zh-CN"/>
        </w:rPr>
      </w:pPr>
      <w:r>
        <w:rPr>
          <w:rFonts w:hint="eastAsia" w:ascii="Times New Roman" w:hAnsi="Times New Roman"/>
          <w:b/>
          <w:bCs/>
          <w:color w:val="auto"/>
          <w:kern w:val="0"/>
          <w:sz w:val="44"/>
          <w:szCs w:val="44"/>
          <w:highlight w:val="none"/>
          <w:lang w:eastAsia="zh-CN"/>
        </w:rPr>
        <w:t>运营公司2023</w:t>
      </w:r>
      <w:bookmarkStart w:id="517" w:name="_GoBack"/>
      <w:bookmarkEnd w:id="517"/>
      <w:r>
        <w:rPr>
          <w:rFonts w:hint="eastAsia" w:ascii="Times New Roman" w:hAnsi="Times New Roman"/>
          <w:b/>
          <w:bCs/>
          <w:color w:val="auto"/>
          <w:kern w:val="0"/>
          <w:sz w:val="44"/>
          <w:szCs w:val="44"/>
          <w:highlight w:val="none"/>
          <w:lang w:eastAsia="zh-CN"/>
        </w:rPr>
        <w:t>年图像编辑软件采购项目</w:t>
      </w:r>
    </w:p>
    <w:tbl>
      <w:tblPr>
        <w:tblStyle w:val="11"/>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hint="eastAsia" w:ascii="宋体" w:hAnsi="宋体"/>
                <w:color w:val="auto"/>
                <w:kern w:val="2"/>
                <w:sz w:val="28"/>
                <w:szCs w:val="30"/>
                <w:highlight w:val="none"/>
              </w:rPr>
            </w:pPr>
          </w:p>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项目编号：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合同编号：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p>
        </w:tc>
      </w:tr>
    </w:tbl>
    <w:p>
      <w:pPr>
        <w:adjustRightInd w:val="0"/>
        <w:spacing w:before="120" w:line="312" w:lineRule="atLeast"/>
        <w:ind w:firstLine="400"/>
        <w:jc w:val="center"/>
        <w:rPr>
          <w:rFonts w:ascii="宋体" w:hAnsi="宋体"/>
          <w:color w:val="auto"/>
          <w:kern w:val="0"/>
          <w:szCs w:val="20"/>
        </w:rPr>
      </w:pPr>
    </w:p>
    <w:p>
      <w:pPr>
        <w:pStyle w:val="2"/>
      </w:pP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合</w:t>
      </w: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同</w:t>
      </w: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书</w:t>
      </w:r>
    </w:p>
    <w:p>
      <w:pPr>
        <w:spacing w:beforeLines="150"/>
        <w:rPr>
          <w:rFonts w:ascii="宋体" w:hAnsi="宋体"/>
          <w:b/>
          <w:color w:val="auto"/>
          <w:sz w:val="28"/>
          <w:szCs w:val="28"/>
        </w:rPr>
      </w:pPr>
    </w:p>
    <w:p>
      <w:pPr>
        <w:spacing w:beforeLines="150"/>
        <w:rPr>
          <w:rFonts w:ascii="宋体" w:hAnsi="宋体"/>
          <w:b/>
          <w:color w:val="auto"/>
          <w:sz w:val="28"/>
          <w:szCs w:val="28"/>
        </w:rPr>
      </w:pP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pPr>
      <w:r>
        <w:rPr>
          <w:rFonts w:hint="eastAsia" w:ascii="宋体" w:hAnsi="宋体"/>
          <w:b/>
          <w:color w:val="auto"/>
          <w:kern w:val="0"/>
          <w:sz w:val="28"/>
          <w:szCs w:val="28"/>
          <w:highlight w:val="none"/>
        </w:rPr>
        <w:t>甲    方：</w:t>
      </w:r>
      <w:r>
        <w:rPr>
          <w:rFonts w:hint="eastAsia" w:ascii="宋体" w:hAnsi="宋体"/>
          <w:b w:val="0"/>
          <w:bCs/>
          <w:color w:val="auto"/>
          <w:kern w:val="0"/>
          <w:sz w:val="28"/>
          <w:szCs w:val="28"/>
          <w:highlight w:val="none"/>
        </w:rPr>
        <w:t>南宁轨道交通</w:t>
      </w:r>
      <w:r>
        <w:rPr>
          <w:rFonts w:hint="eastAsia" w:ascii="宋体" w:hAnsi="宋体"/>
          <w:b w:val="0"/>
          <w:bCs/>
          <w:color w:val="auto"/>
          <w:kern w:val="0"/>
          <w:sz w:val="28"/>
          <w:szCs w:val="28"/>
          <w:highlight w:val="none"/>
          <w:lang w:val="en-US" w:eastAsia="zh-CN"/>
        </w:rPr>
        <w:t>运营</w:t>
      </w:r>
      <w:r>
        <w:rPr>
          <w:rFonts w:hint="eastAsia" w:ascii="宋体" w:hAnsi="宋体"/>
          <w:b w:val="0"/>
          <w:bCs/>
          <w:color w:val="auto"/>
          <w:kern w:val="0"/>
          <w:sz w:val="28"/>
          <w:szCs w:val="28"/>
          <w:highlight w:val="none"/>
        </w:rPr>
        <w:t>有限公司</w:t>
      </w: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pPr>
      <w:r>
        <w:rPr>
          <w:rFonts w:hint="eastAsia" w:ascii="宋体" w:hAnsi="宋体"/>
          <w:b/>
          <w:color w:val="auto"/>
          <w:kern w:val="0"/>
          <w:sz w:val="28"/>
          <w:szCs w:val="28"/>
          <w:highlight w:val="none"/>
        </w:rPr>
        <w:t>乙    方：</w:t>
      </w: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pPr>
      <w:r>
        <w:rPr>
          <w:rFonts w:hint="eastAsia" w:ascii="宋体" w:hAnsi="宋体"/>
          <w:b/>
          <w:color w:val="auto"/>
          <w:kern w:val="0"/>
          <w:sz w:val="28"/>
          <w:szCs w:val="28"/>
          <w:highlight w:val="none"/>
        </w:rPr>
        <w:t>签约日期：</w:t>
      </w:r>
      <w:r>
        <w:rPr>
          <w:rFonts w:hint="eastAsia" w:ascii="宋体" w:hAnsi="宋体"/>
          <w:b w:val="0"/>
          <w:bCs/>
          <w:color w:val="auto"/>
          <w:kern w:val="0"/>
          <w:sz w:val="28"/>
          <w:szCs w:val="28"/>
          <w:highlight w:val="none"/>
        </w:rPr>
        <w:t>202</w:t>
      </w:r>
      <w:r>
        <w:rPr>
          <w:rFonts w:hint="eastAsia" w:ascii="宋体" w:hAnsi="宋体"/>
          <w:b w:val="0"/>
          <w:bCs/>
          <w:color w:val="auto"/>
          <w:kern w:val="0"/>
          <w:sz w:val="28"/>
          <w:szCs w:val="28"/>
          <w:highlight w:val="none"/>
          <w:lang w:val="en-US" w:eastAsia="zh-CN"/>
        </w:rPr>
        <w:t xml:space="preserve">3 </w:t>
      </w:r>
      <w:r>
        <w:rPr>
          <w:rFonts w:hint="eastAsia" w:ascii="宋体" w:hAnsi="宋体"/>
          <w:b w:val="0"/>
          <w:bCs/>
          <w:color w:val="auto"/>
          <w:kern w:val="0"/>
          <w:sz w:val="28"/>
          <w:szCs w:val="28"/>
          <w:highlight w:val="none"/>
        </w:rPr>
        <w:t>年</w:t>
      </w:r>
      <w:r>
        <w:rPr>
          <w:rFonts w:hint="eastAsia" w:ascii="宋体" w:hAnsi="宋体"/>
          <w:b w:val="0"/>
          <w:bCs/>
          <w:color w:val="auto"/>
          <w:kern w:val="0"/>
          <w:sz w:val="28"/>
          <w:szCs w:val="28"/>
          <w:highlight w:val="none"/>
          <w:lang w:val="en-US" w:eastAsia="zh-CN"/>
        </w:rPr>
        <w:t xml:space="preserve">    </w:t>
      </w:r>
      <w:r>
        <w:rPr>
          <w:rFonts w:hint="eastAsia" w:ascii="宋体" w:hAnsi="宋体"/>
          <w:b w:val="0"/>
          <w:bCs/>
          <w:color w:val="auto"/>
          <w:kern w:val="0"/>
          <w:sz w:val="28"/>
          <w:szCs w:val="28"/>
          <w:highlight w:val="none"/>
        </w:rPr>
        <w:t>月</w:t>
      </w:r>
      <w:r>
        <w:rPr>
          <w:rFonts w:hint="eastAsia" w:ascii="宋体" w:hAnsi="宋体"/>
          <w:b w:val="0"/>
          <w:bCs/>
          <w:color w:val="auto"/>
          <w:kern w:val="0"/>
          <w:sz w:val="28"/>
          <w:szCs w:val="28"/>
          <w:highlight w:val="none"/>
          <w:lang w:val="en-US" w:eastAsia="zh-CN"/>
        </w:rPr>
        <w:t xml:space="preserve">    </w:t>
      </w:r>
      <w:r>
        <w:rPr>
          <w:rFonts w:hint="eastAsia" w:ascii="宋体" w:hAnsi="宋体"/>
          <w:b w:val="0"/>
          <w:bCs/>
          <w:color w:val="auto"/>
          <w:kern w:val="0"/>
          <w:sz w:val="28"/>
          <w:szCs w:val="28"/>
          <w:highlight w:val="none"/>
        </w:rPr>
        <w:t>日</w:t>
      </w: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sectPr>
          <w:footerReference r:id="rId3" w:type="default"/>
          <w:pgSz w:w="11906" w:h="16838"/>
          <w:pgMar w:top="1440" w:right="1800" w:bottom="1440" w:left="1800" w:header="851" w:footer="992" w:gutter="0"/>
          <w:cols w:space="425" w:num="1"/>
          <w:titlePg/>
          <w:docGrid w:type="lines" w:linePitch="312" w:charSpace="0"/>
        </w:sectPr>
      </w:pPr>
      <w:r>
        <w:rPr>
          <w:rFonts w:hint="eastAsia" w:ascii="宋体" w:hAnsi="宋体"/>
          <w:b/>
          <w:color w:val="auto"/>
          <w:kern w:val="0"/>
          <w:sz w:val="28"/>
          <w:szCs w:val="28"/>
          <w:highlight w:val="none"/>
        </w:rPr>
        <w:t>签约地点：广西壮族自治区南宁市</w:t>
      </w:r>
    </w:p>
    <w:p>
      <w:pPr>
        <w:keepNext w:val="0"/>
        <w:keepLines w:val="0"/>
        <w:pageBreakBefore w:val="0"/>
        <w:widowControl w:val="0"/>
        <w:kinsoku/>
        <w:wordWrap/>
        <w:overflowPunct/>
        <w:topLinePunct w:val="0"/>
        <w:autoSpaceDE/>
        <w:autoSpaceDN/>
        <w:bidi w:val="0"/>
        <w:adjustRightInd/>
        <w:snapToGrid/>
        <w:spacing w:after="157" w:afterLines="50"/>
        <w:ind w:firstLine="198"/>
        <w:jc w:val="center"/>
        <w:textAlignment w:val="auto"/>
        <w:outlineLvl w:val="1"/>
        <w:rPr>
          <w:rFonts w:hint="eastAsia" w:ascii="仿宋" w:hAnsi="仿宋" w:eastAsia="仿宋" w:cs="仿宋"/>
          <w:b/>
          <w:color w:val="auto"/>
          <w:sz w:val="24"/>
          <w:szCs w:val="24"/>
        </w:rPr>
      </w:pPr>
      <w:bookmarkStart w:id="3" w:name="_Toc29797"/>
      <w:bookmarkStart w:id="4" w:name="_Toc14463"/>
      <w:bookmarkStart w:id="5" w:name="_Toc31368"/>
      <w:bookmarkStart w:id="6" w:name="_Toc25828"/>
      <w:bookmarkStart w:id="7" w:name="_Toc32403"/>
      <w:bookmarkStart w:id="8" w:name="_Toc1289"/>
      <w:bookmarkStart w:id="9" w:name="_Toc6950"/>
      <w:bookmarkStart w:id="10" w:name="_Toc9038"/>
      <w:bookmarkStart w:id="11" w:name="_Toc12983547"/>
      <w:bookmarkStart w:id="12" w:name="_Toc15167"/>
      <w:bookmarkStart w:id="13" w:name="_Toc2618"/>
      <w:bookmarkStart w:id="14" w:name="_Toc3488"/>
      <w:bookmarkStart w:id="15" w:name="_Toc6190"/>
      <w:bookmarkStart w:id="16" w:name="_Toc20060"/>
      <w:bookmarkStart w:id="17" w:name="_Toc7236"/>
      <w:bookmarkStart w:id="18" w:name="_Toc13761"/>
      <w:bookmarkStart w:id="19" w:name="_Toc4026"/>
      <w:bookmarkStart w:id="20" w:name="_Toc8999"/>
      <w:bookmarkStart w:id="21" w:name="_Toc15840"/>
      <w:bookmarkStart w:id="22" w:name="_Toc7587"/>
      <w:r>
        <w:rPr>
          <w:rFonts w:hint="eastAsia" w:ascii="仿宋" w:hAnsi="仿宋" w:eastAsia="仿宋" w:cs="仿宋"/>
          <w:b/>
          <w:color w:val="auto"/>
          <w:sz w:val="24"/>
          <w:szCs w:val="24"/>
        </w:rPr>
        <w:t>一、合同协议书</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line="360" w:lineRule="auto"/>
        <w:ind w:firstLine="420" w:firstLineChars="200"/>
        <w:jc w:val="left"/>
        <w:rPr>
          <w:rFonts w:hint="eastAsia" w:ascii="仿宋" w:hAnsi="仿宋" w:eastAsia="仿宋" w:cs="仿宋"/>
          <w:color w:val="auto"/>
          <w:sz w:val="21"/>
          <w:szCs w:val="21"/>
          <w:u w:val="single"/>
        </w:rPr>
      </w:pPr>
      <w:r>
        <w:rPr>
          <w:rFonts w:hint="eastAsia" w:ascii="仿宋" w:hAnsi="仿宋" w:eastAsia="仿宋" w:cs="仿宋"/>
          <w:color w:val="auto"/>
          <w:sz w:val="21"/>
          <w:szCs w:val="21"/>
        </w:rPr>
        <w:t>甲方（全称）：</w:t>
      </w:r>
      <w:r>
        <w:rPr>
          <w:rFonts w:hint="eastAsia" w:ascii="仿宋" w:hAnsi="仿宋" w:eastAsia="仿宋" w:cs="仿宋"/>
          <w:b/>
          <w:bCs/>
          <w:color w:val="auto"/>
          <w:sz w:val="21"/>
          <w:szCs w:val="21"/>
          <w:u w:val="single"/>
        </w:rPr>
        <w:t>南宁轨道交通运营有限公司</w:t>
      </w:r>
    </w:p>
    <w:p>
      <w:pPr>
        <w:spacing w:line="360" w:lineRule="auto"/>
        <w:ind w:firstLine="420" w:firstLineChars="20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乙方（全称）：</w:t>
      </w:r>
      <w:r>
        <w:rPr>
          <w:rFonts w:hint="eastAsia" w:ascii="仿宋" w:hAnsi="仿宋" w:eastAsia="仿宋" w:cs="仿宋"/>
          <w:b/>
          <w:color w:val="auto"/>
          <w:sz w:val="21"/>
          <w:szCs w:val="21"/>
          <w:u w:val="single"/>
          <w:lang w:val="en-US" w:eastAsia="zh-CN"/>
        </w:rPr>
        <w:t xml:space="preserve">                          </w:t>
      </w:r>
    </w:p>
    <w:p>
      <w:pPr>
        <w:spacing w:line="360" w:lineRule="auto"/>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本协议由南宁轨道交通运营有限公司（下称“甲方”或业主）与（下称“乙方”），双方根据</w:t>
      </w:r>
      <w:r>
        <w:rPr>
          <w:rFonts w:hint="eastAsia" w:ascii="仿宋" w:hAnsi="仿宋" w:eastAsia="仿宋" w:cs="仿宋"/>
          <w:color w:val="auto"/>
          <w:sz w:val="21"/>
          <w:szCs w:val="21"/>
          <w:u w:val="single"/>
          <w:lang w:eastAsia="zh-CN"/>
        </w:rPr>
        <w:t>运营公司2023年图像编辑软件采购项目</w:t>
      </w:r>
      <w:r>
        <w:rPr>
          <w:rFonts w:hint="eastAsia" w:ascii="仿宋" w:hAnsi="仿宋" w:eastAsia="仿宋" w:cs="仿宋"/>
          <w:color w:val="auto"/>
          <w:sz w:val="21"/>
          <w:szCs w:val="21"/>
        </w:rPr>
        <w:t>（项目编号：</w:t>
      </w:r>
      <w:r>
        <w:rPr>
          <w:rFonts w:hint="eastAsia" w:ascii="仿宋" w:hAnsi="仿宋" w:eastAsia="仿宋" w:cs="仿宋"/>
          <w:color w:val="auto"/>
          <w:sz w:val="21"/>
          <w:szCs w:val="21"/>
          <w:u w:val="single"/>
        </w:rPr>
        <w:t>202309210007</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询比价</w:t>
      </w:r>
      <w:r>
        <w:rPr>
          <w:rFonts w:hint="eastAsia" w:ascii="仿宋" w:hAnsi="仿宋" w:eastAsia="仿宋" w:cs="仿宋"/>
          <w:color w:val="auto"/>
          <w:sz w:val="21"/>
          <w:szCs w:val="21"/>
        </w:rPr>
        <w:t>结果，依据《</w:t>
      </w:r>
      <w:r>
        <w:rPr>
          <w:rFonts w:hint="eastAsia" w:ascii="仿宋" w:hAnsi="仿宋" w:eastAsia="仿宋" w:cs="仿宋"/>
          <w:color w:val="auto"/>
          <w:sz w:val="21"/>
          <w:szCs w:val="21"/>
          <w:lang w:eastAsia="zh-CN"/>
        </w:rPr>
        <w:t>中华人民共和国民法典</w:t>
      </w:r>
      <w:r>
        <w:rPr>
          <w:rFonts w:hint="eastAsia" w:ascii="仿宋" w:hAnsi="仿宋" w:eastAsia="仿宋" w:cs="仿宋"/>
          <w:color w:val="auto"/>
          <w:sz w:val="21"/>
          <w:szCs w:val="21"/>
        </w:rPr>
        <w:t>》的规定，签订协议。具体内容如下：</w:t>
      </w:r>
    </w:p>
    <w:p>
      <w:pPr>
        <w:tabs>
          <w:tab w:val="left" w:pos="1134"/>
          <w:tab w:val="left" w:pos="1680"/>
        </w:tabs>
        <w:spacing w:line="360" w:lineRule="auto"/>
        <w:ind w:firstLine="422"/>
        <w:rPr>
          <w:rFonts w:hint="eastAsia" w:ascii="仿宋" w:hAnsi="仿宋" w:eastAsia="仿宋" w:cs="仿宋"/>
          <w:b/>
          <w:color w:val="auto"/>
          <w:sz w:val="21"/>
          <w:szCs w:val="21"/>
        </w:rPr>
      </w:pPr>
      <w:r>
        <w:rPr>
          <w:rFonts w:hint="eastAsia" w:ascii="仿宋" w:hAnsi="仿宋" w:eastAsia="仿宋" w:cs="仿宋"/>
          <w:b/>
          <w:color w:val="auto"/>
          <w:sz w:val="21"/>
          <w:szCs w:val="21"/>
        </w:rPr>
        <w:t>1、项目概况</w:t>
      </w:r>
    </w:p>
    <w:p>
      <w:pPr>
        <w:tabs>
          <w:tab w:val="left" w:pos="1134"/>
          <w:tab w:val="left" w:pos="1680"/>
        </w:tabs>
        <w:spacing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1.1 项目名称：</w:t>
      </w:r>
      <w:r>
        <w:rPr>
          <w:rFonts w:hint="eastAsia" w:ascii="仿宋" w:hAnsi="仿宋" w:eastAsia="仿宋" w:cs="仿宋"/>
          <w:color w:val="auto"/>
          <w:sz w:val="21"/>
          <w:szCs w:val="21"/>
          <w:lang w:eastAsia="zh-CN"/>
        </w:rPr>
        <w:t>运营公司2023年图像编辑软件采购项目</w:t>
      </w:r>
    </w:p>
    <w:p>
      <w:pPr>
        <w:tabs>
          <w:tab w:val="left" w:pos="1134"/>
          <w:tab w:val="left" w:pos="1680"/>
        </w:tabs>
        <w:spacing w:line="360" w:lineRule="auto"/>
        <w:ind w:firstLine="420"/>
        <w:rPr>
          <w:rFonts w:hint="eastAsia" w:ascii="仿宋" w:hAnsi="仿宋" w:eastAsia="仿宋" w:cs="仿宋"/>
          <w:color w:val="auto"/>
          <w:sz w:val="21"/>
          <w:szCs w:val="21"/>
        </w:rPr>
      </w:pPr>
      <w:r>
        <w:rPr>
          <w:rFonts w:hint="eastAsia" w:ascii="仿宋" w:hAnsi="仿宋" w:eastAsia="仿宋" w:cs="仿宋"/>
          <w:color w:val="auto"/>
          <w:sz w:val="21"/>
          <w:szCs w:val="21"/>
        </w:rPr>
        <w:t>1.2项目实施地点：南宁轨道交通运营</w:t>
      </w:r>
      <w:r>
        <w:rPr>
          <w:rFonts w:hint="eastAsia" w:ascii="仿宋" w:hAnsi="仿宋" w:eastAsia="仿宋" w:cs="仿宋"/>
          <w:color w:val="auto"/>
          <w:sz w:val="21"/>
          <w:szCs w:val="21"/>
          <w:lang w:val="en-US" w:eastAsia="zh-CN"/>
        </w:rPr>
        <w:t>有限</w:t>
      </w:r>
      <w:r>
        <w:rPr>
          <w:rFonts w:hint="eastAsia" w:ascii="仿宋" w:hAnsi="仿宋" w:eastAsia="仿宋" w:cs="仿宋"/>
          <w:color w:val="auto"/>
          <w:sz w:val="21"/>
          <w:szCs w:val="21"/>
        </w:rPr>
        <w:t>公司。</w:t>
      </w:r>
    </w:p>
    <w:p>
      <w:pPr>
        <w:tabs>
          <w:tab w:val="left" w:pos="1134"/>
          <w:tab w:val="left" w:pos="1680"/>
        </w:tabs>
        <w:spacing w:line="360" w:lineRule="auto"/>
        <w:ind w:firstLine="422"/>
        <w:rPr>
          <w:rFonts w:hint="eastAsia" w:ascii="仿宋" w:hAnsi="仿宋" w:eastAsia="仿宋" w:cs="仿宋"/>
          <w:b/>
          <w:color w:val="auto"/>
          <w:sz w:val="21"/>
          <w:szCs w:val="21"/>
        </w:rPr>
      </w:pPr>
      <w:r>
        <w:rPr>
          <w:rFonts w:hint="eastAsia" w:ascii="仿宋" w:hAnsi="仿宋" w:eastAsia="仿宋" w:cs="仿宋"/>
          <w:b/>
          <w:color w:val="auto"/>
          <w:sz w:val="21"/>
          <w:szCs w:val="21"/>
        </w:rPr>
        <w:t>2、合同标的</w:t>
      </w:r>
    </w:p>
    <w:p>
      <w:pPr>
        <w:spacing w:beforeLines="50" w:afterLines="50"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甲方同意接受，乙方同意作为中选方并以下列第3条所述价格提供</w:t>
      </w:r>
      <w:r>
        <w:rPr>
          <w:rFonts w:hint="eastAsia" w:ascii="仿宋" w:hAnsi="仿宋" w:eastAsia="仿宋" w:cs="仿宋"/>
          <w:color w:val="auto"/>
          <w:sz w:val="21"/>
          <w:szCs w:val="21"/>
          <w:lang w:eastAsia="zh-CN"/>
        </w:rPr>
        <w:t>运营公司2023年图像编辑软件采购项目</w:t>
      </w:r>
      <w:r>
        <w:rPr>
          <w:rFonts w:hint="eastAsia" w:ascii="仿宋" w:hAnsi="仿宋" w:eastAsia="仿宋" w:cs="仿宋"/>
          <w:color w:val="auto"/>
          <w:sz w:val="21"/>
          <w:szCs w:val="21"/>
        </w:rPr>
        <w:t>项下的合同标的。本次合同的标的为</w:t>
      </w:r>
      <w:r>
        <w:rPr>
          <w:rFonts w:hint="eastAsia" w:ascii="仿宋" w:hAnsi="仿宋" w:eastAsia="仿宋" w:cs="仿宋"/>
          <w:color w:val="auto"/>
          <w:sz w:val="21"/>
          <w:szCs w:val="21"/>
          <w:lang w:val="en-US" w:eastAsia="zh-CN"/>
        </w:rPr>
        <w:t>13套</w:t>
      </w:r>
      <w:r>
        <w:rPr>
          <w:rFonts w:hint="eastAsia" w:ascii="仿宋" w:hAnsi="仿宋" w:eastAsia="仿宋" w:cs="仿宋"/>
          <w:color w:val="auto"/>
          <w:sz w:val="21"/>
          <w:szCs w:val="21"/>
          <w:lang w:eastAsia="zh-CN"/>
        </w:rPr>
        <w:t>Photoshop CC Multiple Platforms Multi Language China 1 User 12  Month（Photoshop CC/多平台中文版/一年授权）</w:t>
      </w:r>
      <w:r>
        <w:rPr>
          <w:rFonts w:hint="eastAsia" w:ascii="仿宋" w:hAnsi="仿宋" w:eastAsia="仿宋" w:cs="仿宋"/>
          <w:color w:val="auto"/>
          <w:sz w:val="21"/>
          <w:szCs w:val="21"/>
          <w:lang w:val="en-US" w:eastAsia="zh-CN"/>
        </w:rPr>
        <w:t>起止时间为2024年3月13日至2025年3月12日</w:t>
      </w:r>
      <w:r>
        <w:rPr>
          <w:rFonts w:hint="eastAsia" w:ascii="仿宋" w:hAnsi="仿宋" w:eastAsia="仿宋" w:cs="仿宋"/>
          <w:color w:val="auto"/>
          <w:kern w:val="0"/>
          <w:sz w:val="21"/>
          <w:szCs w:val="21"/>
          <w:lang w:val="en-US" w:eastAsia="zh-CN" w:bidi="ar"/>
        </w:rPr>
        <w:t>及售后服务</w:t>
      </w:r>
      <w:r>
        <w:rPr>
          <w:rFonts w:hint="eastAsia" w:ascii="仿宋" w:hAnsi="仿宋" w:eastAsia="仿宋" w:cs="仿宋"/>
          <w:color w:val="auto"/>
          <w:sz w:val="21"/>
          <w:szCs w:val="21"/>
        </w:rPr>
        <w:t>。</w:t>
      </w:r>
    </w:p>
    <w:p>
      <w:pPr>
        <w:tabs>
          <w:tab w:val="left" w:pos="567"/>
        </w:tabs>
        <w:spacing w:line="360" w:lineRule="auto"/>
        <w:ind w:firstLine="422" w:firstLineChars="200"/>
        <w:rPr>
          <w:rFonts w:hint="eastAsia" w:ascii="仿宋" w:hAnsi="仿宋" w:eastAsia="仿宋" w:cs="仿宋"/>
          <w:b/>
          <w:color w:val="auto"/>
          <w:sz w:val="21"/>
          <w:szCs w:val="21"/>
        </w:rPr>
      </w:pPr>
      <w:r>
        <w:rPr>
          <w:rFonts w:hint="eastAsia" w:ascii="仿宋" w:hAnsi="仿宋" w:eastAsia="仿宋" w:cs="仿宋"/>
          <w:b/>
          <w:color w:val="auto"/>
          <w:sz w:val="21"/>
          <w:szCs w:val="21"/>
        </w:rPr>
        <w:t>3、合同价格</w:t>
      </w:r>
    </w:p>
    <w:p>
      <w:pPr>
        <w:keepNext w:val="0"/>
        <w:keepLines w:val="0"/>
        <w:pageBreakBefore w:val="0"/>
        <w:widowControl w:val="0"/>
        <w:kinsoku/>
        <w:wordWrap/>
        <w:overflowPunct/>
        <w:topLinePunct w:val="0"/>
        <w:autoSpaceDE/>
        <w:autoSpaceDN/>
        <w:bidi w:val="0"/>
        <w:adjustRightInd/>
        <w:snapToGrid w:val="0"/>
        <w:spacing w:beforeLines="50" w:line="240" w:lineRule="auto"/>
        <w:ind w:right="42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合同</w:t>
      </w:r>
      <w:r>
        <w:rPr>
          <w:rFonts w:hint="eastAsia" w:ascii="仿宋" w:hAnsi="仿宋" w:eastAsia="仿宋" w:cs="仿宋"/>
          <w:color w:val="auto"/>
          <w:sz w:val="21"/>
          <w:szCs w:val="21"/>
          <w:lang w:val="en-US" w:eastAsia="zh-CN"/>
        </w:rPr>
        <w:t>总</w:t>
      </w:r>
      <w:r>
        <w:rPr>
          <w:rFonts w:hint="eastAsia" w:ascii="仿宋" w:hAnsi="仿宋" w:eastAsia="仿宋" w:cs="仿宋"/>
          <w:color w:val="auto"/>
          <w:sz w:val="21"/>
          <w:szCs w:val="21"/>
        </w:rPr>
        <w:t>价格：不含税价：人民币</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元整(¥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元 )；税费：人民币</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元)；税率：</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；含税总价：人民币</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)，（下文称“合同价格”)。</w:t>
      </w:r>
    </w:p>
    <w:p>
      <w:pPr>
        <w:snapToGrid w:val="0"/>
        <w:spacing w:beforeLines="50" w:line="360" w:lineRule="auto"/>
        <w:ind w:right="42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本合同价格为暂定价，在合同履约过程中，本合同税率将遵照国家现行税法执行，随国家税率调整而调整。本合同最终税金在结算阶段，按实际产生的税金进行核算，但合同不含税价格不因国家税率调整而调整。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2" w:firstLineChars="200"/>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4</w:t>
      </w:r>
      <w:r>
        <w:rPr>
          <w:rFonts w:hint="eastAsia" w:ascii="仿宋" w:hAnsi="仿宋" w:eastAsia="仿宋" w:cs="仿宋"/>
          <w:b/>
          <w:bCs/>
          <w:color w:val="auto"/>
          <w:sz w:val="21"/>
          <w:szCs w:val="21"/>
        </w:rPr>
        <w:t>.本合同由下列文件构成：</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（1）本合同协议书（含合同谈判过程中的澄清文件和补充资料）；</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（2）合同条款；</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highlight w:val="none"/>
        </w:rPr>
        <w:t>分项报价表</w:t>
      </w:r>
      <w:r>
        <w:rPr>
          <w:rFonts w:hint="eastAsia" w:ascii="仿宋" w:hAnsi="仿宋" w:eastAsia="仿宋" w:cs="仿宋"/>
          <w:color w:val="auto"/>
          <w:sz w:val="21"/>
          <w:szCs w:val="21"/>
        </w:rPr>
        <w:t>；</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（4）技术需求及数量表；</w:t>
      </w:r>
    </w:p>
    <w:p>
      <w:pPr>
        <w:spacing w:before="0" w:afterAutospacing="0" w:line="360" w:lineRule="auto"/>
        <w:ind w:right="0" w:firstLine="420" w:firstLineChars="20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合同附件；</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）询比价文件（含询比价补遗文件）；</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）询比价申请文件（含询比价申请文件的补充文件）。</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上述文件应认为是互为补充和解释的，如果在构成本合同的各文件之间发生文字表述的差异时，须按第</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rPr>
        <w:t>. 乙方</w:t>
      </w:r>
      <w:r>
        <w:rPr>
          <w:rFonts w:hint="eastAsia" w:ascii="仿宋" w:hAnsi="仿宋" w:eastAsia="仿宋" w:cs="仿宋"/>
          <w:color w:val="auto"/>
          <w:sz w:val="21"/>
          <w:szCs w:val="21"/>
        </w:rPr>
        <w:t>向甲方承诺严格履行合同条款义务，按合同约定承担本合同责任。</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 双方依据本次</w:t>
      </w:r>
      <w:r>
        <w:rPr>
          <w:rFonts w:hint="eastAsia" w:ascii="仿宋" w:hAnsi="仿宋" w:eastAsia="仿宋" w:cs="仿宋"/>
          <w:color w:val="auto"/>
          <w:sz w:val="21"/>
          <w:szCs w:val="21"/>
          <w:lang w:val="en-US" w:eastAsia="zh-CN"/>
        </w:rPr>
        <w:t>询比价</w:t>
      </w:r>
      <w:r>
        <w:rPr>
          <w:rFonts w:hint="eastAsia" w:ascii="仿宋" w:hAnsi="仿宋" w:eastAsia="仿宋" w:cs="仿宋"/>
          <w:color w:val="auto"/>
          <w:sz w:val="21"/>
          <w:szCs w:val="21"/>
        </w:rPr>
        <w:t>文件中的</w:t>
      </w:r>
      <w:r>
        <w:rPr>
          <w:rFonts w:hint="eastAsia" w:ascii="仿宋" w:hAnsi="仿宋" w:eastAsia="仿宋" w:cs="仿宋"/>
          <w:color w:val="auto"/>
          <w:sz w:val="21"/>
          <w:szCs w:val="21"/>
          <w:lang w:val="en-US" w:eastAsia="zh-CN"/>
        </w:rPr>
        <w:t>技术需求及数量表</w:t>
      </w:r>
      <w:r>
        <w:rPr>
          <w:rFonts w:hint="eastAsia" w:ascii="仿宋" w:hAnsi="仿宋" w:eastAsia="仿宋" w:cs="仿宋"/>
          <w:color w:val="auto"/>
          <w:sz w:val="21"/>
          <w:szCs w:val="21"/>
        </w:rPr>
        <w:t>，通过合同澄清最终形成技术规格书，并经双方正式签署后构成本合同的有效组成部分。在本合同执行中以技术规格书为准。</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.甲方向乙方承诺按合同条款约定的条件、时间和方式支付合同价款。</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 甲方、乙方承诺按照合同条款约定的违约责任和解决争议方式履行合同。</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.本合同用中文书写，正本</w:t>
      </w:r>
      <w:r>
        <w:rPr>
          <w:rFonts w:hint="eastAsia" w:ascii="仿宋" w:hAnsi="仿宋" w:eastAsia="仿宋" w:cs="仿宋"/>
          <w:color w:val="auto"/>
          <w:sz w:val="21"/>
          <w:szCs w:val="21"/>
          <w:u w:val="single"/>
        </w:rPr>
        <w:t>2</w:t>
      </w:r>
      <w:r>
        <w:rPr>
          <w:rFonts w:hint="eastAsia" w:ascii="仿宋" w:hAnsi="仿宋" w:eastAsia="仿宋" w:cs="仿宋"/>
          <w:color w:val="auto"/>
          <w:sz w:val="21"/>
          <w:szCs w:val="21"/>
        </w:rPr>
        <w:t>份，甲乙方各</w:t>
      </w:r>
      <w:r>
        <w:rPr>
          <w:rFonts w:hint="eastAsia" w:ascii="仿宋" w:hAnsi="仿宋" w:eastAsia="仿宋" w:cs="仿宋"/>
          <w:color w:val="auto"/>
          <w:sz w:val="21"/>
          <w:szCs w:val="21"/>
          <w:u w:val="single"/>
        </w:rPr>
        <w:t>1</w:t>
      </w:r>
      <w:r>
        <w:rPr>
          <w:rFonts w:hint="eastAsia" w:ascii="仿宋" w:hAnsi="仿宋" w:eastAsia="仿宋" w:cs="仿宋"/>
          <w:color w:val="auto"/>
          <w:sz w:val="21"/>
          <w:szCs w:val="21"/>
        </w:rPr>
        <w:t>份；副本</w:t>
      </w:r>
      <w:r>
        <w:rPr>
          <w:rFonts w:hint="eastAsia" w:ascii="仿宋" w:hAnsi="仿宋" w:eastAsia="仿宋" w:cs="仿宋"/>
          <w:color w:val="auto"/>
          <w:sz w:val="21"/>
          <w:szCs w:val="21"/>
          <w:u w:val="single"/>
        </w:rPr>
        <w:t>8</w:t>
      </w:r>
      <w:r>
        <w:rPr>
          <w:rFonts w:hint="eastAsia" w:ascii="仿宋" w:hAnsi="仿宋" w:eastAsia="仿宋" w:cs="仿宋"/>
          <w:color w:val="auto"/>
          <w:sz w:val="21"/>
          <w:szCs w:val="21"/>
        </w:rPr>
        <w:t xml:space="preserve">份，甲方持 </w:t>
      </w:r>
      <w:r>
        <w:rPr>
          <w:rFonts w:hint="eastAsia" w:ascii="仿宋" w:hAnsi="仿宋" w:eastAsia="仿宋" w:cs="仿宋"/>
          <w:color w:val="auto"/>
          <w:sz w:val="21"/>
          <w:szCs w:val="21"/>
          <w:u w:val="single"/>
        </w:rPr>
        <w:t>6</w:t>
      </w:r>
      <w:r>
        <w:rPr>
          <w:rFonts w:hint="eastAsia" w:ascii="仿宋" w:hAnsi="仿宋" w:eastAsia="仿宋" w:cs="仿宋"/>
          <w:color w:val="auto"/>
          <w:sz w:val="21"/>
          <w:szCs w:val="21"/>
        </w:rPr>
        <w:t>份，乙方持</w:t>
      </w:r>
      <w:r>
        <w:rPr>
          <w:rFonts w:hint="eastAsia" w:ascii="仿宋" w:hAnsi="仿宋" w:eastAsia="仿宋" w:cs="仿宋"/>
          <w:color w:val="auto"/>
          <w:sz w:val="21"/>
          <w:szCs w:val="21"/>
          <w:u w:val="single"/>
        </w:rPr>
        <w:t>2</w:t>
      </w:r>
      <w:r>
        <w:rPr>
          <w:rFonts w:hint="eastAsia" w:ascii="仿宋" w:hAnsi="仿宋" w:eastAsia="仿宋" w:cs="仿宋"/>
          <w:color w:val="auto"/>
          <w:sz w:val="21"/>
          <w:szCs w:val="21"/>
        </w:rPr>
        <w:t>份。</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.本合同协议书经双方法定代表人或授权代表在合同协议书上签字并加盖单位公章后生效。</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 合同未尽事宜，双方另行签订补充协议。</w:t>
      </w:r>
    </w:p>
    <w:p>
      <w:pPr>
        <w:spacing w:line="360" w:lineRule="auto"/>
        <w:ind w:firstLine="200"/>
        <w:rPr>
          <w:rFonts w:hint="eastAsia" w:ascii="仿宋" w:hAnsi="仿宋" w:eastAsia="仿宋" w:cs="仿宋"/>
          <w:color w:val="auto"/>
          <w:sz w:val="21"/>
          <w:szCs w:val="21"/>
        </w:rPr>
      </w:pPr>
    </w:p>
    <w:tbl>
      <w:tblPr>
        <w:tblStyle w:val="10"/>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6"/>
              <w:spacing w:line="360" w:lineRule="auto"/>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甲方：</w:t>
            </w:r>
            <w:r>
              <w:rPr>
                <w:rFonts w:hint="eastAsia" w:ascii="仿宋" w:hAnsi="仿宋" w:eastAsia="仿宋" w:cs="仿宋"/>
                <w:color w:val="auto"/>
                <w:sz w:val="21"/>
                <w:szCs w:val="21"/>
                <w:u w:val="single"/>
              </w:rPr>
              <w:t>南宁轨道交通</w:t>
            </w:r>
            <w:r>
              <w:rPr>
                <w:rFonts w:hint="eastAsia" w:ascii="仿宋" w:hAnsi="仿宋" w:eastAsia="仿宋" w:cs="仿宋"/>
                <w:color w:val="auto"/>
                <w:sz w:val="21"/>
                <w:szCs w:val="21"/>
                <w:u w:val="single"/>
                <w:lang w:val="en-US" w:eastAsia="zh-CN"/>
              </w:rPr>
              <w:t>运营</w:t>
            </w:r>
            <w:r>
              <w:rPr>
                <w:rFonts w:hint="eastAsia" w:ascii="仿宋" w:hAnsi="仿宋" w:eastAsia="仿宋" w:cs="仿宋"/>
                <w:color w:val="auto"/>
                <w:sz w:val="21"/>
                <w:szCs w:val="21"/>
                <w:u w:val="single"/>
              </w:rPr>
              <w:t>有限公司</w:t>
            </w:r>
          </w:p>
          <w:p>
            <w:pPr>
              <w:pStyle w:val="6"/>
              <w:spacing w:line="360" w:lineRule="auto"/>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法定代表人或授权人：</w:t>
            </w:r>
          </w:p>
          <w:p>
            <w:pPr>
              <w:pStyle w:val="6"/>
              <w:spacing w:line="360" w:lineRule="auto"/>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地址：</w:t>
            </w:r>
            <w:r>
              <w:rPr>
                <w:rFonts w:hint="eastAsia" w:ascii="仿宋" w:hAnsi="仿宋" w:eastAsia="仿宋" w:cs="仿宋"/>
                <w:color w:val="auto"/>
                <w:sz w:val="21"/>
                <w:szCs w:val="21"/>
                <w:u w:val="single"/>
              </w:rPr>
              <w:t>广西南宁市青秀区云景路</w:t>
            </w:r>
            <w:r>
              <w:rPr>
                <w:rFonts w:hint="eastAsia" w:ascii="仿宋" w:hAnsi="仿宋" w:eastAsia="仿宋" w:cs="仿宋"/>
                <w:color w:val="auto"/>
                <w:sz w:val="21"/>
                <w:szCs w:val="21"/>
                <w:u w:val="single"/>
                <w:lang w:val="en-US" w:eastAsia="zh-CN"/>
              </w:rPr>
              <w:t>83</w:t>
            </w:r>
            <w:r>
              <w:rPr>
                <w:rFonts w:hint="eastAsia" w:ascii="仿宋" w:hAnsi="仿宋" w:eastAsia="仿宋" w:cs="仿宋"/>
                <w:color w:val="auto"/>
                <w:sz w:val="21"/>
                <w:szCs w:val="21"/>
                <w:u w:val="single"/>
              </w:rPr>
              <w:t>号</w:t>
            </w:r>
          </w:p>
          <w:p>
            <w:pPr>
              <w:pStyle w:val="6"/>
              <w:spacing w:line="360" w:lineRule="auto"/>
              <w:rPr>
                <w:rFonts w:hint="eastAsia" w:ascii="仿宋" w:hAnsi="仿宋" w:eastAsia="仿宋" w:cs="仿宋"/>
                <w:color w:val="auto"/>
                <w:sz w:val="21"/>
                <w:szCs w:val="21"/>
                <w:u w:val="none"/>
                <w:lang w:val="en-US" w:eastAsia="zh-CN"/>
              </w:rPr>
            </w:pPr>
            <w:r>
              <w:rPr>
                <w:rFonts w:hint="eastAsia" w:ascii="仿宋" w:hAnsi="仿宋" w:eastAsia="仿宋" w:cs="仿宋"/>
                <w:color w:val="auto"/>
                <w:sz w:val="21"/>
                <w:szCs w:val="21"/>
                <w:u w:val="none"/>
              </w:rPr>
              <w:t>邮政编码：</w:t>
            </w:r>
          </w:p>
          <w:p>
            <w:pPr>
              <w:pStyle w:val="6"/>
              <w:spacing w:line="360" w:lineRule="auto"/>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联系人：</w:t>
            </w:r>
          </w:p>
          <w:p>
            <w:pPr>
              <w:pStyle w:val="6"/>
              <w:spacing w:line="360" w:lineRule="auto"/>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 xml:space="preserve">联系电话： </w:t>
            </w:r>
          </w:p>
          <w:p>
            <w:pPr>
              <w:pStyle w:val="6"/>
              <w:spacing w:line="360" w:lineRule="auto"/>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开户银行：</w:t>
            </w:r>
          </w:p>
          <w:p>
            <w:pPr>
              <w:pStyle w:val="6"/>
              <w:spacing w:line="360" w:lineRule="auto"/>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账号：</w:t>
            </w:r>
          </w:p>
          <w:p>
            <w:pPr>
              <w:pStyle w:val="6"/>
              <w:spacing w:line="360" w:lineRule="auto"/>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 xml:space="preserve">纳税人识别号： </w:t>
            </w:r>
          </w:p>
        </w:tc>
        <w:tc>
          <w:tcPr>
            <w:tcW w:w="4261" w:type="dxa"/>
          </w:tcPr>
          <w:p>
            <w:pPr>
              <w:pStyle w:val="6"/>
              <w:spacing w:line="360" w:lineRule="auto"/>
              <w:ind w:firstLine="200"/>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乙方：</w:t>
            </w:r>
          </w:p>
          <w:p>
            <w:pPr>
              <w:pStyle w:val="6"/>
              <w:spacing w:line="360" w:lineRule="auto"/>
              <w:ind w:firstLine="200"/>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法定代表人或授权人：</w:t>
            </w:r>
          </w:p>
          <w:p>
            <w:pPr>
              <w:pStyle w:val="6"/>
              <w:spacing w:line="360" w:lineRule="auto"/>
              <w:ind w:firstLine="200"/>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地址：</w:t>
            </w:r>
          </w:p>
          <w:p>
            <w:pPr>
              <w:pStyle w:val="6"/>
              <w:spacing w:line="360" w:lineRule="auto"/>
              <w:ind w:firstLine="200"/>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邮政编码：</w:t>
            </w:r>
          </w:p>
          <w:p>
            <w:pPr>
              <w:pStyle w:val="6"/>
              <w:spacing w:line="360" w:lineRule="auto"/>
              <w:ind w:firstLine="200"/>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联系人：</w:t>
            </w:r>
          </w:p>
          <w:p>
            <w:pPr>
              <w:pStyle w:val="6"/>
              <w:spacing w:line="360" w:lineRule="auto"/>
              <w:ind w:firstLine="200"/>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联系电话：</w:t>
            </w:r>
          </w:p>
          <w:p>
            <w:pPr>
              <w:pStyle w:val="6"/>
              <w:spacing w:line="360" w:lineRule="auto"/>
              <w:ind w:firstLine="200"/>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开户银行：</w:t>
            </w:r>
          </w:p>
          <w:p>
            <w:pPr>
              <w:pStyle w:val="6"/>
              <w:spacing w:line="360" w:lineRule="auto"/>
              <w:ind w:firstLine="200"/>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账号：</w:t>
            </w:r>
          </w:p>
          <w:p>
            <w:pPr>
              <w:pStyle w:val="6"/>
              <w:spacing w:line="360" w:lineRule="auto"/>
              <w:ind w:left="708" w:hanging="707"/>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 xml:space="preserve">  纳税人识别号：</w:t>
            </w:r>
          </w:p>
        </w:tc>
      </w:tr>
    </w:tbl>
    <w:p>
      <w:pPr>
        <w:spacing w:line="360" w:lineRule="auto"/>
        <w:ind w:firstLine="5060" w:firstLineChars="2400"/>
        <w:rPr>
          <w:rFonts w:hint="eastAsia" w:ascii="仿宋" w:hAnsi="仿宋" w:eastAsia="仿宋" w:cs="仿宋"/>
          <w:b/>
          <w:color w:val="auto"/>
          <w:sz w:val="21"/>
          <w:szCs w:val="21"/>
        </w:rPr>
      </w:pP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 xml:space="preserve">签订时间：     年   月 </w:t>
      </w:r>
      <w:r>
        <w:rPr>
          <w:rFonts w:hint="eastAsia" w:ascii="仿宋" w:hAnsi="仿宋" w:eastAsia="仿宋" w:cs="仿宋"/>
          <w:b/>
          <w:color w:val="auto"/>
          <w:sz w:val="21"/>
          <w:szCs w:val="21"/>
          <w:lang w:val="en-US" w:eastAsia="zh-CN"/>
        </w:rPr>
        <w:t xml:space="preserve"> </w:t>
      </w:r>
      <w:r>
        <w:rPr>
          <w:rFonts w:hint="eastAsia" w:ascii="仿宋" w:hAnsi="仿宋" w:eastAsia="仿宋" w:cs="仿宋"/>
          <w:b/>
          <w:color w:val="auto"/>
          <w:sz w:val="21"/>
          <w:szCs w:val="21"/>
        </w:rPr>
        <w:t xml:space="preserve">  日</w:t>
      </w:r>
    </w:p>
    <w:p>
      <w:pPr>
        <w:spacing w:line="360" w:lineRule="auto"/>
        <w:ind w:left="699" w:leftChars="333" w:firstLine="930" w:firstLineChars="441"/>
        <w:rPr>
          <w:rFonts w:hint="eastAsia" w:ascii="仿宋" w:hAnsi="仿宋" w:eastAsia="仿宋" w:cs="仿宋"/>
          <w:b/>
          <w:color w:val="auto"/>
          <w:sz w:val="21"/>
          <w:szCs w:val="21"/>
        </w:rPr>
      </w:pPr>
      <w:r>
        <w:rPr>
          <w:rFonts w:hint="eastAsia" w:ascii="仿宋" w:hAnsi="仿宋" w:eastAsia="仿宋" w:cs="仿宋"/>
          <w:b/>
          <w:color w:val="auto"/>
          <w:sz w:val="21"/>
          <w:szCs w:val="21"/>
        </w:rPr>
        <w:br w:type="page"/>
      </w:r>
    </w:p>
    <w:p>
      <w:pPr>
        <w:ind w:firstLine="200"/>
        <w:jc w:val="center"/>
        <w:outlineLvl w:val="1"/>
        <w:rPr>
          <w:rFonts w:hint="eastAsia" w:ascii="仿宋" w:hAnsi="仿宋" w:eastAsia="仿宋" w:cs="仿宋"/>
          <w:b/>
          <w:color w:val="auto"/>
          <w:sz w:val="24"/>
          <w:szCs w:val="24"/>
        </w:rPr>
      </w:pPr>
      <w:bookmarkStart w:id="23" w:name="_Toc24973"/>
      <w:bookmarkStart w:id="24" w:name="_Toc16743"/>
      <w:bookmarkStart w:id="25" w:name="_Toc10761"/>
      <w:bookmarkStart w:id="26" w:name="_Toc23998"/>
      <w:bookmarkStart w:id="27" w:name="_Toc25942"/>
      <w:bookmarkStart w:id="28" w:name="_Toc24098"/>
      <w:bookmarkStart w:id="29" w:name="_Toc7689"/>
      <w:bookmarkStart w:id="30" w:name="_Toc11253"/>
      <w:bookmarkStart w:id="31" w:name="_Toc9188"/>
      <w:bookmarkStart w:id="32" w:name="_Toc4133"/>
      <w:bookmarkStart w:id="33" w:name="_Toc29876"/>
      <w:bookmarkStart w:id="34" w:name="_Toc10196"/>
      <w:bookmarkStart w:id="35" w:name="_Toc14469"/>
      <w:bookmarkStart w:id="36" w:name="_Toc997"/>
      <w:bookmarkStart w:id="37" w:name="_Toc12155"/>
      <w:bookmarkStart w:id="38" w:name="_Toc7529"/>
      <w:bookmarkStart w:id="39" w:name="_Toc18460"/>
      <w:bookmarkStart w:id="40" w:name="_Toc258"/>
      <w:bookmarkStart w:id="41" w:name="_Toc9438"/>
      <w:r>
        <w:rPr>
          <w:rFonts w:hint="eastAsia" w:ascii="仿宋" w:hAnsi="仿宋" w:eastAsia="仿宋" w:cs="仿宋"/>
          <w:b/>
          <w:color w:val="auto"/>
          <w:sz w:val="24"/>
          <w:szCs w:val="24"/>
        </w:rPr>
        <w:t>二、合同条款</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tabs>
          <w:tab w:val="left" w:pos="640"/>
          <w:tab w:val="left" w:pos="1843"/>
        </w:tabs>
        <w:ind w:left="422"/>
        <w:outlineLvl w:val="1"/>
        <w:rPr>
          <w:rFonts w:hint="eastAsia" w:ascii="仿宋" w:hAnsi="仿宋" w:eastAsia="仿宋" w:cs="仿宋"/>
          <w:b/>
          <w:color w:val="auto"/>
          <w:sz w:val="21"/>
          <w:szCs w:val="21"/>
        </w:rPr>
      </w:pPr>
      <w:bookmarkStart w:id="42" w:name="_Toc4032"/>
      <w:bookmarkStart w:id="43" w:name="_Toc15707"/>
      <w:bookmarkStart w:id="44" w:name="_Toc25643"/>
      <w:bookmarkStart w:id="45" w:name="_Toc12080"/>
      <w:bookmarkStart w:id="46" w:name="_Toc22880"/>
      <w:bookmarkStart w:id="47" w:name="_Toc21601"/>
      <w:bookmarkStart w:id="48" w:name="_Toc14287"/>
      <w:bookmarkStart w:id="49" w:name="_Toc28024"/>
      <w:bookmarkStart w:id="50" w:name="_Toc43"/>
      <w:bookmarkStart w:id="51" w:name="_Toc378514952"/>
      <w:bookmarkStart w:id="52" w:name="_Toc10730"/>
      <w:bookmarkStart w:id="53" w:name="_Toc19920"/>
      <w:bookmarkStart w:id="54" w:name="_Toc370933855"/>
      <w:bookmarkStart w:id="55" w:name="_Toc390098464"/>
      <w:bookmarkStart w:id="56" w:name="_Toc385427838"/>
      <w:bookmarkStart w:id="57" w:name="_Toc18727"/>
      <w:bookmarkStart w:id="58" w:name="_Toc6054"/>
      <w:bookmarkStart w:id="59" w:name="_Toc20484"/>
      <w:bookmarkStart w:id="60" w:name="_Toc7961"/>
      <w:bookmarkStart w:id="61" w:name="_Toc2614"/>
      <w:bookmarkStart w:id="62" w:name="_Toc12256"/>
      <w:bookmarkStart w:id="63" w:name="_Toc492478763"/>
      <w:bookmarkStart w:id="64" w:name="_Toc31691"/>
      <w:bookmarkStart w:id="65" w:name="_Toc29932"/>
      <w:bookmarkStart w:id="66" w:name="_Toc25750635"/>
      <w:r>
        <w:rPr>
          <w:rFonts w:hint="eastAsia" w:ascii="仿宋" w:hAnsi="仿宋" w:eastAsia="仿宋" w:cs="仿宋"/>
          <w:b/>
          <w:color w:val="auto"/>
          <w:sz w:val="21"/>
          <w:szCs w:val="21"/>
        </w:rPr>
        <w:t>1.定义及解释</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numPr>
          <w:ilvl w:val="1"/>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1.1</w:t>
      </w:r>
      <w:r>
        <w:rPr>
          <w:rFonts w:hint="eastAsia" w:ascii="仿宋" w:hAnsi="仿宋" w:eastAsia="仿宋" w:cs="仿宋"/>
          <w:color w:val="auto"/>
          <w:sz w:val="21"/>
          <w:szCs w:val="21"/>
        </w:rPr>
        <w:t>定义</w:t>
      </w:r>
    </w:p>
    <w:p>
      <w:pPr>
        <w:tabs>
          <w:tab w:val="left" w:pos="540"/>
          <w:tab w:val="left" w:pos="840"/>
        </w:tabs>
        <w:ind w:left="420"/>
        <w:rPr>
          <w:rFonts w:hint="eastAsia" w:ascii="仿宋" w:hAnsi="仿宋" w:eastAsia="仿宋" w:cs="仿宋"/>
          <w:color w:val="auto"/>
          <w:sz w:val="21"/>
          <w:szCs w:val="21"/>
        </w:rPr>
      </w:pPr>
      <w:r>
        <w:rPr>
          <w:rFonts w:hint="eastAsia" w:ascii="仿宋" w:hAnsi="仿宋" w:eastAsia="仿宋" w:cs="仿宋"/>
          <w:color w:val="auto"/>
          <w:sz w:val="21"/>
          <w:szCs w:val="21"/>
        </w:rPr>
        <w:t>在合同中，下列措辞和用语具有此处所赋予的他们的含义：</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1.1.1</w:t>
      </w:r>
      <w:r>
        <w:rPr>
          <w:rFonts w:hint="eastAsia" w:ascii="仿宋" w:hAnsi="仿宋" w:eastAsia="仿宋" w:cs="仿宋"/>
          <w:color w:val="auto"/>
          <w:sz w:val="21"/>
          <w:szCs w:val="21"/>
        </w:rPr>
        <w:t>合同”或称“合同书”指买卖双方达成并签署的协议，包括合同协议书、合同条款、合同附件、合同附录和上述文件所提到的构成合同的所有文件。</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1.1.2</w:t>
      </w:r>
      <w:r>
        <w:rPr>
          <w:rFonts w:hint="eastAsia" w:ascii="仿宋" w:hAnsi="仿宋" w:eastAsia="仿宋" w:cs="仿宋"/>
          <w:color w:val="auto"/>
          <w:sz w:val="21"/>
          <w:szCs w:val="21"/>
        </w:rPr>
        <w:t>“合同价格”指合同规定乙方在正确地完全履行合同义务后甲方应支付给乙方的金额。</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1.1.3</w:t>
      </w:r>
      <w:r>
        <w:rPr>
          <w:rFonts w:hint="eastAsia" w:ascii="仿宋" w:hAnsi="仿宋" w:eastAsia="仿宋" w:cs="仿宋"/>
          <w:color w:val="auto"/>
          <w:sz w:val="21"/>
          <w:szCs w:val="21"/>
        </w:rPr>
        <w:t>“合同条款”系指本合同条款。</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1.1.4</w:t>
      </w:r>
      <w:r>
        <w:rPr>
          <w:rFonts w:hint="eastAsia" w:ascii="仿宋" w:hAnsi="仿宋" w:eastAsia="仿宋" w:cs="仿宋"/>
          <w:color w:val="auto"/>
          <w:sz w:val="21"/>
          <w:szCs w:val="21"/>
        </w:rPr>
        <w:t>“甲方”或“业主”系指南宁轨道交通</w:t>
      </w:r>
      <w:r>
        <w:rPr>
          <w:rFonts w:hint="eastAsia" w:ascii="仿宋" w:hAnsi="仿宋" w:eastAsia="仿宋" w:cs="仿宋"/>
          <w:color w:val="auto"/>
          <w:sz w:val="21"/>
          <w:szCs w:val="21"/>
          <w:lang w:val="en-US" w:eastAsia="zh-CN"/>
        </w:rPr>
        <w:t>运营</w:t>
      </w:r>
      <w:r>
        <w:rPr>
          <w:rFonts w:hint="eastAsia" w:ascii="仿宋" w:hAnsi="仿宋" w:eastAsia="仿宋" w:cs="仿宋"/>
          <w:color w:val="auto"/>
          <w:sz w:val="21"/>
          <w:szCs w:val="21"/>
        </w:rPr>
        <w:t>有限公司。</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1.1.5</w:t>
      </w:r>
      <w:r>
        <w:rPr>
          <w:rFonts w:hint="eastAsia" w:ascii="仿宋" w:hAnsi="仿宋" w:eastAsia="仿宋" w:cs="仿宋"/>
          <w:color w:val="auto"/>
          <w:sz w:val="21"/>
          <w:szCs w:val="21"/>
        </w:rPr>
        <w:t>“乙方”系指受甲方委托，负责本项目提供合同标的的法人和/或其他组织。</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1.1.6</w:t>
      </w:r>
      <w:r>
        <w:rPr>
          <w:rFonts w:hint="eastAsia" w:ascii="仿宋" w:hAnsi="仿宋" w:eastAsia="仿宋" w:cs="仿宋"/>
          <w:color w:val="auto"/>
          <w:sz w:val="21"/>
          <w:szCs w:val="21"/>
        </w:rPr>
        <w:t>“双方”系指甲方和乙方。</w:t>
      </w:r>
    </w:p>
    <w:p>
      <w:pPr>
        <w:numPr>
          <w:ilvl w:val="2"/>
          <w:numId w:val="0"/>
        </w:numPr>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1.1.7</w:t>
      </w:r>
      <w:r>
        <w:rPr>
          <w:rFonts w:hint="eastAsia" w:ascii="仿宋" w:hAnsi="仿宋" w:eastAsia="仿宋" w:cs="仿宋"/>
          <w:color w:val="auto"/>
          <w:sz w:val="21"/>
          <w:szCs w:val="21"/>
        </w:rPr>
        <w:t>不可抗力：是指合同当事人在签订合同时不可预见，在合同履行过程中不可避免且不能克服的自然灾害和社会性突发事件，如地震、海啸、瘟疫、骚乱、戒严、暴动、战争和合同条款中约定的其他情形。</w:t>
      </w:r>
    </w:p>
    <w:p>
      <w:pPr>
        <w:numPr>
          <w:ilvl w:val="1"/>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1.2</w:t>
      </w:r>
      <w:r>
        <w:rPr>
          <w:rFonts w:hint="eastAsia" w:ascii="仿宋" w:hAnsi="仿宋" w:eastAsia="仿宋" w:cs="仿宋"/>
          <w:color w:val="auto"/>
          <w:sz w:val="21"/>
          <w:szCs w:val="21"/>
        </w:rPr>
        <w:t>解释</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1.2.1</w:t>
      </w:r>
      <w:r>
        <w:rPr>
          <w:rFonts w:hint="eastAsia" w:ascii="仿宋" w:hAnsi="仿宋" w:eastAsia="仿宋" w:cs="仿宋"/>
          <w:color w:val="auto"/>
          <w:sz w:val="21"/>
          <w:szCs w:val="21"/>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1.2.2</w:t>
      </w:r>
      <w:r>
        <w:rPr>
          <w:rFonts w:hint="eastAsia" w:ascii="仿宋" w:hAnsi="仿宋" w:eastAsia="仿宋" w:cs="仿宋"/>
          <w:color w:val="auto"/>
          <w:sz w:val="21"/>
          <w:szCs w:val="21"/>
        </w:rPr>
        <w:t>凡指当事人或各方的措辞应包括商行、公司以及具有法人资格的任何组织。仅表明单数形式的词也包括复数含义，视上下文需要而定，反之亦然。</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1.2.3</w:t>
      </w:r>
      <w:r>
        <w:rPr>
          <w:rFonts w:hint="eastAsia" w:ascii="仿宋" w:hAnsi="仿宋" w:eastAsia="仿宋" w:cs="仿宋"/>
          <w:color w:val="auto"/>
          <w:sz w:val="21"/>
          <w:szCs w:val="21"/>
        </w:rPr>
        <w:t>凡合同中规定通讯是“书面的”或“用书面形式”，这是指任何手写的、打印的或印刷的通讯及其它所有用书面记录的现代通讯方法进行的通讯，包括邮件、电报、电传和传真等发送。</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1.2.4</w:t>
      </w:r>
      <w:r>
        <w:rPr>
          <w:rFonts w:hint="eastAsia" w:ascii="仿宋" w:hAnsi="仿宋" w:eastAsia="仿宋" w:cs="仿宋"/>
          <w:color w:val="auto"/>
          <w:sz w:val="21"/>
          <w:szCs w:val="21"/>
        </w:rPr>
        <w:t>凡合同规定任何人发出通知、同意或确认时，该通知、同意或确认不得被无故扣押。除非另有规定，该通知、同意或确认应是书面的并应对“通知”一词做出相应解释。</w:t>
      </w:r>
    </w:p>
    <w:p>
      <w:pPr>
        <w:numPr>
          <w:ilvl w:val="2"/>
          <w:numId w:val="0"/>
        </w:numPr>
        <w:tabs>
          <w:tab w:val="left" w:pos="106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1.2.5</w:t>
      </w:r>
      <w:r>
        <w:rPr>
          <w:rFonts w:hint="eastAsia" w:ascii="仿宋" w:hAnsi="仿宋" w:eastAsia="仿宋" w:cs="仿宋"/>
          <w:color w:val="auto"/>
          <w:sz w:val="21"/>
          <w:szCs w:val="21"/>
        </w:rPr>
        <w:t>可分割性：如果合同的某一条款被禁止或定为是无效的、不可实施的，那么，如此的禁止，无效性或不可实施性不会影响到合同其他条款的有效性或可实施性。</w:t>
      </w:r>
    </w:p>
    <w:p>
      <w:pPr>
        <w:tabs>
          <w:tab w:val="left" w:pos="640"/>
          <w:tab w:val="left" w:pos="1843"/>
        </w:tabs>
        <w:ind w:left="422"/>
        <w:outlineLvl w:val="1"/>
        <w:rPr>
          <w:rFonts w:hint="eastAsia" w:ascii="仿宋" w:hAnsi="仿宋" w:eastAsia="仿宋" w:cs="仿宋"/>
          <w:b/>
          <w:color w:val="auto"/>
          <w:sz w:val="21"/>
          <w:szCs w:val="21"/>
        </w:rPr>
      </w:pPr>
      <w:bookmarkStart w:id="67" w:name="_Toc32266"/>
      <w:bookmarkStart w:id="68" w:name="_Toc30815"/>
      <w:bookmarkStart w:id="69" w:name="_Toc15944"/>
      <w:bookmarkStart w:id="70" w:name="_Toc1169"/>
      <w:bookmarkStart w:id="71" w:name="_Toc13835"/>
      <w:bookmarkStart w:id="72" w:name="_Toc370933856"/>
      <w:bookmarkStart w:id="73" w:name="_Toc19899"/>
      <w:bookmarkStart w:id="74" w:name="_Toc7813"/>
      <w:bookmarkStart w:id="75" w:name="_Toc7059"/>
      <w:bookmarkStart w:id="76" w:name="_Toc8477"/>
      <w:bookmarkStart w:id="77" w:name="_Toc23112"/>
      <w:bookmarkStart w:id="78" w:name="_Toc5955"/>
      <w:bookmarkStart w:id="79" w:name="_Toc23305"/>
      <w:bookmarkStart w:id="80" w:name="_Toc4255"/>
      <w:bookmarkStart w:id="81" w:name="_Toc492478764"/>
      <w:bookmarkStart w:id="82" w:name="_Toc25750636"/>
      <w:bookmarkStart w:id="83" w:name="_Toc3180"/>
      <w:bookmarkStart w:id="84" w:name="_Toc4212"/>
      <w:bookmarkStart w:id="85" w:name="_Toc25826"/>
      <w:bookmarkStart w:id="86" w:name="_Toc390098465"/>
      <w:bookmarkStart w:id="87" w:name="_Toc4301"/>
      <w:bookmarkStart w:id="88" w:name="_Toc385427839"/>
      <w:bookmarkStart w:id="89" w:name="_Toc378514953"/>
      <w:bookmarkStart w:id="90" w:name="_Toc23247"/>
      <w:bookmarkStart w:id="91" w:name="_Toc18178"/>
      <w:r>
        <w:rPr>
          <w:rFonts w:hint="eastAsia" w:ascii="仿宋" w:hAnsi="仿宋" w:eastAsia="仿宋" w:cs="仿宋"/>
          <w:b/>
          <w:color w:val="auto"/>
          <w:sz w:val="21"/>
          <w:szCs w:val="21"/>
        </w:rPr>
        <w:t>2.适用性</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tabs>
          <w:tab w:val="left" w:pos="540"/>
          <w:tab w:val="left" w:pos="840"/>
        </w:tabs>
        <w:ind w:left="420"/>
        <w:rPr>
          <w:rFonts w:hint="eastAsia" w:ascii="仿宋" w:hAnsi="仿宋" w:eastAsia="仿宋" w:cs="仿宋"/>
          <w:color w:val="auto"/>
          <w:sz w:val="21"/>
          <w:szCs w:val="21"/>
        </w:rPr>
      </w:pPr>
      <w:r>
        <w:rPr>
          <w:rFonts w:hint="eastAsia" w:ascii="仿宋" w:hAnsi="仿宋" w:eastAsia="仿宋" w:cs="仿宋"/>
          <w:color w:val="auto"/>
          <w:sz w:val="21"/>
          <w:szCs w:val="21"/>
        </w:rPr>
        <w:t>本合同条款适用于本合同其它部分未有规定或未被替代的范围。</w:t>
      </w:r>
    </w:p>
    <w:p>
      <w:pPr>
        <w:tabs>
          <w:tab w:val="left" w:pos="640"/>
          <w:tab w:val="left" w:pos="1843"/>
        </w:tabs>
        <w:ind w:left="422"/>
        <w:outlineLvl w:val="1"/>
        <w:rPr>
          <w:rFonts w:hint="eastAsia" w:ascii="仿宋" w:hAnsi="仿宋" w:eastAsia="仿宋" w:cs="仿宋"/>
          <w:color w:val="auto"/>
          <w:sz w:val="21"/>
          <w:szCs w:val="21"/>
        </w:rPr>
      </w:pPr>
      <w:bookmarkStart w:id="92" w:name="_Toc21065"/>
      <w:bookmarkStart w:id="93" w:name="_Toc370933857"/>
      <w:bookmarkStart w:id="94" w:name="_Toc3131"/>
      <w:bookmarkStart w:id="95" w:name="_Toc4738"/>
      <w:bookmarkStart w:id="96" w:name="_Toc492478765"/>
      <w:bookmarkStart w:id="97" w:name="_Toc9864"/>
      <w:bookmarkStart w:id="98" w:name="_Toc390098466"/>
      <w:bookmarkStart w:id="99" w:name="_Toc3674"/>
      <w:bookmarkStart w:id="100" w:name="_Toc21603"/>
      <w:bookmarkStart w:id="101" w:name="_Toc11803"/>
      <w:bookmarkStart w:id="102" w:name="_Toc3397"/>
      <w:bookmarkStart w:id="103" w:name="_Toc5253"/>
      <w:bookmarkStart w:id="104" w:name="_Toc13801"/>
      <w:bookmarkStart w:id="105" w:name="_Toc26983"/>
      <w:bookmarkStart w:id="106" w:name="_Toc25750637"/>
      <w:bookmarkStart w:id="107" w:name="_Toc17372"/>
      <w:bookmarkStart w:id="108" w:name="_Toc4969"/>
      <w:bookmarkStart w:id="109" w:name="_Toc14437"/>
      <w:bookmarkStart w:id="110" w:name="_Toc9306"/>
      <w:bookmarkStart w:id="111" w:name="_Toc15308"/>
      <w:bookmarkStart w:id="112" w:name="_Toc4898"/>
      <w:bookmarkStart w:id="113" w:name="_Toc18092"/>
      <w:bookmarkStart w:id="114" w:name="_Toc12248"/>
      <w:bookmarkStart w:id="115" w:name="_Toc378514954"/>
      <w:bookmarkStart w:id="116" w:name="_Toc385427840"/>
      <w:r>
        <w:rPr>
          <w:rFonts w:hint="eastAsia" w:ascii="仿宋" w:hAnsi="仿宋" w:eastAsia="仿宋" w:cs="仿宋"/>
          <w:b/>
          <w:color w:val="auto"/>
          <w:sz w:val="21"/>
          <w:szCs w:val="21"/>
        </w:rPr>
        <w:t>3.</w:t>
      </w:r>
      <w:r>
        <w:rPr>
          <w:rFonts w:hint="eastAsia" w:ascii="仿宋" w:hAnsi="仿宋" w:eastAsia="仿宋" w:cs="仿宋"/>
          <w:b/>
          <w:bCs/>
          <w:color w:val="auto"/>
          <w:sz w:val="21"/>
          <w:szCs w:val="21"/>
        </w:rPr>
        <w:t>语言文字</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ind w:left="105" w:leftChars="50"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除专用术语外，合同使用的语言文字为中文。专用术语在使用其他语种文字应附有中文注释。</w:t>
      </w:r>
    </w:p>
    <w:p>
      <w:pPr>
        <w:tabs>
          <w:tab w:val="left" w:pos="640"/>
          <w:tab w:val="left" w:pos="1843"/>
        </w:tabs>
        <w:ind w:left="422"/>
        <w:outlineLvl w:val="1"/>
        <w:rPr>
          <w:rFonts w:hint="eastAsia" w:ascii="仿宋" w:hAnsi="仿宋" w:eastAsia="仿宋" w:cs="仿宋"/>
          <w:color w:val="auto"/>
          <w:sz w:val="21"/>
          <w:szCs w:val="21"/>
        </w:rPr>
      </w:pPr>
      <w:bookmarkStart w:id="117" w:name="_Toc14713"/>
      <w:bookmarkStart w:id="118" w:name="_Toc12180"/>
      <w:bookmarkStart w:id="119" w:name="_Toc21042"/>
      <w:bookmarkStart w:id="120" w:name="_Toc14273"/>
      <w:bookmarkStart w:id="121" w:name="_Toc390098467"/>
      <w:bookmarkStart w:id="122" w:name="_Toc378514955"/>
      <w:bookmarkStart w:id="123" w:name="_Toc2708"/>
      <w:bookmarkStart w:id="124" w:name="_Toc16646"/>
      <w:bookmarkStart w:id="125" w:name="_Toc21356"/>
      <w:bookmarkStart w:id="126" w:name="_Toc25750638"/>
      <w:bookmarkStart w:id="127" w:name="_Toc11524"/>
      <w:bookmarkStart w:id="128" w:name="_Toc385427841"/>
      <w:bookmarkStart w:id="129" w:name="_Toc3318"/>
      <w:bookmarkStart w:id="130" w:name="_Toc370933858"/>
      <w:bookmarkStart w:id="131" w:name="_Toc21641"/>
      <w:bookmarkStart w:id="132" w:name="_Toc27450"/>
      <w:bookmarkStart w:id="133" w:name="_Toc11626"/>
      <w:bookmarkStart w:id="134" w:name="_Toc23249"/>
      <w:bookmarkStart w:id="135" w:name="_Toc25311"/>
      <w:bookmarkStart w:id="136" w:name="_Toc19514"/>
      <w:bookmarkStart w:id="137" w:name="_Toc10807"/>
      <w:bookmarkStart w:id="138" w:name="_Toc23258"/>
      <w:bookmarkStart w:id="139" w:name="_Toc21289"/>
      <w:bookmarkStart w:id="140" w:name="_Toc492478766"/>
      <w:bookmarkStart w:id="141" w:name="_Toc18548"/>
      <w:r>
        <w:rPr>
          <w:rFonts w:hint="eastAsia" w:ascii="仿宋" w:hAnsi="仿宋" w:eastAsia="仿宋" w:cs="仿宋"/>
          <w:b/>
          <w:color w:val="auto"/>
          <w:sz w:val="21"/>
          <w:szCs w:val="21"/>
        </w:rPr>
        <w:t>4.</w:t>
      </w:r>
      <w:r>
        <w:rPr>
          <w:rFonts w:hint="eastAsia" w:ascii="仿宋" w:hAnsi="仿宋" w:eastAsia="仿宋" w:cs="仿宋"/>
          <w:b/>
          <w:bCs/>
          <w:color w:val="auto"/>
          <w:sz w:val="21"/>
          <w:szCs w:val="21"/>
        </w:rPr>
        <w:t>适用法律、标准和规范</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numPr>
          <w:ilvl w:val="1"/>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4.1</w:t>
      </w:r>
      <w:r>
        <w:rPr>
          <w:rFonts w:hint="eastAsia" w:ascii="仿宋" w:hAnsi="仿宋" w:eastAsia="仿宋" w:cs="仿宋"/>
          <w:color w:val="auto"/>
          <w:sz w:val="21"/>
          <w:szCs w:val="21"/>
        </w:rPr>
        <w:t>适用于合同的法律包括国家现行法律、行政法规、部门规章，以及广西壮族自治区和南宁市的地方法规、地方政府规章。</w:t>
      </w:r>
    </w:p>
    <w:p>
      <w:pPr>
        <w:numPr>
          <w:ilvl w:val="1"/>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4.2</w:t>
      </w:r>
      <w:r>
        <w:rPr>
          <w:rFonts w:hint="eastAsia" w:ascii="仿宋" w:hAnsi="仿宋" w:eastAsia="仿宋" w:cs="仿宋"/>
          <w:color w:val="auto"/>
          <w:sz w:val="21"/>
          <w:szCs w:val="21"/>
        </w:rPr>
        <w:t>适用标准、规范。</w:t>
      </w:r>
    </w:p>
    <w:p>
      <w:pPr>
        <w:numPr>
          <w:ilvl w:val="1"/>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4.3</w:t>
      </w:r>
      <w:r>
        <w:rPr>
          <w:rFonts w:hint="eastAsia" w:ascii="仿宋" w:hAnsi="仿宋" w:eastAsia="仿宋" w:cs="仿宋"/>
          <w:color w:val="auto"/>
          <w:sz w:val="21"/>
          <w:szCs w:val="21"/>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ind w:left="422"/>
        <w:outlineLvl w:val="1"/>
        <w:rPr>
          <w:rFonts w:hint="eastAsia" w:ascii="仿宋" w:hAnsi="仿宋" w:eastAsia="仿宋" w:cs="仿宋"/>
          <w:b/>
          <w:color w:val="auto"/>
          <w:sz w:val="21"/>
          <w:szCs w:val="21"/>
        </w:rPr>
      </w:pPr>
      <w:bookmarkStart w:id="142" w:name="_Toc492478767"/>
      <w:bookmarkStart w:id="143" w:name="_Toc390098468"/>
      <w:bookmarkStart w:id="144" w:name="_Toc17081"/>
      <w:bookmarkStart w:id="145" w:name="_Toc18617"/>
      <w:bookmarkStart w:id="146" w:name="_Toc25750639"/>
      <w:bookmarkStart w:id="147" w:name="_Toc14089"/>
      <w:bookmarkStart w:id="148" w:name="_Toc20372"/>
      <w:bookmarkStart w:id="149" w:name="_Toc11487"/>
      <w:bookmarkStart w:id="150" w:name="_Toc22040"/>
      <w:bookmarkStart w:id="151" w:name="_Toc10995"/>
      <w:bookmarkStart w:id="152" w:name="_Toc4048"/>
      <w:bookmarkStart w:id="153" w:name="_Toc2352"/>
      <w:bookmarkStart w:id="154" w:name="_Toc20288"/>
      <w:bookmarkStart w:id="155" w:name="_Toc27620"/>
      <w:bookmarkStart w:id="156" w:name="_Toc2304"/>
      <w:bookmarkStart w:id="157" w:name="_Toc13516"/>
      <w:bookmarkStart w:id="158" w:name="_Toc378514956"/>
      <w:bookmarkStart w:id="159" w:name="_Toc18813"/>
      <w:bookmarkStart w:id="160" w:name="_Toc23539"/>
      <w:bookmarkStart w:id="161" w:name="_Toc31912"/>
      <w:bookmarkStart w:id="162" w:name="_Toc370933859"/>
      <w:bookmarkStart w:id="163" w:name="_Toc3165"/>
      <w:bookmarkStart w:id="164" w:name="_Toc24783"/>
      <w:bookmarkStart w:id="165" w:name="_Toc385427842"/>
      <w:bookmarkStart w:id="166" w:name="_Toc19358"/>
      <w:r>
        <w:rPr>
          <w:rFonts w:hint="eastAsia" w:ascii="仿宋" w:hAnsi="仿宋" w:eastAsia="仿宋" w:cs="仿宋"/>
          <w:b/>
          <w:color w:val="auto"/>
          <w:sz w:val="21"/>
          <w:szCs w:val="21"/>
        </w:rPr>
        <w:t>5.合同文件、资料及使用</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numPr>
          <w:ilvl w:val="1"/>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5.1</w:t>
      </w:r>
      <w:r>
        <w:rPr>
          <w:rFonts w:hint="eastAsia" w:ascii="仿宋" w:hAnsi="仿宋" w:eastAsia="仿宋" w:cs="仿宋"/>
          <w:color w:val="auto"/>
          <w:sz w:val="21"/>
          <w:szCs w:val="21"/>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5.2</w:t>
      </w:r>
      <w:r>
        <w:rPr>
          <w:rFonts w:hint="eastAsia" w:ascii="仿宋" w:hAnsi="仿宋" w:eastAsia="仿宋" w:cs="仿宋"/>
          <w:color w:val="auto"/>
          <w:sz w:val="21"/>
          <w:szCs w:val="21"/>
        </w:rPr>
        <w:t>没有甲方事先书面同意，除了履行本合同之外，乙方不得允许他人使用条款第5.1条所列举的任何文件和资料。</w:t>
      </w:r>
    </w:p>
    <w:p>
      <w:pPr>
        <w:numPr>
          <w:ilvl w:val="1"/>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5.3</w:t>
      </w:r>
      <w:r>
        <w:rPr>
          <w:rFonts w:hint="eastAsia" w:ascii="仿宋" w:hAnsi="仿宋" w:eastAsia="仿宋" w:cs="仿宋"/>
          <w:color w:val="auto"/>
          <w:sz w:val="21"/>
          <w:szCs w:val="21"/>
        </w:rPr>
        <w:t>除了合同本身以外，条款第5.1条所列举的任何文件均视为甲方的财产。如果甲方有要求，乙方在完成合同后或合同终止时应将上述文件及全部复印件还交给甲方，或按甲方需求予以销毁。</w:t>
      </w:r>
    </w:p>
    <w:p>
      <w:pPr>
        <w:numPr>
          <w:ilvl w:val="1"/>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5.4</w:t>
      </w:r>
      <w:r>
        <w:rPr>
          <w:rFonts w:hint="eastAsia" w:ascii="仿宋" w:hAnsi="仿宋" w:eastAsia="仿宋" w:cs="仿宋"/>
          <w:color w:val="auto"/>
          <w:sz w:val="21"/>
          <w:szCs w:val="21"/>
        </w:rPr>
        <w:t>甲方项目档案管理的规定（各类项目文件资料档案的移交份数，详见南宁轨道交通集团有限责任公司有关部门立卷的规定文件）。</w:t>
      </w:r>
    </w:p>
    <w:p>
      <w:pPr>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ind w:left="422"/>
        <w:outlineLvl w:val="1"/>
        <w:rPr>
          <w:rFonts w:hint="eastAsia" w:ascii="仿宋" w:hAnsi="仿宋" w:eastAsia="仿宋" w:cs="仿宋"/>
          <w:b/>
          <w:color w:val="auto"/>
          <w:sz w:val="21"/>
          <w:szCs w:val="21"/>
        </w:rPr>
      </w:pPr>
      <w:bookmarkStart w:id="167" w:name="_Toc25750640"/>
      <w:bookmarkStart w:id="168" w:name="_Toc15801"/>
      <w:bookmarkStart w:id="169" w:name="_Toc17100"/>
      <w:bookmarkStart w:id="170" w:name="_Toc8848"/>
      <w:bookmarkStart w:id="171" w:name="_Toc16891"/>
      <w:bookmarkStart w:id="172" w:name="_Toc23542"/>
      <w:bookmarkStart w:id="173" w:name="_Toc17102"/>
      <w:bookmarkStart w:id="174" w:name="_Toc18841"/>
      <w:bookmarkStart w:id="175" w:name="_Toc385427843"/>
      <w:bookmarkStart w:id="176" w:name="_Toc2096"/>
      <w:bookmarkStart w:id="177" w:name="_Toc24189"/>
      <w:bookmarkStart w:id="178" w:name="_Toc2340"/>
      <w:bookmarkStart w:id="179" w:name="_Toc12048"/>
      <w:bookmarkStart w:id="180" w:name="_Toc492478768"/>
      <w:bookmarkStart w:id="181" w:name="_Toc4739"/>
      <w:bookmarkStart w:id="182" w:name="_Toc25104"/>
      <w:bookmarkStart w:id="183" w:name="_Toc16793"/>
      <w:bookmarkStart w:id="184" w:name="_Toc18946"/>
      <w:bookmarkStart w:id="185" w:name="_Toc5930"/>
      <w:bookmarkStart w:id="186" w:name="_Toc17908"/>
      <w:bookmarkStart w:id="187" w:name="_Toc25049"/>
      <w:bookmarkStart w:id="188" w:name="_Toc23274"/>
      <w:bookmarkStart w:id="189" w:name="_Toc370933860"/>
      <w:bookmarkStart w:id="190" w:name="_Toc378514957"/>
      <w:bookmarkStart w:id="191" w:name="_Toc390098469"/>
      <w:r>
        <w:rPr>
          <w:rFonts w:hint="eastAsia" w:ascii="仿宋" w:hAnsi="仿宋" w:eastAsia="仿宋" w:cs="仿宋"/>
          <w:b/>
          <w:color w:val="auto"/>
          <w:sz w:val="21"/>
          <w:szCs w:val="21"/>
        </w:rPr>
        <w:t>6.知识产权</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numPr>
          <w:ilvl w:val="0"/>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6.1</w:t>
      </w:r>
      <w:r>
        <w:rPr>
          <w:rFonts w:hint="eastAsia" w:ascii="仿宋" w:hAnsi="仿宋" w:eastAsia="仿宋" w:cs="仿宋"/>
          <w:color w:val="auto"/>
          <w:sz w:val="21"/>
          <w:szCs w:val="21"/>
        </w:rPr>
        <w:t>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numPr>
          <w:ilvl w:val="0"/>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6.2</w:t>
      </w:r>
      <w:r>
        <w:rPr>
          <w:rFonts w:hint="eastAsia" w:ascii="仿宋" w:hAnsi="仿宋" w:eastAsia="仿宋" w:cs="仿宋"/>
          <w:color w:val="auto"/>
          <w:sz w:val="21"/>
          <w:szCs w:val="21"/>
        </w:rPr>
        <w:t>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numPr>
          <w:ilvl w:val="0"/>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6.3</w:t>
      </w:r>
      <w:r>
        <w:rPr>
          <w:rFonts w:hint="eastAsia" w:ascii="仿宋" w:hAnsi="仿宋" w:eastAsia="仿宋" w:cs="仿宋"/>
          <w:color w:val="auto"/>
          <w:sz w:val="21"/>
          <w:szCs w:val="21"/>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hint="eastAsia" w:ascii="仿宋" w:hAnsi="仿宋" w:eastAsia="仿宋" w:cs="仿宋"/>
          <w:b/>
          <w:color w:val="auto"/>
          <w:sz w:val="21"/>
          <w:szCs w:val="21"/>
        </w:rPr>
      </w:pPr>
      <w:bookmarkStart w:id="192" w:name="_Toc7907"/>
      <w:bookmarkStart w:id="193" w:name="_Toc378514958"/>
      <w:bookmarkStart w:id="194" w:name="_Toc385427844"/>
      <w:bookmarkStart w:id="195" w:name="_Toc17901"/>
      <w:bookmarkStart w:id="196" w:name="_Toc492478769"/>
      <w:bookmarkStart w:id="197" w:name="_Toc390098470"/>
      <w:bookmarkStart w:id="198" w:name="_Toc25888"/>
      <w:bookmarkStart w:id="199" w:name="_Toc17489"/>
      <w:bookmarkStart w:id="200" w:name="_Toc11516"/>
      <w:bookmarkStart w:id="201" w:name="_Toc7460"/>
      <w:bookmarkStart w:id="202" w:name="_Toc29127"/>
      <w:bookmarkStart w:id="203" w:name="_Toc828"/>
      <w:bookmarkStart w:id="204" w:name="_Toc370933861"/>
      <w:bookmarkStart w:id="205" w:name="_Toc21848"/>
      <w:bookmarkStart w:id="206" w:name="_Toc2076"/>
      <w:bookmarkStart w:id="207" w:name="_Toc25327"/>
      <w:bookmarkStart w:id="208" w:name="_Toc21755"/>
      <w:bookmarkStart w:id="209" w:name="_Toc20551"/>
      <w:bookmarkStart w:id="210" w:name="_Toc25750641"/>
      <w:bookmarkStart w:id="211" w:name="_Toc24887"/>
      <w:bookmarkStart w:id="212" w:name="_Toc6777"/>
      <w:bookmarkStart w:id="213" w:name="_Toc7187"/>
      <w:bookmarkStart w:id="214" w:name="_Toc1869"/>
      <w:bookmarkStart w:id="215" w:name="_Toc29337"/>
      <w:r>
        <w:rPr>
          <w:rFonts w:hint="eastAsia" w:ascii="仿宋" w:hAnsi="仿宋" w:eastAsia="仿宋" w:cs="仿宋"/>
          <w:b/>
          <w:color w:val="auto"/>
          <w:sz w:val="21"/>
          <w:szCs w:val="21"/>
        </w:rPr>
        <w:t>7.履约担保</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numPr>
          <w:ilvl w:val="0"/>
          <w:numId w:val="0"/>
        </w:numPr>
        <w:tabs>
          <w:tab w:val="left" w:pos="840"/>
        </w:tabs>
        <w:ind w:left="0" w:leftChars="0" w:firstLine="420" w:firstLineChars="200"/>
        <w:rPr>
          <w:rFonts w:hint="eastAsia" w:ascii="仿宋" w:hAnsi="仿宋" w:eastAsia="仿宋" w:cs="仿宋"/>
          <w:color w:val="auto"/>
          <w:sz w:val="21"/>
          <w:szCs w:val="21"/>
        </w:rPr>
      </w:pPr>
      <w:bookmarkStart w:id="216" w:name="_Toc5676"/>
      <w:bookmarkStart w:id="217" w:name="_Toc15512"/>
      <w:bookmarkStart w:id="218" w:name="_Toc21872"/>
      <w:bookmarkStart w:id="219" w:name="_Toc26034"/>
      <w:bookmarkStart w:id="220" w:name="_Toc20899"/>
      <w:bookmarkStart w:id="221" w:name="_Toc20550"/>
      <w:bookmarkStart w:id="222" w:name="_Toc20252"/>
      <w:bookmarkStart w:id="223" w:name="_Toc2613"/>
      <w:bookmarkStart w:id="224" w:name="_Toc32382"/>
      <w:bookmarkStart w:id="225" w:name="_Toc25873"/>
      <w:bookmarkStart w:id="226" w:name="_Toc7801"/>
      <w:bookmarkStart w:id="227" w:name="_Toc25750642"/>
      <w:bookmarkStart w:id="228" w:name="_Toc31795"/>
      <w:bookmarkStart w:id="229" w:name="_Toc29729"/>
      <w:bookmarkStart w:id="230" w:name="_Toc97"/>
      <w:bookmarkStart w:id="231" w:name="_Toc1990"/>
      <w:bookmarkStart w:id="232" w:name="_Toc32711"/>
      <w:bookmarkStart w:id="233" w:name="_Toc12113"/>
      <w:bookmarkStart w:id="234" w:name="_Toc30234"/>
      <w:bookmarkStart w:id="235" w:name="_Toc30445"/>
      <w:r>
        <w:rPr>
          <w:rFonts w:hint="eastAsia" w:ascii="仿宋" w:hAnsi="仿宋" w:eastAsia="仿宋" w:cs="Times New Roman"/>
          <w:color w:val="auto"/>
          <w:kern w:val="2"/>
          <w:sz w:val="21"/>
          <w:szCs w:val="21"/>
          <w:lang w:val="en-US" w:eastAsia="zh-CN" w:bidi="ar-SA"/>
        </w:rPr>
        <w:t>7.1</w:t>
      </w:r>
      <w:r>
        <w:rPr>
          <w:rFonts w:hint="eastAsia" w:ascii="仿宋" w:hAnsi="仿宋" w:eastAsia="仿宋" w:cs="仿宋"/>
          <w:color w:val="auto"/>
          <w:sz w:val="21"/>
          <w:szCs w:val="21"/>
        </w:rPr>
        <w:t>在合同签订前，乙方应向甲方提供履约担保，履约担保金额为合同价格的</w:t>
      </w: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%，履约担保可以采用履约保证金的形式。</w:t>
      </w:r>
    </w:p>
    <w:p>
      <w:pPr>
        <w:numPr>
          <w:ilvl w:val="0"/>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7.2</w:t>
      </w:r>
      <w:r>
        <w:rPr>
          <w:rFonts w:hint="eastAsia" w:ascii="仿宋" w:hAnsi="仿宋" w:eastAsia="仿宋" w:cs="仿宋"/>
          <w:color w:val="auto"/>
          <w:sz w:val="21"/>
          <w:szCs w:val="21"/>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numPr>
          <w:ilvl w:val="0"/>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7.3</w:t>
      </w:r>
      <w:r>
        <w:rPr>
          <w:rFonts w:hint="eastAsia" w:ascii="仿宋" w:hAnsi="仿宋" w:eastAsia="仿宋" w:cs="仿宋"/>
          <w:color w:val="auto"/>
          <w:sz w:val="21"/>
          <w:szCs w:val="21"/>
        </w:rPr>
        <w:t>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7.4</w:t>
      </w:r>
      <w:r>
        <w:rPr>
          <w:rFonts w:hint="eastAsia" w:ascii="仿宋" w:hAnsi="仿宋" w:eastAsia="仿宋" w:cs="仿宋"/>
          <w:color w:val="auto"/>
          <w:sz w:val="21"/>
          <w:szCs w:val="21"/>
        </w:rPr>
        <w:t>履约担保币种应为人民币。</w:t>
      </w:r>
    </w:p>
    <w:p>
      <w:pPr>
        <w:numPr>
          <w:ilvl w:val="0"/>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7.5</w:t>
      </w:r>
      <w:r>
        <w:rPr>
          <w:rFonts w:hint="eastAsia" w:ascii="仿宋" w:hAnsi="仿宋" w:eastAsia="仿宋" w:cs="仿宋"/>
          <w:color w:val="auto"/>
          <w:sz w:val="21"/>
          <w:szCs w:val="21"/>
        </w:rPr>
        <w:t>乙方提交履约担保所产生的费用由乙方承担。</w:t>
      </w:r>
    </w:p>
    <w:p>
      <w:pPr>
        <w:numPr>
          <w:ilvl w:val="0"/>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7.6</w:t>
      </w:r>
      <w:r>
        <w:rPr>
          <w:rFonts w:hint="eastAsia" w:ascii="仿宋" w:hAnsi="仿宋" w:eastAsia="仿宋" w:cs="仿宋"/>
          <w:color w:val="auto"/>
          <w:sz w:val="21"/>
          <w:szCs w:val="21"/>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0"/>
        </w:numPr>
        <w:tabs>
          <w:tab w:val="left" w:pos="840"/>
        </w:tabs>
        <w:ind w:left="0" w:leftChars="0" w:firstLine="420" w:firstLineChars="200"/>
        <w:rPr>
          <w:rFonts w:hint="eastAsia" w:ascii="仿宋" w:hAnsi="仿宋" w:eastAsia="仿宋" w:cs="仿宋"/>
          <w:color w:val="auto"/>
          <w:sz w:val="21"/>
          <w:szCs w:val="21"/>
        </w:rPr>
      </w:pPr>
      <w:r>
        <w:rPr>
          <w:rFonts w:hint="eastAsia" w:ascii="仿宋" w:hAnsi="仿宋" w:eastAsia="仿宋" w:cs="Times New Roman"/>
          <w:color w:val="auto"/>
          <w:kern w:val="2"/>
          <w:sz w:val="21"/>
          <w:szCs w:val="21"/>
          <w:lang w:val="en-US" w:eastAsia="zh-CN" w:bidi="ar-SA"/>
        </w:rPr>
        <w:t>7.7</w:t>
      </w:r>
      <w:r>
        <w:rPr>
          <w:rFonts w:hint="eastAsia" w:ascii="仿宋" w:hAnsi="仿宋" w:eastAsia="仿宋" w:cs="仿宋"/>
          <w:color w:val="auto"/>
          <w:sz w:val="21"/>
          <w:szCs w:val="21"/>
        </w:rPr>
        <w:t>履约担保在本合同结束后，根据履约期间甲方的索赔情况，将剩余履约担保款项无息退还乙方。</w:t>
      </w:r>
    </w:p>
    <w:p>
      <w:pPr>
        <w:numPr>
          <w:ilvl w:val="0"/>
          <w:numId w:val="1"/>
        </w:numPr>
        <w:tabs>
          <w:tab w:val="left" w:pos="840"/>
          <w:tab w:val="left" w:pos="1843"/>
          <w:tab w:val="clear" w:pos="312"/>
        </w:tabs>
        <w:ind w:left="422"/>
        <w:outlineLvl w:val="1"/>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交货期</w:t>
      </w:r>
    </w:p>
    <w:p>
      <w:pPr>
        <w:pStyle w:val="2"/>
        <w:numPr>
          <w:ilvl w:val="0"/>
          <w:numId w:val="0"/>
        </w:numPr>
        <w:ind w:left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highlight w:val="none"/>
          <w:lang w:val="en-US" w:eastAsia="zh-CN"/>
        </w:rPr>
        <w:t xml:space="preserve">  乙方应在合同签订且收到甲方发出的交货通知书后15个工作日内，按甲方要求完成软件交付使用。</w:t>
      </w:r>
    </w:p>
    <w:p>
      <w:pPr>
        <w:tabs>
          <w:tab w:val="left" w:pos="840"/>
          <w:tab w:val="left" w:pos="1843"/>
        </w:tabs>
        <w:ind w:left="422"/>
        <w:outlineLvl w:val="1"/>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9</w:t>
      </w:r>
      <w:r>
        <w:rPr>
          <w:rFonts w:hint="eastAsia" w:ascii="仿宋" w:hAnsi="仿宋" w:eastAsia="仿宋" w:cs="仿宋"/>
          <w:b/>
          <w:color w:val="auto"/>
          <w:sz w:val="21"/>
          <w:szCs w:val="21"/>
        </w:rPr>
        <w: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Start w:id="236" w:name="_Toc459797511"/>
      <w:bookmarkEnd w:id="236"/>
      <w:bookmarkStart w:id="237" w:name="_Toc459797510"/>
      <w:bookmarkEnd w:id="237"/>
      <w:bookmarkStart w:id="238" w:name="_Toc459797505"/>
      <w:bookmarkEnd w:id="238"/>
      <w:bookmarkStart w:id="239" w:name="_Toc459730445"/>
      <w:bookmarkEnd w:id="239"/>
      <w:bookmarkStart w:id="240" w:name="_Toc459797502"/>
      <w:bookmarkEnd w:id="240"/>
      <w:bookmarkStart w:id="241" w:name="_Toc459730449"/>
      <w:bookmarkEnd w:id="241"/>
      <w:bookmarkStart w:id="242" w:name="_Toc459797498"/>
      <w:bookmarkEnd w:id="242"/>
      <w:bookmarkStart w:id="243" w:name="_Toc459797501"/>
      <w:bookmarkEnd w:id="243"/>
      <w:bookmarkStart w:id="244" w:name="_Toc459730447"/>
      <w:bookmarkEnd w:id="244"/>
      <w:bookmarkStart w:id="245" w:name="_Toc459730452"/>
      <w:bookmarkEnd w:id="245"/>
      <w:bookmarkStart w:id="246" w:name="_Toc459797495"/>
      <w:bookmarkEnd w:id="246"/>
      <w:bookmarkStart w:id="247" w:name="_Toc459797512"/>
      <w:bookmarkEnd w:id="247"/>
      <w:bookmarkStart w:id="248" w:name="_Toc459730454"/>
      <w:bookmarkEnd w:id="248"/>
      <w:bookmarkStart w:id="249" w:name="_Toc459797507"/>
      <w:bookmarkEnd w:id="249"/>
      <w:bookmarkStart w:id="250" w:name="_Toc459730444"/>
      <w:bookmarkEnd w:id="250"/>
      <w:bookmarkStart w:id="251" w:name="_Toc459730459"/>
      <w:bookmarkEnd w:id="251"/>
      <w:bookmarkStart w:id="252" w:name="_Toc459730446"/>
      <w:bookmarkEnd w:id="252"/>
      <w:bookmarkStart w:id="253" w:name="_Toc459730453"/>
      <w:bookmarkEnd w:id="253"/>
      <w:bookmarkStart w:id="254" w:name="_Toc459797509"/>
      <w:bookmarkEnd w:id="254"/>
      <w:bookmarkStart w:id="255" w:name="_Toc459730448"/>
      <w:bookmarkEnd w:id="255"/>
      <w:bookmarkStart w:id="256" w:name="_Toc459730456"/>
      <w:bookmarkEnd w:id="256"/>
      <w:bookmarkStart w:id="257" w:name="_Toc459797506"/>
      <w:bookmarkEnd w:id="257"/>
      <w:bookmarkStart w:id="258" w:name="_Toc459730458"/>
      <w:bookmarkEnd w:id="258"/>
      <w:bookmarkStart w:id="259" w:name="_Toc459730450"/>
      <w:bookmarkEnd w:id="259"/>
      <w:bookmarkStart w:id="260" w:name="_Toc459797504"/>
      <w:bookmarkEnd w:id="260"/>
      <w:bookmarkStart w:id="261" w:name="_Toc459730455"/>
      <w:bookmarkEnd w:id="261"/>
      <w:bookmarkStart w:id="262" w:name="_Toc459797508"/>
      <w:bookmarkEnd w:id="262"/>
      <w:bookmarkStart w:id="263" w:name="_Toc459730443"/>
      <w:bookmarkEnd w:id="263"/>
      <w:bookmarkStart w:id="264" w:name="_Toc459797497"/>
      <w:bookmarkEnd w:id="264"/>
      <w:bookmarkStart w:id="265" w:name="_Toc459797500"/>
      <w:bookmarkEnd w:id="265"/>
      <w:bookmarkStart w:id="266" w:name="_Toc459797496"/>
      <w:bookmarkEnd w:id="266"/>
      <w:bookmarkStart w:id="267" w:name="_Toc459797499"/>
      <w:bookmarkEnd w:id="267"/>
      <w:bookmarkStart w:id="268" w:name="_Toc459730457"/>
      <w:bookmarkEnd w:id="268"/>
      <w:bookmarkStart w:id="269" w:name="_Toc459730442"/>
      <w:bookmarkEnd w:id="269"/>
      <w:bookmarkStart w:id="270" w:name="_Toc459730451"/>
      <w:bookmarkEnd w:id="270"/>
      <w:bookmarkStart w:id="271" w:name="_Toc459797503"/>
      <w:bookmarkEnd w:id="271"/>
      <w:r>
        <w:rPr>
          <w:rFonts w:hint="eastAsia" w:ascii="仿宋" w:hAnsi="仿宋" w:eastAsia="仿宋" w:cs="仿宋"/>
          <w:b/>
          <w:color w:val="auto"/>
          <w:sz w:val="21"/>
          <w:szCs w:val="21"/>
        </w:rPr>
        <w:t>合同价款支付方式</w:t>
      </w:r>
      <w:bookmarkEnd w:id="235"/>
    </w:p>
    <w:p>
      <w:pPr>
        <w:tabs>
          <w:tab w:val="left" w:pos="960"/>
          <w:tab w:val="left" w:pos="8364"/>
        </w:tabs>
        <w:ind w:left="420"/>
        <w:rPr>
          <w:rFonts w:hint="eastAsia" w:ascii="仿宋" w:hAnsi="仿宋" w:eastAsia="仿宋" w:cs="仿宋"/>
          <w:color w:val="auto"/>
          <w:sz w:val="21"/>
          <w:szCs w:val="21"/>
        </w:rPr>
      </w:pPr>
      <w:bookmarkStart w:id="272" w:name="_Toc370933872"/>
      <w:bookmarkStart w:id="273" w:name="_Toc378514969"/>
      <w:r>
        <w:rPr>
          <w:rFonts w:hint="eastAsia" w:ascii="仿宋" w:hAnsi="仿宋" w:eastAsia="仿宋" w:cs="仿宋"/>
          <w:color w:val="auto"/>
          <w:sz w:val="21"/>
          <w:szCs w:val="21"/>
        </w:rPr>
        <w:t>本合同项下的支付按合同条款规定方式进行。</w:t>
      </w:r>
    </w:p>
    <w:p>
      <w:pPr>
        <w:keepNext w:val="0"/>
        <w:keepLines w:val="0"/>
        <w:pageBreakBefore w:val="0"/>
        <w:widowControl w:val="0"/>
        <w:tabs>
          <w:tab w:val="left" w:pos="960"/>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.1在合同履约过程中，本合同税率将遵照国家现行税法执行，随国家税率调整而调整。本合同最终税金在结算阶段，按实际产生的税金进行核算，但合同不含税价格不因国家税率调整而调整。</w:t>
      </w:r>
    </w:p>
    <w:p>
      <w:pPr>
        <w:keepNext w:val="0"/>
        <w:keepLines w:val="0"/>
        <w:pageBreakBefore w:val="0"/>
        <w:widowControl w:val="0"/>
        <w:tabs>
          <w:tab w:val="left" w:pos="960"/>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.2付款方式。</w:t>
      </w:r>
    </w:p>
    <w:p>
      <w:pPr>
        <w:keepNext w:val="0"/>
        <w:keepLines w:val="0"/>
        <w:pageBreakBefore w:val="0"/>
        <w:widowControl w:val="0"/>
        <w:tabs>
          <w:tab w:val="left" w:pos="1134"/>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lang w:val="en-US" w:eastAsia="zh-CN"/>
        </w:rPr>
        <w:t>软件完成</w:t>
      </w:r>
      <w:r>
        <w:rPr>
          <w:rFonts w:hint="eastAsia" w:ascii="仿宋" w:hAnsi="仿宋" w:eastAsia="仿宋" w:cs="仿宋"/>
          <w:color w:val="auto"/>
          <w:sz w:val="21"/>
          <w:szCs w:val="21"/>
          <w:highlight w:val="none"/>
          <w:lang w:val="en-US" w:eastAsia="zh-CN"/>
        </w:rPr>
        <w:t>授权</w:t>
      </w:r>
      <w:r>
        <w:rPr>
          <w:rFonts w:hint="eastAsia" w:ascii="仿宋" w:hAnsi="仿宋" w:eastAsia="仿宋" w:cs="仿宋"/>
          <w:color w:val="auto"/>
          <w:sz w:val="21"/>
          <w:szCs w:val="21"/>
          <w:highlight w:val="none"/>
        </w:rPr>
        <w:t>并验收合格后，乙方根据甲方要求完成档案归档及合同结算</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经甲方</w:t>
      </w:r>
      <w:r>
        <w:rPr>
          <w:rFonts w:hint="eastAsia" w:ascii="仿宋" w:hAnsi="仿宋" w:eastAsia="仿宋" w:cs="仿宋"/>
          <w:color w:val="auto"/>
          <w:sz w:val="21"/>
          <w:szCs w:val="21"/>
          <w:highlight w:val="none"/>
          <w:lang w:val="en-US" w:eastAsia="zh-CN"/>
        </w:rPr>
        <w:t>结算</w:t>
      </w:r>
      <w:r>
        <w:rPr>
          <w:rFonts w:hint="eastAsia" w:ascii="仿宋" w:hAnsi="仿宋" w:eastAsia="仿宋" w:cs="仿宋"/>
          <w:color w:val="auto"/>
          <w:sz w:val="21"/>
          <w:szCs w:val="21"/>
          <w:highlight w:val="none"/>
        </w:rPr>
        <w:t>审定后，甲方在收到乙方提供的以下材料后</w:t>
      </w:r>
      <w:r>
        <w:rPr>
          <w:rFonts w:hint="eastAsia" w:ascii="仿宋" w:hAnsi="仿宋" w:eastAsia="仿宋" w:cs="仿宋"/>
          <w:color w:val="auto"/>
          <w:sz w:val="21"/>
          <w:szCs w:val="21"/>
          <w:highlight w:val="none"/>
          <w:lang w:val="en-US" w:eastAsia="zh-CN"/>
        </w:rPr>
        <w:t>60</w:t>
      </w:r>
      <w:r>
        <w:rPr>
          <w:rFonts w:hint="eastAsia" w:ascii="仿宋" w:hAnsi="仿宋" w:eastAsia="仿宋" w:cs="仿宋"/>
          <w:color w:val="auto"/>
          <w:sz w:val="21"/>
          <w:szCs w:val="21"/>
          <w:highlight w:val="none"/>
        </w:rPr>
        <w:t>个工作日内支付至合同最终结算审定金额的</w:t>
      </w:r>
      <w:r>
        <w:rPr>
          <w:rFonts w:hint="eastAsia" w:ascii="仿宋" w:hAnsi="仿宋" w:eastAsia="仿宋" w:cs="仿宋"/>
          <w:color w:val="auto"/>
          <w:sz w:val="21"/>
          <w:szCs w:val="21"/>
          <w:highlight w:val="none"/>
          <w:lang w:val="en-US" w:eastAsia="zh-CN"/>
        </w:rPr>
        <w:t>100</w:t>
      </w:r>
      <w:r>
        <w:rPr>
          <w:rFonts w:hint="eastAsia" w:ascii="仿宋" w:hAnsi="仿宋" w:eastAsia="仿宋" w:cs="仿宋"/>
          <w:color w:val="auto"/>
          <w:sz w:val="21"/>
          <w:szCs w:val="21"/>
          <w:highlight w:val="none"/>
        </w:rPr>
        <w:t>%。</w:t>
      </w:r>
    </w:p>
    <w:p>
      <w:pPr>
        <w:keepNext w:val="0"/>
        <w:keepLines w:val="0"/>
        <w:pageBreakBefore w:val="0"/>
        <w:widowControl w:val="0"/>
        <w:tabs>
          <w:tab w:val="left" w:pos="1134"/>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highlight w:val="none"/>
        </w:rPr>
        <w:t>①乙方开</w:t>
      </w:r>
      <w:r>
        <w:rPr>
          <w:rFonts w:hint="eastAsia" w:ascii="仿宋" w:hAnsi="仿宋" w:eastAsia="仿宋" w:cs="仿宋"/>
          <w:color w:val="auto"/>
          <w:sz w:val="21"/>
          <w:szCs w:val="21"/>
        </w:rPr>
        <w:t>具的增值税专用发票，金额为合同最终结算审定金额的100%。</w:t>
      </w:r>
    </w:p>
    <w:p>
      <w:pPr>
        <w:keepNext w:val="0"/>
        <w:keepLines w:val="0"/>
        <w:pageBreakBefore w:val="0"/>
        <w:widowControl w:val="0"/>
        <w:tabs>
          <w:tab w:val="left" w:pos="1134"/>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②乙方出具的支付申请书。</w:t>
      </w:r>
    </w:p>
    <w:p>
      <w:pPr>
        <w:keepNext w:val="0"/>
        <w:keepLines w:val="0"/>
        <w:pageBreakBefore w:val="0"/>
        <w:widowControl w:val="0"/>
        <w:tabs>
          <w:tab w:val="left" w:pos="1134"/>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③全部项目成果验收合格证明。</w:t>
      </w:r>
    </w:p>
    <w:p>
      <w:pPr>
        <w:keepNext w:val="0"/>
        <w:keepLines w:val="0"/>
        <w:pageBreakBefore w:val="0"/>
        <w:widowControl w:val="0"/>
        <w:tabs>
          <w:tab w:val="left" w:pos="840"/>
          <w:tab w:val="left" w:pos="1134"/>
        </w:tabs>
        <w:kinsoku/>
        <w:wordWrap/>
        <w:overflowPunct/>
        <w:topLinePunct w:val="0"/>
        <w:autoSpaceDE/>
        <w:autoSpaceDN/>
        <w:bidi w:val="0"/>
        <w:adjustRightInd/>
        <w:snapToGrid/>
        <w:ind w:left="0" w:leftChars="0" w:firstLine="422" w:firstLineChars="200"/>
        <w:textAlignment w:val="auto"/>
        <w:outlineLvl w:val="1"/>
        <w:rPr>
          <w:rFonts w:hint="eastAsia" w:ascii="仿宋" w:hAnsi="仿宋" w:eastAsia="仿宋" w:cs="仿宋"/>
          <w:color w:val="auto"/>
          <w:sz w:val="21"/>
          <w:szCs w:val="21"/>
        </w:rPr>
      </w:pPr>
      <w:bookmarkStart w:id="274" w:name="_Toc28757"/>
      <w:bookmarkStart w:id="275" w:name="_Toc385427855"/>
      <w:bookmarkStart w:id="276" w:name="_Toc22179"/>
      <w:bookmarkStart w:id="277" w:name="_Toc390098481"/>
      <w:bookmarkStart w:id="278" w:name="_Toc12979"/>
      <w:bookmarkStart w:id="279" w:name="_Toc27798"/>
      <w:bookmarkStart w:id="280" w:name="_Toc2957"/>
      <w:bookmarkStart w:id="281" w:name="_Toc19387"/>
      <w:bookmarkStart w:id="282" w:name="_Toc9642"/>
      <w:bookmarkStart w:id="283" w:name="_Toc25750650"/>
      <w:bookmarkStart w:id="284" w:name="_Toc4697"/>
      <w:bookmarkStart w:id="285" w:name="_Toc16641"/>
      <w:bookmarkStart w:id="286" w:name="_Toc24274"/>
      <w:bookmarkStart w:id="287" w:name="_Toc2069"/>
      <w:bookmarkStart w:id="288" w:name="_Toc18054"/>
      <w:bookmarkStart w:id="289" w:name="_Toc18890"/>
      <w:bookmarkStart w:id="290" w:name="_Toc13281"/>
      <w:bookmarkStart w:id="291" w:name="_Toc17247"/>
      <w:bookmarkStart w:id="292" w:name="_Toc30094"/>
      <w:bookmarkStart w:id="293" w:name="_Toc26222"/>
      <w:bookmarkStart w:id="294" w:name="_Toc492478779"/>
      <w:bookmarkStart w:id="295" w:name="_Toc12729"/>
      <w:bookmarkStart w:id="296" w:name="_Toc9852"/>
      <w:r>
        <w:rPr>
          <w:rFonts w:hint="eastAsia" w:ascii="仿宋" w:hAnsi="仿宋" w:eastAsia="仿宋" w:cs="仿宋"/>
          <w:b/>
          <w:color w:val="auto"/>
          <w:sz w:val="21"/>
          <w:szCs w:val="21"/>
          <w:lang w:val="en-US" w:eastAsia="zh-CN"/>
        </w:rPr>
        <w:t>10</w:t>
      </w:r>
      <w:r>
        <w:rPr>
          <w:rFonts w:hint="eastAsia" w:ascii="仿宋" w:hAnsi="仿宋" w:eastAsia="仿宋" w:cs="仿宋"/>
          <w:b/>
          <w:color w:val="auto"/>
          <w:sz w:val="21"/>
          <w:szCs w:val="21"/>
        </w:rPr>
        <w:t>.合同价格</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keepNext w:val="0"/>
        <w:keepLines w:val="0"/>
        <w:pageBreakBefore w:val="0"/>
        <w:widowControl w:val="0"/>
        <w:tabs>
          <w:tab w:val="left" w:pos="960"/>
          <w:tab w:val="left" w:pos="1418"/>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.1合同价格执行以下条款的规定。</w:t>
      </w:r>
    </w:p>
    <w:p>
      <w:pPr>
        <w:keepNext w:val="0"/>
        <w:keepLines w:val="0"/>
        <w:pageBreakBefore w:val="0"/>
        <w:widowControl w:val="0"/>
        <w:tabs>
          <w:tab w:val="left" w:pos="960"/>
          <w:tab w:val="left" w:pos="1418"/>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.2本合同价格中</w:t>
      </w:r>
      <w:r>
        <w:rPr>
          <w:rFonts w:hint="eastAsia" w:ascii="仿宋" w:hAnsi="仿宋" w:eastAsia="仿宋" w:cs="仿宋"/>
          <w:color w:val="auto"/>
          <w:sz w:val="21"/>
          <w:szCs w:val="21"/>
          <w:u w:val="single"/>
        </w:rPr>
        <w:t>合同不含税单价</w:t>
      </w:r>
      <w:r>
        <w:rPr>
          <w:rFonts w:hint="eastAsia" w:ascii="仿宋" w:hAnsi="仿宋" w:eastAsia="仿宋" w:cs="仿宋"/>
          <w:color w:val="auto"/>
          <w:sz w:val="21"/>
          <w:szCs w:val="21"/>
        </w:rPr>
        <w:t>为固定价，不得以任何理由予以合同价格上浮、上调、上涨，但如属经双方协商同意变更的情况除外</w:t>
      </w:r>
    </w:p>
    <w:p>
      <w:pPr>
        <w:keepNext w:val="0"/>
        <w:keepLines w:val="0"/>
        <w:pageBreakBefore w:val="0"/>
        <w:widowControl w:val="0"/>
        <w:tabs>
          <w:tab w:val="left" w:pos="960"/>
          <w:tab w:val="left" w:pos="1418"/>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.3合同价格完全包括本合同中要求的全部工作内容、货物、服务及所涉及的施工及辅材。</w:t>
      </w:r>
    </w:p>
    <w:p>
      <w:pPr>
        <w:keepNext w:val="0"/>
        <w:keepLines w:val="0"/>
        <w:pageBreakBefore w:val="0"/>
        <w:widowControl w:val="0"/>
        <w:tabs>
          <w:tab w:val="left" w:pos="960"/>
          <w:tab w:val="left" w:pos="1418"/>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.4合同价格：不含税价：人民币</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元整(¥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元 )；税费：人民币</w:t>
      </w:r>
      <w:r>
        <w:rPr>
          <w:rFonts w:hint="eastAsia" w:ascii="仿宋" w:hAnsi="仿宋" w:eastAsia="仿宋" w:cs="仿宋"/>
          <w:color w:val="auto"/>
          <w:sz w:val="21"/>
          <w:szCs w:val="21"/>
          <w:lang w:val="en-US" w:eastAsia="zh-CN"/>
        </w:rPr>
        <w:t xml:space="preserve">       元整</w:t>
      </w:r>
      <w:r>
        <w:rPr>
          <w:rFonts w:hint="eastAsia" w:ascii="仿宋" w:hAnsi="仿宋" w:eastAsia="仿宋" w:cs="仿宋"/>
          <w:color w:val="auto"/>
          <w:sz w:val="21"/>
          <w:szCs w:val="21"/>
        </w:rPr>
        <w:t xml:space="preserve"> (¥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元)；税率：</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%；含税总价：人民币</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元(¥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)，（下文称“合同价格”)。</w:t>
      </w:r>
    </w:p>
    <w:p>
      <w:pPr>
        <w:keepNext w:val="0"/>
        <w:keepLines w:val="0"/>
        <w:pageBreakBefore w:val="0"/>
        <w:widowControl w:val="0"/>
        <w:tabs>
          <w:tab w:val="left" w:pos="960"/>
          <w:tab w:val="left" w:pos="1418"/>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本合同价格为暂定价，</w:t>
      </w:r>
      <w:r>
        <w:rPr>
          <w:rFonts w:hint="eastAsia" w:ascii="仿宋" w:hAnsi="仿宋" w:eastAsia="仿宋" w:cs="仿宋"/>
          <w:b/>
          <w:color w:val="auto"/>
          <w:sz w:val="21"/>
          <w:szCs w:val="21"/>
        </w:rPr>
        <w:t>在合同履约过程中，本合同税率将遵照国家现行税法执行，随国家税率调整而调整。本合同最终税金在结算阶段，按实际产生的税金进行核算，但合同不含税价格不因国家税率调整而调整</w:t>
      </w:r>
    </w:p>
    <w:p>
      <w:pPr>
        <w:keepNext w:val="0"/>
        <w:keepLines w:val="0"/>
        <w:pageBreakBefore w:val="0"/>
        <w:widowControl w:val="0"/>
        <w:tabs>
          <w:tab w:val="left" w:pos="960"/>
          <w:tab w:val="left" w:pos="1418"/>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.5现场知晓</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应当认为，乙方对本合同现场的气候、水文和综合条件以及用于项目运行的资料完全知晓，并对国家及地方法律法规完全知晓。</w:t>
      </w:r>
    </w:p>
    <w:p>
      <w:pPr>
        <w:keepNext w:val="0"/>
        <w:keepLines w:val="0"/>
        <w:pageBreakBefore w:val="0"/>
        <w:widowControl w:val="0"/>
        <w:tabs>
          <w:tab w:val="left" w:pos="960"/>
          <w:tab w:val="left" w:pos="1418"/>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.6价格的充分性</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应当认为乙方已彻底查清，并在本合同价格中充分考虑到了以下各项：</w:t>
      </w:r>
    </w:p>
    <w:p>
      <w:pPr>
        <w:keepNext w:val="0"/>
        <w:keepLines w:val="0"/>
        <w:pageBreakBefore w:val="0"/>
        <w:widowControl w:val="0"/>
        <w:tabs>
          <w:tab w:val="left" w:pos="1134"/>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.6.1影响合同价格的全部条件和情况；</w:t>
      </w:r>
    </w:p>
    <w:p>
      <w:pPr>
        <w:keepNext w:val="0"/>
        <w:keepLines w:val="0"/>
        <w:pageBreakBefore w:val="0"/>
        <w:widowControl w:val="0"/>
        <w:tabs>
          <w:tab w:val="left" w:pos="1134"/>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.6.2完成合同中所述项目的可能性；</w:t>
      </w:r>
    </w:p>
    <w:p>
      <w:pPr>
        <w:keepNext w:val="0"/>
        <w:keepLines w:val="0"/>
        <w:pageBreakBefore w:val="0"/>
        <w:widowControl w:val="0"/>
        <w:tabs>
          <w:tab w:val="left" w:pos="1134"/>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.6.3现场的综合情况；</w:t>
      </w:r>
    </w:p>
    <w:p>
      <w:pPr>
        <w:keepNext w:val="0"/>
        <w:keepLines w:val="0"/>
        <w:pageBreakBefore w:val="0"/>
        <w:widowControl w:val="0"/>
        <w:tabs>
          <w:tab w:val="left" w:pos="1134"/>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.6.4现场总的劳务情况；</w:t>
      </w:r>
    </w:p>
    <w:p>
      <w:pPr>
        <w:keepNext w:val="0"/>
        <w:keepLines w:val="0"/>
        <w:pageBreakBefore w:val="0"/>
        <w:widowControl w:val="0"/>
        <w:tabs>
          <w:tab w:val="left" w:pos="1134"/>
          <w:tab w:val="left" w:pos="8364"/>
        </w:tabs>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.6.5甲方不接受乙方以组价不当（包括对工作内容理解的偏差、工料耗量水平的确定、生产要素市场价格的判断、取费决策等）为由而主张的任何损失或索赔。</w:t>
      </w:r>
    </w:p>
    <w:p>
      <w:pPr>
        <w:tabs>
          <w:tab w:val="left" w:pos="840"/>
          <w:tab w:val="left" w:pos="1843"/>
        </w:tabs>
        <w:ind w:left="422"/>
        <w:outlineLvl w:val="1"/>
        <w:rPr>
          <w:rFonts w:hint="eastAsia" w:ascii="仿宋" w:hAnsi="仿宋" w:eastAsia="仿宋" w:cs="仿宋"/>
          <w:b/>
          <w:color w:val="auto"/>
          <w:sz w:val="21"/>
          <w:szCs w:val="21"/>
        </w:rPr>
      </w:pPr>
      <w:bookmarkStart w:id="297" w:name="_Toc25441"/>
      <w:bookmarkStart w:id="298" w:name="_Toc370933873"/>
      <w:bookmarkStart w:id="299" w:name="_Toc492478780"/>
      <w:bookmarkStart w:id="300" w:name="_Toc27489"/>
      <w:bookmarkStart w:id="301" w:name="_Toc3558"/>
      <w:bookmarkStart w:id="302" w:name="_Toc25750651"/>
      <w:bookmarkStart w:id="303" w:name="_Toc25230"/>
      <w:bookmarkStart w:id="304" w:name="_Toc24113"/>
      <w:bookmarkStart w:id="305" w:name="_Toc2295"/>
      <w:bookmarkStart w:id="306" w:name="_Toc30611"/>
      <w:bookmarkStart w:id="307" w:name="_Toc390098482"/>
      <w:bookmarkStart w:id="308" w:name="_Toc21856"/>
      <w:bookmarkStart w:id="309" w:name="_Toc12825"/>
      <w:bookmarkStart w:id="310" w:name="_Toc32028"/>
      <w:bookmarkStart w:id="311" w:name="_Toc2956"/>
      <w:bookmarkStart w:id="312" w:name="_Toc6771"/>
      <w:bookmarkStart w:id="313" w:name="_Toc29593"/>
      <w:bookmarkStart w:id="314" w:name="_Toc769"/>
      <w:bookmarkStart w:id="315" w:name="_Toc385427856"/>
      <w:bookmarkStart w:id="316" w:name="_Toc378514970"/>
      <w:bookmarkStart w:id="317" w:name="_Toc23070"/>
      <w:bookmarkStart w:id="318" w:name="_Toc10545"/>
      <w:bookmarkStart w:id="319" w:name="_Toc29106"/>
      <w:bookmarkStart w:id="320" w:name="_Toc14851"/>
      <w:bookmarkStart w:id="321" w:name="_Toc26418"/>
      <w:r>
        <w:rPr>
          <w:rFonts w:hint="eastAsia" w:ascii="仿宋" w:hAnsi="仿宋" w:eastAsia="仿宋" w:cs="仿宋"/>
          <w:b/>
          <w:color w:val="auto"/>
          <w:sz w:val="21"/>
          <w:szCs w:val="21"/>
          <w:lang w:val="en-US" w:eastAsia="zh-CN"/>
        </w:rPr>
        <w:t>11</w:t>
      </w:r>
      <w:r>
        <w:rPr>
          <w:rFonts w:hint="eastAsia" w:ascii="仿宋" w:hAnsi="仿宋" w:eastAsia="仿宋" w:cs="仿宋"/>
          <w:b/>
          <w:color w:val="auto"/>
          <w:sz w:val="21"/>
          <w:szCs w:val="21"/>
        </w:rPr>
        <w:t>.合同变更与修改</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keepNext w:val="0"/>
        <w:keepLines w:val="0"/>
        <w:pageBreakBefore w:val="0"/>
        <w:widowControl w:val="0"/>
        <w:tabs>
          <w:tab w:val="left" w:pos="540"/>
          <w:tab w:val="left" w:pos="960"/>
        </w:tabs>
        <w:kinsoku/>
        <w:wordWrap/>
        <w:overflowPunct/>
        <w:topLinePunct w:val="0"/>
        <w:autoSpaceDE/>
        <w:autoSpaceDN/>
        <w:bidi w:val="0"/>
        <w:adjustRightInd/>
        <w:snapToGrid/>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.1除非甲方与乙方双方签署书面修改书，否则不能对合同条款进行任何变更。如果合同另有约定，从其约定。</w:t>
      </w:r>
    </w:p>
    <w:p>
      <w:pPr>
        <w:keepNext w:val="0"/>
        <w:keepLines w:val="0"/>
        <w:pageBreakBefore w:val="0"/>
        <w:widowControl w:val="0"/>
        <w:tabs>
          <w:tab w:val="left" w:pos="540"/>
          <w:tab w:val="left" w:pos="960"/>
        </w:tabs>
        <w:kinsoku/>
        <w:wordWrap/>
        <w:overflowPunct/>
        <w:topLinePunct w:val="0"/>
        <w:autoSpaceDE/>
        <w:autoSpaceDN/>
        <w:bidi w:val="0"/>
        <w:adjustRightInd/>
        <w:snapToGrid/>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.2任何对合同条件的变更或修改均须根据双方协商达成的协议，以规定的标准修改书形式由双方授权代表签字盖章来完成，并作为本合同不可分割的组成部分，具有与合同本身同样的效力。</w:t>
      </w:r>
    </w:p>
    <w:p>
      <w:pPr>
        <w:keepNext w:val="0"/>
        <w:keepLines w:val="0"/>
        <w:pageBreakBefore w:val="0"/>
        <w:widowControl w:val="0"/>
        <w:tabs>
          <w:tab w:val="left" w:pos="540"/>
          <w:tab w:val="left" w:pos="960"/>
        </w:tabs>
        <w:kinsoku/>
        <w:wordWrap/>
        <w:overflowPunct/>
        <w:topLinePunct w:val="0"/>
        <w:autoSpaceDE/>
        <w:autoSpaceDN/>
        <w:bidi w:val="0"/>
        <w:adjustRightInd/>
        <w:snapToGrid/>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keepNext w:val="0"/>
        <w:keepLines w:val="0"/>
        <w:pageBreakBefore w:val="0"/>
        <w:widowControl w:val="0"/>
        <w:tabs>
          <w:tab w:val="left" w:pos="540"/>
          <w:tab w:val="left" w:pos="960"/>
        </w:tabs>
        <w:kinsoku/>
        <w:wordWrap/>
        <w:overflowPunct/>
        <w:topLinePunct w:val="0"/>
        <w:autoSpaceDE/>
        <w:autoSpaceDN/>
        <w:bidi w:val="0"/>
        <w:adjustRightInd/>
        <w:snapToGrid/>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.4 变更费用的确认：</w:t>
      </w:r>
    </w:p>
    <w:p>
      <w:pPr>
        <w:keepNext w:val="0"/>
        <w:keepLines w:val="0"/>
        <w:pageBreakBefore w:val="0"/>
        <w:widowControl w:val="0"/>
        <w:tabs>
          <w:tab w:val="left" w:pos="540"/>
          <w:tab w:val="left" w:pos="960"/>
        </w:tabs>
        <w:kinsoku/>
        <w:wordWrap/>
        <w:overflowPunct/>
        <w:topLinePunct w:val="0"/>
        <w:autoSpaceDE/>
        <w:autoSpaceDN/>
        <w:bidi w:val="0"/>
        <w:adjustRightInd/>
        <w:snapToGrid/>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.4.1变更后的费用经甲乙双方协商确认后，如低于原合同价格，则按照变更后的费用来执行；</w:t>
      </w:r>
    </w:p>
    <w:p>
      <w:pPr>
        <w:keepNext w:val="0"/>
        <w:keepLines w:val="0"/>
        <w:pageBreakBefore w:val="0"/>
        <w:widowControl w:val="0"/>
        <w:tabs>
          <w:tab w:val="left" w:pos="540"/>
          <w:tab w:val="left" w:pos="960"/>
        </w:tabs>
        <w:kinsoku/>
        <w:wordWrap/>
        <w:overflowPunct/>
        <w:topLinePunct w:val="0"/>
        <w:autoSpaceDE/>
        <w:autoSpaceDN/>
        <w:bidi w:val="0"/>
        <w:adjustRightInd/>
        <w:snapToGrid/>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11</w:t>
      </w:r>
      <w:r>
        <w:rPr>
          <w:rFonts w:hint="eastAsia" w:ascii="仿宋" w:hAnsi="仿宋" w:eastAsia="仿宋" w:cs="仿宋"/>
          <w:color w:val="auto"/>
          <w:sz w:val="21"/>
          <w:szCs w:val="21"/>
        </w:rPr>
        <w:t>.4.2变更后的费用经甲乙双方协商确认后，如高于原合同价格，则按照原合同价格来执行。</w:t>
      </w:r>
    </w:p>
    <w:p>
      <w:pPr>
        <w:tabs>
          <w:tab w:val="left" w:pos="840"/>
          <w:tab w:val="left" w:pos="1843"/>
        </w:tabs>
        <w:ind w:left="422"/>
        <w:outlineLvl w:val="1"/>
        <w:rPr>
          <w:rFonts w:hint="eastAsia" w:ascii="仿宋" w:hAnsi="仿宋" w:eastAsia="仿宋" w:cs="仿宋"/>
          <w:b/>
          <w:color w:val="auto"/>
          <w:sz w:val="21"/>
          <w:szCs w:val="21"/>
        </w:rPr>
      </w:pPr>
      <w:bookmarkStart w:id="322" w:name="_Toc28641"/>
      <w:bookmarkStart w:id="323" w:name="_Toc17820"/>
      <w:bookmarkStart w:id="324" w:name="_Toc25750652"/>
      <w:bookmarkStart w:id="325" w:name="_Toc29664"/>
      <w:bookmarkStart w:id="326" w:name="_Toc16088"/>
      <w:bookmarkStart w:id="327" w:name="_Toc18453"/>
      <w:bookmarkStart w:id="328" w:name="_Toc21302"/>
      <w:bookmarkStart w:id="329" w:name="_Toc27980"/>
      <w:bookmarkStart w:id="330" w:name="_Toc11895"/>
      <w:bookmarkStart w:id="331" w:name="_Toc4403"/>
      <w:bookmarkStart w:id="332" w:name="_Toc3081"/>
      <w:bookmarkStart w:id="333" w:name="_Toc25965"/>
      <w:bookmarkStart w:id="334" w:name="_Toc2307"/>
      <w:bookmarkStart w:id="335" w:name="_Toc18239"/>
      <w:bookmarkStart w:id="336" w:name="_Toc25195"/>
      <w:bookmarkStart w:id="337" w:name="_Toc492478781"/>
      <w:bookmarkStart w:id="338" w:name="_Toc15094"/>
      <w:bookmarkStart w:id="339" w:name="_Toc370933874"/>
      <w:bookmarkStart w:id="340" w:name="_Toc1259"/>
      <w:bookmarkStart w:id="341" w:name="_Toc385427857"/>
      <w:bookmarkStart w:id="342" w:name="_Toc29029"/>
      <w:bookmarkStart w:id="343" w:name="_Toc378514971"/>
      <w:bookmarkStart w:id="344" w:name="_Toc390098483"/>
      <w:bookmarkStart w:id="345" w:name="_Toc24029"/>
      <w:bookmarkStart w:id="346" w:name="_Toc6251"/>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eastAsia="zh-CN"/>
        </w:rPr>
        <w:t>2</w:t>
      </w:r>
      <w:r>
        <w:rPr>
          <w:rFonts w:hint="eastAsia" w:ascii="仿宋" w:hAnsi="仿宋" w:eastAsia="仿宋" w:cs="仿宋"/>
          <w:b/>
          <w:color w:val="auto"/>
          <w:sz w:val="21"/>
          <w:szCs w:val="21"/>
        </w:rPr>
        <w: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 w:hAnsi="仿宋" w:eastAsia="仿宋" w:cs="仿宋"/>
          <w:b/>
          <w:color w:val="auto"/>
          <w:sz w:val="21"/>
          <w:szCs w:val="21"/>
        </w:rPr>
        <w:t>违约责任</w:t>
      </w:r>
      <w:bookmarkEnd w:id="346"/>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.1 乙方所提供的货物规格、技术标准、材料等质量不合格的，应及时更换。</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 xml:space="preserve">.2 </w:t>
      </w:r>
      <w:bookmarkStart w:id="347" w:name="_Ref462913103"/>
      <w:r>
        <w:rPr>
          <w:rFonts w:hint="eastAsia" w:ascii="仿宋" w:hAnsi="仿宋" w:eastAsia="仿宋" w:cs="仿宋"/>
          <w:color w:val="auto"/>
          <w:sz w:val="21"/>
          <w:szCs w:val="21"/>
        </w:rPr>
        <w:t>合同签订后，乙方不能完成供货安装，则向甲方支付合同总价20%的违约金，同时甲方重新采购因价格差所造成的损失由乙方承担。</w:t>
      </w:r>
      <w:bookmarkEnd w:id="347"/>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.3由于乙方所提供的货物及安装质量不合格给甲方或第三方造成人身财产损失的，乙方应承担全部责任。</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.4本合同中所列的违约金和赔偿款，甲方有权从合同款中扣除。所有违约金和赔偿款的支付，不免除乙方继续履行合同义务，也不减轻乙方合同项下的其他责任和义务。</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.5因乙方违约导致甲方损失无法计算的，按乙方违约所得利益的5倍计算。</w:t>
      </w:r>
    </w:p>
    <w:p>
      <w:pPr>
        <w:tabs>
          <w:tab w:val="left" w:pos="840"/>
          <w:tab w:val="left" w:pos="1843"/>
        </w:tabs>
        <w:ind w:left="422"/>
        <w:outlineLvl w:val="1"/>
        <w:rPr>
          <w:rFonts w:hint="eastAsia" w:ascii="仿宋" w:hAnsi="仿宋" w:eastAsia="仿宋" w:cs="仿宋"/>
          <w:b/>
          <w:bCs/>
          <w:color w:val="auto"/>
          <w:sz w:val="21"/>
          <w:szCs w:val="21"/>
        </w:rPr>
      </w:pPr>
      <w:bookmarkStart w:id="348" w:name="_Toc14280"/>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eastAsia="zh-CN"/>
        </w:rPr>
        <w:t>3</w:t>
      </w:r>
      <w:r>
        <w:rPr>
          <w:rFonts w:hint="eastAsia" w:ascii="仿宋" w:hAnsi="仿宋" w:eastAsia="仿宋" w:cs="仿宋"/>
          <w:b/>
          <w:color w:val="auto"/>
          <w:sz w:val="21"/>
          <w:szCs w:val="21"/>
        </w:rPr>
        <w:t>.</w:t>
      </w:r>
      <w:r>
        <w:rPr>
          <w:rFonts w:hint="eastAsia" w:ascii="仿宋" w:hAnsi="仿宋" w:eastAsia="仿宋" w:cs="仿宋"/>
          <w:b/>
          <w:bCs/>
          <w:color w:val="auto"/>
          <w:sz w:val="21"/>
          <w:szCs w:val="21"/>
        </w:rPr>
        <w:t>合同解除和终止</w:t>
      </w:r>
      <w:bookmarkEnd w:id="348"/>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.1合同自然终止</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甲乙双方各自完成合同规定的责任和义务或发生不可抗力，合同自然终止。</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.2 违约违规终止合同</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.2.1在合同有效期内，如发现乙方违法分包、转包或挂靠，或前期存在围标串标或提供虚假资料情形的，甲方将单方终止合同，乙方须承担违约责任、赔偿甲方的一切经济损失</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.2.2合同成立后，若乙方不按合同履行职责导致对甲方安全运营、名誉、形象等造成影响，甲方有权终止合同。</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.2.3 按照违约责任情形甲方有权解除（终止）合同。</w:t>
      </w:r>
    </w:p>
    <w:p>
      <w:pPr>
        <w:tabs>
          <w:tab w:val="left" w:pos="540"/>
          <w:tab w:val="left" w:pos="960"/>
        </w:tabs>
        <w:ind w:firstLine="316" w:firstLineChars="150"/>
        <w:rPr>
          <w:rFonts w:hint="eastAsia" w:ascii="仿宋" w:hAnsi="仿宋" w:eastAsia="仿宋" w:cs="仿宋"/>
          <w:b/>
          <w:color w:val="auto"/>
          <w:sz w:val="21"/>
          <w:szCs w:val="21"/>
        </w:rPr>
      </w:pPr>
      <w:bookmarkStart w:id="349" w:name="_Toc385427858"/>
      <w:bookmarkStart w:id="350" w:name="_Toc3130"/>
      <w:bookmarkStart w:id="351" w:name="_Toc8696"/>
      <w:bookmarkStart w:id="352" w:name="_Toc24037"/>
      <w:bookmarkStart w:id="353" w:name="_Toc12432"/>
      <w:bookmarkStart w:id="354" w:name="_Toc370933875"/>
      <w:bookmarkStart w:id="355" w:name="_Toc25750653"/>
      <w:bookmarkStart w:id="356" w:name="_Toc17029"/>
      <w:bookmarkStart w:id="357" w:name="_Toc4396"/>
      <w:bookmarkStart w:id="358" w:name="_Toc11530"/>
      <w:bookmarkStart w:id="359" w:name="_Toc32343"/>
      <w:bookmarkStart w:id="360" w:name="_Toc13416"/>
      <w:bookmarkStart w:id="361" w:name="_Toc661"/>
      <w:bookmarkStart w:id="362" w:name="_Toc16315"/>
      <w:bookmarkStart w:id="363" w:name="_Toc13888"/>
      <w:bookmarkStart w:id="364" w:name="_Toc18508"/>
      <w:bookmarkStart w:id="365" w:name="_Toc6234"/>
      <w:bookmarkStart w:id="366" w:name="_Toc19987"/>
      <w:bookmarkStart w:id="367" w:name="_Toc378514972"/>
      <w:bookmarkStart w:id="368" w:name="_Toc21413"/>
      <w:bookmarkStart w:id="369" w:name="_Toc25342"/>
      <w:bookmarkStart w:id="370" w:name="_Toc24065"/>
      <w:bookmarkStart w:id="371" w:name="_Toc390098484"/>
      <w:bookmarkStart w:id="372" w:name="_Toc492478782"/>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eastAsia="zh-CN"/>
        </w:rPr>
        <w:t>4</w:t>
      </w:r>
      <w:r>
        <w:rPr>
          <w:rFonts w:hint="eastAsia" w:ascii="仿宋" w:hAnsi="仿宋" w:eastAsia="仿宋" w:cs="仿宋"/>
          <w:b/>
          <w:color w:val="auto"/>
          <w:sz w:val="21"/>
          <w:szCs w:val="21"/>
        </w:rPr>
        <w:t>.不可抗力</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.2若不可抗力发生使合同执行受阻，则合同执行时间根据受影响的时间相应延长，但合同价格不得调整。</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.3不可抗力的确认</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.4不可抗力的通知</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合同一方当事人遇到不可抗力事件，使其履行合同义务受到阻碍时，应立即通知合同另一方当事人，书面说明不可抗力和受阻碍的详细情况，并在合理期限内提供必要的证明。</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不可抗力持续发生的，合同一方当事人应及时向合同另一方当事人提交中间报告，说明不可抗力和履行合同受阻的情况，并于不可抗力事件结束后28天内提交最终报告及有关资料</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.5不可抗力后果的承担</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如发生不可抗力，乙方应在十四天内通知甲方并应提供有关当局（官方机构）的证明文件。除非甲方另有书面指示，乙方应继续依可行方式及其他不受不可抗力制约的替代形式履行合同义务。</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任何因不可抗力所导致延误履行合同或不能履行合同，受阻方将不因此而构成违约。</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如果不可抗力已发生并持续一百八十（180）天，则尽管由于此原因可能已允许乙方延长合同期限，双方中任何一方均有权在通知对方三十（30）天后终止合同。</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因合同一方迟延履行合同义务，在迟延履行期间遭遇不可抗力的，不免除其违约责任。</w:t>
      </w:r>
    </w:p>
    <w:p>
      <w:pPr>
        <w:tabs>
          <w:tab w:val="left" w:pos="840"/>
          <w:tab w:val="left" w:pos="1843"/>
        </w:tabs>
        <w:ind w:left="422"/>
        <w:outlineLvl w:val="1"/>
        <w:rPr>
          <w:rFonts w:hint="eastAsia" w:ascii="仿宋" w:hAnsi="仿宋" w:eastAsia="仿宋" w:cs="仿宋"/>
          <w:b/>
          <w:color w:val="auto"/>
          <w:sz w:val="21"/>
          <w:szCs w:val="21"/>
        </w:rPr>
      </w:pPr>
      <w:bookmarkStart w:id="373" w:name="_Toc25911"/>
      <w:bookmarkStart w:id="374" w:name="_Toc26831"/>
      <w:bookmarkStart w:id="375" w:name="_Toc10764"/>
      <w:bookmarkStart w:id="376" w:name="_Toc1972"/>
      <w:bookmarkStart w:id="377" w:name="_Toc24354"/>
      <w:bookmarkStart w:id="378" w:name="_Toc19072"/>
      <w:bookmarkStart w:id="379" w:name="_Toc492478788"/>
      <w:bookmarkStart w:id="380" w:name="_Toc17213"/>
      <w:bookmarkStart w:id="381" w:name="_Toc29365"/>
      <w:bookmarkStart w:id="382" w:name="_Toc21718"/>
      <w:bookmarkStart w:id="383" w:name="_Toc378514978"/>
      <w:bookmarkStart w:id="384" w:name="_Toc20058"/>
      <w:bookmarkStart w:id="385" w:name="_Toc7691"/>
      <w:bookmarkStart w:id="386" w:name="_Toc385427864"/>
      <w:bookmarkStart w:id="387" w:name="_Toc25750659"/>
      <w:bookmarkStart w:id="388" w:name="_Toc370933881"/>
      <w:bookmarkStart w:id="389" w:name="_Toc15991"/>
      <w:bookmarkStart w:id="390" w:name="_Toc20850"/>
      <w:bookmarkStart w:id="391" w:name="_Toc390098490"/>
      <w:bookmarkStart w:id="392" w:name="_Toc16121"/>
      <w:bookmarkStart w:id="393" w:name="_Toc10805"/>
      <w:bookmarkStart w:id="394" w:name="_Toc26667"/>
      <w:bookmarkStart w:id="395" w:name="_Toc1503"/>
      <w:bookmarkStart w:id="396" w:name="_Toc4002"/>
      <w:bookmarkStart w:id="397" w:name="_Toc15352"/>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eastAsia="zh-CN"/>
        </w:rPr>
        <w:t>5</w:t>
      </w:r>
      <w:r>
        <w:rPr>
          <w:rFonts w:hint="eastAsia" w:ascii="仿宋" w:hAnsi="仿宋" w:eastAsia="仿宋" w:cs="仿宋"/>
          <w:b/>
          <w:color w:val="auto"/>
          <w:sz w:val="21"/>
          <w:szCs w:val="21"/>
        </w:rPr>
        <w:t>.转让和分包</w:t>
      </w:r>
      <w:bookmarkEnd w:id="373"/>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.1 除甲方事先书面同意外，乙方不得将其合同权利、责任和义务部分转让或全部转让或转移给第三方。</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.2 除合同另有约定外，乙方不得将本项目的全部或部分工作分包给第三方。</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Start w:id="398" w:name="_Toc19209"/>
      <w:bookmarkStart w:id="399" w:name="_Toc17344"/>
      <w:bookmarkStart w:id="400" w:name="_Toc32638"/>
      <w:bookmarkStart w:id="401" w:name="_Toc25750662"/>
      <w:bookmarkStart w:id="402" w:name="_Toc13343"/>
      <w:bookmarkStart w:id="403" w:name="_Toc390098493"/>
      <w:bookmarkStart w:id="404" w:name="_Toc378514981"/>
      <w:bookmarkStart w:id="405" w:name="_Toc26295"/>
      <w:bookmarkStart w:id="406" w:name="_Toc28875"/>
      <w:bookmarkStart w:id="407" w:name="_Toc15635"/>
      <w:bookmarkStart w:id="408" w:name="_Toc6421"/>
      <w:bookmarkStart w:id="409" w:name="_Toc22330"/>
      <w:bookmarkStart w:id="410" w:name="_Toc3785"/>
      <w:bookmarkStart w:id="411" w:name="_Toc3019"/>
      <w:bookmarkStart w:id="412" w:name="_Toc23442"/>
      <w:bookmarkStart w:id="413" w:name="_Toc864"/>
      <w:bookmarkStart w:id="414" w:name="_Toc2458"/>
      <w:bookmarkStart w:id="415" w:name="_Toc25119"/>
      <w:bookmarkStart w:id="416" w:name="_Toc370933884"/>
      <w:bookmarkStart w:id="417" w:name="_Toc492478791"/>
      <w:bookmarkStart w:id="418" w:name="_Toc32071"/>
      <w:bookmarkStart w:id="419" w:name="_Toc385427867"/>
      <w:bookmarkStart w:id="420" w:name="_Toc6374"/>
      <w:bookmarkStart w:id="421" w:name="_Toc10304"/>
    </w:p>
    <w:p>
      <w:pPr>
        <w:tabs>
          <w:tab w:val="left" w:pos="840"/>
          <w:tab w:val="left" w:pos="1843"/>
        </w:tabs>
        <w:ind w:left="422"/>
        <w:outlineLvl w:val="1"/>
        <w:rPr>
          <w:rFonts w:hint="eastAsia" w:ascii="仿宋" w:hAnsi="仿宋" w:eastAsia="仿宋" w:cs="仿宋"/>
          <w:b/>
          <w:color w:val="auto"/>
          <w:sz w:val="21"/>
          <w:szCs w:val="21"/>
        </w:rPr>
      </w:pPr>
      <w:bookmarkStart w:id="422" w:name="_Toc25095"/>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eastAsia="zh-CN"/>
        </w:rPr>
        <w:t>6</w:t>
      </w:r>
      <w:r>
        <w:rPr>
          <w:rFonts w:hint="eastAsia" w:ascii="仿宋" w:hAnsi="仿宋" w:eastAsia="仿宋" w:cs="仿宋"/>
          <w:b/>
          <w:color w:val="auto"/>
          <w:sz w:val="21"/>
          <w:szCs w:val="21"/>
        </w:rPr>
        <w:t>.通知</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.2通知的内容包括合同项下的批复、意见、指令、说明和证据。</w:t>
      </w:r>
    </w:p>
    <w:p>
      <w:pPr>
        <w:tabs>
          <w:tab w:val="left" w:pos="540"/>
          <w:tab w:val="left" w:pos="960"/>
        </w:tabs>
        <w:ind w:firstLine="315" w:firstLineChars="15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.3通知以送到日期或通知书的生效日期为生效日期，两者中以晚的一个日期为准。</w:t>
      </w:r>
    </w:p>
    <w:p>
      <w:pPr>
        <w:tabs>
          <w:tab w:val="left" w:pos="840"/>
          <w:tab w:val="left" w:pos="1843"/>
        </w:tabs>
        <w:ind w:left="422"/>
        <w:outlineLvl w:val="1"/>
        <w:rPr>
          <w:rFonts w:hint="eastAsia" w:ascii="仿宋" w:hAnsi="仿宋" w:eastAsia="仿宋" w:cs="仿宋"/>
          <w:b/>
          <w:color w:val="auto"/>
          <w:sz w:val="21"/>
          <w:szCs w:val="21"/>
        </w:rPr>
      </w:pPr>
      <w:bookmarkStart w:id="423" w:name="_Toc459797546"/>
      <w:bookmarkEnd w:id="423"/>
      <w:bookmarkStart w:id="424" w:name="_Toc459797541"/>
      <w:bookmarkEnd w:id="424"/>
      <w:bookmarkStart w:id="425" w:name="_Toc459797554"/>
      <w:bookmarkEnd w:id="425"/>
      <w:bookmarkStart w:id="426" w:name="_Toc459797561"/>
      <w:bookmarkEnd w:id="426"/>
      <w:bookmarkStart w:id="427" w:name="_Toc459797569"/>
      <w:bookmarkEnd w:id="427"/>
      <w:bookmarkStart w:id="428" w:name="_Toc459730515"/>
      <w:bookmarkEnd w:id="428"/>
      <w:bookmarkStart w:id="429" w:name="_Toc459797565"/>
      <w:bookmarkEnd w:id="429"/>
      <w:bookmarkStart w:id="430" w:name="_Toc459730505"/>
      <w:bookmarkEnd w:id="430"/>
      <w:bookmarkStart w:id="431" w:name="_Toc459730503"/>
      <w:bookmarkEnd w:id="431"/>
      <w:bookmarkStart w:id="432" w:name="_Toc459797566"/>
      <w:bookmarkEnd w:id="432"/>
      <w:bookmarkStart w:id="433" w:name="_Toc459730485"/>
      <w:bookmarkEnd w:id="433"/>
      <w:bookmarkStart w:id="434" w:name="_Toc459730495"/>
      <w:bookmarkEnd w:id="434"/>
      <w:bookmarkStart w:id="435" w:name="_Toc459797562"/>
      <w:bookmarkEnd w:id="435"/>
      <w:bookmarkStart w:id="436" w:name="_Toc459797553"/>
      <w:bookmarkEnd w:id="436"/>
      <w:bookmarkStart w:id="437" w:name="_Toc459797567"/>
      <w:bookmarkEnd w:id="437"/>
      <w:bookmarkStart w:id="438" w:name="_Toc459730491"/>
      <w:bookmarkEnd w:id="438"/>
      <w:bookmarkStart w:id="439" w:name="_Toc459797560"/>
      <w:bookmarkEnd w:id="439"/>
      <w:bookmarkStart w:id="440" w:name="_Toc459797544"/>
      <w:bookmarkEnd w:id="440"/>
      <w:bookmarkStart w:id="441" w:name="_Toc459797570"/>
      <w:bookmarkEnd w:id="441"/>
      <w:bookmarkStart w:id="442" w:name="_Toc459797538"/>
      <w:bookmarkEnd w:id="442"/>
      <w:bookmarkStart w:id="443" w:name="_Toc459730489"/>
      <w:bookmarkEnd w:id="443"/>
      <w:bookmarkStart w:id="444" w:name="_Toc459797549"/>
      <w:bookmarkEnd w:id="444"/>
      <w:bookmarkStart w:id="445" w:name="_Toc459797540"/>
      <w:bookmarkEnd w:id="445"/>
      <w:bookmarkStart w:id="446" w:name="_Toc459730512"/>
      <w:bookmarkEnd w:id="446"/>
      <w:bookmarkStart w:id="447" w:name="_Toc459730511"/>
      <w:bookmarkEnd w:id="447"/>
      <w:bookmarkStart w:id="448" w:name="_Toc459730497"/>
      <w:bookmarkEnd w:id="448"/>
      <w:bookmarkStart w:id="449" w:name="_Toc459730488"/>
      <w:bookmarkEnd w:id="449"/>
      <w:bookmarkStart w:id="450" w:name="_Toc459730494"/>
      <w:bookmarkEnd w:id="450"/>
      <w:bookmarkStart w:id="451" w:name="_Toc459730501"/>
      <w:bookmarkEnd w:id="451"/>
      <w:bookmarkStart w:id="452" w:name="_Toc459730507"/>
      <w:bookmarkEnd w:id="452"/>
      <w:bookmarkStart w:id="453" w:name="_Toc459730508"/>
      <w:bookmarkEnd w:id="453"/>
      <w:bookmarkStart w:id="454" w:name="_Toc459730516"/>
      <w:bookmarkEnd w:id="454"/>
      <w:bookmarkStart w:id="455" w:name="_Toc459730499"/>
      <w:bookmarkEnd w:id="455"/>
      <w:bookmarkStart w:id="456" w:name="_Toc459730493"/>
      <w:bookmarkEnd w:id="456"/>
      <w:bookmarkStart w:id="457" w:name="_Toc459797543"/>
      <w:bookmarkEnd w:id="457"/>
      <w:bookmarkStart w:id="458" w:name="_Toc459797557"/>
      <w:bookmarkEnd w:id="458"/>
      <w:bookmarkStart w:id="459" w:name="_Toc459730514"/>
      <w:bookmarkEnd w:id="459"/>
      <w:bookmarkStart w:id="460" w:name="_Toc459797564"/>
      <w:bookmarkEnd w:id="460"/>
      <w:bookmarkStart w:id="461" w:name="_Toc459730517"/>
      <w:bookmarkEnd w:id="461"/>
      <w:bookmarkStart w:id="462" w:name="_Toc459797550"/>
      <w:bookmarkEnd w:id="462"/>
      <w:bookmarkStart w:id="463" w:name="_Toc459797558"/>
      <w:bookmarkEnd w:id="463"/>
      <w:bookmarkStart w:id="464" w:name="_Toc459730496"/>
      <w:bookmarkEnd w:id="464"/>
      <w:bookmarkStart w:id="465" w:name="_Toc459797539"/>
      <w:bookmarkEnd w:id="465"/>
      <w:bookmarkStart w:id="466" w:name="_Toc459797542"/>
      <w:bookmarkEnd w:id="466"/>
      <w:bookmarkStart w:id="467" w:name="_Toc459797555"/>
      <w:bookmarkEnd w:id="467"/>
      <w:bookmarkStart w:id="468" w:name="_Toc459797556"/>
      <w:bookmarkEnd w:id="468"/>
      <w:bookmarkStart w:id="469" w:name="_Toc459730513"/>
      <w:bookmarkEnd w:id="469"/>
      <w:bookmarkStart w:id="470" w:name="_Toc459730486"/>
      <w:bookmarkEnd w:id="470"/>
      <w:bookmarkStart w:id="471" w:name="_Toc459730506"/>
      <w:bookmarkEnd w:id="471"/>
      <w:bookmarkStart w:id="472" w:name="_Toc459797545"/>
      <w:bookmarkEnd w:id="472"/>
      <w:bookmarkStart w:id="473" w:name="_Toc459730502"/>
      <w:bookmarkEnd w:id="473"/>
      <w:bookmarkStart w:id="474" w:name="_Toc459797559"/>
      <w:bookmarkEnd w:id="474"/>
      <w:bookmarkStart w:id="475" w:name="_Toc459797547"/>
      <w:bookmarkEnd w:id="475"/>
      <w:bookmarkStart w:id="476" w:name="_Toc459797548"/>
      <w:bookmarkEnd w:id="476"/>
      <w:bookmarkStart w:id="477" w:name="_Toc459797552"/>
      <w:bookmarkEnd w:id="477"/>
      <w:bookmarkStart w:id="478" w:name="_Toc459730492"/>
      <w:bookmarkEnd w:id="478"/>
      <w:bookmarkStart w:id="479" w:name="_Toc459730509"/>
      <w:bookmarkEnd w:id="479"/>
      <w:bookmarkStart w:id="480" w:name="_Toc459730500"/>
      <w:bookmarkEnd w:id="480"/>
      <w:bookmarkStart w:id="481" w:name="_Toc459730504"/>
      <w:bookmarkEnd w:id="481"/>
      <w:bookmarkStart w:id="482" w:name="_Toc459797551"/>
      <w:bookmarkEnd w:id="482"/>
      <w:bookmarkStart w:id="483" w:name="_Toc459730510"/>
      <w:bookmarkEnd w:id="483"/>
      <w:bookmarkStart w:id="484" w:name="_Toc459730490"/>
      <w:bookmarkEnd w:id="484"/>
      <w:bookmarkStart w:id="485" w:name="_Toc459730487"/>
      <w:bookmarkEnd w:id="485"/>
      <w:bookmarkStart w:id="486" w:name="_Toc459730498"/>
      <w:bookmarkEnd w:id="486"/>
      <w:bookmarkStart w:id="487" w:name="_Toc459797568"/>
      <w:bookmarkEnd w:id="487"/>
      <w:bookmarkStart w:id="488" w:name="_Toc459797563"/>
      <w:bookmarkEnd w:id="488"/>
      <w:bookmarkStart w:id="489" w:name="_Toc9520"/>
      <w:bookmarkStart w:id="490" w:name="_Toc925"/>
      <w:bookmarkStart w:id="491" w:name="_Toc385427876"/>
      <w:bookmarkStart w:id="492" w:name="_Toc492478800"/>
      <w:bookmarkStart w:id="493" w:name="_Toc378514990"/>
      <w:bookmarkStart w:id="494" w:name="_Toc24789"/>
      <w:bookmarkStart w:id="495" w:name="_Toc26446"/>
      <w:bookmarkStart w:id="496" w:name="_Toc25406"/>
      <w:bookmarkStart w:id="497" w:name="_Toc2427"/>
      <w:bookmarkStart w:id="498" w:name="_Toc25750670"/>
      <w:bookmarkStart w:id="499" w:name="_Toc6462"/>
      <w:bookmarkStart w:id="500" w:name="_Toc25859"/>
      <w:bookmarkStart w:id="501" w:name="_Toc20826"/>
      <w:bookmarkStart w:id="502" w:name="_Toc4370"/>
      <w:bookmarkStart w:id="503" w:name="_Toc20780"/>
      <w:bookmarkStart w:id="504" w:name="_Toc370933887"/>
      <w:bookmarkStart w:id="505" w:name="_Toc11286"/>
      <w:bookmarkStart w:id="506" w:name="_Toc27400"/>
      <w:bookmarkStart w:id="507" w:name="_Toc16845"/>
      <w:bookmarkStart w:id="508" w:name="_Toc27029"/>
      <w:bookmarkStart w:id="509" w:name="_Toc8642"/>
      <w:bookmarkStart w:id="510" w:name="_Toc14240"/>
      <w:bookmarkStart w:id="511" w:name="_Toc309"/>
      <w:bookmarkStart w:id="512" w:name="_Toc390098502"/>
      <w:bookmarkStart w:id="513" w:name="_Toc11322"/>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eastAsia="zh-CN"/>
        </w:rPr>
        <w:t>7</w:t>
      </w:r>
      <w:r>
        <w:rPr>
          <w:rFonts w:hint="eastAsia" w:ascii="仿宋" w:hAnsi="仿宋" w:eastAsia="仿宋" w:cs="仿宋"/>
          <w:b/>
          <w:color w:val="auto"/>
          <w:sz w:val="21"/>
          <w:szCs w:val="21"/>
        </w:rPr>
        <w:t>.争端的解决</w:t>
      </w:r>
      <w:bookmarkEnd w:id="489"/>
    </w:p>
    <w:p>
      <w:pPr>
        <w:tabs>
          <w:tab w:val="left" w:pos="960"/>
          <w:tab w:val="left" w:pos="8364"/>
        </w:tabs>
        <w:ind w:left="420"/>
        <w:rPr>
          <w:rFonts w:hint="eastAsia" w:ascii="仿宋" w:hAnsi="仿宋" w:eastAsia="仿宋" w:cs="仿宋"/>
          <w:color w:val="auto"/>
          <w:sz w:val="21"/>
          <w:szCs w:val="21"/>
        </w:rPr>
      </w:pPr>
      <w:r>
        <w:rPr>
          <w:rFonts w:hint="eastAsia" w:ascii="仿宋" w:hAnsi="仿宋" w:eastAsia="仿宋" w:cs="仿宋"/>
          <w:color w:val="auto"/>
          <w:sz w:val="21"/>
          <w:szCs w:val="21"/>
        </w:rPr>
        <w:t>因本合同引起的或与本合同有关的合同争议，由双方协商解决，协商不成的，依法向甲方住所地有管辖权的人民法院提起诉讼。</w:t>
      </w:r>
    </w:p>
    <w:p>
      <w:pPr>
        <w:tabs>
          <w:tab w:val="left" w:pos="840"/>
          <w:tab w:val="left" w:pos="1843"/>
        </w:tabs>
        <w:ind w:left="422"/>
        <w:outlineLvl w:val="1"/>
        <w:rPr>
          <w:rFonts w:hint="eastAsia" w:ascii="仿宋" w:hAnsi="仿宋" w:eastAsia="仿宋" w:cs="仿宋"/>
          <w:b/>
          <w:color w:val="auto"/>
          <w:sz w:val="21"/>
          <w:szCs w:val="21"/>
        </w:rPr>
      </w:pPr>
      <w:bookmarkStart w:id="514" w:name="_Toc5150"/>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eastAsia="zh-CN"/>
        </w:rPr>
        <w:t>8</w:t>
      </w:r>
      <w:r>
        <w:rPr>
          <w:rFonts w:hint="eastAsia" w:ascii="仿宋" w:hAnsi="仿宋" w:eastAsia="仿宋" w:cs="仿宋"/>
          <w:b/>
          <w:color w:val="auto"/>
          <w:sz w:val="21"/>
          <w:szCs w:val="21"/>
        </w:rPr>
        <w:t>.合同生效和签约地</w:t>
      </w:r>
      <w:bookmarkEnd w:id="514"/>
    </w:p>
    <w:p>
      <w:pPr>
        <w:tabs>
          <w:tab w:val="left" w:pos="960"/>
          <w:tab w:val="left" w:pos="8364"/>
        </w:tabs>
        <w:ind w:left="420"/>
        <w:rPr>
          <w:rFonts w:hint="eastAsia" w:ascii="仿宋" w:hAnsi="仿宋" w:eastAsia="仿宋" w:cs="仿宋"/>
          <w:color w:val="auto"/>
          <w:sz w:val="21"/>
          <w:szCs w:val="21"/>
        </w:rPr>
      </w:pPr>
      <w:r>
        <w:rPr>
          <w:rFonts w:hint="eastAsia" w:ascii="仿宋" w:hAnsi="仿宋" w:eastAsia="仿宋" w:cs="仿宋"/>
          <w:color w:val="auto"/>
          <w:sz w:val="21"/>
          <w:szCs w:val="21"/>
        </w:rPr>
        <w:t>本合同生效的时间以双方签署的协议书上的最后日期为准。</w:t>
      </w:r>
    </w:p>
    <w:p>
      <w:pPr>
        <w:tabs>
          <w:tab w:val="left" w:pos="960"/>
          <w:tab w:val="left" w:pos="8364"/>
        </w:tabs>
        <w:ind w:left="420"/>
        <w:rPr>
          <w:rFonts w:hint="eastAsia" w:ascii="仿宋" w:hAnsi="仿宋" w:eastAsia="仿宋" w:cs="仿宋"/>
          <w:color w:val="auto"/>
          <w:sz w:val="21"/>
          <w:szCs w:val="21"/>
        </w:rPr>
      </w:pPr>
      <w:r>
        <w:rPr>
          <w:rFonts w:hint="eastAsia" w:ascii="仿宋" w:hAnsi="仿宋" w:eastAsia="仿宋" w:cs="仿宋"/>
          <w:color w:val="auto"/>
          <w:sz w:val="21"/>
          <w:szCs w:val="21"/>
        </w:rPr>
        <w:t>本合同签约地为中华人民共和国广西壮族自治区南宁市青秀区。</w:t>
      </w:r>
    </w:p>
    <w:p>
      <w:pPr>
        <w:tabs>
          <w:tab w:val="left" w:pos="960"/>
          <w:tab w:val="left" w:pos="8364"/>
        </w:tabs>
        <w:ind w:left="420"/>
        <w:rPr>
          <w:rFonts w:hint="eastAsia" w:ascii="仿宋" w:hAnsi="仿宋" w:eastAsia="仿宋" w:cs="仿宋"/>
          <w:color w:val="auto"/>
          <w:sz w:val="21"/>
          <w:szCs w:val="21"/>
        </w:rPr>
      </w:pPr>
      <w:r>
        <w:rPr>
          <w:rFonts w:hint="eastAsia" w:ascii="仿宋" w:hAnsi="仿宋" w:eastAsia="仿宋" w:cs="仿宋"/>
          <w:color w:val="auto"/>
          <w:sz w:val="21"/>
          <w:szCs w:val="21"/>
        </w:rPr>
        <w:t>本合同将在各方授权代表签字后方可生效。</w:t>
      </w:r>
    </w:p>
    <w:p>
      <w:pPr>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Pr>
        <w:tabs>
          <w:tab w:val="left" w:pos="840"/>
          <w:tab w:val="left" w:pos="1843"/>
        </w:tabs>
        <w:ind w:left="422"/>
        <w:outlineLvl w:val="1"/>
        <w:rPr>
          <w:rFonts w:hint="eastAsia" w:ascii="仿宋" w:hAnsi="仿宋" w:eastAsia="仿宋" w:cs="仿宋"/>
          <w:b/>
          <w:color w:val="auto"/>
          <w:sz w:val="21"/>
          <w:szCs w:val="21"/>
        </w:rPr>
      </w:pPr>
      <w:bookmarkStart w:id="515" w:name="_Toc11910"/>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eastAsia="zh-CN"/>
        </w:rPr>
        <w:t>9</w:t>
      </w:r>
      <w:r>
        <w:rPr>
          <w:rFonts w:hint="eastAsia" w:ascii="仿宋" w:hAnsi="仿宋" w:eastAsia="仿宋" w:cs="仿宋"/>
          <w:b/>
          <w:color w:val="auto"/>
          <w:sz w:val="21"/>
          <w:szCs w:val="21"/>
        </w:rPr>
        <w:t>.售后</w:t>
      </w:r>
      <w:bookmarkEnd w:id="515"/>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19.1售后服务</w:t>
      </w:r>
      <w:r>
        <w:rPr>
          <w:rFonts w:hint="eastAsia" w:ascii="仿宋" w:hAnsi="仿宋" w:eastAsia="仿宋" w:cs="仿宋"/>
          <w:color w:val="auto"/>
          <w:sz w:val="21"/>
          <w:szCs w:val="21"/>
        </w:rPr>
        <w:t>时间要求一年。</w:t>
      </w:r>
    </w:p>
    <w:p>
      <w:pPr>
        <w:tabs>
          <w:tab w:val="left" w:pos="1120"/>
        </w:tabs>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19.2售后一年</w:t>
      </w:r>
      <w:r>
        <w:rPr>
          <w:rFonts w:hint="eastAsia" w:ascii="仿宋" w:hAnsi="仿宋" w:eastAsia="仿宋" w:cs="仿宋"/>
          <w:color w:val="auto"/>
          <w:sz w:val="21"/>
          <w:szCs w:val="21"/>
          <w:lang w:eastAsia="zh-CN"/>
        </w:rPr>
        <w:t>内</w:t>
      </w:r>
      <w:r>
        <w:rPr>
          <w:rFonts w:hint="eastAsia" w:ascii="仿宋" w:hAnsi="仿宋" w:eastAsia="仿宋" w:cs="仿宋"/>
          <w:color w:val="auto"/>
          <w:sz w:val="21"/>
          <w:szCs w:val="21"/>
          <w:lang w:val="en-US" w:eastAsia="zh-CN"/>
        </w:rPr>
        <w:t>软件</w:t>
      </w:r>
      <w:r>
        <w:rPr>
          <w:rFonts w:hint="eastAsia" w:ascii="仿宋" w:hAnsi="仿宋" w:eastAsia="仿宋" w:cs="仿宋"/>
          <w:color w:val="auto"/>
          <w:sz w:val="21"/>
          <w:szCs w:val="21"/>
          <w:lang w:eastAsia="zh-CN"/>
        </w:rPr>
        <w:t>出现故障一般问题应在</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lang w:eastAsia="zh-CN"/>
        </w:rPr>
        <w:t>小时内解决，重大问题或其它无法迅速解决的问题应在24小时内解决。</w:t>
      </w:r>
      <w:r>
        <w:rPr>
          <w:rFonts w:hint="eastAsia" w:ascii="仿宋" w:hAnsi="仿宋" w:eastAsia="仿宋" w:cs="仿宋"/>
          <w:color w:val="auto"/>
          <w:sz w:val="21"/>
          <w:szCs w:val="21"/>
          <w:lang w:val="en-US" w:eastAsia="zh-CN"/>
        </w:rPr>
        <w:t>软件</w:t>
      </w:r>
      <w:r>
        <w:rPr>
          <w:rFonts w:hint="eastAsia" w:ascii="仿宋" w:hAnsi="仿宋" w:eastAsia="仿宋" w:cs="仿宋"/>
          <w:color w:val="auto"/>
          <w:sz w:val="21"/>
          <w:szCs w:val="21"/>
          <w:lang w:eastAsia="zh-CN"/>
        </w:rPr>
        <w:t>故障</w:t>
      </w:r>
      <w:r>
        <w:rPr>
          <w:rFonts w:hint="eastAsia" w:ascii="仿宋" w:hAnsi="仿宋" w:eastAsia="仿宋" w:cs="仿宋"/>
          <w:color w:val="auto"/>
          <w:sz w:val="21"/>
          <w:szCs w:val="21"/>
          <w:lang w:val="en-US" w:eastAsia="zh-CN"/>
        </w:rPr>
        <w:t>处理</w:t>
      </w:r>
      <w:r>
        <w:rPr>
          <w:rFonts w:hint="eastAsia" w:ascii="仿宋" w:hAnsi="仿宋" w:eastAsia="仿宋" w:cs="仿宋"/>
          <w:color w:val="auto"/>
          <w:sz w:val="21"/>
          <w:szCs w:val="21"/>
          <w:lang w:eastAsia="zh-CN"/>
        </w:rPr>
        <w:t>均为免费</w:t>
      </w:r>
      <w:r>
        <w:rPr>
          <w:rFonts w:hint="eastAsia" w:ascii="仿宋" w:hAnsi="仿宋" w:eastAsia="仿宋" w:cs="仿宋"/>
          <w:color w:val="auto"/>
          <w:sz w:val="21"/>
          <w:szCs w:val="21"/>
          <w:lang w:val="en-US" w:eastAsia="zh-CN"/>
        </w:rPr>
        <w:t>修复</w:t>
      </w:r>
      <w:r>
        <w:rPr>
          <w:rFonts w:hint="eastAsia" w:ascii="仿宋" w:hAnsi="仿宋" w:eastAsia="仿宋" w:cs="仿宋"/>
          <w:color w:val="auto"/>
          <w:sz w:val="21"/>
          <w:szCs w:val="21"/>
          <w:lang w:eastAsia="zh-CN"/>
        </w:rPr>
        <w:t>。</w:t>
      </w:r>
    </w:p>
    <w:p>
      <w:pPr>
        <w:tabs>
          <w:tab w:val="left" w:pos="840"/>
          <w:tab w:val="left" w:pos="1843"/>
        </w:tabs>
        <w:ind w:left="422"/>
        <w:outlineLvl w:val="1"/>
        <w:rPr>
          <w:rFonts w:hint="eastAsia" w:ascii="仿宋" w:hAnsi="仿宋" w:eastAsia="仿宋" w:cs="仿宋"/>
          <w:b/>
          <w:color w:val="auto"/>
          <w:sz w:val="21"/>
          <w:szCs w:val="21"/>
        </w:rPr>
      </w:pPr>
      <w:bookmarkStart w:id="516" w:name="_Toc14434"/>
      <w:r>
        <w:rPr>
          <w:rFonts w:hint="eastAsia" w:ascii="仿宋" w:hAnsi="仿宋" w:eastAsia="仿宋" w:cs="仿宋"/>
          <w:b/>
          <w:color w:val="auto"/>
          <w:sz w:val="21"/>
          <w:szCs w:val="21"/>
          <w:lang w:val="en-US" w:eastAsia="zh-CN"/>
        </w:rPr>
        <w:t>20.</w:t>
      </w:r>
      <w:r>
        <w:rPr>
          <w:rFonts w:hint="eastAsia" w:ascii="仿宋" w:hAnsi="仿宋" w:eastAsia="仿宋" w:cs="仿宋"/>
          <w:b/>
          <w:color w:val="auto"/>
          <w:sz w:val="21"/>
          <w:szCs w:val="21"/>
        </w:rPr>
        <w:t>其他</w:t>
      </w:r>
      <w:bookmarkEnd w:id="516"/>
    </w:p>
    <w:p>
      <w:pPr>
        <w:pStyle w:val="5"/>
        <w:ind w:left="705" w:leftChars="200" w:hanging="285" w:hangingChars="136"/>
        <w:rPr>
          <w:rFonts w:hint="eastAsia" w:ascii="仿宋" w:hAnsi="仿宋" w:eastAsia="仿宋" w:cs="仿宋"/>
          <w:color w:val="auto"/>
          <w:sz w:val="21"/>
          <w:szCs w:val="21"/>
        </w:rPr>
      </w:pPr>
      <w:r>
        <w:rPr>
          <w:rFonts w:hint="eastAsia" w:ascii="仿宋" w:hAnsi="仿宋" w:eastAsia="仿宋" w:cs="仿宋"/>
          <w:color w:val="auto"/>
          <w:sz w:val="21"/>
          <w:szCs w:val="21"/>
        </w:rPr>
        <w:t>本合同未尽事宜，由双方协商解决，必要时可签订补充合同。</w:t>
      </w:r>
    </w:p>
    <w:p>
      <w:pPr>
        <w:widowControl/>
        <w:spacing w:beforeLines="50" w:line="360" w:lineRule="auto"/>
        <w:ind w:left="840" w:hanging="420"/>
        <w:rPr>
          <w:color w:val="auto"/>
        </w:rPr>
      </w:pPr>
    </w:p>
    <w:p>
      <w:pPr>
        <w:ind w:left="840" w:hanging="420"/>
        <w:rPr>
          <w:color w:val="auto"/>
        </w:rPr>
      </w:pPr>
      <w:r>
        <w:rPr>
          <w:color w:val="auto"/>
        </w:rPr>
        <w:br w:type="page"/>
      </w:r>
    </w:p>
    <w:p>
      <w:pPr>
        <w:ind w:firstLine="200"/>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三</w:t>
      </w:r>
      <w:r>
        <w:rPr>
          <w:rFonts w:hint="eastAsia" w:ascii="仿宋" w:hAnsi="仿宋" w:eastAsia="仿宋" w:cs="仿宋"/>
          <w:b/>
          <w:color w:val="auto"/>
          <w:sz w:val="24"/>
          <w:szCs w:val="24"/>
        </w:rPr>
        <w:t>、分项报价表</w:t>
      </w:r>
    </w:p>
    <w:tbl>
      <w:tblPr>
        <w:tblStyle w:val="10"/>
        <w:tblpPr w:leftFromText="180" w:rightFromText="180" w:vertAnchor="text" w:horzAnchor="page" w:tblpX="1500" w:tblpY="900"/>
        <w:tblOverlap w:val="never"/>
        <w:tblW w:w="90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7"/>
        <w:gridCol w:w="1168"/>
        <w:gridCol w:w="1148"/>
        <w:gridCol w:w="2695"/>
        <w:gridCol w:w="637"/>
        <w:gridCol w:w="636"/>
        <w:gridCol w:w="823"/>
        <w:gridCol w:w="873"/>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序号</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物料名称</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品牌/生产厂家</w:t>
            </w:r>
          </w:p>
        </w:tc>
        <w:tc>
          <w:tcPr>
            <w:tcW w:w="2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物料描述</w:t>
            </w:r>
          </w:p>
        </w:tc>
        <w:tc>
          <w:tcPr>
            <w:tcW w:w="6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单位</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数量</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不含税单价</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不含税合价</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2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0" w:hRule="atLeast"/>
        </w:trPr>
        <w:tc>
          <w:tcPr>
            <w:tcW w:w="41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Photoshop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Adobe</w:t>
            </w:r>
          </w:p>
        </w:tc>
        <w:tc>
          <w:tcPr>
            <w:tcW w:w="2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Photoshop CC Multiple Platforms Multi Language China 1 User 12  Month（Photoshop CC/多平台中文版/一年授权）</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套</w:t>
            </w:r>
          </w:p>
        </w:tc>
        <w:tc>
          <w:tcPr>
            <w:tcW w:w="63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13</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87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68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60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合计</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lang w:val="en-US"/>
              </w:rPr>
            </w:pPr>
            <w:r>
              <w:rPr>
                <w:rFonts w:hint="eastAsia" w:ascii="仿宋" w:hAnsi="仿宋" w:eastAsia="仿宋" w:cs="仿宋"/>
                <w:b/>
                <w:bCs/>
                <w:i w:val="0"/>
                <w:iCs w:val="0"/>
                <w:color w:val="auto"/>
                <w:kern w:val="0"/>
                <w:sz w:val="21"/>
                <w:szCs w:val="21"/>
                <w:u w:val="none"/>
                <w:lang w:val="en-US" w:eastAsia="zh-CN" w:bidi="ar"/>
              </w:rPr>
              <w:t>13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w:t>
            </w:r>
          </w:p>
        </w:tc>
      </w:tr>
    </w:tbl>
    <w:p>
      <w:pPr>
        <w:ind w:left="840" w:hanging="420"/>
        <w:rPr>
          <w:color w:val="auto"/>
          <w:sz w:val="21"/>
          <w:szCs w:val="21"/>
        </w:rPr>
      </w:pPr>
      <w:r>
        <w:rPr>
          <w:color w:val="auto"/>
          <w:sz w:val="21"/>
          <w:szCs w:val="21"/>
        </w:rPr>
        <w:br w:type="page"/>
      </w:r>
    </w:p>
    <w:p>
      <w:pPr>
        <w:numPr>
          <w:ilvl w:val="0"/>
          <w:numId w:val="2"/>
        </w:numPr>
        <w:ind w:firstLine="200"/>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rPr>
        <w:t>技术需求及数量表</w:t>
      </w:r>
    </w:p>
    <w:p>
      <w:pPr>
        <w:pStyle w:val="2"/>
        <w:numPr>
          <w:ilvl w:val="0"/>
          <w:numId w:val="0"/>
        </w:numPr>
        <w:ind w:leftChars="0"/>
        <w:rPr>
          <w:color w:val="auto"/>
          <w:sz w:val="21"/>
          <w:szCs w:val="21"/>
        </w:rPr>
      </w:pPr>
    </w:p>
    <w:tbl>
      <w:tblPr>
        <w:tblStyle w:val="10"/>
        <w:tblpPr w:leftFromText="180" w:rightFromText="180" w:vertAnchor="text" w:horzAnchor="page" w:tblpX="1494" w:tblpY="425"/>
        <w:tblOverlap w:val="never"/>
        <w:tblW w:w="93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2"/>
        <w:gridCol w:w="1161"/>
        <w:gridCol w:w="1058"/>
        <w:gridCol w:w="2612"/>
        <w:gridCol w:w="1009"/>
        <w:gridCol w:w="931"/>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序号</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物料名称</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品牌/生产厂家</w:t>
            </w:r>
          </w:p>
        </w:tc>
        <w:tc>
          <w:tcPr>
            <w:tcW w:w="2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物料描述</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单位</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数量</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2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Photoshop</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Adobe</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Photoshop CC Multiple Platforms Multi Language China 1 User 12  Month（Photoshop CC/多平台中文版/一年授权）</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套</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13</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sz w:val="21"/>
                <w:szCs w:val="21"/>
                <w:u w:val="none"/>
              </w:rPr>
              <w:t>本次采购为对已在使用的13套Photoshop（授权到期时间为2024年3月12日）进行续期授权。</w:t>
            </w:r>
          </w:p>
        </w:tc>
      </w:tr>
    </w:tbl>
    <w:p>
      <w:pPr>
        <w:rPr>
          <w:color w:val="auto"/>
          <w:sz w:val="21"/>
          <w:szCs w:val="21"/>
        </w:rPr>
      </w:pPr>
      <w:r>
        <w:rPr>
          <w:color w:val="auto"/>
          <w:sz w:val="21"/>
          <w:szCs w:val="21"/>
        </w:rPr>
        <w:br w:type="page"/>
      </w:r>
    </w:p>
    <w:p>
      <w:pPr>
        <w:numPr>
          <w:ilvl w:val="0"/>
          <w:numId w:val="2"/>
        </w:numPr>
        <w:ind w:firstLine="200"/>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询比价文件（另册）</w:t>
      </w:r>
    </w:p>
    <w:p>
      <w:pPr>
        <w:rPr>
          <w:color w:val="auto"/>
          <w:sz w:val="21"/>
          <w:szCs w:val="21"/>
        </w:rPr>
      </w:pPr>
      <w:r>
        <w:rPr>
          <w:color w:val="auto"/>
          <w:sz w:val="21"/>
          <w:szCs w:val="21"/>
        </w:rPr>
        <w:br w:type="page"/>
      </w:r>
    </w:p>
    <w:p>
      <w:pPr>
        <w:numPr>
          <w:ilvl w:val="0"/>
          <w:numId w:val="2"/>
        </w:numPr>
        <w:ind w:firstLine="200"/>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询比价申请文件（另册）</w:t>
      </w:r>
    </w:p>
    <w:p>
      <w:pPr>
        <w:rPr>
          <w:color w:val="auto"/>
          <w:sz w:val="21"/>
          <w:szCs w:val="21"/>
        </w:rPr>
      </w:pPr>
      <w:r>
        <w:rPr>
          <w:color w:val="auto"/>
          <w:sz w:val="21"/>
          <w:szCs w:val="21"/>
        </w:rPr>
        <w:br w:type="page"/>
      </w:r>
    </w:p>
    <w:p>
      <w:pPr>
        <w:spacing w:before="0" w:afterAutospacing="0"/>
        <w:ind w:right="-57"/>
        <w:jc w:val="center"/>
        <w:rPr>
          <w:rFonts w:ascii="宋体" w:hAnsi="宋体"/>
          <w:b/>
          <w:color w:val="auto"/>
          <w:sz w:val="21"/>
          <w:szCs w:val="21"/>
        </w:rPr>
      </w:pPr>
      <w:r>
        <w:rPr>
          <w:rFonts w:hint="eastAsia" w:ascii="宋体" w:hAnsi="宋体"/>
          <w:b/>
          <w:color w:val="auto"/>
          <w:sz w:val="21"/>
          <w:szCs w:val="21"/>
          <w:lang w:val="en-US" w:eastAsia="zh-CN"/>
        </w:rPr>
        <w:t>七、</w:t>
      </w:r>
      <w:r>
        <w:rPr>
          <w:rFonts w:hint="eastAsia" w:ascii="宋体" w:hAnsi="宋体"/>
          <w:b/>
          <w:color w:val="auto"/>
          <w:sz w:val="21"/>
          <w:szCs w:val="21"/>
        </w:rPr>
        <w:t>银行</w:t>
      </w:r>
      <w:r>
        <w:rPr>
          <w:rFonts w:ascii="宋体" w:hAnsi="宋体"/>
          <w:b/>
          <w:color w:val="auto"/>
          <w:sz w:val="21"/>
          <w:szCs w:val="21"/>
        </w:rPr>
        <w:t>保函</w:t>
      </w:r>
      <w:r>
        <w:rPr>
          <w:rFonts w:hint="eastAsia" w:ascii="宋体" w:hAnsi="宋体"/>
          <w:b/>
          <w:color w:val="auto"/>
          <w:sz w:val="21"/>
          <w:szCs w:val="21"/>
        </w:rPr>
        <w:t>（中选后提供）</w:t>
      </w:r>
    </w:p>
    <w:p>
      <w:pPr>
        <w:pStyle w:val="6"/>
        <w:keepNext w:val="0"/>
        <w:keepLines w:val="0"/>
        <w:pageBreakBefore w:val="0"/>
        <w:widowControl w:val="0"/>
        <w:kinsoku/>
        <w:wordWrap/>
        <w:overflowPunct/>
        <w:topLinePunct w:val="0"/>
        <w:bidi w:val="0"/>
        <w:adjustRightInd/>
        <w:snapToGrid/>
        <w:spacing w:line="360" w:lineRule="auto"/>
        <w:ind w:right="-57"/>
        <w:textAlignment w:val="auto"/>
        <w:rPr>
          <w:rFonts w:hAnsi="宋体"/>
          <w:color w:val="auto"/>
          <w:spacing w:val="20"/>
          <w:sz w:val="21"/>
          <w:szCs w:val="21"/>
        </w:rPr>
      </w:pPr>
      <w:r>
        <w:rPr>
          <w:rFonts w:hint="eastAsia" w:hAnsi="宋体"/>
          <w:color w:val="auto"/>
          <w:spacing w:val="20"/>
          <w:sz w:val="21"/>
          <w:szCs w:val="21"/>
        </w:rPr>
        <w:t>保函编号：</w:t>
      </w:r>
    </w:p>
    <w:p>
      <w:pPr>
        <w:keepNext w:val="0"/>
        <w:keepLines w:val="0"/>
        <w:pageBreakBefore w:val="0"/>
        <w:widowControl w:val="0"/>
        <w:kinsoku/>
        <w:wordWrap/>
        <w:overflowPunct/>
        <w:topLinePunct w:val="0"/>
        <w:autoSpaceDE w:val="0"/>
        <w:autoSpaceDN w:val="0"/>
        <w:bidi w:val="0"/>
        <w:adjustRightInd/>
        <w:snapToGrid/>
        <w:spacing w:line="360" w:lineRule="auto"/>
        <w:ind w:right="-57"/>
        <w:jc w:val="left"/>
        <w:textAlignment w:val="auto"/>
        <w:rPr>
          <w:rFonts w:ascii="宋体" w:hAnsi="宋体"/>
          <w:color w:val="auto"/>
          <w:sz w:val="21"/>
          <w:szCs w:val="21"/>
        </w:rPr>
      </w:pPr>
      <w:r>
        <w:rPr>
          <w:rFonts w:hint="eastAsia" w:ascii="宋体" w:hAnsi="宋体"/>
          <w:color w:val="auto"/>
          <w:sz w:val="21"/>
          <w:szCs w:val="21"/>
        </w:rPr>
        <w:t>致：南宁轨道交通运营有限公司</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1"/>
          <w:szCs w:val="21"/>
        </w:rPr>
      </w:pPr>
      <w:r>
        <w:rPr>
          <w:rFonts w:hint="eastAsia" w:ascii="宋体" w:hAnsi="宋体"/>
          <w:color w:val="auto"/>
          <w:sz w:val="21"/>
          <w:szCs w:val="21"/>
        </w:rPr>
        <w:t>鉴于贵方已于</w:t>
      </w:r>
      <w:r>
        <w:rPr>
          <w:rFonts w:ascii="宋体" w:hAnsi="宋体"/>
          <w:color w:val="auto"/>
          <w:sz w:val="21"/>
          <w:szCs w:val="21"/>
          <w:u w:val="single"/>
        </w:rPr>
        <w:t xml:space="preserve">  </w:t>
      </w:r>
      <w:r>
        <w:rPr>
          <w:rFonts w:hint="eastAsia" w:ascii="宋体" w:hAnsi="宋体"/>
          <w:color w:val="auto"/>
          <w:sz w:val="21"/>
          <w:szCs w:val="21"/>
        </w:rPr>
        <w:t>年</w:t>
      </w:r>
      <w:r>
        <w:rPr>
          <w:rFonts w:ascii="宋体" w:hAnsi="宋体"/>
          <w:color w:val="auto"/>
          <w:sz w:val="21"/>
          <w:szCs w:val="21"/>
          <w:u w:val="single"/>
        </w:rPr>
        <w:t xml:space="preserve">  </w:t>
      </w:r>
      <w:r>
        <w:rPr>
          <w:rFonts w:hint="eastAsia" w:ascii="宋体" w:hAnsi="宋体"/>
          <w:color w:val="auto"/>
          <w:sz w:val="21"/>
          <w:szCs w:val="21"/>
        </w:rPr>
        <w:t>月</w:t>
      </w:r>
      <w:r>
        <w:rPr>
          <w:rFonts w:ascii="宋体" w:hAnsi="宋体"/>
          <w:color w:val="auto"/>
          <w:sz w:val="21"/>
          <w:szCs w:val="21"/>
          <w:u w:val="single"/>
        </w:rPr>
        <w:t xml:space="preserve">  </w:t>
      </w:r>
      <w:r>
        <w:rPr>
          <w:rFonts w:hint="eastAsia" w:ascii="宋体" w:hAnsi="宋体"/>
          <w:color w:val="auto"/>
          <w:sz w:val="21"/>
          <w:szCs w:val="21"/>
        </w:rPr>
        <w:t>日发出中选通知书，本保函作为贵方将与</w:t>
      </w:r>
      <w:r>
        <w:rPr>
          <w:rFonts w:hint="eastAsia" w:ascii="宋体" w:hAnsi="宋体"/>
          <w:color w:val="auto"/>
          <w:sz w:val="21"/>
          <w:szCs w:val="21"/>
          <w:u w:val="single"/>
        </w:rPr>
        <w:t xml:space="preserve">   （乙方名称） </w:t>
      </w:r>
      <w:r>
        <w:rPr>
          <w:rFonts w:hint="eastAsia" w:ascii="宋体" w:hAnsi="宋体"/>
          <w:color w:val="auto"/>
          <w:sz w:val="21"/>
          <w:szCs w:val="21"/>
        </w:rPr>
        <w:t>（以下简称“乙方”）签订的</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r>
        <w:rPr>
          <w:rFonts w:hint="eastAsia" w:ascii="宋体" w:hAnsi="宋体"/>
          <w:color w:val="auto"/>
          <w:sz w:val="21"/>
          <w:szCs w:val="21"/>
        </w:rPr>
        <w:t>以下简称“本项目”）合同（中选价格￥</w:t>
      </w:r>
      <w:r>
        <w:rPr>
          <w:rFonts w:hint="eastAsia" w:ascii="宋体" w:hAnsi="宋体"/>
          <w:color w:val="auto"/>
          <w:sz w:val="21"/>
          <w:szCs w:val="21"/>
          <w:u w:val="single"/>
        </w:rPr>
        <w:t xml:space="preserve">   </w:t>
      </w:r>
      <w:r>
        <w:rPr>
          <w:rFonts w:hint="eastAsia" w:ascii="宋体" w:hAnsi="宋体"/>
          <w:color w:val="auto"/>
          <w:sz w:val="21"/>
          <w:szCs w:val="21"/>
        </w:rPr>
        <w:t>元，大写：</w:t>
      </w:r>
      <w:r>
        <w:rPr>
          <w:rFonts w:hint="eastAsia" w:ascii="宋体" w:hAnsi="宋体"/>
          <w:color w:val="auto"/>
          <w:sz w:val="21"/>
          <w:szCs w:val="21"/>
          <w:u w:val="single"/>
        </w:rPr>
        <w:t xml:space="preserve">      </w:t>
      </w:r>
      <w:r>
        <w:rPr>
          <w:rFonts w:hint="eastAsia" w:ascii="宋体" w:hAnsi="宋体"/>
          <w:color w:val="auto"/>
          <w:sz w:val="21"/>
          <w:szCs w:val="21"/>
        </w:rPr>
        <w:t>元）的银行保函。</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1"/>
          <w:szCs w:val="21"/>
        </w:rPr>
      </w:pPr>
      <w:r>
        <w:rPr>
          <w:rFonts w:hint="eastAsia" w:ascii="宋体" w:hAnsi="宋体"/>
          <w:color w:val="auto"/>
          <w:sz w:val="21"/>
          <w:szCs w:val="21"/>
        </w:rPr>
        <w:t>我方</w:t>
      </w:r>
      <w:r>
        <w:rPr>
          <w:rFonts w:hint="eastAsia" w:ascii="宋体" w:hAnsi="宋体"/>
          <w:color w:val="auto"/>
          <w:sz w:val="21"/>
          <w:szCs w:val="21"/>
          <w:u w:val="single"/>
        </w:rPr>
        <w:t>（担保人名称    ）</w:t>
      </w:r>
      <w:r>
        <w:rPr>
          <w:rFonts w:hint="eastAsia" w:ascii="宋体" w:hAnsi="宋体"/>
          <w:color w:val="auto"/>
          <w:sz w:val="21"/>
          <w:szCs w:val="21"/>
        </w:rPr>
        <w:t>，受该乙方委托，为该乙方履行上述合同规定的义务做出如下无条件地和不可撤销的保证：</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1"/>
          <w:szCs w:val="21"/>
        </w:rPr>
      </w:pPr>
      <w:r>
        <w:rPr>
          <w:rFonts w:hint="eastAsia" w:ascii="宋体" w:hAnsi="宋体"/>
          <w:color w:val="auto"/>
          <w:sz w:val="21"/>
          <w:szCs w:val="21"/>
        </w:rPr>
        <w:t>我方在收到贵方提出要求支付保证金的通知时，无须提出任何证明或证据，将于7日内无条件地和不可改变地向贵方支付不超过人民币元（大写：</w:t>
      </w:r>
      <w:r>
        <w:rPr>
          <w:rFonts w:ascii="宋体" w:hAnsi="宋体"/>
          <w:color w:val="auto"/>
          <w:sz w:val="21"/>
          <w:szCs w:val="21"/>
          <w:u w:val="single"/>
        </w:rPr>
        <w:t xml:space="preserve">   </w:t>
      </w:r>
      <w:r>
        <w:rPr>
          <w:rFonts w:hint="eastAsia" w:ascii="宋体" w:hAnsi="宋体"/>
          <w:color w:val="auto"/>
          <w:sz w:val="21"/>
          <w:szCs w:val="21"/>
        </w:rPr>
        <w:t>）的任何要求金额，我方不要求贵方证实其在索赔要求中指出的违约情况。</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1"/>
          <w:szCs w:val="21"/>
        </w:rPr>
      </w:pPr>
      <w:r>
        <w:rPr>
          <w:rFonts w:hint="eastAsia" w:ascii="宋体" w:hAnsi="宋体"/>
          <w:color w:val="auto"/>
          <w:sz w:val="21"/>
          <w:szCs w:val="21"/>
        </w:rPr>
        <w:t>我方同意，任何贵方与乙方之间可能对合同的修改、变更或补充，或由乙方原因导致合同解除、终止，都不能减少和免除我方按本保函所承担的责任。有关修改、变更或补充无须通知我方。</w:t>
      </w:r>
    </w:p>
    <w:p>
      <w:pPr>
        <w:keepNext w:val="0"/>
        <w:keepLines w:val="0"/>
        <w:pageBreakBefore w:val="0"/>
        <w:widowControl w:val="0"/>
        <w:kinsoku/>
        <w:wordWrap/>
        <w:overflowPunct/>
        <w:topLinePunct w:val="0"/>
        <w:autoSpaceDE w:val="0"/>
        <w:autoSpaceDN w:val="0"/>
        <w:bidi w:val="0"/>
        <w:adjustRightInd/>
        <w:snapToGrid/>
        <w:spacing w:before="0" w:afterAutospacing="0" w:line="360" w:lineRule="auto"/>
        <w:ind w:right="0" w:firstLine="198"/>
        <w:jc w:val="left"/>
        <w:textAlignment w:val="auto"/>
        <w:rPr>
          <w:rFonts w:ascii="宋体" w:hAnsi="宋体"/>
          <w:color w:val="auto"/>
          <w:sz w:val="21"/>
          <w:szCs w:val="21"/>
        </w:rPr>
      </w:pPr>
      <w:r>
        <w:rPr>
          <w:rFonts w:hint="eastAsia" w:ascii="宋体" w:hAnsi="宋体"/>
          <w:color w:val="auto"/>
          <w:sz w:val="21"/>
          <w:szCs w:val="21"/>
        </w:rPr>
        <w:t>本保函项下所有权利和义务均适用于中华人民共和国法律。</w:t>
      </w:r>
    </w:p>
    <w:p>
      <w:pPr>
        <w:keepNext w:val="0"/>
        <w:keepLines w:val="0"/>
        <w:pageBreakBefore w:val="0"/>
        <w:widowControl w:val="0"/>
        <w:kinsoku/>
        <w:wordWrap/>
        <w:overflowPunct/>
        <w:topLinePunct w:val="0"/>
        <w:autoSpaceDE w:val="0"/>
        <w:autoSpaceDN w:val="0"/>
        <w:bidi w:val="0"/>
        <w:adjustRightInd/>
        <w:snapToGrid/>
        <w:spacing w:before="0" w:afterAutospacing="0" w:line="360" w:lineRule="auto"/>
        <w:ind w:right="-57" w:firstLine="198"/>
        <w:jc w:val="left"/>
        <w:textAlignment w:val="auto"/>
        <w:rPr>
          <w:rFonts w:ascii="宋体" w:hAnsi="宋体"/>
          <w:color w:val="auto"/>
          <w:sz w:val="21"/>
          <w:szCs w:val="21"/>
        </w:rPr>
      </w:pPr>
      <w:r>
        <w:rPr>
          <w:rFonts w:hint="eastAsia" w:ascii="宋体" w:hAnsi="宋体"/>
          <w:color w:val="auto"/>
          <w:sz w:val="21"/>
          <w:szCs w:val="21"/>
        </w:rPr>
        <w:t>1、本保函自</w:t>
      </w:r>
      <w:r>
        <w:rPr>
          <w:rFonts w:hint="eastAsia" w:ascii="宋体" w:hAnsi="宋体"/>
          <w:color w:val="auto"/>
          <w:sz w:val="21"/>
          <w:szCs w:val="21"/>
          <w:u w:val="single"/>
        </w:rPr>
        <w:t>X年X月X日</w:t>
      </w:r>
      <w:r>
        <w:rPr>
          <w:rFonts w:hint="eastAsia" w:ascii="宋体" w:hAnsi="宋体"/>
          <w:color w:val="auto"/>
          <w:sz w:val="21"/>
          <w:szCs w:val="21"/>
        </w:rPr>
        <w:t>起生效，至</w:t>
      </w:r>
      <w:r>
        <w:rPr>
          <w:rFonts w:hint="eastAsia" w:ascii="宋体" w:hAnsi="宋体"/>
          <w:color w:val="auto"/>
          <w:sz w:val="21"/>
          <w:szCs w:val="21"/>
          <w:u w:val="single"/>
        </w:rPr>
        <w:t>全部货物验收合格之日后四十五（45）天一直</w:t>
      </w:r>
      <w:r>
        <w:rPr>
          <w:rFonts w:hint="eastAsia" w:ascii="宋体" w:hAnsi="宋体" w:cs="Arial"/>
          <w:color w:val="auto"/>
          <w:sz w:val="21"/>
          <w:szCs w:val="21"/>
        </w:rPr>
        <w:t>有效</w:t>
      </w:r>
      <w:r>
        <w:rPr>
          <w:rFonts w:hint="eastAsia" w:ascii="宋体" w:hAnsi="宋体"/>
          <w:color w:val="auto"/>
          <w:sz w:val="21"/>
          <w:szCs w:val="21"/>
        </w:rPr>
        <w:t>，你方有权提前终止或解除本保函。保函失效后请将本保函退回我方注销。</w:t>
      </w:r>
    </w:p>
    <w:p>
      <w:pPr>
        <w:keepNext w:val="0"/>
        <w:keepLines w:val="0"/>
        <w:pageBreakBefore w:val="0"/>
        <w:widowControl w:val="0"/>
        <w:kinsoku/>
        <w:wordWrap/>
        <w:overflowPunct/>
        <w:topLinePunct w:val="0"/>
        <w:autoSpaceDE w:val="0"/>
        <w:autoSpaceDN w:val="0"/>
        <w:bidi w:val="0"/>
        <w:adjustRightInd/>
        <w:snapToGrid/>
        <w:spacing w:before="0" w:afterAutospacing="0" w:line="360" w:lineRule="auto"/>
        <w:ind w:right="-57" w:firstLine="198"/>
        <w:jc w:val="left"/>
        <w:textAlignment w:val="auto"/>
        <w:rPr>
          <w:rFonts w:ascii="宋体" w:hAnsi="宋体"/>
          <w:color w:val="auto"/>
          <w:sz w:val="21"/>
          <w:szCs w:val="21"/>
        </w:rPr>
      </w:pPr>
      <w:r>
        <w:rPr>
          <w:rFonts w:hint="eastAsia" w:ascii="宋体" w:hAnsi="宋体"/>
          <w:color w:val="auto"/>
          <w:sz w:val="21"/>
          <w:szCs w:val="21"/>
        </w:rPr>
        <w:t>2、本保函自</w:t>
      </w:r>
      <w:r>
        <w:rPr>
          <w:rFonts w:hint="eastAsia" w:ascii="宋体" w:hAnsi="宋体"/>
          <w:color w:val="auto"/>
          <w:sz w:val="21"/>
          <w:szCs w:val="21"/>
          <w:u w:val="single"/>
        </w:rPr>
        <w:t>X年X月X日</w:t>
      </w:r>
      <w:r>
        <w:rPr>
          <w:rFonts w:hint="eastAsia" w:ascii="宋体" w:hAnsi="宋体"/>
          <w:color w:val="auto"/>
          <w:sz w:val="21"/>
          <w:szCs w:val="21"/>
        </w:rPr>
        <w:t>起生效，至</w:t>
      </w:r>
      <w:r>
        <w:rPr>
          <w:rFonts w:hint="eastAsia" w:ascii="宋体" w:hAnsi="宋体"/>
          <w:color w:val="auto"/>
          <w:sz w:val="21"/>
          <w:szCs w:val="21"/>
          <w:u w:val="single"/>
        </w:rPr>
        <w:t>X年X月X日</w:t>
      </w:r>
      <w:r>
        <w:rPr>
          <w:rFonts w:hint="eastAsia" w:ascii="宋体" w:hAnsi="宋体" w:cs="Arial"/>
          <w:color w:val="auto"/>
          <w:sz w:val="21"/>
          <w:szCs w:val="21"/>
        </w:rPr>
        <w:t>一直有效，</w:t>
      </w:r>
      <w:r>
        <w:rPr>
          <w:rFonts w:hint="eastAsia" w:ascii="宋体" w:hAnsi="宋体"/>
          <w:color w:val="auto"/>
          <w:sz w:val="21"/>
          <w:szCs w:val="21"/>
        </w:rPr>
        <w:t>你方有权提前终止或解除本保函。保函失效后请将本保函退回我方注销。</w:t>
      </w:r>
    </w:p>
    <w:p>
      <w:pPr>
        <w:keepNext w:val="0"/>
        <w:keepLines w:val="0"/>
        <w:pageBreakBefore w:val="0"/>
        <w:widowControl w:val="0"/>
        <w:kinsoku/>
        <w:wordWrap/>
        <w:overflowPunct/>
        <w:topLinePunct w:val="0"/>
        <w:bidi w:val="0"/>
        <w:adjustRightInd/>
        <w:snapToGrid/>
        <w:spacing w:afterAutospacing="0" w:line="360" w:lineRule="auto"/>
        <w:ind w:right="-57" w:firstLine="200"/>
        <w:textAlignment w:val="auto"/>
        <w:rPr>
          <w:rFonts w:ascii="宋体" w:hAnsi="宋体"/>
          <w:color w:val="auto"/>
          <w:sz w:val="21"/>
          <w:szCs w:val="21"/>
        </w:rPr>
      </w:pPr>
      <w:r>
        <w:rPr>
          <w:rFonts w:hint="eastAsia" w:ascii="宋体" w:hAnsi="宋体"/>
          <w:b/>
          <w:i/>
          <w:color w:val="auto"/>
          <w:sz w:val="21"/>
          <w:szCs w:val="21"/>
        </w:rPr>
        <w:t>（开具保函时，以上二种方式，任选一种。）</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s="Arial"/>
          <w:color w:val="auto"/>
          <w:sz w:val="21"/>
          <w:szCs w:val="21"/>
        </w:rPr>
      </w:pPr>
      <w:r>
        <w:rPr>
          <w:rFonts w:hint="eastAsia" w:ascii="宋体" w:hAnsi="宋体"/>
          <w:color w:val="auto"/>
          <w:sz w:val="21"/>
          <w:szCs w:val="21"/>
        </w:rPr>
        <w:t>银行地址：</w:t>
      </w:r>
      <w:r>
        <w:rPr>
          <w:rFonts w:hint="eastAsia" w:ascii="宋体" w:hAnsi="宋体"/>
          <w:color w:val="auto"/>
          <w:sz w:val="21"/>
          <w:szCs w:val="21"/>
          <w:u w:val="single"/>
        </w:rPr>
        <w:t xml:space="preserve">          </w:t>
      </w:r>
      <w:r>
        <w:rPr>
          <w:rFonts w:hint="eastAsia" w:ascii="宋体" w:hAnsi="宋体"/>
          <w:color w:val="auto"/>
          <w:sz w:val="21"/>
          <w:szCs w:val="21"/>
        </w:rPr>
        <w:t xml:space="preserve">    担保银行：</w:t>
      </w:r>
      <w:r>
        <w:rPr>
          <w:rFonts w:hint="eastAsia" w:ascii="宋体" w:hAnsi="宋体"/>
          <w:color w:val="auto"/>
          <w:sz w:val="21"/>
          <w:szCs w:val="21"/>
          <w:u w:val="single"/>
        </w:rPr>
        <w:t xml:space="preserve">（全称）    </w:t>
      </w:r>
      <w:r>
        <w:rPr>
          <w:rFonts w:hint="eastAsia" w:ascii="宋体" w:hAnsi="宋体"/>
          <w:color w:val="auto"/>
          <w:sz w:val="21"/>
          <w:szCs w:val="21"/>
        </w:rPr>
        <w:t>(盖章)</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olor w:val="auto"/>
          <w:sz w:val="21"/>
          <w:szCs w:val="21"/>
        </w:rPr>
      </w:pPr>
      <w:r>
        <w:rPr>
          <w:rFonts w:hint="eastAsia" w:ascii="宋体" w:hAnsi="宋体"/>
          <w:color w:val="auto"/>
          <w:sz w:val="21"/>
          <w:szCs w:val="21"/>
        </w:rPr>
        <w:t>邮编：</w:t>
      </w:r>
      <w:r>
        <w:rPr>
          <w:rFonts w:hint="eastAsia" w:ascii="宋体" w:hAnsi="宋体"/>
          <w:color w:val="auto"/>
          <w:sz w:val="21"/>
          <w:szCs w:val="21"/>
          <w:u w:val="single"/>
        </w:rPr>
        <w:t xml:space="preserve">                 </w:t>
      </w:r>
      <w:r>
        <w:rPr>
          <w:rFonts w:hint="eastAsia" w:ascii="宋体" w:hAnsi="宋体"/>
          <w:color w:val="auto"/>
          <w:sz w:val="21"/>
          <w:szCs w:val="21"/>
        </w:rPr>
        <w:t xml:space="preserve">   法定代表人或（授权代理人）：</w:t>
      </w:r>
      <w:r>
        <w:rPr>
          <w:rFonts w:hint="eastAsia" w:ascii="宋体" w:hAnsi="宋体"/>
          <w:color w:val="auto"/>
          <w:sz w:val="21"/>
          <w:szCs w:val="21"/>
          <w:u w:val="single"/>
        </w:rPr>
        <w:t xml:space="preserve">               </w:t>
      </w:r>
      <w:r>
        <w:rPr>
          <w:rFonts w:hint="eastAsia" w:ascii="宋体" w:hAnsi="宋体"/>
          <w:color w:val="auto"/>
          <w:sz w:val="21"/>
          <w:szCs w:val="21"/>
        </w:rPr>
        <w:t>(签字)</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olor w:val="auto"/>
          <w:sz w:val="21"/>
          <w:szCs w:val="21"/>
          <w:u w:val="single"/>
        </w:rPr>
      </w:pPr>
      <w:r>
        <w:rPr>
          <w:rFonts w:hint="eastAsia" w:ascii="宋体" w:hAnsi="宋体"/>
          <w:color w:val="auto"/>
          <w:sz w:val="21"/>
          <w:szCs w:val="21"/>
        </w:rPr>
        <w:t>电话：</w:t>
      </w:r>
      <w:r>
        <w:rPr>
          <w:rFonts w:hint="eastAsia" w:ascii="宋体" w:hAnsi="宋体"/>
          <w:color w:val="auto"/>
          <w:sz w:val="21"/>
          <w:szCs w:val="21"/>
          <w:u w:val="single"/>
        </w:rPr>
        <w:t>（职务）   （姓名）  （签字）</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olor w:val="auto"/>
          <w:sz w:val="21"/>
          <w:szCs w:val="21"/>
        </w:rPr>
      </w:pPr>
      <w:r>
        <w:rPr>
          <w:rFonts w:hint="eastAsia" w:ascii="宋体" w:hAnsi="宋体"/>
          <w:color w:val="auto"/>
          <w:sz w:val="21"/>
          <w:szCs w:val="21"/>
        </w:rPr>
        <w:t>传真：</w:t>
      </w:r>
      <w:r>
        <w:rPr>
          <w:rFonts w:hint="eastAsia" w:ascii="宋体" w:hAnsi="宋体"/>
          <w:color w:val="auto"/>
          <w:sz w:val="21"/>
          <w:szCs w:val="21"/>
          <w:u w:val="single"/>
        </w:rPr>
        <w:t xml:space="preserve">                </w:t>
      </w:r>
      <w:r>
        <w:rPr>
          <w:rFonts w:hint="eastAsia" w:ascii="宋体" w:hAnsi="宋体"/>
          <w:color w:val="auto"/>
          <w:sz w:val="21"/>
          <w:szCs w:val="21"/>
        </w:rPr>
        <w:t xml:space="preserve">           日期：</w:t>
      </w:r>
      <w:r>
        <w:rPr>
          <w:rFonts w:hint="eastAsia" w:ascii="宋体" w:hAnsi="宋体"/>
          <w:color w:val="auto"/>
          <w:sz w:val="21"/>
          <w:szCs w:val="21"/>
          <w:u w:val="single"/>
        </w:rPr>
        <w:t xml:space="preserve">     </w:t>
      </w:r>
      <w:r>
        <w:rPr>
          <w:rFonts w:hint="eastAsia" w:ascii="宋体" w:hAnsi="宋体"/>
          <w:color w:val="auto"/>
          <w:sz w:val="21"/>
          <w:szCs w:val="21"/>
        </w:rPr>
        <w:t>年</w:t>
      </w:r>
      <w:r>
        <w:rPr>
          <w:rFonts w:hint="eastAsia" w:ascii="宋体" w:hAnsi="宋体"/>
          <w:color w:val="auto"/>
          <w:sz w:val="21"/>
          <w:szCs w:val="21"/>
          <w:u w:val="single"/>
        </w:rPr>
        <w:t xml:space="preserve">    </w:t>
      </w:r>
      <w:r>
        <w:rPr>
          <w:rFonts w:hint="eastAsia" w:ascii="宋体" w:hAnsi="宋体"/>
          <w:color w:val="auto"/>
          <w:sz w:val="21"/>
          <w:szCs w:val="21"/>
        </w:rPr>
        <w:t>月</w:t>
      </w:r>
      <w:r>
        <w:rPr>
          <w:rFonts w:hint="eastAsia" w:ascii="宋体" w:hAnsi="宋体"/>
          <w:color w:val="auto"/>
          <w:sz w:val="21"/>
          <w:szCs w:val="21"/>
          <w:u w:val="single"/>
        </w:rPr>
        <w:t xml:space="preserve">    </w:t>
      </w:r>
      <w:r>
        <w:rPr>
          <w:rFonts w:hint="eastAsia" w:ascii="宋体" w:hAnsi="宋体"/>
          <w:color w:val="auto"/>
          <w:sz w:val="21"/>
          <w:szCs w:val="21"/>
        </w:rPr>
        <w:t>日</w:t>
      </w:r>
    </w:p>
    <w:p>
      <w:pPr>
        <w:spacing w:afterAutospacing="0"/>
        <w:ind w:right="-57"/>
        <w:rPr>
          <w:rFonts w:ascii="宋体" w:hAnsi="宋体"/>
          <w:color w:val="auto"/>
          <w:sz w:val="21"/>
          <w:szCs w:val="21"/>
        </w:rPr>
      </w:pPr>
    </w:p>
    <w:p>
      <w:pPr>
        <w:rPr>
          <w:color w:val="auto"/>
          <w:sz w:val="21"/>
          <w:szCs w:val="21"/>
        </w:rPr>
      </w:pPr>
      <w:r>
        <w:rPr>
          <w:rFonts w:ascii="宋体" w:hAnsi="宋体"/>
          <w:b/>
          <w:color w:val="auto"/>
          <w:sz w:val="21"/>
          <w:szCs w:val="21"/>
        </w:rPr>
        <w:br w:type="page"/>
      </w:r>
    </w:p>
    <w:p>
      <w:pPr>
        <w:ind w:right="-57"/>
        <w:jc w:val="center"/>
        <w:rPr>
          <w:rFonts w:ascii="宋体" w:hAnsi="宋体"/>
          <w:b/>
          <w:color w:val="auto"/>
          <w:sz w:val="21"/>
          <w:szCs w:val="21"/>
        </w:rPr>
      </w:pPr>
      <w:r>
        <w:rPr>
          <w:rFonts w:hint="eastAsia" w:ascii="宋体" w:hAnsi="宋体"/>
          <w:b/>
          <w:color w:val="auto"/>
          <w:sz w:val="21"/>
          <w:szCs w:val="21"/>
          <w:lang w:val="en-US" w:eastAsia="zh-CN"/>
        </w:rPr>
        <w:t>八、</w:t>
      </w:r>
      <w:r>
        <w:rPr>
          <w:rFonts w:hint="eastAsia" w:ascii="宋体" w:hAnsi="宋体"/>
          <w:b/>
          <w:color w:val="auto"/>
          <w:sz w:val="21"/>
          <w:szCs w:val="21"/>
        </w:rPr>
        <w:t>承诺函（中选后提供）</w:t>
      </w:r>
    </w:p>
    <w:p>
      <w:pPr>
        <w:ind w:right="-57"/>
        <w:rPr>
          <w:rFonts w:ascii="宋体" w:hAnsi="宋体"/>
          <w:color w:val="auto"/>
          <w:sz w:val="21"/>
          <w:szCs w:val="21"/>
        </w:rPr>
      </w:pPr>
    </w:p>
    <w:p>
      <w:pPr>
        <w:spacing w:line="480" w:lineRule="auto"/>
        <w:ind w:right="-57"/>
        <w:rPr>
          <w:rFonts w:ascii="宋体" w:hAnsi="宋体"/>
          <w:color w:val="auto"/>
          <w:sz w:val="21"/>
          <w:szCs w:val="21"/>
        </w:rPr>
      </w:pPr>
      <w:r>
        <w:rPr>
          <w:rFonts w:hint="eastAsia" w:ascii="宋体" w:hAnsi="宋体"/>
          <w:color w:val="auto"/>
          <w:sz w:val="21"/>
          <w:szCs w:val="21"/>
        </w:rPr>
        <w:t>南宁轨道交通运营有限公司：</w:t>
      </w:r>
    </w:p>
    <w:p>
      <w:pPr>
        <w:spacing w:line="480" w:lineRule="auto"/>
        <w:ind w:right="-57" w:firstLine="200"/>
        <w:rPr>
          <w:rFonts w:ascii="宋体" w:hAnsi="宋体"/>
          <w:color w:val="auto"/>
          <w:sz w:val="21"/>
          <w:szCs w:val="21"/>
        </w:rPr>
      </w:pPr>
      <w:r>
        <w:rPr>
          <w:rFonts w:hint="eastAsia" w:ascii="宋体" w:hAnsi="宋体"/>
          <w:color w:val="auto"/>
          <w:sz w:val="21"/>
          <w:szCs w:val="21"/>
        </w:rPr>
        <w:t>（以下称“本公司”）现已中选贵司询比价的</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r>
        <w:rPr>
          <w:rFonts w:hint="eastAsia" w:ascii="宋体" w:hAnsi="宋体"/>
          <w:color w:val="auto"/>
          <w:sz w:val="21"/>
          <w:szCs w:val="21"/>
        </w:rPr>
        <w:t>，并拟签订正式合同，按合同规定需向贵司提供一份履约担保金额为人民币：</w:t>
      </w:r>
      <w:r>
        <w:rPr>
          <w:rFonts w:hint="eastAsia" w:ascii="宋体" w:hAnsi="宋体"/>
          <w:color w:val="auto"/>
          <w:sz w:val="21"/>
          <w:szCs w:val="21"/>
          <w:u w:val="single"/>
        </w:rPr>
        <w:t xml:space="preserve">         （￥   </w:t>
      </w:r>
      <w:r>
        <w:rPr>
          <w:rFonts w:hint="eastAsia" w:ascii="宋体" w:hAnsi="宋体"/>
          <w:color w:val="auto"/>
          <w:sz w:val="21"/>
          <w:szCs w:val="21"/>
        </w:rPr>
        <w:t>）的银行保函（保函编号：</w:t>
      </w:r>
      <w:r>
        <w:rPr>
          <w:rFonts w:ascii="宋体" w:hAnsi="宋体"/>
          <w:color w:val="auto"/>
          <w:sz w:val="21"/>
          <w:szCs w:val="21"/>
          <w:u w:val="single"/>
        </w:rPr>
        <w:t xml:space="preserve">        </w:t>
      </w:r>
      <w:r>
        <w:rPr>
          <w:rFonts w:hint="eastAsia" w:ascii="宋体" w:hAnsi="宋体"/>
          <w:color w:val="auto"/>
          <w:sz w:val="21"/>
          <w:szCs w:val="21"/>
        </w:rPr>
        <w:t>），有效期至X年X月X日。</w:t>
      </w:r>
    </w:p>
    <w:p>
      <w:pPr>
        <w:spacing w:line="480" w:lineRule="auto"/>
        <w:ind w:right="-57" w:firstLine="200"/>
        <w:rPr>
          <w:rFonts w:ascii="宋体" w:hAnsi="宋体"/>
          <w:color w:val="auto"/>
          <w:sz w:val="21"/>
          <w:szCs w:val="21"/>
        </w:rPr>
      </w:pPr>
      <w:r>
        <w:rPr>
          <w:rFonts w:hint="eastAsia" w:ascii="宋体" w:hAnsi="宋体"/>
          <w:color w:val="auto"/>
          <w:sz w:val="21"/>
          <w:szCs w:val="21"/>
        </w:rPr>
        <w:t>本公司现向贵司郑重承诺，如上述保函到期日仍未到合同约定的时间（</w:t>
      </w:r>
      <w:r>
        <w:rPr>
          <w:rFonts w:hint="eastAsia" w:ascii="宋体" w:hAnsi="宋体"/>
          <w:color w:val="auto"/>
          <w:sz w:val="21"/>
          <w:szCs w:val="21"/>
          <w:u w:val="single"/>
        </w:rPr>
        <w:t>全部货物验收合格之日后四十五（45）天</w:t>
      </w:r>
      <w:r>
        <w:rPr>
          <w:rFonts w:hint="eastAsia" w:ascii="宋体" w:hAnsi="宋体"/>
          <w:color w:val="auto"/>
          <w:sz w:val="21"/>
          <w:szCs w:val="21"/>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sz w:val="21"/>
          <w:szCs w:val="21"/>
        </w:rPr>
      </w:pPr>
      <w:r>
        <w:rPr>
          <w:rFonts w:hint="eastAsia" w:ascii="宋体" w:hAnsi="宋体"/>
          <w:color w:val="auto"/>
          <w:sz w:val="21"/>
          <w:szCs w:val="21"/>
        </w:rPr>
        <w:t>特此承诺</w:t>
      </w:r>
    </w:p>
    <w:p>
      <w:pPr>
        <w:ind w:right="-57" w:firstLine="420"/>
        <w:rPr>
          <w:rFonts w:ascii="宋体" w:hAnsi="宋体"/>
          <w:color w:val="auto"/>
          <w:sz w:val="21"/>
          <w:szCs w:val="21"/>
        </w:rPr>
      </w:pPr>
    </w:p>
    <w:p>
      <w:pPr>
        <w:ind w:left="5040" w:right="-57" w:hanging="4935"/>
        <w:rPr>
          <w:rFonts w:ascii="宋体" w:hAnsi="宋体"/>
          <w:color w:val="auto"/>
          <w:sz w:val="21"/>
          <w:szCs w:val="21"/>
        </w:rPr>
      </w:pPr>
      <w:r>
        <w:rPr>
          <w:rFonts w:hint="eastAsia" w:ascii="宋体" w:hAnsi="宋体"/>
          <w:color w:val="auto"/>
          <w:sz w:val="21"/>
          <w:szCs w:val="21"/>
        </w:rPr>
        <w:t xml:space="preserve">                                                                                     承诺人：</w:t>
      </w:r>
    </w:p>
    <w:p>
      <w:pPr>
        <w:ind w:left="4935" w:right="-57" w:hanging="4830"/>
        <w:rPr>
          <w:rFonts w:ascii="宋体" w:hAnsi="宋体"/>
          <w:color w:val="auto"/>
          <w:sz w:val="21"/>
          <w:szCs w:val="21"/>
        </w:rPr>
      </w:pPr>
      <w:r>
        <w:rPr>
          <w:rFonts w:hint="eastAsia" w:ascii="宋体" w:hAnsi="宋体"/>
          <w:color w:val="auto"/>
          <w:sz w:val="21"/>
          <w:szCs w:val="21"/>
        </w:rPr>
        <w:t xml:space="preserve">                                                                                      X年X月X日</w:t>
      </w:r>
    </w:p>
    <w:p>
      <w:pPr>
        <w:ind w:right="-57"/>
        <w:rPr>
          <w:rFonts w:ascii="宋体" w:hAnsi="宋体"/>
          <w:color w:val="auto"/>
          <w:sz w:val="21"/>
          <w:szCs w:val="21"/>
        </w:rPr>
      </w:pPr>
    </w:p>
    <w:p>
      <w:pPr>
        <w:ind w:right="-57" w:firstLine="200"/>
        <w:rPr>
          <w:rFonts w:ascii="宋体" w:hAnsi="宋体"/>
          <w:b/>
          <w:i/>
          <w:color w:val="auto"/>
          <w:sz w:val="21"/>
          <w:szCs w:val="21"/>
        </w:rPr>
      </w:pPr>
    </w:p>
    <w:p>
      <w:pPr>
        <w:pStyle w:val="2"/>
        <w:rPr>
          <w:sz w:val="21"/>
          <w:szCs w:val="21"/>
        </w:rPr>
      </w:pPr>
    </w:p>
    <w:p>
      <w:pPr>
        <w:ind w:right="-57" w:firstLine="200"/>
        <w:rPr>
          <w:rFonts w:ascii="宋体" w:hAnsi="宋体"/>
          <w:b/>
          <w:i/>
          <w:color w:val="auto"/>
          <w:sz w:val="21"/>
          <w:szCs w:val="21"/>
        </w:rPr>
      </w:pPr>
      <w:r>
        <w:rPr>
          <w:rFonts w:hint="eastAsia" w:ascii="宋体" w:hAnsi="宋体"/>
          <w:b/>
          <w:i/>
          <w:color w:val="auto"/>
          <w:sz w:val="21"/>
          <w:szCs w:val="21"/>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019508376"/>
      </w:sdtPr>
      <w:sdtContent>
        <w:r>
          <w:fldChar w:fldCharType="begin"/>
        </w:r>
        <w:r>
          <w:instrText xml:space="preserve">PAGE   \* MERGEFORMAT</w:instrText>
        </w:r>
        <w:r>
          <w:fldChar w:fldCharType="separate"/>
        </w:r>
        <w:r>
          <w:rPr>
            <w:lang w:val="zh-CN"/>
          </w:rPr>
          <w:t>2</w:t>
        </w:r>
        <w:r>
          <w:rPr>
            <w:lang w:val="zh-CN"/>
          </w:rPr>
          <w:fldChar w:fldCharType="end"/>
        </w:r>
      </w:sdtContent>
    </w:sdt>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019508376"/>
      </w:sdtPr>
      <w:sdtContent>
        <w:r>
          <w:fldChar w:fldCharType="begin"/>
        </w:r>
        <w:r>
          <w:instrText xml:space="preserve">PAGE   \* MERGEFORMAT</w:instrText>
        </w:r>
        <w:r>
          <w:fldChar w:fldCharType="separate"/>
        </w:r>
        <w:r>
          <w:rPr>
            <w:lang w:val="zh-CN"/>
          </w:rPr>
          <w:t>2</w:t>
        </w:r>
        <w:r>
          <w:rPr>
            <w:lang w:val="zh-CN"/>
          </w:rPr>
          <w:fldChar w:fldCharType="end"/>
        </w:r>
      </w:sdtContent>
    </w:sdt>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20F31"/>
    <w:multiLevelType w:val="singleLevel"/>
    <w:tmpl w:val="B4520F31"/>
    <w:lvl w:ilvl="0" w:tentative="0">
      <w:start w:val="4"/>
      <w:numFmt w:val="chineseCounting"/>
      <w:suff w:val="nothing"/>
      <w:lvlText w:val="%1、"/>
      <w:lvlJc w:val="left"/>
      <w:rPr>
        <w:rFonts w:hint="eastAsia"/>
      </w:rPr>
    </w:lvl>
  </w:abstractNum>
  <w:abstractNum w:abstractNumId="1">
    <w:nsid w:val="12C793BC"/>
    <w:multiLevelType w:val="singleLevel"/>
    <w:tmpl w:val="12C793BC"/>
    <w:lvl w:ilvl="0" w:tentative="0">
      <w:start w:val="8"/>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c1ZjNhMjk0MGM3ZTAyYWExN2RmN2NmOGFhMmFkZDIifQ=="/>
  </w:docVars>
  <w:rsids>
    <w:rsidRoot w:val="003F3E1E"/>
    <w:rsid w:val="00060B52"/>
    <w:rsid w:val="00063B89"/>
    <w:rsid w:val="00065BCC"/>
    <w:rsid w:val="000B447D"/>
    <w:rsid w:val="00140625"/>
    <w:rsid w:val="001B3B93"/>
    <w:rsid w:val="001C6616"/>
    <w:rsid w:val="001E256D"/>
    <w:rsid w:val="002130FE"/>
    <w:rsid w:val="002F3729"/>
    <w:rsid w:val="00313777"/>
    <w:rsid w:val="00332CC6"/>
    <w:rsid w:val="0037659A"/>
    <w:rsid w:val="003E271E"/>
    <w:rsid w:val="003F3E1E"/>
    <w:rsid w:val="004958DF"/>
    <w:rsid w:val="005855AD"/>
    <w:rsid w:val="005B73EE"/>
    <w:rsid w:val="005E5004"/>
    <w:rsid w:val="005F7EC2"/>
    <w:rsid w:val="007F07C3"/>
    <w:rsid w:val="008848BA"/>
    <w:rsid w:val="0091394C"/>
    <w:rsid w:val="009A7708"/>
    <w:rsid w:val="009D5762"/>
    <w:rsid w:val="009E2643"/>
    <w:rsid w:val="00A8685B"/>
    <w:rsid w:val="00AF191B"/>
    <w:rsid w:val="00AF7340"/>
    <w:rsid w:val="00B207A9"/>
    <w:rsid w:val="00B458D7"/>
    <w:rsid w:val="00C0702E"/>
    <w:rsid w:val="00C109DB"/>
    <w:rsid w:val="00C60E49"/>
    <w:rsid w:val="00C930C8"/>
    <w:rsid w:val="00C96B3A"/>
    <w:rsid w:val="00CB5159"/>
    <w:rsid w:val="00D23A13"/>
    <w:rsid w:val="00DB22B8"/>
    <w:rsid w:val="00E957D2"/>
    <w:rsid w:val="00EE5F0C"/>
    <w:rsid w:val="00EF27DF"/>
    <w:rsid w:val="00F64131"/>
    <w:rsid w:val="00FC3CEA"/>
    <w:rsid w:val="00FF774F"/>
    <w:rsid w:val="011D1530"/>
    <w:rsid w:val="01753625"/>
    <w:rsid w:val="035D4E77"/>
    <w:rsid w:val="03E40F24"/>
    <w:rsid w:val="0492703B"/>
    <w:rsid w:val="05610F64"/>
    <w:rsid w:val="0568251F"/>
    <w:rsid w:val="063D4778"/>
    <w:rsid w:val="07E43635"/>
    <w:rsid w:val="0A1D0EEE"/>
    <w:rsid w:val="0A5A31B0"/>
    <w:rsid w:val="0A6E65CB"/>
    <w:rsid w:val="0B0B339B"/>
    <w:rsid w:val="0B7051A7"/>
    <w:rsid w:val="0D030AEB"/>
    <w:rsid w:val="0DA71EF2"/>
    <w:rsid w:val="0E246EB0"/>
    <w:rsid w:val="0F574350"/>
    <w:rsid w:val="109D124D"/>
    <w:rsid w:val="13A73DB5"/>
    <w:rsid w:val="16710915"/>
    <w:rsid w:val="167F10B1"/>
    <w:rsid w:val="176C49C6"/>
    <w:rsid w:val="17F83814"/>
    <w:rsid w:val="1874725A"/>
    <w:rsid w:val="194E593D"/>
    <w:rsid w:val="19E8765B"/>
    <w:rsid w:val="19F3614C"/>
    <w:rsid w:val="1A9915EA"/>
    <w:rsid w:val="1B400D01"/>
    <w:rsid w:val="1C6A4040"/>
    <w:rsid w:val="1D9A02EE"/>
    <w:rsid w:val="1DE34601"/>
    <w:rsid w:val="1E4E07F0"/>
    <w:rsid w:val="1EBF0326"/>
    <w:rsid w:val="1F35399F"/>
    <w:rsid w:val="1FCC059B"/>
    <w:rsid w:val="20163F8B"/>
    <w:rsid w:val="204E24AC"/>
    <w:rsid w:val="212E1C4A"/>
    <w:rsid w:val="212F126A"/>
    <w:rsid w:val="22362395"/>
    <w:rsid w:val="232E0C61"/>
    <w:rsid w:val="24336EE1"/>
    <w:rsid w:val="25C72F6B"/>
    <w:rsid w:val="25C960CD"/>
    <w:rsid w:val="273E04FA"/>
    <w:rsid w:val="27E31C99"/>
    <w:rsid w:val="28460B31"/>
    <w:rsid w:val="294B7BC4"/>
    <w:rsid w:val="2959109B"/>
    <w:rsid w:val="29C06629"/>
    <w:rsid w:val="2A1E4116"/>
    <w:rsid w:val="2A357DCE"/>
    <w:rsid w:val="2AAC20A1"/>
    <w:rsid w:val="2AE07C5C"/>
    <w:rsid w:val="2AF458B5"/>
    <w:rsid w:val="2C455A1B"/>
    <w:rsid w:val="2EDB3EE2"/>
    <w:rsid w:val="2F04398C"/>
    <w:rsid w:val="2F897D64"/>
    <w:rsid w:val="2FC94133"/>
    <w:rsid w:val="30337A6B"/>
    <w:rsid w:val="30361BC1"/>
    <w:rsid w:val="30BA09FB"/>
    <w:rsid w:val="30F42C80"/>
    <w:rsid w:val="314F7602"/>
    <w:rsid w:val="31E070E2"/>
    <w:rsid w:val="32150FEC"/>
    <w:rsid w:val="32671A2D"/>
    <w:rsid w:val="33F46F73"/>
    <w:rsid w:val="341C4D6B"/>
    <w:rsid w:val="34E17380"/>
    <w:rsid w:val="352B5113"/>
    <w:rsid w:val="35C36B55"/>
    <w:rsid w:val="36F71962"/>
    <w:rsid w:val="3824052A"/>
    <w:rsid w:val="389C5732"/>
    <w:rsid w:val="39160ABA"/>
    <w:rsid w:val="3B2107A9"/>
    <w:rsid w:val="3C011B82"/>
    <w:rsid w:val="3DA50504"/>
    <w:rsid w:val="3E947539"/>
    <w:rsid w:val="3F632251"/>
    <w:rsid w:val="413F4CEA"/>
    <w:rsid w:val="42216D17"/>
    <w:rsid w:val="42274CD9"/>
    <w:rsid w:val="42EF03FE"/>
    <w:rsid w:val="42F94316"/>
    <w:rsid w:val="436D210B"/>
    <w:rsid w:val="43D20AE3"/>
    <w:rsid w:val="44282C40"/>
    <w:rsid w:val="44B33421"/>
    <w:rsid w:val="44EE3667"/>
    <w:rsid w:val="465E2012"/>
    <w:rsid w:val="46F55A0C"/>
    <w:rsid w:val="48A10B9E"/>
    <w:rsid w:val="49247D32"/>
    <w:rsid w:val="49374E5C"/>
    <w:rsid w:val="49DE22BC"/>
    <w:rsid w:val="4A013479"/>
    <w:rsid w:val="4A727B8C"/>
    <w:rsid w:val="4B0E7013"/>
    <w:rsid w:val="4C0B417C"/>
    <w:rsid w:val="4C885857"/>
    <w:rsid w:val="4E4812A8"/>
    <w:rsid w:val="4EBD5D8A"/>
    <w:rsid w:val="4F493C9D"/>
    <w:rsid w:val="4FA62911"/>
    <w:rsid w:val="52876B50"/>
    <w:rsid w:val="53774A59"/>
    <w:rsid w:val="54516D07"/>
    <w:rsid w:val="54F74912"/>
    <w:rsid w:val="551E29DA"/>
    <w:rsid w:val="55BA5B77"/>
    <w:rsid w:val="55E139BB"/>
    <w:rsid w:val="5625685E"/>
    <w:rsid w:val="56331355"/>
    <w:rsid w:val="5644233B"/>
    <w:rsid w:val="573B2B57"/>
    <w:rsid w:val="574248D7"/>
    <w:rsid w:val="57B11782"/>
    <w:rsid w:val="58E7636A"/>
    <w:rsid w:val="590A7A77"/>
    <w:rsid w:val="59844187"/>
    <w:rsid w:val="5C621AD0"/>
    <w:rsid w:val="5C77220E"/>
    <w:rsid w:val="5D485299"/>
    <w:rsid w:val="5FEE51B0"/>
    <w:rsid w:val="60BD48B6"/>
    <w:rsid w:val="60E86CE0"/>
    <w:rsid w:val="611E0B77"/>
    <w:rsid w:val="615D0A51"/>
    <w:rsid w:val="61E4220B"/>
    <w:rsid w:val="624B2269"/>
    <w:rsid w:val="63994460"/>
    <w:rsid w:val="66BE68C6"/>
    <w:rsid w:val="66F20F5D"/>
    <w:rsid w:val="67777510"/>
    <w:rsid w:val="6785360C"/>
    <w:rsid w:val="685A4516"/>
    <w:rsid w:val="689327E6"/>
    <w:rsid w:val="68CE64E9"/>
    <w:rsid w:val="69A869DC"/>
    <w:rsid w:val="6AFF694B"/>
    <w:rsid w:val="6B230391"/>
    <w:rsid w:val="6B334993"/>
    <w:rsid w:val="6CA43E69"/>
    <w:rsid w:val="6CA8240E"/>
    <w:rsid w:val="6CE1049F"/>
    <w:rsid w:val="6D084151"/>
    <w:rsid w:val="6DFF2A96"/>
    <w:rsid w:val="6E3D076E"/>
    <w:rsid w:val="6E8E5FCC"/>
    <w:rsid w:val="6E962332"/>
    <w:rsid w:val="6F9C0F46"/>
    <w:rsid w:val="708B6E00"/>
    <w:rsid w:val="708E5420"/>
    <w:rsid w:val="71713B23"/>
    <w:rsid w:val="717C64BF"/>
    <w:rsid w:val="72844FF2"/>
    <w:rsid w:val="734624BB"/>
    <w:rsid w:val="73BB2589"/>
    <w:rsid w:val="740B292B"/>
    <w:rsid w:val="750C6FBB"/>
    <w:rsid w:val="75B94A93"/>
    <w:rsid w:val="75F7560A"/>
    <w:rsid w:val="76025208"/>
    <w:rsid w:val="76D95BA0"/>
    <w:rsid w:val="77EC0BF3"/>
    <w:rsid w:val="77EC4CF9"/>
    <w:rsid w:val="79EF1646"/>
    <w:rsid w:val="7AED441A"/>
    <w:rsid w:val="7AFD39C2"/>
    <w:rsid w:val="7BFB5E2C"/>
    <w:rsid w:val="7C3422E5"/>
    <w:rsid w:val="7C34494D"/>
    <w:rsid w:val="7C6700C1"/>
    <w:rsid w:val="7C8532C3"/>
    <w:rsid w:val="7C8B0A95"/>
    <w:rsid w:val="7CF6004F"/>
    <w:rsid w:val="7EBB48C8"/>
    <w:rsid w:val="7F1C145A"/>
    <w:rsid w:val="7FBE53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unhideWhenUsed/>
    <w:qFormat/>
    <w:uiPriority w:val="99"/>
    <w:pPr>
      <w:ind w:left="200" w:leftChars="200" w:hanging="200" w:hangingChars="200"/>
    </w:pPr>
  </w:style>
  <w:style w:type="paragraph" w:styleId="5">
    <w:name w:val="Body Text"/>
    <w:basedOn w:val="1"/>
    <w:semiHidden/>
    <w:unhideWhenUsed/>
    <w:qFormat/>
    <w:uiPriority w:val="99"/>
    <w:pPr>
      <w:spacing w:after="120"/>
    </w:pPr>
  </w:style>
  <w:style w:type="paragraph" w:styleId="6">
    <w:name w:val="Plain Text"/>
    <w:basedOn w:val="1"/>
    <w:next w:val="4"/>
    <w:semiHidden/>
    <w:unhideWhenUsed/>
    <w:qFormat/>
    <w:uiPriority w:val="99"/>
    <w:rPr>
      <w:rFonts w:ascii="宋体" w:hAnsi="Courier New" w:cs="宋体"/>
      <w:sz w:val="20"/>
      <w:szCs w:val="20"/>
    </w:rPr>
  </w:style>
  <w:style w:type="paragraph" w:styleId="7">
    <w:name w:val="Balloon Text"/>
    <w:basedOn w:val="1"/>
    <w:link w:val="17"/>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Char"/>
    <w:basedOn w:val="12"/>
    <w:link w:val="9"/>
    <w:qFormat/>
    <w:uiPriority w:val="99"/>
    <w:rPr>
      <w:sz w:val="18"/>
      <w:szCs w:val="18"/>
    </w:rPr>
  </w:style>
  <w:style w:type="character" w:customStyle="1" w:styleId="14">
    <w:name w:val="页脚 Char"/>
    <w:basedOn w:val="12"/>
    <w:link w:val="8"/>
    <w:qFormat/>
    <w:uiPriority w:val="99"/>
    <w:rPr>
      <w:sz w:val="18"/>
      <w:szCs w:val="18"/>
    </w:rPr>
  </w:style>
  <w:style w:type="character" w:customStyle="1" w:styleId="15">
    <w:name w:val="标题 1 Char"/>
    <w:basedOn w:val="12"/>
    <w:link w:val="3"/>
    <w:qFormat/>
    <w:uiPriority w:val="0"/>
    <w:rPr>
      <w:rFonts w:ascii="Times New Roman" w:hAnsi="Times New Roman" w:eastAsia="宋体" w:cs="Times New Roman"/>
      <w:b/>
      <w:kern w:val="44"/>
      <w:sz w:val="44"/>
      <w:szCs w:val="20"/>
    </w:rPr>
  </w:style>
  <w:style w:type="paragraph" w:styleId="16">
    <w:name w:val="List Paragraph"/>
    <w:basedOn w:val="1"/>
    <w:qFormat/>
    <w:uiPriority w:val="34"/>
    <w:pPr>
      <w:ind w:firstLine="420" w:firstLineChars="200"/>
    </w:pPr>
  </w:style>
  <w:style w:type="character" w:customStyle="1" w:styleId="17">
    <w:name w:val="批注框文本 Char"/>
    <w:basedOn w:val="12"/>
    <w:link w:val="7"/>
    <w:semiHidden/>
    <w:qFormat/>
    <w:uiPriority w:val="99"/>
    <w:rPr>
      <w:rFonts w:ascii="Calibri" w:hAnsi="Calibri" w:eastAsia="宋体" w:cs="Times New Roman"/>
      <w:sz w:val="18"/>
      <w:szCs w:val="18"/>
    </w:rPr>
  </w:style>
  <w:style w:type="character" w:customStyle="1" w:styleId="18">
    <w:name w:val="font21"/>
    <w:basedOn w:val="12"/>
    <w:qFormat/>
    <w:uiPriority w:val="0"/>
    <w:rPr>
      <w:rFonts w:hint="default" w:ascii="Calibri" w:hAnsi="Calibri" w:cs="Calibri"/>
      <w:color w:val="000000"/>
      <w:sz w:val="21"/>
      <w:szCs w:val="21"/>
      <w:u w:val="none"/>
    </w:rPr>
  </w:style>
  <w:style w:type="character" w:customStyle="1" w:styleId="19">
    <w:name w:val="font11"/>
    <w:basedOn w:val="12"/>
    <w:qFormat/>
    <w:uiPriority w:val="0"/>
    <w:rPr>
      <w:rFonts w:hint="eastAsia" w:ascii="宋体" w:hAnsi="宋体" w:eastAsia="宋体" w:cs="宋体"/>
      <w:color w:val="000000"/>
      <w:sz w:val="21"/>
      <w:szCs w:val="21"/>
      <w:u w:val="none"/>
    </w:rPr>
  </w:style>
  <w:style w:type="character" w:customStyle="1" w:styleId="20">
    <w:name w:val="font31"/>
    <w:basedOn w:val="12"/>
    <w:qFormat/>
    <w:uiPriority w:val="0"/>
    <w:rPr>
      <w:rFonts w:hint="eastAsia" w:ascii="宋体" w:hAnsi="宋体" w:eastAsia="宋体" w:cs="宋体"/>
      <w:color w:val="000000"/>
      <w:sz w:val="21"/>
      <w:szCs w:val="21"/>
      <w:u w:val="none"/>
    </w:rPr>
  </w:style>
  <w:style w:type="character" w:customStyle="1" w:styleId="21">
    <w:name w:val="font41"/>
    <w:basedOn w:val="12"/>
    <w:qFormat/>
    <w:uiPriority w:val="0"/>
    <w:rPr>
      <w:rFonts w:hint="eastAsia" w:ascii="宋体" w:hAnsi="宋体" w:eastAsia="宋体" w:cs="宋体"/>
      <w:color w:val="000000"/>
      <w:sz w:val="21"/>
      <w:szCs w:val="21"/>
      <w:u w:val="none"/>
    </w:rPr>
  </w:style>
  <w:style w:type="character" w:customStyle="1" w:styleId="22">
    <w:name w:val="font91"/>
    <w:basedOn w:val="1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8D4A-3584-4789-91C3-23F9CBD76FC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27</Pages>
  <Words>1966</Words>
  <Characters>11208</Characters>
  <Lines>93</Lines>
  <Paragraphs>26</Paragraphs>
  <TotalTime>9</TotalTime>
  <ScaleCrop>false</ScaleCrop>
  <LinksUpToDate>false</LinksUpToDate>
  <CharactersWithSpaces>13148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2021-09-28T05:06:00Z</dcterms:created>
  <dc:creator>陈悦</dc:creator>
  <cp:lastModifiedBy>林柏全</cp:lastModifiedBy>
  <cp:lastPrinted>2023-11-14T01:24:57Z</cp:lastPrinted>
  <dcterms:modified xsi:type="dcterms:W3CDTF">2023-11-14T01:25:04Z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B73C1AA11E3B44A78DCAAC719ACA8375</vt:lpwstr>
  </property>
</Properties>
</file>